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1A5323" w:rsidRPr="00B6433F" w:rsidTr="00686044">
        <w:trPr>
          <w:trHeight w:val="851"/>
        </w:trPr>
        <w:tc>
          <w:tcPr>
            <w:tcW w:w="976" w:type="dxa"/>
            <w:tcBorders>
              <w:bottom w:val="single" w:sz="12" w:space="0" w:color="auto"/>
            </w:tcBorders>
          </w:tcPr>
          <w:p w:rsidR="002410FB" w:rsidRPr="00B6433F" w:rsidRDefault="002410FB" w:rsidP="00686044">
            <w:pPr>
              <w:suppressLineNumbers/>
              <w:suppressAutoHyphens/>
              <w:kinsoku w:val="0"/>
              <w:overflowPunct w:val="0"/>
              <w:autoSpaceDE w:val="0"/>
              <w:autoSpaceDN w:val="0"/>
              <w:adjustRightInd w:val="0"/>
              <w:snapToGrid w:val="0"/>
              <w:rPr>
                <w:snapToGrid w:val="0"/>
                <w:kern w:val="22"/>
              </w:rPr>
            </w:pPr>
            <w:r w:rsidRPr="00441EEC">
              <w:rPr>
                <w:noProof/>
                <w:snapToGrid w:val="0"/>
                <w:kern w:val="22"/>
                <w:lang w:eastAsia="fr-FR"/>
              </w:rPr>
              <w:drawing>
                <wp:inline distT="0" distB="0" distL="0" distR="0" wp14:anchorId="672AB6A2" wp14:editId="6CAD6580">
                  <wp:extent cx="476494" cy="403200"/>
                  <wp:effectExtent l="0" t="0" r="6350" b="3810"/>
                  <wp:docPr id="5" name="Picture 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2410FB" w:rsidRPr="00B6433F" w:rsidRDefault="00BE15D3" w:rsidP="00686044">
            <w:pPr>
              <w:suppressLineNumbers/>
              <w:suppressAutoHyphens/>
              <w:kinsoku w:val="0"/>
              <w:overflowPunct w:val="0"/>
              <w:autoSpaceDE w:val="0"/>
              <w:autoSpaceDN w:val="0"/>
              <w:adjustRightInd w:val="0"/>
              <w:snapToGrid w:val="0"/>
              <w:rPr>
                <w:snapToGrid w:val="0"/>
                <w:kern w:val="22"/>
              </w:rPr>
            </w:pPr>
            <w:r w:rsidRPr="00BE15D3">
              <w:rPr>
                <w:noProof/>
                <w:lang w:eastAsia="fr-FR"/>
              </w:rPr>
              <w:drawing>
                <wp:inline distT="0" distB="0" distL="0" distR="0" wp14:anchorId="13838B17" wp14:editId="387BB82A">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rsidR="00AC7EA1" w:rsidRDefault="00324D7C">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Pr>
                <w:rFonts w:ascii="Arial" w:hAnsi="Arial" w:cs="Arial"/>
                <w:b/>
                <w:snapToGrid w:val="0"/>
                <w:kern w:val="22"/>
                <w:sz w:val="32"/>
                <w:szCs w:val="32"/>
              </w:rPr>
              <w:t>CBD</w:t>
            </w:r>
          </w:p>
        </w:tc>
      </w:tr>
    </w:tbl>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C9161D" w:rsidRPr="00B6433F" w:rsidTr="00CF1848">
        <w:tc>
          <w:tcPr>
            <w:tcW w:w="6117" w:type="dxa"/>
            <w:tcBorders>
              <w:top w:val="single" w:sz="12" w:space="0" w:color="auto"/>
              <w:bottom w:val="single" w:sz="36" w:space="0" w:color="auto"/>
            </w:tcBorders>
            <w:vAlign w:val="center"/>
          </w:tcPr>
          <w:p w:rsidR="00C9161D" w:rsidRPr="00B6433F" w:rsidRDefault="00BE15D3" w:rsidP="00490BF5">
            <w:pPr>
              <w:suppressLineNumbers/>
              <w:suppressAutoHyphens/>
              <w:kinsoku w:val="0"/>
              <w:overflowPunct w:val="0"/>
              <w:autoSpaceDE w:val="0"/>
              <w:autoSpaceDN w:val="0"/>
              <w:adjustRightInd w:val="0"/>
              <w:snapToGrid w:val="0"/>
              <w:rPr>
                <w:snapToGrid w:val="0"/>
                <w:kern w:val="22"/>
              </w:rPr>
            </w:pPr>
            <w:r w:rsidRPr="00F32592">
              <w:rPr>
                <w:bCs/>
                <w:noProof/>
                <w:szCs w:val="22"/>
                <w:lang w:eastAsia="fr-FR"/>
              </w:rPr>
              <w:drawing>
                <wp:inline distT="0" distB="0" distL="0" distR="0" wp14:anchorId="6CDC1B7D" wp14:editId="531775B5">
                  <wp:extent cx="2857500" cy="1076325"/>
                  <wp:effectExtent l="0" t="0" r="0" b="9525"/>
                  <wp:docPr id="3" name="Picture 3"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AC7EA1" w:rsidRDefault="00324D7C">
            <w:pPr>
              <w:suppressLineNumbers/>
              <w:suppressAutoHyphens/>
              <w:kinsoku w:val="0"/>
              <w:overflowPunct w:val="0"/>
              <w:autoSpaceDE w:val="0"/>
              <w:autoSpaceDN w:val="0"/>
              <w:adjustRightInd w:val="0"/>
              <w:snapToGrid w:val="0"/>
              <w:ind w:left="1215"/>
              <w:rPr>
                <w:snapToGrid w:val="0"/>
                <w:kern w:val="22"/>
                <w:szCs w:val="22"/>
              </w:rPr>
            </w:pPr>
            <w:r>
              <w:rPr>
                <w:snapToGrid w:val="0"/>
                <w:kern w:val="22"/>
                <w:szCs w:val="22"/>
              </w:rPr>
              <w:t>Distr.</w:t>
            </w:r>
          </w:p>
          <w:p w:rsidR="00AC7EA1" w:rsidRDefault="006F561F">
            <w:pPr>
              <w:suppressLineNumbers/>
              <w:suppressAutoHyphens/>
              <w:kinsoku w:val="0"/>
              <w:overflowPunct w:val="0"/>
              <w:autoSpaceDE w:val="0"/>
              <w:autoSpaceDN w:val="0"/>
              <w:adjustRightInd w:val="0"/>
              <w:snapToGrid w:val="0"/>
              <w:ind w:left="1215"/>
              <w:rPr>
                <w:snapToGrid w:val="0"/>
                <w:kern w:val="22"/>
                <w:szCs w:val="22"/>
              </w:rPr>
            </w:pPr>
            <w:hyperlink>
              <w:r w:rsidR="00324D7C">
                <w:rPr>
                  <w:caps/>
                  <w:snapToGrid w:val="0"/>
                  <w:kern w:val="22"/>
                  <w:szCs w:val="22"/>
                </w:rPr>
                <w:t>GÉNÉRAL</w:t>
              </w:r>
            </w:hyperlink>
            <w:r w:rsidR="00686044">
              <w:rPr>
                <w:caps/>
                <w:snapToGrid w:val="0"/>
                <w:kern w:val="22"/>
                <w:szCs w:val="22"/>
              </w:rPr>
              <w:t>e</w:t>
            </w:r>
          </w:p>
          <w:p w:rsidR="00C9161D" w:rsidRPr="00B6433F" w:rsidRDefault="00C9161D" w:rsidP="00490BF5">
            <w:pPr>
              <w:suppressLineNumbers/>
              <w:suppressAutoHyphens/>
              <w:kinsoku w:val="0"/>
              <w:overflowPunct w:val="0"/>
              <w:autoSpaceDE w:val="0"/>
              <w:autoSpaceDN w:val="0"/>
              <w:adjustRightInd w:val="0"/>
              <w:snapToGrid w:val="0"/>
              <w:ind w:left="1215"/>
              <w:rPr>
                <w:snapToGrid w:val="0"/>
                <w:kern w:val="22"/>
                <w:szCs w:val="22"/>
              </w:rPr>
            </w:pPr>
          </w:p>
          <w:p w:rsidR="00AC7EA1" w:rsidRDefault="006F561F">
            <w:pPr>
              <w:suppressLineNumbers/>
              <w:suppressAutoHyphens/>
              <w:kinsoku w:val="0"/>
              <w:overflowPunct w:val="0"/>
              <w:autoSpaceDE w:val="0"/>
              <w:autoSpaceDN w:val="0"/>
              <w:adjustRightInd w:val="0"/>
              <w:snapToGrid w:val="0"/>
              <w:ind w:left="1215"/>
              <w:rPr>
                <w:snapToGrid w:val="0"/>
                <w:kern w:val="22"/>
                <w:szCs w:val="22"/>
              </w:rPr>
            </w:pPr>
            <w:hyperlink>
              <w:r w:rsidR="00324D7C">
                <w:rPr>
                  <w:snapToGrid w:val="0"/>
                  <w:kern w:val="22"/>
                </w:rPr>
                <w:t>CBD/COP/15/11</w:t>
              </w:r>
            </w:hyperlink>
          </w:p>
          <w:p w:rsidR="00AC7EA1" w:rsidRDefault="00324D7C">
            <w:pPr>
              <w:suppressLineNumbers/>
              <w:suppressAutoHyphens/>
              <w:kinsoku w:val="0"/>
              <w:overflowPunct w:val="0"/>
              <w:autoSpaceDE w:val="0"/>
              <w:autoSpaceDN w:val="0"/>
              <w:adjustRightInd w:val="0"/>
              <w:snapToGrid w:val="0"/>
              <w:ind w:left="1215"/>
              <w:rPr>
                <w:snapToGrid w:val="0"/>
                <w:kern w:val="22"/>
                <w:szCs w:val="22"/>
              </w:rPr>
            </w:pPr>
            <w:r>
              <w:rPr>
                <w:snapToGrid w:val="0"/>
                <w:kern w:val="22"/>
                <w:szCs w:val="22"/>
              </w:rPr>
              <w:t>1</w:t>
            </w:r>
            <w:r w:rsidRPr="00686044">
              <w:rPr>
                <w:snapToGrid w:val="0"/>
                <w:kern w:val="22"/>
                <w:szCs w:val="22"/>
                <w:vertAlign w:val="superscript"/>
              </w:rPr>
              <w:t>er</w:t>
            </w:r>
            <w:r>
              <w:rPr>
                <w:snapToGrid w:val="0"/>
                <w:kern w:val="22"/>
                <w:szCs w:val="22"/>
              </w:rPr>
              <w:t xml:space="preserve"> novembre 2022</w:t>
            </w:r>
          </w:p>
          <w:p w:rsidR="00C9161D" w:rsidRPr="00B6433F" w:rsidRDefault="00C9161D" w:rsidP="00490BF5">
            <w:pPr>
              <w:suppressLineNumbers/>
              <w:suppressAutoHyphens/>
              <w:kinsoku w:val="0"/>
              <w:overflowPunct w:val="0"/>
              <w:autoSpaceDE w:val="0"/>
              <w:autoSpaceDN w:val="0"/>
              <w:adjustRightInd w:val="0"/>
              <w:snapToGrid w:val="0"/>
              <w:ind w:left="1215"/>
              <w:rPr>
                <w:snapToGrid w:val="0"/>
                <w:kern w:val="22"/>
                <w:szCs w:val="22"/>
              </w:rPr>
            </w:pPr>
          </w:p>
          <w:p w:rsidR="00686044" w:rsidRDefault="00686044">
            <w:pPr>
              <w:suppressLineNumbers/>
              <w:suppressAutoHyphens/>
              <w:kinsoku w:val="0"/>
              <w:overflowPunct w:val="0"/>
              <w:autoSpaceDE w:val="0"/>
              <w:autoSpaceDN w:val="0"/>
              <w:adjustRightInd w:val="0"/>
              <w:snapToGrid w:val="0"/>
              <w:ind w:left="1215"/>
              <w:rPr>
                <w:snapToGrid w:val="0"/>
                <w:kern w:val="22"/>
                <w:szCs w:val="22"/>
              </w:rPr>
            </w:pPr>
            <w:r>
              <w:rPr>
                <w:snapToGrid w:val="0"/>
                <w:kern w:val="22"/>
                <w:szCs w:val="22"/>
              </w:rPr>
              <w:t>FRANÇAIS</w:t>
            </w:r>
          </w:p>
          <w:p w:rsidR="00AC7EA1" w:rsidRDefault="00324D7C">
            <w:pPr>
              <w:suppressLineNumbers/>
              <w:suppressAutoHyphens/>
              <w:kinsoku w:val="0"/>
              <w:overflowPunct w:val="0"/>
              <w:autoSpaceDE w:val="0"/>
              <w:autoSpaceDN w:val="0"/>
              <w:adjustRightInd w:val="0"/>
              <w:snapToGrid w:val="0"/>
              <w:ind w:left="1215"/>
              <w:rPr>
                <w:snapToGrid w:val="0"/>
                <w:kern w:val="22"/>
                <w:szCs w:val="22"/>
              </w:rPr>
            </w:pPr>
            <w:r>
              <w:rPr>
                <w:snapToGrid w:val="0"/>
                <w:kern w:val="22"/>
                <w:szCs w:val="22"/>
              </w:rPr>
              <w:t>ORIGINAL : ANGLAIS</w:t>
            </w:r>
          </w:p>
          <w:p w:rsidR="00C9161D" w:rsidRPr="00B6433F" w:rsidRDefault="00C9161D" w:rsidP="00490BF5">
            <w:pPr>
              <w:suppressLineNumbers/>
              <w:suppressAutoHyphens/>
              <w:kinsoku w:val="0"/>
              <w:overflowPunct w:val="0"/>
              <w:autoSpaceDE w:val="0"/>
              <w:autoSpaceDN w:val="0"/>
              <w:adjustRightInd w:val="0"/>
              <w:snapToGrid w:val="0"/>
              <w:rPr>
                <w:snapToGrid w:val="0"/>
                <w:kern w:val="22"/>
              </w:rPr>
            </w:pPr>
          </w:p>
        </w:tc>
      </w:tr>
    </w:tbl>
    <w:p w:rsidR="00AC7EA1" w:rsidRDefault="00324D7C">
      <w:pPr>
        <w:suppressLineNumbers/>
        <w:suppressAutoHyphens/>
        <w:kinsoku w:val="0"/>
        <w:overflowPunct w:val="0"/>
        <w:autoSpaceDE w:val="0"/>
        <w:autoSpaceDN w:val="0"/>
        <w:adjustRightInd w:val="0"/>
        <w:snapToGrid w:val="0"/>
        <w:spacing w:line="260" w:lineRule="atLeast"/>
        <w:ind w:left="170" w:right="4682" w:hanging="170"/>
        <w:jc w:val="left"/>
        <w:rPr>
          <w:rFonts w:eastAsia="Malgun Gothic"/>
          <w:caps/>
          <w:snapToGrid w:val="0"/>
          <w:kern w:val="22"/>
          <w:szCs w:val="22"/>
        </w:rPr>
      </w:pPr>
      <w:r>
        <w:rPr>
          <w:rFonts w:eastAsia="Malgun Gothic"/>
          <w:caps/>
          <w:snapToGrid w:val="0"/>
          <w:kern w:val="22"/>
          <w:szCs w:val="22"/>
        </w:rPr>
        <w:t>CONFÉRENCE DES PARTIES À LA CONVENTION SUR LA DIVERSITÉ BIOLOGIQUE</w:t>
      </w:r>
    </w:p>
    <w:p w:rsidR="00AC7EA1" w:rsidRDefault="00686044">
      <w:pPr>
        <w:suppressLineNumbers/>
        <w:suppressAutoHyphens/>
        <w:kinsoku w:val="0"/>
        <w:overflowPunct w:val="0"/>
        <w:autoSpaceDE w:val="0"/>
        <w:autoSpaceDN w:val="0"/>
        <w:adjustRightInd w:val="0"/>
        <w:snapToGrid w:val="0"/>
        <w:spacing w:line="260" w:lineRule="atLeast"/>
        <w:ind w:left="170" w:right="4682" w:hanging="170"/>
        <w:jc w:val="left"/>
        <w:rPr>
          <w:rFonts w:eastAsia="Malgun Gothic"/>
          <w:caps/>
          <w:snapToGrid w:val="0"/>
          <w:kern w:val="22"/>
          <w:szCs w:val="22"/>
        </w:rPr>
      </w:pPr>
      <w:r>
        <w:rPr>
          <w:rFonts w:eastAsia="Malgun Gothic"/>
          <w:snapToGrid w:val="0"/>
          <w:kern w:val="22"/>
          <w:szCs w:val="22"/>
        </w:rPr>
        <w:t>Quinzième réunion – Deuxième partie</w:t>
      </w:r>
    </w:p>
    <w:p w:rsidR="00AC7EA1" w:rsidRDefault="00324D7C">
      <w:pPr>
        <w:suppressLineNumbers/>
        <w:suppressAutoHyphens/>
        <w:kinsoku w:val="0"/>
        <w:overflowPunct w:val="0"/>
        <w:autoSpaceDE w:val="0"/>
        <w:autoSpaceDN w:val="0"/>
        <w:adjustRightInd w:val="0"/>
        <w:snapToGrid w:val="0"/>
        <w:spacing w:line="260" w:lineRule="atLeast"/>
        <w:ind w:left="170" w:right="4257" w:hanging="170"/>
        <w:jc w:val="left"/>
        <w:rPr>
          <w:rFonts w:eastAsia="Malgun Gothic"/>
          <w:caps/>
          <w:snapToGrid w:val="0"/>
          <w:kern w:val="22"/>
          <w:szCs w:val="22"/>
        </w:rPr>
      </w:pPr>
      <w:r>
        <w:rPr>
          <w:rFonts w:eastAsia="Malgun Gothic"/>
          <w:snapToGrid w:val="0"/>
          <w:kern w:val="22"/>
          <w:szCs w:val="22"/>
        </w:rPr>
        <w:t>Montréal, Canada, 7-19 décembre 2022</w:t>
      </w:r>
    </w:p>
    <w:p w:rsidR="00AC7EA1" w:rsidRDefault="00324D7C">
      <w:pPr>
        <w:suppressLineNumbers/>
        <w:suppressAutoHyphens/>
        <w:kinsoku w:val="0"/>
        <w:overflowPunct w:val="0"/>
        <w:autoSpaceDE w:val="0"/>
        <w:autoSpaceDN w:val="0"/>
        <w:adjustRightInd w:val="0"/>
        <w:snapToGrid w:val="0"/>
        <w:spacing w:line="260" w:lineRule="atLeast"/>
        <w:ind w:left="170" w:right="4682" w:hanging="170"/>
        <w:jc w:val="left"/>
        <w:rPr>
          <w:snapToGrid w:val="0"/>
          <w:kern w:val="22"/>
          <w:szCs w:val="22"/>
          <w:lang w:eastAsia="nb-NO"/>
        </w:rPr>
      </w:pPr>
      <w:r>
        <w:rPr>
          <w:snapToGrid w:val="0"/>
          <w:kern w:val="22"/>
          <w:szCs w:val="22"/>
        </w:rPr>
        <w:t>Point 12 de l</w:t>
      </w:r>
      <w:r w:rsidR="00686044">
        <w:rPr>
          <w:snapToGrid w:val="0"/>
          <w:kern w:val="22"/>
          <w:szCs w:val="22"/>
        </w:rPr>
        <w:t>’</w:t>
      </w:r>
      <w:r>
        <w:rPr>
          <w:snapToGrid w:val="0"/>
          <w:kern w:val="22"/>
          <w:szCs w:val="22"/>
        </w:rPr>
        <w:t xml:space="preserve">ordre du jour </w:t>
      </w:r>
    </w:p>
    <w:p w:rsidR="00C9161D" w:rsidRPr="00F94BA0" w:rsidRDefault="00C9161D" w:rsidP="00490BF5">
      <w:pPr>
        <w:suppressLineNumbers/>
        <w:suppressAutoHyphens/>
        <w:kinsoku w:val="0"/>
        <w:overflowPunct w:val="0"/>
        <w:autoSpaceDE w:val="0"/>
        <w:autoSpaceDN w:val="0"/>
        <w:adjustRightInd w:val="0"/>
        <w:snapToGrid w:val="0"/>
        <w:rPr>
          <w:snapToGrid w:val="0"/>
          <w:kern w:val="22"/>
          <w:szCs w:val="22"/>
        </w:rPr>
      </w:pPr>
    </w:p>
    <w:bookmarkStart w:id="0" w:name="_Hlk526097937"/>
    <w:p w:rsidR="00AC7EA1" w:rsidRDefault="00324D7C">
      <w:pPr>
        <w:keepNext/>
        <w:suppressLineNumbers/>
        <w:suppressAutoHyphens/>
        <w:kinsoku w:val="0"/>
        <w:overflowPunct w:val="0"/>
        <w:autoSpaceDE w:val="0"/>
        <w:autoSpaceDN w:val="0"/>
        <w:adjustRightInd w:val="0"/>
        <w:snapToGrid w:val="0"/>
        <w:spacing w:before="240" w:after="120"/>
        <w:jc w:val="center"/>
        <w:rPr>
          <w:rFonts w:ascii="Times New Roman Bold" w:hAnsi="Times New Roman Bold"/>
          <w:b/>
          <w:snapToGrid w:val="0"/>
          <w:kern w:val="22"/>
          <w:szCs w:val="22"/>
        </w:rPr>
      </w:pPr>
      <w:r>
        <w:rPr>
          <w:rFonts w:ascii="Times New Roman Bold" w:hAnsi="Times New Roman Bold"/>
          <w:b/>
          <w:caps/>
          <w:snapToGrid w:val="0"/>
          <w:kern w:val="22"/>
          <w:szCs w:val="22"/>
        </w:rPr>
        <w:fldChar w:fldCharType="begin"/>
      </w:r>
      <w:r>
        <w:rPr>
          <w:rFonts w:ascii="Times New Roman Bold" w:hAnsi="Times New Roman Bold"/>
          <w:b/>
          <w:caps/>
          <w:snapToGrid w:val="0"/>
          <w:kern w:val="22"/>
          <w:szCs w:val="22"/>
        </w:rPr>
        <w:instrText xml:space="preserve"> HYPERLINK \h </w:instrText>
      </w:r>
      <w:r>
        <w:rPr>
          <w:rFonts w:ascii="Times New Roman Bold" w:hAnsi="Times New Roman Bold"/>
          <w:b/>
          <w:caps/>
          <w:snapToGrid w:val="0"/>
          <w:kern w:val="22"/>
          <w:szCs w:val="22"/>
        </w:rPr>
        <w:fldChar w:fldCharType="separate"/>
      </w:r>
      <w:r>
        <w:rPr>
          <w:rFonts w:ascii="Times New Roman Bold" w:hAnsi="Times New Roman Bold"/>
          <w:b/>
          <w:caps/>
          <w:snapToGrid w:val="0"/>
          <w:kern w:val="22"/>
          <w:szCs w:val="22"/>
        </w:rPr>
        <w:t>Mobilisation des ressources : analyse finale des informations fournies par le biais du cadre d</w:t>
      </w:r>
      <w:r w:rsidR="00281026">
        <w:rPr>
          <w:rFonts w:ascii="Times New Roman Bold" w:hAnsi="Times New Roman Bold"/>
          <w:b/>
          <w:caps/>
          <w:snapToGrid w:val="0"/>
          <w:kern w:val="22"/>
          <w:szCs w:val="22"/>
        </w:rPr>
        <w:t>e presentation des rapports financi</w:t>
      </w:r>
      <w:r>
        <w:rPr>
          <w:rFonts w:ascii="Times New Roman Bold" w:hAnsi="Times New Roman Bold"/>
          <w:b/>
          <w:caps/>
          <w:snapToGrid w:val="0"/>
          <w:kern w:val="22"/>
          <w:szCs w:val="22"/>
        </w:rPr>
        <w:t>e</w:t>
      </w:r>
      <w:r>
        <w:rPr>
          <w:rFonts w:ascii="Times New Roman Bold" w:hAnsi="Times New Roman Bold"/>
          <w:b/>
          <w:caps/>
          <w:snapToGrid w:val="0"/>
          <w:kern w:val="22"/>
          <w:szCs w:val="22"/>
        </w:rPr>
        <w:fldChar w:fldCharType="end"/>
      </w:r>
      <w:r w:rsidR="00281026">
        <w:rPr>
          <w:rFonts w:ascii="Times New Roman Bold" w:hAnsi="Times New Roman Bold"/>
          <w:b/>
          <w:caps/>
          <w:snapToGrid w:val="0"/>
          <w:kern w:val="22"/>
          <w:szCs w:val="22"/>
        </w:rPr>
        <w:t>rs</w:t>
      </w:r>
    </w:p>
    <w:bookmarkEnd w:id="0"/>
    <w:p w:rsidR="00AC7EA1" w:rsidRDefault="00324D7C">
      <w:pPr>
        <w:keepNext/>
        <w:spacing w:before="240" w:after="120"/>
        <w:jc w:val="center"/>
        <w:rPr>
          <w:i/>
        </w:rPr>
      </w:pPr>
      <w:r>
        <w:rPr>
          <w:i/>
          <w:iCs/>
        </w:rPr>
        <w:t>Note de la Secrétaire exécutive</w:t>
      </w:r>
    </w:p>
    <w:p w:rsidR="00AC7EA1" w:rsidRDefault="00324D7C">
      <w:pPr>
        <w:keepNext/>
        <w:suppressLineNumbers/>
        <w:tabs>
          <w:tab w:val="left" w:pos="360"/>
        </w:tabs>
        <w:suppressAutoHyphens/>
        <w:kinsoku w:val="0"/>
        <w:overflowPunct w:val="0"/>
        <w:autoSpaceDE w:val="0"/>
        <w:autoSpaceDN w:val="0"/>
        <w:adjustRightInd w:val="0"/>
        <w:snapToGrid w:val="0"/>
        <w:spacing w:before="240" w:after="120"/>
        <w:jc w:val="center"/>
        <w:outlineLvl w:val="0"/>
        <w:rPr>
          <w:b/>
          <w:caps/>
          <w:snapToGrid w:val="0"/>
          <w:kern w:val="22"/>
          <w:szCs w:val="22"/>
        </w:rPr>
      </w:pPr>
      <w:r>
        <w:rPr>
          <w:b/>
          <w:caps/>
          <w:snapToGrid w:val="0"/>
          <w:kern w:val="22"/>
          <w:szCs w:val="22"/>
        </w:rPr>
        <w:t>I.</w:t>
      </w:r>
      <w:r>
        <w:rPr>
          <w:b/>
          <w:caps/>
          <w:snapToGrid w:val="0"/>
          <w:kern w:val="22"/>
          <w:szCs w:val="22"/>
        </w:rPr>
        <w:tab/>
        <w:t>Introduction</w:t>
      </w:r>
    </w:p>
    <w:p w:rsidR="00AC7EA1" w:rsidRDefault="00324D7C">
      <w:pPr>
        <w:pStyle w:val="Para1"/>
        <w:numPr>
          <w:ilvl w:val="0"/>
          <w:numId w:val="25"/>
        </w:numPr>
        <w:tabs>
          <w:tab w:val="clear" w:pos="360"/>
        </w:tabs>
        <w:kinsoku w:val="0"/>
        <w:overflowPunct w:val="0"/>
        <w:autoSpaceDE w:val="0"/>
        <w:autoSpaceDN w:val="0"/>
        <w:snapToGrid w:val="0"/>
        <w:rPr>
          <w:szCs w:val="22"/>
        </w:rPr>
      </w:pPr>
      <w:r>
        <w:rPr>
          <w:kern w:val="22"/>
          <w:szCs w:val="22"/>
        </w:rPr>
        <w:t>À sa douzième réunion, la Conférence des Parties a adopté des objectifs de mobilisati</w:t>
      </w:r>
      <w:r w:rsidR="00686044">
        <w:rPr>
          <w:kern w:val="22"/>
          <w:szCs w:val="22"/>
        </w:rPr>
        <w:t>on des re</w:t>
      </w:r>
      <w:bookmarkStart w:id="1" w:name="_GoBack"/>
      <w:bookmarkEnd w:id="1"/>
      <w:r w:rsidR="00686044">
        <w:rPr>
          <w:kern w:val="22"/>
          <w:szCs w:val="22"/>
        </w:rPr>
        <w:t>ssources au titre de l’Objectif 20 d’</w:t>
      </w:r>
      <w:r>
        <w:rPr>
          <w:kern w:val="22"/>
          <w:szCs w:val="22"/>
        </w:rPr>
        <w:t xml:space="preserve">Aichi pour la </w:t>
      </w:r>
      <w:r w:rsidR="00281026">
        <w:rPr>
          <w:kern w:val="22"/>
          <w:szCs w:val="22"/>
        </w:rPr>
        <w:t>biodiversité</w:t>
      </w:r>
      <w:r>
        <w:rPr>
          <w:kern w:val="22"/>
          <w:szCs w:val="22"/>
        </w:rPr>
        <w:t xml:space="preserve"> du Plan stratégique pour la diversité biologique 2011-2020 (décision </w:t>
      </w:r>
      <w:hyperlink r:id="rId15" w:history="1">
        <w:r>
          <w:rPr>
            <w:rStyle w:val="Hyperlink"/>
            <w:kern w:val="22"/>
            <w:sz w:val="22"/>
            <w:szCs w:val="22"/>
          </w:rPr>
          <w:t>XII/3</w:t>
        </w:r>
      </w:hyperlink>
      <w:r w:rsidR="000D27B1">
        <w:rPr>
          <w:kern w:val="22"/>
          <w:szCs w:val="22"/>
        </w:rPr>
        <w:t>, paragraphe</w:t>
      </w:r>
      <w:r w:rsidR="00686044">
        <w:rPr>
          <w:kern w:val="22"/>
          <w:szCs w:val="22"/>
        </w:rPr>
        <w:t xml:space="preserve"> 1), ainsi qu’un cadre révisé de présentation</w:t>
      </w:r>
      <w:r>
        <w:rPr>
          <w:kern w:val="22"/>
          <w:szCs w:val="22"/>
        </w:rPr>
        <w:t xml:space="preserve"> de</w:t>
      </w:r>
      <w:r w:rsidR="00686044">
        <w:rPr>
          <w:kern w:val="22"/>
          <w:szCs w:val="22"/>
        </w:rPr>
        <w:t>s</w:t>
      </w:r>
      <w:r w:rsidR="00281026">
        <w:rPr>
          <w:kern w:val="22"/>
          <w:szCs w:val="22"/>
        </w:rPr>
        <w:t xml:space="preserve"> rapports financiers, visant</w:t>
      </w:r>
      <w:r>
        <w:rPr>
          <w:kern w:val="22"/>
          <w:szCs w:val="22"/>
        </w:rPr>
        <w:t xml:space="preserve"> à permettre</w:t>
      </w:r>
      <w:r w:rsidR="00281026">
        <w:rPr>
          <w:kern w:val="22"/>
          <w:szCs w:val="22"/>
        </w:rPr>
        <w:t xml:space="preserve"> aux Parties de rendre compte de</w:t>
      </w:r>
      <w:r>
        <w:rPr>
          <w:kern w:val="22"/>
          <w:szCs w:val="22"/>
        </w:rPr>
        <w:t xml:space="preserve"> leur contribution à la réalisation de ces obje</w:t>
      </w:r>
      <w:r w:rsidR="000D27B1">
        <w:rPr>
          <w:kern w:val="22"/>
          <w:szCs w:val="22"/>
        </w:rPr>
        <w:t>ctifs (voir décision XII/3, paragraphes</w:t>
      </w:r>
      <w:r>
        <w:rPr>
          <w:kern w:val="22"/>
          <w:szCs w:val="22"/>
        </w:rPr>
        <w:t xml:space="preserve"> 24 et 25 et annexe II)</w:t>
      </w:r>
      <w:r w:rsidR="00281026">
        <w:rPr>
          <w:kern w:val="22"/>
          <w:szCs w:val="22"/>
        </w:rPr>
        <w:t>. Pour plus de commodité</w:t>
      </w:r>
      <w:r>
        <w:rPr>
          <w:kern w:val="22"/>
          <w:szCs w:val="22"/>
        </w:rPr>
        <w:t>, le</w:t>
      </w:r>
      <w:r w:rsidR="00686044">
        <w:rPr>
          <w:kern w:val="22"/>
          <w:szCs w:val="22"/>
        </w:rPr>
        <w:t>s objectifs sont reproduits à l’</w:t>
      </w:r>
      <w:r>
        <w:rPr>
          <w:kern w:val="22"/>
          <w:szCs w:val="22"/>
        </w:rPr>
        <w:t>annexe I du présent document. Lor</w:t>
      </w:r>
      <w:r w:rsidR="00686044">
        <w:rPr>
          <w:kern w:val="22"/>
          <w:szCs w:val="22"/>
        </w:rPr>
        <w:t>s des réunions ultérieures de l’Organe subsidiaire chargé de l’application</w:t>
      </w:r>
      <w:r>
        <w:rPr>
          <w:kern w:val="22"/>
          <w:szCs w:val="22"/>
        </w:rPr>
        <w:t xml:space="preserve"> et de la Conférence des Parties, les Parties ont</w:t>
      </w:r>
      <w:r w:rsidR="00281026">
        <w:rPr>
          <w:kern w:val="22"/>
          <w:szCs w:val="22"/>
        </w:rPr>
        <w:t xml:space="preserve"> continué d’examiner l</w:t>
      </w:r>
      <w:r>
        <w:rPr>
          <w:kern w:val="22"/>
          <w:szCs w:val="22"/>
        </w:rPr>
        <w:t>es prog</w:t>
      </w:r>
      <w:r w:rsidR="00281026">
        <w:rPr>
          <w:kern w:val="22"/>
          <w:szCs w:val="22"/>
        </w:rPr>
        <w:t xml:space="preserve">rès accomplis au regard des </w:t>
      </w:r>
      <w:r>
        <w:rPr>
          <w:kern w:val="22"/>
          <w:szCs w:val="22"/>
        </w:rPr>
        <w:t xml:space="preserve">objectifs de mobilisation des ressources, sur la base des rapports périodiques établis par </w:t>
      </w:r>
      <w:r w:rsidR="00686044">
        <w:rPr>
          <w:kern w:val="22"/>
          <w:szCs w:val="22"/>
        </w:rPr>
        <w:t>la Secrétaire exécutive</w:t>
      </w:r>
      <w:r>
        <w:rPr>
          <w:kern w:val="22"/>
          <w:szCs w:val="22"/>
        </w:rPr>
        <w:t>, qui</w:t>
      </w:r>
      <w:r w:rsidR="00281026">
        <w:rPr>
          <w:kern w:val="22"/>
          <w:szCs w:val="22"/>
        </w:rPr>
        <w:t xml:space="preserve"> ont regroupé et résumé</w:t>
      </w:r>
      <w:r>
        <w:rPr>
          <w:kern w:val="22"/>
          <w:szCs w:val="22"/>
        </w:rPr>
        <w:t xml:space="preserve"> les informations communiquées par les Parties dans le cadre de présentation des rapports financiers.</w:t>
      </w:r>
      <w:r w:rsidR="00A40AEC">
        <w:rPr>
          <w:rStyle w:val="FootnoteReference"/>
          <w:kern w:val="22"/>
          <w:szCs w:val="22"/>
        </w:rPr>
        <w:footnoteReference w:id="2"/>
      </w:r>
      <w:r>
        <w:rPr>
          <w:kern w:val="22"/>
          <w:szCs w:val="22"/>
        </w:rPr>
        <w:t xml:space="preserve"> La cinquième édition des </w:t>
      </w:r>
      <w:r>
        <w:rPr>
          <w:i/>
          <w:iCs/>
          <w:kern w:val="22"/>
          <w:szCs w:val="22"/>
        </w:rPr>
        <w:t>Perspectives mondiales de</w:t>
      </w:r>
      <w:r>
        <w:rPr>
          <w:kern w:val="22"/>
          <w:szCs w:val="22"/>
        </w:rPr>
        <w:t xml:space="preserve"> </w:t>
      </w:r>
      <w:r w:rsidRPr="00686044">
        <w:rPr>
          <w:i/>
          <w:kern w:val="22"/>
          <w:szCs w:val="22"/>
        </w:rPr>
        <w:t>la</w:t>
      </w:r>
      <w:r w:rsidRPr="00686044">
        <w:rPr>
          <w:i/>
          <w:iCs/>
          <w:kern w:val="22"/>
          <w:szCs w:val="22"/>
        </w:rPr>
        <w:t xml:space="preserve"> </w:t>
      </w:r>
      <w:r>
        <w:rPr>
          <w:i/>
          <w:iCs/>
          <w:kern w:val="22"/>
          <w:szCs w:val="22"/>
        </w:rPr>
        <w:t>diversité</w:t>
      </w:r>
      <w:r w:rsidR="00686044">
        <w:rPr>
          <w:i/>
          <w:iCs/>
          <w:kern w:val="22"/>
          <w:szCs w:val="22"/>
        </w:rPr>
        <w:t xml:space="preserve"> biologique</w:t>
      </w:r>
      <w:r>
        <w:rPr>
          <w:kern w:val="22"/>
          <w:szCs w:val="22"/>
        </w:rPr>
        <w:t xml:space="preserve"> a fourni une évaluation gl</w:t>
      </w:r>
      <w:r w:rsidR="00686044">
        <w:rPr>
          <w:kern w:val="22"/>
          <w:szCs w:val="22"/>
        </w:rPr>
        <w:t>obale des progrès accomplis dans la réalisation de l’Objectif 20 d’</w:t>
      </w:r>
      <w:r w:rsidR="00281026">
        <w:rPr>
          <w:kern w:val="22"/>
          <w:szCs w:val="22"/>
        </w:rPr>
        <w:t>Aichi pour la biodiversité et des objectifs connexe</w:t>
      </w:r>
      <w:r>
        <w:rPr>
          <w:kern w:val="22"/>
          <w:szCs w:val="22"/>
        </w:rPr>
        <w:t>s, sur la base de ces informations ainsi que d</w:t>
      </w:r>
      <w:r w:rsidR="00686044">
        <w:rPr>
          <w:kern w:val="22"/>
          <w:szCs w:val="22"/>
        </w:rPr>
        <w:t>’</w:t>
      </w:r>
      <w:r>
        <w:rPr>
          <w:kern w:val="22"/>
          <w:szCs w:val="22"/>
        </w:rPr>
        <w:t xml:space="preserve">autres sources. </w:t>
      </w:r>
    </w:p>
    <w:p w:rsidR="00AC7EA1" w:rsidRDefault="00324D7C">
      <w:pPr>
        <w:pStyle w:val="Para1"/>
        <w:numPr>
          <w:ilvl w:val="0"/>
          <w:numId w:val="25"/>
        </w:numPr>
        <w:tabs>
          <w:tab w:val="clear" w:pos="360"/>
        </w:tabs>
        <w:kinsoku w:val="0"/>
        <w:overflowPunct w:val="0"/>
        <w:autoSpaceDE w:val="0"/>
        <w:autoSpaceDN w:val="0"/>
        <w:snapToGrid w:val="0"/>
        <w:rPr>
          <w:szCs w:val="22"/>
        </w:rPr>
      </w:pPr>
      <w:r>
        <w:t>Des</w:t>
      </w:r>
      <w:r w:rsidR="00281026">
        <w:t xml:space="preserve"> informations actualisées provenant du</w:t>
      </w:r>
      <w:r>
        <w:t xml:space="preserve"> </w:t>
      </w:r>
      <w:r w:rsidR="00686044">
        <w:t xml:space="preserve">cadre de présentation </w:t>
      </w:r>
      <w:r>
        <w:t>des rapports financiers ont été incluses dans le premier rapport du Groupe d</w:t>
      </w:r>
      <w:r w:rsidR="00686044">
        <w:t>’</w:t>
      </w:r>
      <w:r>
        <w:t>experts sur la mobilisation des ressources à l</w:t>
      </w:r>
      <w:r w:rsidR="00686044">
        <w:t>’</w:t>
      </w:r>
      <w:r>
        <w:t xml:space="preserve">Organe </w:t>
      </w:r>
      <w:r w:rsidR="00686044">
        <w:t>subsidiaire chargé de l’application</w:t>
      </w:r>
      <w:r>
        <w:t xml:space="preserve"> à sa troisième réunion (CBD/SBI/3/5/Add.1).</w:t>
      </w:r>
      <w:r>
        <w:rPr>
          <w:kern w:val="22"/>
          <w:szCs w:val="22"/>
        </w:rPr>
        <w:t xml:space="preserve"> À la première partie de sa troisième réunion, tenue du 16 mai au 13 juin 2021, l</w:t>
      </w:r>
      <w:r w:rsidR="00686044">
        <w:rPr>
          <w:kern w:val="22"/>
          <w:szCs w:val="22"/>
        </w:rPr>
        <w:t>’</w:t>
      </w:r>
      <w:r>
        <w:rPr>
          <w:kern w:val="22"/>
          <w:szCs w:val="22"/>
        </w:rPr>
        <w:t>Organe subsidiaire a examiné les rapports du Groupe d</w:t>
      </w:r>
      <w:r w:rsidR="00686044">
        <w:rPr>
          <w:kern w:val="22"/>
          <w:szCs w:val="22"/>
        </w:rPr>
        <w:t>’</w:t>
      </w:r>
      <w:r>
        <w:rPr>
          <w:kern w:val="22"/>
          <w:szCs w:val="22"/>
        </w:rPr>
        <w:t>experts et le projet de recommandation correspondant. Le p</w:t>
      </w:r>
      <w:r w:rsidR="00281026">
        <w:rPr>
          <w:kern w:val="22"/>
          <w:szCs w:val="22"/>
        </w:rPr>
        <w:t>résent document fournit</w:t>
      </w:r>
      <w:r>
        <w:rPr>
          <w:kern w:val="22"/>
          <w:szCs w:val="22"/>
        </w:rPr>
        <w:t xml:space="preserve"> une mise à jour finale,</w:t>
      </w:r>
      <w:r w:rsidR="00467EA9" w:rsidRPr="00E575AF">
        <w:rPr>
          <w:rStyle w:val="FootnoteReference"/>
          <w:kern w:val="22"/>
          <w:szCs w:val="22"/>
        </w:rPr>
        <w:footnoteReference w:id="3"/>
      </w:r>
      <w:r>
        <w:rPr>
          <w:kern w:val="22"/>
          <w:szCs w:val="22"/>
        </w:rPr>
        <w:t xml:space="preserve"> compte tenu des autres communications </w:t>
      </w:r>
      <w:r w:rsidR="00281026">
        <w:rPr>
          <w:kern w:val="22"/>
          <w:szCs w:val="22"/>
        </w:rPr>
        <w:t>transmises par l</w:t>
      </w:r>
      <w:r>
        <w:rPr>
          <w:kern w:val="22"/>
          <w:szCs w:val="22"/>
        </w:rPr>
        <w:t>es Parties.</w:t>
      </w:r>
      <w:r w:rsidR="00185E56" w:rsidRPr="00000DA0">
        <w:rPr>
          <w:rStyle w:val="FootnoteReference"/>
          <w:kern w:val="22"/>
          <w:szCs w:val="22"/>
        </w:rPr>
        <w:footnoteReference w:id="4"/>
      </w:r>
      <w:r>
        <w:rPr>
          <w:kern w:val="22"/>
          <w:szCs w:val="22"/>
        </w:rPr>
        <w:t xml:space="preserve"> </w:t>
      </w:r>
    </w:p>
    <w:p w:rsidR="00AC7EA1" w:rsidRDefault="00324D7C">
      <w:pPr>
        <w:pStyle w:val="Para1"/>
        <w:numPr>
          <w:ilvl w:val="0"/>
          <w:numId w:val="25"/>
        </w:numPr>
        <w:tabs>
          <w:tab w:val="clear" w:pos="360"/>
        </w:tabs>
        <w:kinsoku w:val="0"/>
        <w:overflowPunct w:val="0"/>
        <w:autoSpaceDE w:val="0"/>
        <w:autoSpaceDN w:val="0"/>
        <w:snapToGrid w:val="0"/>
        <w:rPr>
          <w:szCs w:val="22"/>
        </w:rPr>
      </w:pPr>
      <w:r>
        <w:rPr>
          <w:kern w:val="22"/>
          <w:szCs w:val="22"/>
        </w:rPr>
        <w:t>Le document CBD/SBI/3/5 sur la mobilisation des ressources et le projet de r</w:t>
      </w:r>
      <w:r w:rsidR="009E32BE">
        <w:rPr>
          <w:kern w:val="22"/>
          <w:szCs w:val="22"/>
        </w:rPr>
        <w:t xml:space="preserve">ecommandation qui y figure contiennent </w:t>
      </w:r>
      <w:r w:rsidR="00281026">
        <w:rPr>
          <w:kern w:val="22"/>
          <w:szCs w:val="22"/>
        </w:rPr>
        <w:t>plusie</w:t>
      </w:r>
      <w:r w:rsidR="009E32BE">
        <w:rPr>
          <w:kern w:val="22"/>
          <w:szCs w:val="22"/>
        </w:rPr>
        <w:t xml:space="preserve">urs recommandations concernant </w:t>
      </w:r>
      <w:r>
        <w:rPr>
          <w:kern w:val="22"/>
          <w:szCs w:val="22"/>
        </w:rPr>
        <w:t xml:space="preserve">un cadre </w:t>
      </w:r>
      <w:r w:rsidR="009E32BE">
        <w:rPr>
          <w:kern w:val="22"/>
          <w:szCs w:val="22"/>
        </w:rPr>
        <w:t xml:space="preserve">de présentation </w:t>
      </w:r>
      <w:r>
        <w:rPr>
          <w:kern w:val="22"/>
          <w:szCs w:val="22"/>
        </w:rPr>
        <w:t>des rapports financiers</w:t>
      </w:r>
      <w:r w:rsidR="009E32BE">
        <w:rPr>
          <w:kern w:val="22"/>
          <w:szCs w:val="22"/>
        </w:rPr>
        <w:t xml:space="preserve"> simplifié et plus efficace. Depuis la publication de ce document </w:t>
      </w:r>
      <w:r>
        <w:rPr>
          <w:kern w:val="22"/>
          <w:szCs w:val="22"/>
        </w:rPr>
        <w:t xml:space="preserve">en juin 2020, un projet de cadre de suivi pour le cadre </w:t>
      </w:r>
      <w:r w:rsidR="00686044">
        <w:rPr>
          <w:kern w:val="22"/>
          <w:szCs w:val="22"/>
        </w:rPr>
        <w:t>mondial de la bio</w:t>
      </w:r>
      <w:r>
        <w:rPr>
          <w:kern w:val="22"/>
          <w:szCs w:val="22"/>
        </w:rPr>
        <w:t xml:space="preserve">diversité </w:t>
      </w:r>
      <w:r w:rsidR="00686044">
        <w:rPr>
          <w:kern w:val="22"/>
          <w:szCs w:val="22"/>
        </w:rPr>
        <w:t>pour l’après-</w:t>
      </w:r>
      <w:r>
        <w:rPr>
          <w:kern w:val="22"/>
          <w:szCs w:val="22"/>
        </w:rPr>
        <w:t>2020 est en cours d</w:t>
      </w:r>
      <w:r w:rsidR="00686044">
        <w:rPr>
          <w:kern w:val="22"/>
          <w:szCs w:val="22"/>
        </w:rPr>
        <w:t>’</w:t>
      </w:r>
      <w:r>
        <w:rPr>
          <w:kern w:val="22"/>
          <w:szCs w:val="22"/>
        </w:rPr>
        <w:t xml:space="preserve">élaboration et, dans sa dernière </w:t>
      </w:r>
      <w:r w:rsidR="009E32BE">
        <w:rPr>
          <w:kern w:val="22"/>
          <w:szCs w:val="22"/>
        </w:rPr>
        <w:lastRenderedPageBreak/>
        <w:t>moutur</w:t>
      </w:r>
      <w:r>
        <w:rPr>
          <w:kern w:val="22"/>
          <w:szCs w:val="22"/>
        </w:rPr>
        <w:t xml:space="preserve">e, contient déjà </w:t>
      </w:r>
      <w:r w:rsidR="009E32BE">
        <w:rPr>
          <w:kern w:val="22"/>
          <w:szCs w:val="22"/>
        </w:rPr>
        <w:t xml:space="preserve">plusieurs propositions d’indicateurs phares et complémentaires </w:t>
      </w:r>
      <w:r>
        <w:rPr>
          <w:kern w:val="22"/>
          <w:szCs w:val="22"/>
        </w:rPr>
        <w:t>pour la mobilisation des ressources.</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 xml:space="preserve">À </w:t>
      </w:r>
      <w:r w:rsidR="009E32BE">
        <w:rPr>
          <w:kern w:val="22"/>
          <w:szCs w:val="22"/>
        </w:rPr>
        <w:t>la lumière de ces récents développements</w:t>
      </w:r>
      <w:r>
        <w:rPr>
          <w:kern w:val="22"/>
          <w:szCs w:val="22"/>
        </w:rPr>
        <w:t xml:space="preserve">, le présent rapport vise </w:t>
      </w:r>
      <w:r w:rsidR="009E32BE">
        <w:rPr>
          <w:kern w:val="22"/>
          <w:szCs w:val="22"/>
        </w:rPr>
        <w:t>à atteindre deux objectifs : a) </w:t>
      </w:r>
      <w:r>
        <w:rPr>
          <w:kern w:val="22"/>
          <w:szCs w:val="22"/>
        </w:rPr>
        <w:t xml:space="preserve">fournir des informations </w:t>
      </w:r>
      <w:r w:rsidR="00867A07">
        <w:rPr>
          <w:kern w:val="22"/>
          <w:szCs w:val="22"/>
        </w:rPr>
        <w:t xml:space="preserve">agrégées et </w:t>
      </w:r>
      <w:r>
        <w:rPr>
          <w:kern w:val="22"/>
          <w:szCs w:val="22"/>
        </w:rPr>
        <w:t>succi</w:t>
      </w:r>
      <w:r w:rsidR="00867A07">
        <w:rPr>
          <w:kern w:val="22"/>
          <w:szCs w:val="22"/>
        </w:rPr>
        <w:t>nctes</w:t>
      </w:r>
      <w:r>
        <w:rPr>
          <w:kern w:val="22"/>
          <w:szCs w:val="22"/>
        </w:rPr>
        <w:t xml:space="preserve"> permettant d</w:t>
      </w:r>
      <w:r w:rsidR="00686044">
        <w:rPr>
          <w:kern w:val="22"/>
          <w:szCs w:val="22"/>
        </w:rPr>
        <w:t>’</w:t>
      </w:r>
      <w:r>
        <w:rPr>
          <w:kern w:val="22"/>
          <w:szCs w:val="22"/>
        </w:rPr>
        <w:t>évaluer si et/ou dans quelle mesure les objectifs de mobilisation des ressources adoptés par la Conférence des Parties à sa do</w:t>
      </w:r>
      <w:r w:rsidR="009E32BE">
        <w:rPr>
          <w:kern w:val="22"/>
          <w:szCs w:val="22"/>
        </w:rPr>
        <w:t xml:space="preserve">uzième réunion ont été atteints; </w:t>
      </w:r>
      <w:r>
        <w:rPr>
          <w:kern w:val="22"/>
          <w:szCs w:val="22"/>
        </w:rPr>
        <w:t>b) en s</w:t>
      </w:r>
      <w:r w:rsidR="00686044">
        <w:rPr>
          <w:kern w:val="22"/>
          <w:szCs w:val="22"/>
        </w:rPr>
        <w:t>’</w:t>
      </w:r>
      <w:r>
        <w:rPr>
          <w:kern w:val="22"/>
          <w:szCs w:val="22"/>
        </w:rPr>
        <w:t>appuyant sur les informations méthodologiques fournies et l</w:t>
      </w:r>
      <w:r w:rsidR="009E32BE">
        <w:rPr>
          <w:kern w:val="22"/>
          <w:szCs w:val="22"/>
        </w:rPr>
        <w:t>’expérience concrète</w:t>
      </w:r>
      <w:r>
        <w:rPr>
          <w:kern w:val="22"/>
          <w:szCs w:val="22"/>
        </w:rPr>
        <w:t xml:space="preserve"> acquise depuis la douzième réunion de la Conférence des Parties en matière d</w:t>
      </w:r>
      <w:r w:rsidR="00686044">
        <w:rPr>
          <w:kern w:val="22"/>
          <w:szCs w:val="22"/>
        </w:rPr>
        <w:t>’</w:t>
      </w:r>
      <w:r>
        <w:rPr>
          <w:kern w:val="22"/>
          <w:szCs w:val="22"/>
        </w:rPr>
        <w:t>établissement de</w:t>
      </w:r>
      <w:r w:rsidR="009E32BE">
        <w:rPr>
          <w:kern w:val="22"/>
          <w:szCs w:val="22"/>
        </w:rPr>
        <w:t>s</w:t>
      </w:r>
      <w:r>
        <w:rPr>
          <w:kern w:val="22"/>
          <w:szCs w:val="22"/>
        </w:rPr>
        <w:t xml:space="preserve"> rapports financiers, recenser un certain nombre d</w:t>
      </w:r>
      <w:r w:rsidR="00686044">
        <w:rPr>
          <w:kern w:val="22"/>
          <w:szCs w:val="22"/>
        </w:rPr>
        <w:t>’</w:t>
      </w:r>
      <w:r>
        <w:rPr>
          <w:kern w:val="22"/>
          <w:szCs w:val="22"/>
        </w:rPr>
        <w:t>enseign</w:t>
      </w:r>
      <w:r w:rsidR="008E206C">
        <w:rPr>
          <w:kern w:val="22"/>
          <w:szCs w:val="22"/>
        </w:rPr>
        <w:t>ements qui pourraient éclairer d</w:t>
      </w:r>
      <w:r>
        <w:rPr>
          <w:kern w:val="22"/>
          <w:szCs w:val="22"/>
        </w:rPr>
        <w:t>es options pour un suivi plus simple et plus ef</w:t>
      </w:r>
      <w:r w:rsidR="008E206C">
        <w:rPr>
          <w:kern w:val="22"/>
          <w:szCs w:val="22"/>
        </w:rPr>
        <w:t xml:space="preserve">ficace au regard de </w:t>
      </w:r>
      <w:r>
        <w:rPr>
          <w:kern w:val="22"/>
          <w:szCs w:val="22"/>
        </w:rPr>
        <w:t xml:space="preserve">tout </w:t>
      </w:r>
      <w:r w:rsidR="009E32BE">
        <w:rPr>
          <w:kern w:val="22"/>
          <w:szCs w:val="22"/>
        </w:rPr>
        <w:t xml:space="preserve">futur objectif </w:t>
      </w:r>
      <w:r>
        <w:rPr>
          <w:kern w:val="22"/>
          <w:szCs w:val="22"/>
        </w:rPr>
        <w:t xml:space="preserve">de mobilisation des ressources. </w:t>
      </w:r>
    </w:p>
    <w:p w:rsidR="00AC7EA1" w:rsidRDefault="00324D7C" w:rsidP="0019107F">
      <w:pPr>
        <w:pStyle w:val="Heading1multiline"/>
        <w:tabs>
          <w:tab w:val="clear" w:pos="720"/>
          <w:tab w:val="left" w:pos="851"/>
        </w:tabs>
        <w:spacing w:before="120"/>
        <w:ind w:left="851" w:right="994"/>
      </w:pPr>
      <w:r>
        <w:t>I</w:t>
      </w:r>
      <w:r w:rsidR="008E206C">
        <w:t>I.</w:t>
      </w:r>
      <w:r w:rsidR="008E206C">
        <w:tab/>
        <w:t>vue d’</w:t>
      </w:r>
      <w:r w:rsidR="001138A8">
        <w:t>ensemble des informations communique</w:t>
      </w:r>
      <w:r w:rsidR="008E206C">
        <w:t>es dans le cadre de presentation des rapports financiers</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Au 5 septembre 2022, 97 Parties avaient communiqué des informations par l</w:t>
      </w:r>
      <w:r w:rsidR="00686044">
        <w:rPr>
          <w:kern w:val="22"/>
          <w:szCs w:val="22"/>
        </w:rPr>
        <w:t>’</w:t>
      </w:r>
      <w:r>
        <w:rPr>
          <w:kern w:val="22"/>
          <w:szCs w:val="22"/>
        </w:rPr>
        <w:t xml:space="preserve">intermédiaire du </w:t>
      </w:r>
      <w:r w:rsidR="00686044">
        <w:rPr>
          <w:kern w:val="22"/>
          <w:szCs w:val="22"/>
        </w:rPr>
        <w:t>cadre de présentation des</w:t>
      </w:r>
      <w:r>
        <w:rPr>
          <w:kern w:val="22"/>
          <w:szCs w:val="22"/>
        </w:rPr>
        <w:t xml:space="preserve"> rapports financiers</w:t>
      </w:r>
      <w:r w:rsidR="00686044">
        <w:rPr>
          <w:kern w:val="22"/>
          <w:szCs w:val="22"/>
        </w:rPr>
        <w:t>,</w:t>
      </w:r>
      <w:r w:rsidR="008E206C">
        <w:rPr>
          <w:kern w:val="22"/>
          <w:szCs w:val="22"/>
        </w:rPr>
        <w:t xml:space="preserve"> afin de fournir</w:t>
      </w:r>
      <w:r>
        <w:rPr>
          <w:kern w:val="22"/>
          <w:szCs w:val="22"/>
        </w:rPr>
        <w:t xml:space="preserve"> des d</w:t>
      </w:r>
      <w:r w:rsidR="008E206C">
        <w:rPr>
          <w:kern w:val="22"/>
          <w:szCs w:val="22"/>
        </w:rPr>
        <w:t>onnées de référence et l</w:t>
      </w:r>
      <w:r>
        <w:rPr>
          <w:kern w:val="22"/>
          <w:szCs w:val="22"/>
        </w:rPr>
        <w:t>es progrès initiaux</w:t>
      </w:r>
      <w:r w:rsidR="008E206C">
        <w:rPr>
          <w:kern w:val="22"/>
          <w:szCs w:val="22"/>
        </w:rPr>
        <w:t xml:space="preserve"> accomplis</w:t>
      </w:r>
      <w:r>
        <w:rPr>
          <w:kern w:val="22"/>
          <w:szCs w:val="22"/>
        </w:rPr>
        <w:t xml:space="preserve"> jusqu</w:t>
      </w:r>
      <w:r w:rsidR="00686044">
        <w:rPr>
          <w:kern w:val="22"/>
          <w:szCs w:val="22"/>
        </w:rPr>
        <w:t>’</w:t>
      </w:r>
      <w:r>
        <w:rPr>
          <w:kern w:val="22"/>
          <w:szCs w:val="22"/>
        </w:rPr>
        <w:t>en 2015, tandis que 51 Parties parmi celles-ci avaient également fourni des informations sur les progrès accomplis jusqu</w:t>
      </w:r>
      <w:r w:rsidR="00686044">
        <w:rPr>
          <w:kern w:val="22"/>
          <w:szCs w:val="22"/>
        </w:rPr>
        <w:t>’</w:t>
      </w:r>
      <w:r>
        <w:rPr>
          <w:kern w:val="22"/>
          <w:szCs w:val="22"/>
        </w:rPr>
        <w:t xml:space="preserve">en 2020. La liste </w:t>
      </w:r>
      <w:r w:rsidR="008E206C">
        <w:rPr>
          <w:kern w:val="22"/>
          <w:szCs w:val="22"/>
        </w:rPr>
        <w:t>récapitulative des Parties aya</w:t>
      </w:r>
      <w:r>
        <w:rPr>
          <w:kern w:val="22"/>
          <w:szCs w:val="22"/>
        </w:rPr>
        <w:t>nt communiqué des info</w:t>
      </w:r>
      <w:r w:rsidR="008E206C">
        <w:rPr>
          <w:kern w:val="22"/>
          <w:szCs w:val="22"/>
        </w:rPr>
        <w:t xml:space="preserve">rmations par le biais du </w:t>
      </w:r>
      <w:r w:rsidR="00686044">
        <w:rPr>
          <w:kern w:val="22"/>
          <w:szCs w:val="22"/>
        </w:rPr>
        <w:t>cadre de présentation</w:t>
      </w:r>
      <w:r>
        <w:rPr>
          <w:kern w:val="22"/>
          <w:szCs w:val="22"/>
        </w:rPr>
        <w:t xml:space="preserve"> de</w:t>
      </w:r>
      <w:r w:rsidR="00686044">
        <w:rPr>
          <w:kern w:val="22"/>
          <w:szCs w:val="22"/>
        </w:rPr>
        <w:t>s</w:t>
      </w:r>
      <w:r>
        <w:rPr>
          <w:kern w:val="22"/>
          <w:szCs w:val="22"/>
        </w:rPr>
        <w:t xml:space="preserve"> rapports</w:t>
      </w:r>
      <w:r w:rsidR="008E206C">
        <w:rPr>
          <w:kern w:val="22"/>
          <w:szCs w:val="22"/>
        </w:rPr>
        <w:t xml:space="preserve"> financiers peut être consultée dans l’analyse</w:t>
      </w:r>
      <w:r w:rsidR="007A0DCF">
        <w:rPr>
          <w:kern w:val="22"/>
          <w:szCs w:val="22"/>
        </w:rPr>
        <w:t>ur</w:t>
      </w:r>
      <w:r w:rsidR="008E206C">
        <w:rPr>
          <w:kern w:val="22"/>
          <w:szCs w:val="22"/>
        </w:rPr>
        <w:t xml:space="preserve"> en ligne </w:t>
      </w:r>
      <w:r>
        <w:rPr>
          <w:kern w:val="22"/>
          <w:szCs w:val="22"/>
        </w:rPr>
        <w:t xml:space="preserve">du </w:t>
      </w:r>
      <w:r w:rsidR="00686044">
        <w:rPr>
          <w:kern w:val="22"/>
          <w:szCs w:val="22"/>
        </w:rPr>
        <w:t>cadre de présentation des rapports financiers</w:t>
      </w:r>
      <w:r>
        <w:rPr>
          <w:kern w:val="22"/>
          <w:szCs w:val="22"/>
        </w:rPr>
        <w:t>.</w:t>
      </w:r>
      <w:r w:rsidR="007C2167" w:rsidRPr="0082741A">
        <w:rPr>
          <w:rStyle w:val="FootnoteReference"/>
          <w:kern w:val="22"/>
          <w:szCs w:val="22"/>
        </w:rPr>
        <w:footnoteReference w:id="5"/>
      </w:r>
    </w:p>
    <w:p w:rsidR="00AC7EA1" w:rsidRDefault="007A0DCF">
      <w:pPr>
        <w:pStyle w:val="Para1"/>
        <w:numPr>
          <w:ilvl w:val="0"/>
          <w:numId w:val="25"/>
        </w:numPr>
        <w:tabs>
          <w:tab w:val="clear" w:pos="360"/>
        </w:tabs>
        <w:kinsoku w:val="0"/>
        <w:overflowPunct w:val="0"/>
        <w:autoSpaceDE w:val="0"/>
        <w:autoSpaceDN w:val="0"/>
        <w:snapToGrid w:val="0"/>
        <w:rPr>
          <w:kern w:val="22"/>
          <w:szCs w:val="22"/>
        </w:rPr>
      </w:pPr>
      <w:r>
        <w:rPr>
          <w:kern w:val="22"/>
          <w:szCs w:val="22"/>
        </w:rPr>
        <w:t>À cette</w:t>
      </w:r>
      <w:r w:rsidR="00324D7C">
        <w:rPr>
          <w:kern w:val="22"/>
          <w:szCs w:val="22"/>
        </w:rPr>
        <w:t xml:space="preserve"> même date, 192 Parties avaient présenté leur cinquième rapport national et 189 Parties avaient présenté leur sixième rapport na</w:t>
      </w:r>
      <w:r w:rsidR="00931260">
        <w:rPr>
          <w:kern w:val="22"/>
          <w:szCs w:val="22"/>
        </w:rPr>
        <w:t>tional. Les écarts dans l’</w:t>
      </w:r>
      <w:r w:rsidR="00324D7C">
        <w:rPr>
          <w:kern w:val="22"/>
          <w:szCs w:val="22"/>
        </w:rPr>
        <w:t>établissement de</w:t>
      </w:r>
      <w:r>
        <w:rPr>
          <w:kern w:val="22"/>
          <w:szCs w:val="22"/>
        </w:rPr>
        <w:t>s rapports financiers o</w:t>
      </w:r>
      <w:r w:rsidR="00931260">
        <w:rPr>
          <w:kern w:val="22"/>
          <w:szCs w:val="22"/>
        </w:rPr>
        <w:t>nt été notés et examiné</w:t>
      </w:r>
      <w:r w:rsidR="00324D7C">
        <w:rPr>
          <w:kern w:val="22"/>
          <w:szCs w:val="22"/>
        </w:rPr>
        <w:t xml:space="preserve">s </w:t>
      </w:r>
      <w:r>
        <w:rPr>
          <w:kern w:val="22"/>
          <w:szCs w:val="22"/>
        </w:rPr>
        <w:t>dans des rapports de synthèse antérieurs; ces rapports ont</w:t>
      </w:r>
      <w:r w:rsidR="00324D7C">
        <w:rPr>
          <w:kern w:val="22"/>
          <w:szCs w:val="22"/>
        </w:rPr>
        <w:t xml:space="preserve"> principalement mis en évidence les difficultés techniques et les difficultés liées à la mise en </w:t>
      </w:r>
      <w:r w:rsidR="00686044">
        <w:rPr>
          <w:kern w:val="22"/>
          <w:szCs w:val="22"/>
        </w:rPr>
        <w:t>œuvre</w:t>
      </w:r>
      <w:r w:rsidR="00324D7C">
        <w:rPr>
          <w:kern w:val="22"/>
          <w:szCs w:val="22"/>
        </w:rPr>
        <w:t xml:space="preserve"> </w:t>
      </w:r>
      <w:r>
        <w:rPr>
          <w:kern w:val="22"/>
          <w:szCs w:val="22"/>
        </w:rPr>
        <w:t>de certains objectifs</w:t>
      </w:r>
      <w:r w:rsidR="00324D7C">
        <w:rPr>
          <w:kern w:val="22"/>
          <w:szCs w:val="22"/>
        </w:rPr>
        <w:t xml:space="preserve"> de mobilisation des ressources.</w:t>
      </w:r>
      <w:r w:rsidR="001F71ED" w:rsidRPr="00077D46">
        <w:rPr>
          <w:rStyle w:val="FootnoteReference"/>
          <w:kern w:val="22"/>
          <w:szCs w:val="22"/>
        </w:rPr>
        <w:footnoteReference w:id="6"/>
      </w:r>
    </w:p>
    <w:p w:rsidR="00AC7EA1" w:rsidRDefault="00324D7C">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Pr>
          <w:snapToGrid w:val="0"/>
          <w:kern w:val="22"/>
          <w:szCs w:val="22"/>
        </w:rPr>
        <w:t>III.</w:t>
      </w:r>
      <w:r>
        <w:rPr>
          <w:snapToGrid w:val="0"/>
          <w:kern w:val="22"/>
          <w:szCs w:val="22"/>
        </w:rPr>
        <w:tab/>
        <w:t>Flux internationaux de ressources financières</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L</w:t>
      </w:r>
      <w:r w:rsidR="00686044">
        <w:rPr>
          <w:kern w:val="22"/>
          <w:szCs w:val="22"/>
        </w:rPr>
        <w:t>’</w:t>
      </w:r>
      <w:r>
        <w:rPr>
          <w:kern w:val="22"/>
          <w:szCs w:val="22"/>
        </w:rPr>
        <w:t>objectif adopté à l</w:t>
      </w:r>
      <w:r w:rsidR="00686044">
        <w:rPr>
          <w:kern w:val="22"/>
          <w:szCs w:val="22"/>
        </w:rPr>
        <w:t>’</w:t>
      </w:r>
      <w:r>
        <w:rPr>
          <w:kern w:val="22"/>
          <w:szCs w:val="22"/>
        </w:rPr>
        <w:t>alinéa a) du paragraphe 1 de la décision XII/3 (ci-après dénommé «</w:t>
      </w:r>
      <w:r w:rsidR="007A0DCF">
        <w:rPr>
          <w:kern w:val="22"/>
          <w:szCs w:val="22"/>
        </w:rPr>
        <w:t> objectif </w:t>
      </w:r>
      <w:r>
        <w:rPr>
          <w:kern w:val="22"/>
          <w:szCs w:val="22"/>
        </w:rPr>
        <w:t>a)</w:t>
      </w:r>
      <w:r w:rsidR="007A0DCF">
        <w:rPr>
          <w:kern w:val="22"/>
          <w:szCs w:val="22"/>
        </w:rPr>
        <w:t> </w:t>
      </w:r>
      <w:r w:rsidR="00E57A89">
        <w:rPr>
          <w:kern w:val="22"/>
          <w:szCs w:val="22"/>
        </w:rPr>
        <w:t>») prévoit le doublement</w:t>
      </w:r>
      <w:r>
        <w:rPr>
          <w:kern w:val="22"/>
          <w:szCs w:val="22"/>
        </w:rPr>
        <w:t>, d</w:t>
      </w:r>
      <w:r w:rsidR="00686044">
        <w:rPr>
          <w:kern w:val="22"/>
          <w:szCs w:val="22"/>
        </w:rPr>
        <w:t>’</w:t>
      </w:r>
      <w:r w:rsidR="00E57A89">
        <w:rPr>
          <w:kern w:val="22"/>
          <w:szCs w:val="22"/>
        </w:rPr>
        <w:t>ici à 2015, du</w:t>
      </w:r>
      <w:r>
        <w:rPr>
          <w:kern w:val="22"/>
          <w:szCs w:val="22"/>
        </w:rPr>
        <w:t xml:space="preserve"> total des flux internationaux de res</w:t>
      </w:r>
      <w:r w:rsidR="00E57A89">
        <w:rPr>
          <w:kern w:val="22"/>
          <w:szCs w:val="22"/>
        </w:rPr>
        <w:t>sources financières pour</w:t>
      </w:r>
      <w:r>
        <w:rPr>
          <w:kern w:val="22"/>
          <w:szCs w:val="22"/>
        </w:rPr>
        <w:t xml:space="preserve"> la diversité biologique destinés aux pays en développement, en particulier les pays les moins avancés et les petits États insulaires en développement, ainsi qu</w:t>
      </w:r>
      <w:r w:rsidR="00686044">
        <w:rPr>
          <w:kern w:val="22"/>
          <w:szCs w:val="22"/>
        </w:rPr>
        <w:t>’</w:t>
      </w:r>
      <w:r>
        <w:rPr>
          <w:kern w:val="22"/>
          <w:szCs w:val="22"/>
        </w:rPr>
        <w:t xml:space="preserve">aux pays </w:t>
      </w:r>
      <w:r w:rsidR="007A0DCF">
        <w:rPr>
          <w:kern w:val="22"/>
          <w:szCs w:val="22"/>
        </w:rPr>
        <w:t xml:space="preserve">à économie </w:t>
      </w:r>
      <w:r>
        <w:rPr>
          <w:kern w:val="22"/>
          <w:szCs w:val="22"/>
        </w:rPr>
        <w:t xml:space="preserve">en transition, en utilisant comme </w:t>
      </w:r>
      <w:r w:rsidR="007A0DCF">
        <w:rPr>
          <w:kern w:val="22"/>
          <w:szCs w:val="22"/>
        </w:rPr>
        <w:t xml:space="preserve">base de </w:t>
      </w:r>
      <w:r>
        <w:rPr>
          <w:kern w:val="22"/>
          <w:szCs w:val="22"/>
        </w:rPr>
        <w:t>référenc</w:t>
      </w:r>
      <w:r w:rsidR="007A0DCF">
        <w:rPr>
          <w:kern w:val="22"/>
          <w:szCs w:val="22"/>
        </w:rPr>
        <w:t>e le financement annuel moyen de</w:t>
      </w:r>
      <w:r>
        <w:rPr>
          <w:kern w:val="22"/>
          <w:szCs w:val="22"/>
        </w:rPr>
        <w:t xml:space="preserve"> la diversité biologique pour la période 2006-2010, et de maintenir ce niveau au moins jusqu</w:t>
      </w:r>
      <w:r w:rsidR="00686044">
        <w:rPr>
          <w:kern w:val="22"/>
          <w:szCs w:val="22"/>
        </w:rPr>
        <w:t>’</w:t>
      </w:r>
      <w:r>
        <w:rPr>
          <w:kern w:val="22"/>
          <w:szCs w:val="22"/>
        </w:rPr>
        <w:t xml:space="preserve">en 2020. </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Au total, 32 Parties, dont 26 des 30 membres du Comité d</w:t>
      </w:r>
      <w:r w:rsidR="00686044">
        <w:rPr>
          <w:kern w:val="22"/>
          <w:szCs w:val="22"/>
        </w:rPr>
        <w:t>’</w:t>
      </w:r>
      <w:r>
        <w:rPr>
          <w:kern w:val="22"/>
          <w:szCs w:val="22"/>
        </w:rPr>
        <w:t>aide au développement (CAD) de l</w:t>
      </w:r>
      <w:r w:rsidR="00686044">
        <w:rPr>
          <w:kern w:val="22"/>
          <w:szCs w:val="22"/>
        </w:rPr>
        <w:t>’</w:t>
      </w:r>
      <w:r>
        <w:rPr>
          <w:kern w:val="22"/>
          <w:szCs w:val="22"/>
        </w:rPr>
        <w:t>Organisation de coopération et de développement économiques (OCDE), ont fourni des informations sur le montant de ces ressources. Trente Parties (25 membres du CAD et 5 non membres du CAD) ont communiqué des données de référence. P</w:t>
      </w:r>
      <w:r w:rsidR="00A61A9C">
        <w:rPr>
          <w:kern w:val="22"/>
          <w:szCs w:val="22"/>
        </w:rPr>
        <w:t>a</w:t>
      </w:r>
      <w:r>
        <w:rPr>
          <w:kern w:val="22"/>
          <w:szCs w:val="22"/>
        </w:rPr>
        <w:t>rmi les 25 membres du CAD figurent les 9 plus grands donateurs d</w:t>
      </w:r>
      <w:r w:rsidR="00686044">
        <w:rPr>
          <w:kern w:val="22"/>
          <w:szCs w:val="22"/>
        </w:rPr>
        <w:t>’</w:t>
      </w:r>
      <w:r>
        <w:rPr>
          <w:kern w:val="22"/>
          <w:szCs w:val="22"/>
        </w:rPr>
        <w:t>aide</w:t>
      </w:r>
      <w:r w:rsidR="00A61A9C">
        <w:rPr>
          <w:kern w:val="22"/>
          <w:szCs w:val="22"/>
        </w:rPr>
        <w:t xml:space="preserve"> </w:t>
      </w:r>
      <w:r>
        <w:rPr>
          <w:kern w:val="22"/>
          <w:szCs w:val="22"/>
        </w:rPr>
        <w:t>bilatérale liée à la biodiversité</w:t>
      </w:r>
      <w:r w:rsidR="00A61A9C" w:rsidRPr="000412F5">
        <w:rPr>
          <w:rStyle w:val="FootnoteReference"/>
          <w:kern w:val="22"/>
          <w:szCs w:val="22"/>
        </w:rPr>
        <w:footnoteReference w:id="7"/>
      </w:r>
      <w:r>
        <w:rPr>
          <w:kern w:val="22"/>
          <w:szCs w:val="22"/>
        </w:rPr>
        <w:t xml:space="preserve"> au cours des années de référence (à l</w:t>
      </w:r>
      <w:r w:rsidR="00686044">
        <w:rPr>
          <w:kern w:val="22"/>
          <w:szCs w:val="22"/>
        </w:rPr>
        <w:t>’</w:t>
      </w:r>
      <w:r>
        <w:rPr>
          <w:kern w:val="22"/>
          <w:szCs w:val="22"/>
        </w:rPr>
        <w:t>exception du deuxième plus grand donateur au cours de cette période, qui n</w:t>
      </w:r>
      <w:r w:rsidR="00686044">
        <w:rPr>
          <w:kern w:val="22"/>
          <w:szCs w:val="22"/>
        </w:rPr>
        <w:t>’</w:t>
      </w:r>
      <w:r w:rsidR="00A61A9C">
        <w:rPr>
          <w:kern w:val="22"/>
          <w:szCs w:val="22"/>
        </w:rPr>
        <w:t>est pas P</w:t>
      </w:r>
      <w:r>
        <w:rPr>
          <w:kern w:val="22"/>
          <w:szCs w:val="22"/>
        </w:rPr>
        <w:t>artie à la Convention). En raison de l</w:t>
      </w:r>
      <w:r w:rsidR="00686044">
        <w:rPr>
          <w:kern w:val="22"/>
          <w:szCs w:val="22"/>
        </w:rPr>
        <w:t>’</w:t>
      </w:r>
      <w:r w:rsidR="00A61A9C">
        <w:rPr>
          <w:kern w:val="22"/>
          <w:szCs w:val="22"/>
        </w:rPr>
        <w:t>absence de données ou d’un changement dans leur</w:t>
      </w:r>
      <w:r>
        <w:rPr>
          <w:kern w:val="22"/>
          <w:szCs w:val="22"/>
        </w:rPr>
        <w:t xml:space="preserve"> statut, plusieurs pays n</w:t>
      </w:r>
      <w:r w:rsidR="00686044">
        <w:rPr>
          <w:kern w:val="22"/>
          <w:szCs w:val="22"/>
        </w:rPr>
        <w:t>’</w:t>
      </w:r>
      <w:r>
        <w:rPr>
          <w:kern w:val="22"/>
          <w:szCs w:val="22"/>
        </w:rPr>
        <w:t>ont pas communiqué de données de référence mais ont fait état de</w:t>
      </w:r>
      <w:r w:rsidR="00A61A9C">
        <w:rPr>
          <w:kern w:val="22"/>
          <w:szCs w:val="22"/>
        </w:rPr>
        <w:t>s</w:t>
      </w:r>
      <w:r>
        <w:rPr>
          <w:kern w:val="22"/>
          <w:szCs w:val="22"/>
        </w:rPr>
        <w:t xml:space="preserve"> progrès</w:t>
      </w:r>
      <w:r w:rsidR="00A61A9C">
        <w:rPr>
          <w:kern w:val="22"/>
          <w:szCs w:val="22"/>
        </w:rPr>
        <w:t xml:space="preserve"> accomplis</w:t>
      </w:r>
      <w:r>
        <w:rPr>
          <w:kern w:val="22"/>
          <w:szCs w:val="22"/>
        </w:rPr>
        <w:t xml:space="preserve"> </w:t>
      </w:r>
      <w:r w:rsidR="00A61A9C">
        <w:rPr>
          <w:kern w:val="22"/>
          <w:szCs w:val="22"/>
        </w:rPr>
        <w:t>(Brésil, Bulgarie, Chili, Malte et</w:t>
      </w:r>
      <w:r>
        <w:rPr>
          <w:kern w:val="22"/>
          <w:szCs w:val="22"/>
        </w:rPr>
        <w:t xml:space="preserve"> Slovaquie).</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Afin de permettre l</w:t>
      </w:r>
      <w:r w:rsidR="00686044">
        <w:rPr>
          <w:kern w:val="22"/>
          <w:szCs w:val="22"/>
        </w:rPr>
        <w:t>’</w:t>
      </w:r>
      <w:r>
        <w:rPr>
          <w:kern w:val="22"/>
          <w:szCs w:val="22"/>
        </w:rPr>
        <w:t>agrégation des chiffres fournis, les questions pertinentes du cadre de présentation des rapports financiers et de</w:t>
      </w:r>
      <w:r w:rsidR="00A61A9C">
        <w:rPr>
          <w:kern w:val="22"/>
          <w:szCs w:val="22"/>
        </w:rPr>
        <w:t>s tableaux correspondants concern</w:t>
      </w:r>
      <w:r>
        <w:rPr>
          <w:kern w:val="22"/>
          <w:szCs w:val="22"/>
        </w:rPr>
        <w:t>ent</w:t>
      </w:r>
      <w:r w:rsidR="00A61A9C">
        <w:rPr>
          <w:kern w:val="22"/>
          <w:szCs w:val="22"/>
        </w:rPr>
        <w:t xml:space="preserve"> uniquement </w:t>
      </w:r>
      <w:r>
        <w:rPr>
          <w:kern w:val="22"/>
          <w:szCs w:val="22"/>
        </w:rPr>
        <w:t xml:space="preserve">les pays qui </w:t>
      </w:r>
      <w:r w:rsidR="00A61A9C">
        <w:rPr>
          <w:i/>
          <w:iCs/>
          <w:kern w:val="22"/>
          <w:szCs w:val="22"/>
        </w:rPr>
        <w:t>fournissent</w:t>
      </w:r>
      <w:r>
        <w:rPr>
          <w:i/>
          <w:iCs/>
          <w:kern w:val="22"/>
          <w:szCs w:val="22"/>
        </w:rPr>
        <w:t xml:space="preserve"> </w:t>
      </w:r>
      <w:r w:rsidRPr="00A61A9C">
        <w:rPr>
          <w:iCs/>
          <w:kern w:val="22"/>
          <w:szCs w:val="22"/>
        </w:rPr>
        <w:t>des</w:t>
      </w:r>
      <w:r w:rsidRPr="00A61A9C">
        <w:rPr>
          <w:kern w:val="22"/>
          <w:szCs w:val="22"/>
        </w:rPr>
        <w:t xml:space="preserve"> </w:t>
      </w:r>
      <w:r>
        <w:rPr>
          <w:kern w:val="22"/>
          <w:szCs w:val="22"/>
        </w:rPr>
        <w:t>ressources financières à l</w:t>
      </w:r>
      <w:r w:rsidR="00686044">
        <w:rPr>
          <w:kern w:val="22"/>
          <w:szCs w:val="22"/>
        </w:rPr>
        <w:t>’</w:t>
      </w:r>
      <w:r>
        <w:rPr>
          <w:kern w:val="22"/>
          <w:szCs w:val="22"/>
        </w:rPr>
        <w:t xml:space="preserve">appui de la biodiversité dans les pays en développement, en particulier les pays les moins avancés et les petits États insulaires en développement, ainsi que les pays </w:t>
      </w:r>
      <w:r w:rsidR="00A61A9C">
        <w:rPr>
          <w:kern w:val="22"/>
          <w:szCs w:val="22"/>
        </w:rPr>
        <w:t xml:space="preserve">à économie </w:t>
      </w:r>
      <w:r>
        <w:rPr>
          <w:kern w:val="22"/>
          <w:szCs w:val="22"/>
        </w:rPr>
        <w:t>en transition. Toutefois, étant donné que le res</w:t>
      </w:r>
      <w:r w:rsidR="00A61A9C">
        <w:rPr>
          <w:kern w:val="22"/>
          <w:szCs w:val="22"/>
        </w:rPr>
        <w:t>te du cadre de présentation des rapports financiers concerne</w:t>
      </w:r>
      <w:r>
        <w:rPr>
          <w:kern w:val="22"/>
          <w:szCs w:val="22"/>
        </w:rPr>
        <w:t xml:space="preserve"> tous les pays, cette différence a donné lieu à de fréquents malentendus</w:t>
      </w:r>
      <w:r w:rsidR="00A61A9C">
        <w:rPr>
          <w:kern w:val="22"/>
          <w:szCs w:val="22"/>
        </w:rPr>
        <w:t>,</w:t>
      </w:r>
      <w:r>
        <w:rPr>
          <w:kern w:val="22"/>
          <w:szCs w:val="22"/>
        </w:rPr>
        <w:t xml:space="preserve"> en ce sens que certains pays ont plutôt indiqué les </w:t>
      </w:r>
      <w:r>
        <w:rPr>
          <w:kern w:val="22"/>
          <w:szCs w:val="22"/>
        </w:rPr>
        <w:lastRenderedPageBreak/>
        <w:t>ressources</w:t>
      </w:r>
      <w:r w:rsidR="00A61A9C">
        <w:rPr>
          <w:kern w:val="22"/>
          <w:szCs w:val="22"/>
        </w:rPr>
        <w:t xml:space="preserve"> qu’ils ont</w:t>
      </w:r>
      <w:r>
        <w:rPr>
          <w:kern w:val="22"/>
          <w:szCs w:val="22"/>
        </w:rPr>
        <w:t xml:space="preserve"> </w:t>
      </w:r>
      <w:r>
        <w:rPr>
          <w:i/>
          <w:iCs/>
          <w:kern w:val="22"/>
          <w:szCs w:val="22"/>
        </w:rPr>
        <w:t>reçues</w:t>
      </w:r>
      <w:r w:rsidR="00A61A9C">
        <w:rPr>
          <w:kern w:val="22"/>
          <w:szCs w:val="22"/>
        </w:rPr>
        <w:t xml:space="preserve"> dans les tableaux concerné</w:t>
      </w:r>
      <w:r>
        <w:rPr>
          <w:kern w:val="22"/>
          <w:szCs w:val="22"/>
        </w:rPr>
        <w:t>s</w:t>
      </w:r>
      <w:r w:rsidR="00A61A9C">
        <w:rPr>
          <w:kern w:val="22"/>
          <w:szCs w:val="22"/>
        </w:rPr>
        <w:t xml:space="preserve">, et </w:t>
      </w:r>
      <w:r>
        <w:rPr>
          <w:kern w:val="22"/>
          <w:szCs w:val="22"/>
        </w:rPr>
        <w:t>il a fallu beaucoup de temps et d</w:t>
      </w:r>
      <w:r w:rsidR="00686044">
        <w:rPr>
          <w:kern w:val="22"/>
          <w:szCs w:val="22"/>
        </w:rPr>
        <w:t>’</w:t>
      </w:r>
      <w:r>
        <w:rPr>
          <w:kern w:val="22"/>
          <w:szCs w:val="22"/>
        </w:rPr>
        <w:t>efforts pour détecter, vérifier et, dans la mesure du possible, rectifier cette situation.</w:t>
      </w:r>
    </w:p>
    <w:p w:rsidR="00AC7EA1" w:rsidRPr="00DE607B"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Le tableau 1 ci-dessous fournit des informations globales sur les progrès accomplis</w:t>
      </w:r>
      <w:r w:rsidR="00A61A9C">
        <w:rPr>
          <w:kern w:val="22"/>
          <w:szCs w:val="22"/>
        </w:rPr>
        <w:t xml:space="preserve"> au niveau mondial au regard de</w:t>
      </w:r>
      <w:r>
        <w:rPr>
          <w:kern w:val="22"/>
          <w:szCs w:val="22"/>
        </w:rPr>
        <w:t xml:space="preserve"> l</w:t>
      </w:r>
      <w:r w:rsidR="00686044">
        <w:rPr>
          <w:kern w:val="22"/>
          <w:szCs w:val="22"/>
        </w:rPr>
        <w:t>’</w:t>
      </w:r>
      <w:r>
        <w:rPr>
          <w:kern w:val="22"/>
          <w:szCs w:val="22"/>
        </w:rPr>
        <w:t>objectif a) de la décision XII/3 (doubler les flux financ</w:t>
      </w:r>
      <w:r w:rsidR="00E57A89">
        <w:rPr>
          <w:kern w:val="22"/>
          <w:szCs w:val="22"/>
        </w:rPr>
        <w:t>iers internationaux alloués à</w:t>
      </w:r>
      <w:r>
        <w:rPr>
          <w:kern w:val="22"/>
          <w:szCs w:val="22"/>
        </w:rPr>
        <w:t xml:space="preserve"> la biodiversité d</w:t>
      </w:r>
      <w:r w:rsidR="00686044">
        <w:rPr>
          <w:kern w:val="22"/>
          <w:szCs w:val="22"/>
        </w:rPr>
        <w:t>’</w:t>
      </w:r>
      <w:r>
        <w:rPr>
          <w:kern w:val="22"/>
          <w:szCs w:val="22"/>
        </w:rPr>
        <w:t>ici à 2015 et au moins maintenir ce niveau jusqu</w:t>
      </w:r>
      <w:r w:rsidR="00686044">
        <w:rPr>
          <w:kern w:val="22"/>
          <w:szCs w:val="22"/>
        </w:rPr>
        <w:t>’</w:t>
      </w:r>
      <w:r>
        <w:rPr>
          <w:kern w:val="22"/>
          <w:szCs w:val="22"/>
        </w:rPr>
        <w:t>en 2020). Le tableau figurant à l</w:t>
      </w:r>
      <w:r w:rsidR="00686044">
        <w:rPr>
          <w:kern w:val="22"/>
          <w:szCs w:val="22"/>
        </w:rPr>
        <w:t>’</w:t>
      </w:r>
      <w:r w:rsidR="00A61A9C">
        <w:rPr>
          <w:kern w:val="22"/>
          <w:szCs w:val="22"/>
        </w:rPr>
        <w:t>annexe </w:t>
      </w:r>
      <w:r>
        <w:rPr>
          <w:kern w:val="22"/>
          <w:szCs w:val="22"/>
        </w:rPr>
        <w:t>II donne des informations par pays. Les quotients sont calculés sur la base des données de référence des Parties qui ont fourni de</w:t>
      </w:r>
      <w:r w:rsidR="00A61A9C">
        <w:rPr>
          <w:kern w:val="22"/>
          <w:szCs w:val="22"/>
        </w:rPr>
        <w:t>s données pour une année donnée;</w:t>
      </w:r>
      <w:r w:rsidR="00B92D15">
        <w:rPr>
          <w:kern w:val="22"/>
          <w:szCs w:val="22"/>
        </w:rPr>
        <w:t xml:space="preserve"> en conséquence, le tableau inclut uniquement</w:t>
      </w:r>
      <w:r>
        <w:rPr>
          <w:kern w:val="22"/>
          <w:szCs w:val="22"/>
        </w:rPr>
        <w:t xml:space="preserve"> </w:t>
      </w:r>
      <w:r w:rsidR="00B92D15">
        <w:rPr>
          <w:kern w:val="22"/>
          <w:szCs w:val="22"/>
        </w:rPr>
        <w:t>l</w:t>
      </w:r>
      <w:r w:rsidR="00A61A9C">
        <w:rPr>
          <w:kern w:val="22"/>
          <w:szCs w:val="22"/>
        </w:rPr>
        <w:t>e</w:t>
      </w:r>
      <w:r w:rsidR="00B92D15">
        <w:rPr>
          <w:kern w:val="22"/>
          <w:szCs w:val="22"/>
        </w:rPr>
        <w:t>s informations provenant de Parties qui ont fourni des</w:t>
      </w:r>
      <w:r>
        <w:rPr>
          <w:kern w:val="22"/>
          <w:szCs w:val="22"/>
        </w:rPr>
        <w:t xml:space="preserve"> donné</w:t>
      </w:r>
      <w:r w:rsidR="00A61A9C">
        <w:rPr>
          <w:kern w:val="22"/>
          <w:szCs w:val="22"/>
        </w:rPr>
        <w:t>es de référence</w:t>
      </w:r>
      <w:r w:rsidR="00B92D15">
        <w:rPr>
          <w:kern w:val="22"/>
          <w:szCs w:val="22"/>
        </w:rPr>
        <w:t>. O</w:t>
      </w:r>
      <w:r w:rsidR="003D6A7A">
        <w:rPr>
          <w:kern w:val="22"/>
          <w:szCs w:val="22"/>
        </w:rPr>
        <w:t>n observe des lacunes</w:t>
      </w:r>
      <w:r w:rsidR="00B92D15">
        <w:rPr>
          <w:kern w:val="22"/>
          <w:szCs w:val="22"/>
        </w:rPr>
        <w:t xml:space="preserve"> croissant</w:t>
      </w:r>
      <w:r w:rsidR="003D6A7A">
        <w:rPr>
          <w:kern w:val="22"/>
          <w:szCs w:val="22"/>
        </w:rPr>
        <w:t>es</w:t>
      </w:r>
      <w:r w:rsidR="00B92D15">
        <w:rPr>
          <w:kern w:val="22"/>
          <w:szCs w:val="22"/>
        </w:rPr>
        <w:t xml:space="preserve"> dans les données fournies pour </w:t>
      </w:r>
      <w:r>
        <w:rPr>
          <w:kern w:val="22"/>
          <w:szCs w:val="22"/>
        </w:rPr>
        <w:t>l</w:t>
      </w:r>
      <w:r w:rsidR="00B92D15">
        <w:rPr>
          <w:kern w:val="22"/>
          <w:szCs w:val="22"/>
        </w:rPr>
        <w:t xml:space="preserve">es </w:t>
      </w:r>
      <w:r>
        <w:rPr>
          <w:kern w:val="22"/>
          <w:szCs w:val="22"/>
        </w:rPr>
        <w:t>année</w:t>
      </w:r>
      <w:r w:rsidR="00B92D15">
        <w:rPr>
          <w:kern w:val="22"/>
          <w:szCs w:val="22"/>
        </w:rPr>
        <w:t>s les</w:t>
      </w:r>
      <w:r>
        <w:rPr>
          <w:kern w:val="22"/>
          <w:szCs w:val="22"/>
        </w:rPr>
        <w:t xml:space="preserve"> plus récente</w:t>
      </w:r>
      <w:r w:rsidR="00B92D15">
        <w:rPr>
          <w:kern w:val="22"/>
          <w:szCs w:val="22"/>
        </w:rPr>
        <w:t>s</w:t>
      </w:r>
      <w:r>
        <w:rPr>
          <w:kern w:val="22"/>
          <w:szCs w:val="22"/>
        </w:rPr>
        <w:t>; c</w:t>
      </w:r>
      <w:r w:rsidR="00686044">
        <w:rPr>
          <w:kern w:val="22"/>
          <w:szCs w:val="22"/>
        </w:rPr>
        <w:t>’</w:t>
      </w:r>
      <w:r>
        <w:rPr>
          <w:kern w:val="22"/>
          <w:szCs w:val="22"/>
        </w:rPr>
        <w:t>est pourquoi les comparaison</w:t>
      </w:r>
      <w:r w:rsidR="00B92D15">
        <w:rPr>
          <w:kern w:val="22"/>
          <w:szCs w:val="22"/>
        </w:rPr>
        <w:t>s entre les années</w:t>
      </w:r>
      <w:r>
        <w:rPr>
          <w:kern w:val="22"/>
          <w:szCs w:val="22"/>
        </w:rPr>
        <w:t xml:space="preserve"> doivent ê</w:t>
      </w:r>
      <w:r w:rsidR="00B92D15">
        <w:rPr>
          <w:kern w:val="22"/>
          <w:szCs w:val="22"/>
        </w:rPr>
        <w:t>tre effectuées avec prudence</w:t>
      </w:r>
      <w:r>
        <w:rPr>
          <w:kern w:val="22"/>
          <w:szCs w:val="22"/>
        </w:rPr>
        <w:t xml:space="preserve"> et devraient être évitées en ce qui concerne les données de 2019 et de 2020. Les dates de 2019 et 2020 doivent généralement être interprétées avec une prudence particulière, étant donné que les Parties qui ont présenté des rapports pour ces années ne représentaient que 39 % et 30 %, respectiv</w:t>
      </w:r>
      <w:r w:rsidR="00B92D15">
        <w:rPr>
          <w:kern w:val="22"/>
          <w:szCs w:val="22"/>
        </w:rPr>
        <w:t>ement, du niveau de référence. Même s</w:t>
      </w:r>
      <w:r>
        <w:rPr>
          <w:kern w:val="22"/>
          <w:szCs w:val="22"/>
        </w:rPr>
        <w:t xml:space="preserve">i les Parties qui ont déjà communiqué des données pour 2019 et 2020 ont collectivement plus que doublé leurs flux internationaux, cela ne peut pas être extrapolé à ce stade. </w:t>
      </w:r>
    </w:p>
    <w:tbl>
      <w:tblPr>
        <w:tblStyle w:val="TableGrid"/>
        <w:tblW w:w="0" w:type="auto"/>
        <w:tblLook w:val="04A0" w:firstRow="1" w:lastRow="0" w:firstColumn="1" w:lastColumn="0" w:noHBand="0" w:noVBand="1"/>
      </w:tblPr>
      <w:tblGrid>
        <w:gridCol w:w="3544"/>
        <w:gridCol w:w="992"/>
        <w:gridCol w:w="993"/>
        <w:gridCol w:w="850"/>
        <w:gridCol w:w="1015"/>
        <w:gridCol w:w="1041"/>
        <w:gridCol w:w="1041"/>
      </w:tblGrid>
      <w:tr w:rsidR="008419B0" w:rsidTr="005C70F5">
        <w:tc>
          <w:tcPr>
            <w:tcW w:w="9476" w:type="dxa"/>
            <w:gridSpan w:val="7"/>
            <w:tcBorders>
              <w:top w:val="nil"/>
              <w:left w:val="nil"/>
              <w:bottom w:val="single" w:sz="4" w:space="0" w:color="auto"/>
              <w:right w:val="nil"/>
            </w:tcBorders>
          </w:tcPr>
          <w:p w:rsidR="00AC7EA1" w:rsidRPr="00DE607B" w:rsidRDefault="00324D7C">
            <w:pPr>
              <w:pStyle w:val="Para1"/>
              <w:keepNext/>
              <w:numPr>
                <w:ilvl w:val="0"/>
                <w:numId w:val="0"/>
              </w:numPr>
              <w:kinsoku w:val="0"/>
              <w:overflowPunct w:val="0"/>
              <w:autoSpaceDE w:val="0"/>
              <w:autoSpaceDN w:val="0"/>
              <w:snapToGrid w:val="0"/>
              <w:spacing w:after="60"/>
              <w:jc w:val="left"/>
              <w:rPr>
                <w:b/>
                <w:bCs/>
                <w:kern w:val="22"/>
                <w:szCs w:val="22"/>
              </w:rPr>
            </w:pPr>
            <w:r>
              <w:rPr>
                <w:b/>
                <w:bCs/>
                <w:kern w:val="22"/>
                <w:szCs w:val="22"/>
              </w:rPr>
              <w:t>Tableau 1. Progrès accomplis</w:t>
            </w:r>
            <w:r w:rsidR="00476D70">
              <w:rPr>
                <w:b/>
                <w:bCs/>
                <w:kern w:val="22"/>
                <w:szCs w:val="22"/>
              </w:rPr>
              <w:t xml:space="preserve"> au niveau mondial au regard de</w:t>
            </w:r>
            <w:r>
              <w:rPr>
                <w:b/>
                <w:bCs/>
                <w:kern w:val="22"/>
                <w:szCs w:val="22"/>
              </w:rPr>
              <w:t xml:space="preserve"> l</w:t>
            </w:r>
            <w:r w:rsidR="00686044">
              <w:rPr>
                <w:b/>
                <w:bCs/>
                <w:kern w:val="22"/>
                <w:szCs w:val="22"/>
              </w:rPr>
              <w:t>’</w:t>
            </w:r>
            <w:r>
              <w:rPr>
                <w:b/>
                <w:bCs/>
                <w:kern w:val="22"/>
                <w:szCs w:val="22"/>
              </w:rPr>
              <w:t>objectif a)</w:t>
            </w:r>
          </w:p>
        </w:tc>
      </w:tr>
      <w:tr w:rsidR="00294B91" w:rsidTr="00476D70">
        <w:tc>
          <w:tcPr>
            <w:tcW w:w="3544" w:type="dxa"/>
            <w:tcBorders>
              <w:top w:val="single" w:sz="4" w:space="0" w:color="auto"/>
            </w:tcBorders>
          </w:tcPr>
          <w:p w:rsidR="00AC7EA1" w:rsidRDefault="00324D7C">
            <w:pPr>
              <w:pStyle w:val="Para1"/>
              <w:numPr>
                <w:ilvl w:val="0"/>
                <w:numId w:val="0"/>
              </w:numPr>
              <w:kinsoku w:val="0"/>
              <w:overflowPunct w:val="0"/>
              <w:autoSpaceDE w:val="0"/>
              <w:autoSpaceDN w:val="0"/>
              <w:snapToGrid w:val="0"/>
              <w:spacing w:before="60" w:after="60"/>
              <w:rPr>
                <w:kern w:val="22"/>
                <w:szCs w:val="22"/>
                <w:lang w:val="en-US"/>
              </w:rPr>
            </w:pPr>
            <w:r>
              <w:rPr>
                <w:kern w:val="22"/>
                <w:szCs w:val="22"/>
              </w:rPr>
              <w:t>Année</w:t>
            </w:r>
          </w:p>
        </w:tc>
        <w:tc>
          <w:tcPr>
            <w:tcW w:w="992" w:type="dxa"/>
            <w:tcBorders>
              <w:top w:val="single" w:sz="4" w:space="0" w:color="auto"/>
            </w:tcBorders>
          </w:tcPr>
          <w:p w:rsidR="00AC7EA1" w:rsidRDefault="00324D7C">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rPr>
              <w:t>2015</w:t>
            </w:r>
          </w:p>
        </w:tc>
        <w:tc>
          <w:tcPr>
            <w:tcW w:w="993" w:type="dxa"/>
            <w:tcBorders>
              <w:top w:val="single" w:sz="4" w:space="0" w:color="auto"/>
            </w:tcBorders>
          </w:tcPr>
          <w:p w:rsidR="00AC7EA1" w:rsidRDefault="00324D7C">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rPr>
              <w:t>2016</w:t>
            </w:r>
          </w:p>
        </w:tc>
        <w:tc>
          <w:tcPr>
            <w:tcW w:w="850" w:type="dxa"/>
            <w:tcBorders>
              <w:top w:val="single" w:sz="4" w:space="0" w:color="auto"/>
            </w:tcBorders>
          </w:tcPr>
          <w:p w:rsidR="00AC7EA1" w:rsidRDefault="00324D7C">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rPr>
              <w:t>2017</w:t>
            </w:r>
          </w:p>
        </w:tc>
        <w:tc>
          <w:tcPr>
            <w:tcW w:w="1015" w:type="dxa"/>
            <w:tcBorders>
              <w:top w:val="single" w:sz="4" w:space="0" w:color="auto"/>
            </w:tcBorders>
          </w:tcPr>
          <w:p w:rsidR="00AC7EA1" w:rsidRDefault="00324D7C">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rPr>
              <w:t>2018</w:t>
            </w:r>
          </w:p>
        </w:tc>
        <w:tc>
          <w:tcPr>
            <w:tcW w:w="1041" w:type="dxa"/>
            <w:tcBorders>
              <w:top w:val="single" w:sz="4" w:space="0" w:color="auto"/>
            </w:tcBorders>
          </w:tcPr>
          <w:p w:rsidR="00AC7EA1" w:rsidRDefault="00324D7C">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rPr>
              <w:t>2019</w:t>
            </w:r>
          </w:p>
        </w:tc>
        <w:tc>
          <w:tcPr>
            <w:tcW w:w="1041" w:type="dxa"/>
            <w:tcBorders>
              <w:top w:val="single" w:sz="4" w:space="0" w:color="auto"/>
            </w:tcBorders>
          </w:tcPr>
          <w:p w:rsidR="00AC7EA1" w:rsidRDefault="00324D7C">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rPr>
              <w:t>2020</w:t>
            </w:r>
          </w:p>
        </w:tc>
      </w:tr>
      <w:tr w:rsidR="00294B91" w:rsidTr="00476D70">
        <w:tc>
          <w:tcPr>
            <w:tcW w:w="3544" w:type="dxa"/>
          </w:tcPr>
          <w:p w:rsidR="00AC7EA1" w:rsidRDefault="00324D7C">
            <w:pPr>
              <w:pStyle w:val="Para1"/>
              <w:numPr>
                <w:ilvl w:val="0"/>
                <w:numId w:val="0"/>
              </w:numPr>
              <w:kinsoku w:val="0"/>
              <w:overflowPunct w:val="0"/>
              <w:autoSpaceDE w:val="0"/>
              <w:autoSpaceDN w:val="0"/>
              <w:snapToGrid w:val="0"/>
              <w:spacing w:before="60" w:after="60"/>
              <w:rPr>
                <w:kern w:val="22"/>
                <w:szCs w:val="22"/>
                <w:lang w:val="en-US"/>
              </w:rPr>
            </w:pPr>
            <w:r>
              <w:rPr>
                <w:kern w:val="22"/>
                <w:szCs w:val="22"/>
              </w:rPr>
              <w:t>Quotient*</w:t>
            </w:r>
          </w:p>
        </w:tc>
        <w:tc>
          <w:tcPr>
            <w:tcW w:w="992" w:type="dxa"/>
          </w:tcPr>
          <w:p w:rsidR="00AC7EA1" w:rsidRDefault="00324D7C">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rPr>
              <w:t>1,66</w:t>
            </w:r>
          </w:p>
        </w:tc>
        <w:tc>
          <w:tcPr>
            <w:tcW w:w="993" w:type="dxa"/>
          </w:tcPr>
          <w:p w:rsidR="00AC7EA1" w:rsidRDefault="00324D7C">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rPr>
              <w:t>1,23</w:t>
            </w:r>
          </w:p>
        </w:tc>
        <w:tc>
          <w:tcPr>
            <w:tcW w:w="850" w:type="dxa"/>
          </w:tcPr>
          <w:p w:rsidR="00AC7EA1" w:rsidRDefault="00324D7C">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rPr>
              <w:t>1,34</w:t>
            </w:r>
          </w:p>
        </w:tc>
        <w:tc>
          <w:tcPr>
            <w:tcW w:w="1015" w:type="dxa"/>
          </w:tcPr>
          <w:p w:rsidR="00AC7EA1" w:rsidRDefault="00324D7C">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rPr>
              <w:t>1,39</w:t>
            </w:r>
          </w:p>
        </w:tc>
        <w:tc>
          <w:tcPr>
            <w:tcW w:w="1041" w:type="dxa"/>
          </w:tcPr>
          <w:p w:rsidR="00AC7EA1" w:rsidRDefault="00324D7C">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rPr>
              <w:t>2,52**</w:t>
            </w:r>
          </w:p>
        </w:tc>
        <w:tc>
          <w:tcPr>
            <w:tcW w:w="1041" w:type="dxa"/>
          </w:tcPr>
          <w:p w:rsidR="00AC7EA1" w:rsidRDefault="00324D7C">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rPr>
              <w:t>2,83**</w:t>
            </w:r>
          </w:p>
        </w:tc>
      </w:tr>
      <w:tr w:rsidR="00294B91" w:rsidTr="00476D70">
        <w:tc>
          <w:tcPr>
            <w:tcW w:w="3544" w:type="dxa"/>
          </w:tcPr>
          <w:p w:rsidR="00AC7EA1" w:rsidRPr="003B212D" w:rsidRDefault="003B212D">
            <w:pPr>
              <w:pStyle w:val="Para1"/>
              <w:numPr>
                <w:ilvl w:val="0"/>
                <w:numId w:val="0"/>
              </w:numPr>
              <w:kinsoku w:val="0"/>
              <w:overflowPunct w:val="0"/>
              <w:autoSpaceDE w:val="0"/>
              <w:autoSpaceDN w:val="0"/>
              <w:snapToGrid w:val="0"/>
              <w:spacing w:before="60" w:after="60"/>
              <w:rPr>
                <w:kern w:val="22"/>
                <w:szCs w:val="22"/>
              </w:rPr>
            </w:pPr>
            <w:r>
              <w:rPr>
                <w:kern w:val="22"/>
                <w:szCs w:val="22"/>
              </w:rPr>
              <w:t>Nombre de Parties ayant présenté un rapport</w:t>
            </w:r>
          </w:p>
        </w:tc>
        <w:tc>
          <w:tcPr>
            <w:tcW w:w="992" w:type="dxa"/>
          </w:tcPr>
          <w:p w:rsidR="00AC7EA1" w:rsidRDefault="00324D7C">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rPr>
              <w:t>28</w:t>
            </w:r>
          </w:p>
        </w:tc>
        <w:tc>
          <w:tcPr>
            <w:tcW w:w="993" w:type="dxa"/>
          </w:tcPr>
          <w:p w:rsidR="00AC7EA1" w:rsidRDefault="00324D7C">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rPr>
              <w:t>19</w:t>
            </w:r>
          </w:p>
        </w:tc>
        <w:tc>
          <w:tcPr>
            <w:tcW w:w="850" w:type="dxa"/>
          </w:tcPr>
          <w:p w:rsidR="00AC7EA1" w:rsidRDefault="00324D7C">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rPr>
              <w:t>19</w:t>
            </w:r>
          </w:p>
        </w:tc>
        <w:tc>
          <w:tcPr>
            <w:tcW w:w="1015" w:type="dxa"/>
          </w:tcPr>
          <w:p w:rsidR="00AC7EA1" w:rsidRDefault="00324D7C">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rPr>
              <w:t>15</w:t>
            </w:r>
          </w:p>
        </w:tc>
        <w:tc>
          <w:tcPr>
            <w:tcW w:w="1041" w:type="dxa"/>
          </w:tcPr>
          <w:p w:rsidR="00AC7EA1" w:rsidRDefault="00324D7C">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rPr>
              <w:t>14</w:t>
            </w:r>
          </w:p>
        </w:tc>
        <w:tc>
          <w:tcPr>
            <w:tcW w:w="1041" w:type="dxa"/>
          </w:tcPr>
          <w:p w:rsidR="00AC7EA1" w:rsidRDefault="00324D7C">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rPr>
              <w:t>9</w:t>
            </w:r>
          </w:p>
        </w:tc>
      </w:tr>
      <w:tr w:rsidR="00294B91" w:rsidTr="00476D70">
        <w:tc>
          <w:tcPr>
            <w:tcW w:w="3544" w:type="dxa"/>
            <w:tcBorders>
              <w:bottom w:val="single" w:sz="4" w:space="0" w:color="auto"/>
            </w:tcBorders>
          </w:tcPr>
          <w:p w:rsidR="00AC7EA1" w:rsidRPr="00DE607B" w:rsidRDefault="00324D7C">
            <w:pPr>
              <w:pStyle w:val="Para1"/>
              <w:numPr>
                <w:ilvl w:val="0"/>
                <w:numId w:val="0"/>
              </w:numPr>
              <w:kinsoku w:val="0"/>
              <w:overflowPunct w:val="0"/>
              <w:autoSpaceDE w:val="0"/>
              <w:autoSpaceDN w:val="0"/>
              <w:snapToGrid w:val="0"/>
              <w:spacing w:before="60" w:after="60"/>
              <w:jc w:val="left"/>
              <w:rPr>
                <w:kern w:val="22"/>
                <w:szCs w:val="22"/>
              </w:rPr>
            </w:pPr>
            <w:r>
              <w:rPr>
                <w:kern w:val="22"/>
                <w:szCs w:val="22"/>
              </w:rPr>
              <w:t>Nivea</w:t>
            </w:r>
            <w:r w:rsidR="00CF6BBA">
              <w:rPr>
                <w:kern w:val="22"/>
                <w:szCs w:val="22"/>
              </w:rPr>
              <w:t>u de référence de</w:t>
            </w:r>
            <w:r w:rsidR="003B212D">
              <w:rPr>
                <w:kern w:val="22"/>
                <w:szCs w:val="22"/>
              </w:rPr>
              <w:t>s Parties ayant présenté un rapport</w:t>
            </w:r>
            <w:r w:rsidR="00E57A89">
              <w:rPr>
                <w:kern w:val="22"/>
                <w:szCs w:val="22"/>
              </w:rPr>
              <w:t xml:space="preserve">, pour </w:t>
            </w:r>
            <w:r>
              <w:rPr>
                <w:kern w:val="22"/>
                <w:szCs w:val="22"/>
              </w:rPr>
              <w:t>chaque année</w:t>
            </w:r>
            <w:r w:rsidR="00CF6BBA">
              <w:rPr>
                <w:kern w:val="22"/>
                <w:szCs w:val="22"/>
              </w:rPr>
              <w:t>,</w:t>
            </w:r>
            <w:r>
              <w:rPr>
                <w:kern w:val="22"/>
                <w:szCs w:val="22"/>
              </w:rPr>
              <w:t xml:space="preserve"> en pourcentage du niveau de référence total </w:t>
            </w:r>
          </w:p>
        </w:tc>
        <w:tc>
          <w:tcPr>
            <w:tcW w:w="992" w:type="dxa"/>
            <w:tcBorders>
              <w:bottom w:val="single" w:sz="4" w:space="0" w:color="auto"/>
            </w:tcBorders>
          </w:tcPr>
          <w:p w:rsidR="00AC7EA1" w:rsidRDefault="00324D7C">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rPr>
              <w:t>99,5 %</w:t>
            </w:r>
          </w:p>
        </w:tc>
        <w:tc>
          <w:tcPr>
            <w:tcW w:w="993" w:type="dxa"/>
            <w:tcBorders>
              <w:bottom w:val="single" w:sz="4" w:space="0" w:color="auto"/>
            </w:tcBorders>
          </w:tcPr>
          <w:p w:rsidR="00AC7EA1" w:rsidRDefault="00324D7C">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rPr>
              <w:t>92,3 %</w:t>
            </w:r>
          </w:p>
        </w:tc>
        <w:tc>
          <w:tcPr>
            <w:tcW w:w="850" w:type="dxa"/>
            <w:tcBorders>
              <w:bottom w:val="single" w:sz="4" w:space="0" w:color="auto"/>
            </w:tcBorders>
          </w:tcPr>
          <w:p w:rsidR="00AC7EA1" w:rsidRDefault="00324D7C">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rPr>
              <w:t>91,9 %</w:t>
            </w:r>
          </w:p>
        </w:tc>
        <w:tc>
          <w:tcPr>
            <w:tcW w:w="1015" w:type="dxa"/>
            <w:tcBorders>
              <w:bottom w:val="single" w:sz="4" w:space="0" w:color="auto"/>
            </w:tcBorders>
          </w:tcPr>
          <w:p w:rsidR="00AC7EA1" w:rsidRDefault="00324D7C">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rPr>
              <w:t>85,4 %</w:t>
            </w:r>
          </w:p>
        </w:tc>
        <w:tc>
          <w:tcPr>
            <w:tcW w:w="1041" w:type="dxa"/>
            <w:tcBorders>
              <w:bottom w:val="single" w:sz="4" w:space="0" w:color="auto"/>
            </w:tcBorders>
          </w:tcPr>
          <w:p w:rsidR="00AC7EA1" w:rsidRDefault="00324D7C">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rPr>
              <w:t>38,8 %</w:t>
            </w:r>
          </w:p>
        </w:tc>
        <w:tc>
          <w:tcPr>
            <w:tcW w:w="1041" w:type="dxa"/>
            <w:tcBorders>
              <w:bottom w:val="single" w:sz="4" w:space="0" w:color="auto"/>
            </w:tcBorders>
          </w:tcPr>
          <w:p w:rsidR="00AC7EA1" w:rsidRDefault="00324D7C">
            <w:pPr>
              <w:pStyle w:val="Para1"/>
              <w:numPr>
                <w:ilvl w:val="0"/>
                <w:numId w:val="0"/>
              </w:numPr>
              <w:kinsoku w:val="0"/>
              <w:overflowPunct w:val="0"/>
              <w:autoSpaceDE w:val="0"/>
              <w:autoSpaceDN w:val="0"/>
              <w:snapToGrid w:val="0"/>
              <w:spacing w:before="60" w:after="60"/>
              <w:jc w:val="right"/>
              <w:rPr>
                <w:kern w:val="22"/>
                <w:szCs w:val="22"/>
                <w:lang w:val="en-US"/>
              </w:rPr>
            </w:pPr>
            <w:r>
              <w:rPr>
                <w:kern w:val="22"/>
                <w:szCs w:val="22"/>
              </w:rPr>
              <w:t>30,5 %</w:t>
            </w:r>
          </w:p>
        </w:tc>
      </w:tr>
      <w:tr w:rsidR="00F2097B" w:rsidTr="005C70F5">
        <w:tc>
          <w:tcPr>
            <w:tcW w:w="9476" w:type="dxa"/>
            <w:gridSpan w:val="7"/>
            <w:tcBorders>
              <w:top w:val="single" w:sz="4" w:space="0" w:color="auto"/>
              <w:left w:val="nil"/>
              <w:bottom w:val="nil"/>
              <w:right w:val="nil"/>
            </w:tcBorders>
          </w:tcPr>
          <w:p w:rsidR="00AC7EA1" w:rsidRPr="00DE607B" w:rsidRDefault="00324D7C">
            <w:pPr>
              <w:pStyle w:val="Para1"/>
              <w:numPr>
                <w:ilvl w:val="0"/>
                <w:numId w:val="0"/>
              </w:numPr>
              <w:kinsoku w:val="0"/>
              <w:overflowPunct w:val="0"/>
              <w:autoSpaceDE w:val="0"/>
              <w:autoSpaceDN w:val="0"/>
              <w:snapToGrid w:val="0"/>
              <w:spacing w:before="0" w:after="60"/>
              <w:rPr>
                <w:i/>
                <w:iCs/>
                <w:kern w:val="22"/>
                <w:sz w:val="20"/>
                <w:szCs w:val="20"/>
              </w:rPr>
            </w:pPr>
            <w:r>
              <w:rPr>
                <w:i/>
                <w:iCs/>
                <w:kern w:val="22"/>
                <w:sz w:val="20"/>
                <w:szCs w:val="20"/>
              </w:rPr>
              <w:t>Calculé à partir des données de l</w:t>
            </w:r>
            <w:r w:rsidR="00686044">
              <w:rPr>
                <w:i/>
                <w:iCs/>
                <w:kern w:val="22"/>
                <w:sz w:val="20"/>
                <w:szCs w:val="20"/>
              </w:rPr>
              <w:t>’</w:t>
            </w:r>
            <w:r>
              <w:rPr>
                <w:i/>
                <w:iCs/>
                <w:kern w:val="22"/>
                <w:sz w:val="20"/>
                <w:szCs w:val="20"/>
              </w:rPr>
              <w:t>analyseur du cadre d</w:t>
            </w:r>
            <w:r w:rsidR="00476D70">
              <w:rPr>
                <w:i/>
                <w:iCs/>
                <w:kern w:val="22"/>
                <w:sz w:val="20"/>
                <w:szCs w:val="20"/>
              </w:rPr>
              <w:t>e présentation des rapports financiers</w:t>
            </w:r>
            <w:r>
              <w:rPr>
                <w:i/>
                <w:iCs/>
                <w:kern w:val="22"/>
                <w:sz w:val="20"/>
                <w:szCs w:val="20"/>
              </w:rPr>
              <w:t>.</w:t>
            </w:r>
          </w:p>
        </w:tc>
      </w:tr>
      <w:tr w:rsidR="00BF76FC" w:rsidRPr="00A21F60" w:rsidTr="005C70F5">
        <w:tc>
          <w:tcPr>
            <w:tcW w:w="9476" w:type="dxa"/>
            <w:gridSpan w:val="7"/>
            <w:tcBorders>
              <w:top w:val="nil"/>
              <w:left w:val="nil"/>
              <w:bottom w:val="nil"/>
              <w:right w:val="nil"/>
            </w:tcBorders>
          </w:tcPr>
          <w:p w:rsidR="00AC7EA1" w:rsidRPr="00DE607B" w:rsidRDefault="00324D7C">
            <w:pPr>
              <w:pStyle w:val="Para1"/>
              <w:numPr>
                <w:ilvl w:val="0"/>
                <w:numId w:val="0"/>
              </w:numPr>
              <w:kinsoku w:val="0"/>
              <w:overflowPunct w:val="0"/>
              <w:autoSpaceDE w:val="0"/>
              <w:autoSpaceDN w:val="0"/>
              <w:snapToGrid w:val="0"/>
              <w:spacing w:before="0" w:after="60"/>
              <w:rPr>
                <w:rFonts w:asciiTheme="majorBidi" w:hAnsiTheme="majorBidi" w:cstheme="majorBidi"/>
                <w:kern w:val="22"/>
                <w:sz w:val="20"/>
                <w:szCs w:val="20"/>
              </w:rPr>
            </w:pPr>
            <w:r>
              <w:rPr>
                <w:rFonts w:asciiTheme="majorBidi" w:hAnsiTheme="majorBidi" w:cstheme="majorBidi"/>
                <w:kern w:val="22"/>
                <w:sz w:val="20"/>
                <w:szCs w:val="20"/>
              </w:rPr>
              <w:t xml:space="preserve">* Quotient = flux internationaux annuels déclarés divisés par le niveau de référence déclaré des Parties </w:t>
            </w:r>
            <w:r>
              <w:rPr>
                <w:kern w:val="22"/>
                <w:sz w:val="20"/>
                <w:szCs w:val="20"/>
              </w:rPr>
              <w:t xml:space="preserve">qui ont fourni des données pour une année donnée. </w:t>
            </w:r>
            <w:r>
              <w:rPr>
                <w:rFonts w:asciiTheme="majorBidi" w:hAnsiTheme="majorBidi" w:cstheme="majorBidi"/>
                <w:kern w:val="22"/>
                <w:sz w:val="20"/>
                <w:szCs w:val="20"/>
              </w:rPr>
              <w:t>Un quotient ≥ 2 indique que l</w:t>
            </w:r>
            <w:r w:rsidR="00686044">
              <w:rPr>
                <w:rFonts w:asciiTheme="majorBidi" w:hAnsiTheme="majorBidi" w:cstheme="majorBidi"/>
                <w:kern w:val="22"/>
                <w:sz w:val="20"/>
                <w:szCs w:val="20"/>
              </w:rPr>
              <w:t>’</w:t>
            </w:r>
            <w:r>
              <w:rPr>
                <w:rFonts w:asciiTheme="majorBidi" w:hAnsiTheme="majorBidi" w:cstheme="majorBidi"/>
                <w:kern w:val="22"/>
                <w:sz w:val="20"/>
                <w:szCs w:val="20"/>
              </w:rPr>
              <w:t>objectif de doublement des flux internationaux a été atteint.</w:t>
            </w:r>
          </w:p>
          <w:p w:rsidR="00AC7EA1" w:rsidRPr="00DE607B" w:rsidRDefault="003B212D">
            <w:pPr>
              <w:pStyle w:val="Para1"/>
              <w:numPr>
                <w:ilvl w:val="0"/>
                <w:numId w:val="0"/>
              </w:numPr>
              <w:kinsoku w:val="0"/>
              <w:overflowPunct w:val="0"/>
              <w:autoSpaceDE w:val="0"/>
              <w:autoSpaceDN w:val="0"/>
              <w:snapToGrid w:val="0"/>
              <w:spacing w:before="0" w:after="60"/>
              <w:rPr>
                <w:rFonts w:asciiTheme="majorBidi" w:hAnsiTheme="majorBidi" w:cstheme="majorBidi"/>
                <w:kern w:val="22"/>
                <w:sz w:val="20"/>
                <w:szCs w:val="20"/>
              </w:rPr>
            </w:pPr>
            <w:r>
              <w:rPr>
                <w:rFonts w:asciiTheme="majorBidi" w:hAnsiTheme="majorBidi" w:cstheme="majorBidi"/>
                <w:kern w:val="22"/>
                <w:sz w:val="20"/>
                <w:szCs w:val="20"/>
              </w:rPr>
              <w:t>** Voir l’analyse</w:t>
            </w:r>
            <w:r w:rsidR="00324D7C">
              <w:rPr>
                <w:rFonts w:asciiTheme="majorBidi" w:hAnsiTheme="majorBidi" w:cstheme="majorBidi"/>
                <w:kern w:val="22"/>
                <w:sz w:val="20"/>
                <w:szCs w:val="20"/>
              </w:rPr>
              <w:t xml:space="preserve"> au paragraphe 10.</w:t>
            </w:r>
          </w:p>
        </w:tc>
      </w:tr>
    </w:tbl>
    <w:p w:rsidR="00AC7EA1" w:rsidRDefault="00324D7C">
      <w:pPr>
        <w:numPr>
          <w:ilvl w:val="0"/>
          <w:numId w:val="25"/>
        </w:numPr>
        <w:suppressLineNumbers/>
        <w:tabs>
          <w:tab w:val="clear" w:pos="36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Plusieurs non-membres du CAD ont fait état de flux internationaux, par exemple</w:t>
      </w:r>
      <w:r w:rsidR="003B212D">
        <w:rPr>
          <w:snapToGrid w:val="0"/>
          <w:kern w:val="22"/>
          <w:szCs w:val="22"/>
        </w:rPr>
        <w:t>,</w:t>
      </w:r>
      <w:r>
        <w:rPr>
          <w:snapToGrid w:val="0"/>
          <w:kern w:val="22"/>
          <w:szCs w:val="22"/>
        </w:rPr>
        <w:t xml:space="preserve"> en identifiant les dépenses </w:t>
      </w:r>
      <w:r w:rsidR="003B212D">
        <w:rPr>
          <w:snapToGrid w:val="0"/>
          <w:kern w:val="22"/>
          <w:szCs w:val="22"/>
        </w:rPr>
        <w:t xml:space="preserve">engagées </w:t>
      </w:r>
      <w:r>
        <w:rPr>
          <w:snapToGrid w:val="0"/>
          <w:kern w:val="22"/>
          <w:szCs w:val="22"/>
        </w:rPr>
        <w:t>pour des projets spé</w:t>
      </w:r>
      <w:r w:rsidR="003B212D">
        <w:rPr>
          <w:snapToGrid w:val="0"/>
          <w:kern w:val="22"/>
          <w:szCs w:val="22"/>
        </w:rPr>
        <w:t xml:space="preserve">cifiques liés à la biodiversité </w:t>
      </w:r>
      <w:r>
        <w:rPr>
          <w:snapToGrid w:val="0"/>
          <w:kern w:val="22"/>
          <w:szCs w:val="22"/>
        </w:rPr>
        <w:t>dans d</w:t>
      </w:r>
      <w:r w:rsidR="00686044">
        <w:rPr>
          <w:snapToGrid w:val="0"/>
          <w:kern w:val="22"/>
          <w:szCs w:val="22"/>
        </w:rPr>
        <w:t>’</w:t>
      </w:r>
      <w:r>
        <w:rPr>
          <w:snapToGrid w:val="0"/>
          <w:kern w:val="22"/>
          <w:szCs w:val="22"/>
        </w:rPr>
        <w:t>autres pays et en compl</w:t>
      </w:r>
      <w:r w:rsidR="003B212D">
        <w:rPr>
          <w:snapToGrid w:val="0"/>
          <w:kern w:val="22"/>
          <w:szCs w:val="22"/>
        </w:rPr>
        <w:t>étant les chiffres obtenus par d</w:t>
      </w:r>
      <w:r>
        <w:rPr>
          <w:snapToGrid w:val="0"/>
          <w:kern w:val="22"/>
          <w:szCs w:val="22"/>
        </w:rPr>
        <w:t>es contributions des membres aux accords internationaux pert</w:t>
      </w:r>
      <w:r w:rsidR="003B212D">
        <w:rPr>
          <w:snapToGrid w:val="0"/>
          <w:kern w:val="22"/>
          <w:szCs w:val="22"/>
        </w:rPr>
        <w:t>inents et/ou d</w:t>
      </w:r>
      <w:r>
        <w:rPr>
          <w:snapToGrid w:val="0"/>
          <w:kern w:val="22"/>
          <w:szCs w:val="22"/>
        </w:rPr>
        <w:t>es contributions volontaires au Fonds pour l</w:t>
      </w:r>
      <w:r w:rsidR="00686044">
        <w:rPr>
          <w:snapToGrid w:val="0"/>
          <w:kern w:val="22"/>
          <w:szCs w:val="22"/>
        </w:rPr>
        <w:t>’</w:t>
      </w:r>
      <w:r>
        <w:rPr>
          <w:snapToGrid w:val="0"/>
          <w:kern w:val="22"/>
          <w:szCs w:val="22"/>
        </w:rPr>
        <w:t>environnement mondial (FEM). Les chiffres prése</w:t>
      </w:r>
      <w:r w:rsidR="003B212D">
        <w:rPr>
          <w:snapToGrid w:val="0"/>
          <w:kern w:val="22"/>
          <w:szCs w:val="22"/>
        </w:rPr>
        <w:t>ntés sont probablement prudents</w:t>
      </w:r>
      <w:r>
        <w:rPr>
          <w:snapToGrid w:val="0"/>
          <w:kern w:val="22"/>
          <w:szCs w:val="22"/>
        </w:rPr>
        <w:t>; par exemple, le Brésil a noté que les chiffres ne comprennent que les données relatives à l</w:t>
      </w:r>
      <w:r w:rsidR="00686044">
        <w:rPr>
          <w:snapToGrid w:val="0"/>
          <w:kern w:val="22"/>
          <w:szCs w:val="22"/>
        </w:rPr>
        <w:t>’</w:t>
      </w:r>
      <w:r>
        <w:rPr>
          <w:snapToGrid w:val="0"/>
          <w:kern w:val="22"/>
          <w:szCs w:val="22"/>
        </w:rPr>
        <w:t xml:space="preserve">administration centrale et aux projets mis en </w:t>
      </w:r>
      <w:r w:rsidR="00686044">
        <w:rPr>
          <w:snapToGrid w:val="0"/>
          <w:kern w:val="22"/>
          <w:szCs w:val="22"/>
        </w:rPr>
        <w:t>œuvre</w:t>
      </w:r>
      <w:r>
        <w:rPr>
          <w:snapToGrid w:val="0"/>
          <w:kern w:val="22"/>
          <w:szCs w:val="22"/>
        </w:rPr>
        <w:t xml:space="preserve"> dans les pays voisins.</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Comme le montre l</w:t>
      </w:r>
      <w:r w:rsidR="00686044">
        <w:rPr>
          <w:kern w:val="22"/>
          <w:szCs w:val="22"/>
        </w:rPr>
        <w:t>’</w:t>
      </w:r>
      <w:r>
        <w:rPr>
          <w:kern w:val="22"/>
          <w:szCs w:val="22"/>
        </w:rPr>
        <w:t xml:space="preserve">annexe II, en </w:t>
      </w:r>
      <w:r w:rsidR="008D5ABB">
        <w:rPr>
          <w:kern w:val="22"/>
          <w:szCs w:val="22"/>
        </w:rPr>
        <w:t>2015, les Parties ci-après avaie</w:t>
      </w:r>
      <w:r>
        <w:rPr>
          <w:kern w:val="22"/>
          <w:szCs w:val="22"/>
        </w:rPr>
        <w:t>nt au moins doublé les flux internationaux de ressources qu</w:t>
      </w:r>
      <w:r w:rsidR="00686044">
        <w:rPr>
          <w:kern w:val="22"/>
          <w:szCs w:val="22"/>
        </w:rPr>
        <w:t>’</w:t>
      </w:r>
      <w:r w:rsidR="003B212D">
        <w:rPr>
          <w:kern w:val="22"/>
          <w:szCs w:val="22"/>
        </w:rPr>
        <w:t>elles fourniss</w:t>
      </w:r>
      <w:r>
        <w:rPr>
          <w:kern w:val="22"/>
          <w:szCs w:val="22"/>
        </w:rPr>
        <w:t xml:space="preserve">ent : Allemagne, </w:t>
      </w:r>
      <w:bookmarkStart w:id="2" w:name="_Hlk79651287"/>
      <w:r>
        <w:rPr>
          <w:kern w:val="22"/>
          <w:szCs w:val="22"/>
        </w:rPr>
        <w:t>Chine, Croatie, Estonie, France, Lettonie, Luxembourg, Norvège et Royaume-Uni de Grande-Bretagne et d</w:t>
      </w:r>
      <w:r w:rsidR="00686044">
        <w:rPr>
          <w:kern w:val="22"/>
          <w:szCs w:val="22"/>
        </w:rPr>
        <w:t>’</w:t>
      </w:r>
      <w:r w:rsidR="008D5ABB">
        <w:rPr>
          <w:kern w:val="22"/>
          <w:szCs w:val="22"/>
        </w:rPr>
        <w:t xml:space="preserve">Irlande du Nord. La Hongrie a </w:t>
      </w:r>
      <w:r>
        <w:rPr>
          <w:kern w:val="22"/>
          <w:szCs w:val="22"/>
        </w:rPr>
        <w:t>au moins doublé ses apports en 2014</w:t>
      </w:r>
      <w:r w:rsidR="003B212D">
        <w:rPr>
          <w:kern w:val="22"/>
          <w:szCs w:val="22"/>
        </w:rPr>
        <w:t>,</w:t>
      </w:r>
      <w:r>
        <w:rPr>
          <w:kern w:val="22"/>
          <w:szCs w:val="22"/>
        </w:rPr>
        <w:t xml:space="preserve"> et la République de Corée </w:t>
      </w:r>
      <w:r w:rsidR="003B212D">
        <w:rPr>
          <w:kern w:val="22"/>
          <w:szCs w:val="22"/>
        </w:rPr>
        <w:t xml:space="preserve">a fait de même </w:t>
      </w:r>
      <w:r>
        <w:rPr>
          <w:kern w:val="22"/>
          <w:szCs w:val="22"/>
        </w:rPr>
        <w:t>en 201</w:t>
      </w:r>
      <w:r w:rsidR="003B212D">
        <w:rPr>
          <w:kern w:val="22"/>
          <w:szCs w:val="22"/>
        </w:rPr>
        <w:t xml:space="preserve">6. Parmi les pays ci-dessus, l’Allemagne, la Croatie, la France </w:t>
      </w:r>
      <w:r w:rsidR="008D5ABB">
        <w:rPr>
          <w:kern w:val="22"/>
          <w:szCs w:val="22"/>
        </w:rPr>
        <w:t>et la Hongrie ont</w:t>
      </w:r>
      <w:r>
        <w:rPr>
          <w:kern w:val="22"/>
          <w:szCs w:val="22"/>
        </w:rPr>
        <w:t xml:space="preserve"> au moins maintenu ce n</w:t>
      </w:r>
      <w:r w:rsidR="008D5ABB">
        <w:rPr>
          <w:kern w:val="22"/>
          <w:szCs w:val="22"/>
        </w:rPr>
        <w:t>iveau en</w:t>
      </w:r>
      <w:r>
        <w:rPr>
          <w:kern w:val="22"/>
          <w:szCs w:val="22"/>
        </w:rPr>
        <w:t xml:space="preserve"> 2020. Les institutions de l</w:t>
      </w:r>
      <w:r w:rsidR="00686044">
        <w:rPr>
          <w:kern w:val="22"/>
          <w:szCs w:val="22"/>
        </w:rPr>
        <w:t>’</w:t>
      </w:r>
      <w:r w:rsidR="008D5ABB">
        <w:rPr>
          <w:kern w:val="22"/>
          <w:szCs w:val="22"/>
        </w:rPr>
        <w:t>Union européenne ont</w:t>
      </w:r>
      <w:r>
        <w:rPr>
          <w:kern w:val="22"/>
          <w:szCs w:val="22"/>
        </w:rPr>
        <w:t xml:space="preserve"> do</w:t>
      </w:r>
      <w:r w:rsidR="008D5ABB">
        <w:rPr>
          <w:kern w:val="22"/>
          <w:szCs w:val="22"/>
        </w:rPr>
        <w:t>ublé leurs flux en 2017 et les o</w:t>
      </w:r>
      <w:r>
        <w:rPr>
          <w:kern w:val="22"/>
          <w:szCs w:val="22"/>
        </w:rPr>
        <w:t>nt maintenus en 2020. La Suède a</w:t>
      </w:r>
      <w:r w:rsidR="008D5ABB">
        <w:rPr>
          <w:kern w:val="22"/>
          <w:szCs w:val="22"/>
        </w:rPr>
        <w:t xml:space="preserve"> </w:t>
      </w:r>
      <w:r>
        <w:rPr>
          <w:kern w:val="22"/>
          <w:szCs w:val="22"/>
        </w:rPr>
        <w:t>doublé ses flux en 2018 et les a maintenus jusqu</w:t>
      </w:r>
      <w:r w:rsidR="00686044">
        <w:rPr>
          <w:kern w:val="22"/>
          <w:szCs w:val="22"/>
        </w:rPr>
        <w:t>’</w:t>
      </w:r>
      <w:r>
        <w:rPr>
          <w:kern w:val="22"/>
          <w:szCs w:val="22"/>
        </w:rPr>
        <w:t>en 2020. La Suisse a doublé ses flux en 2017 et les a maintenus au moins jusqu</w:t>
      </w:r>
      <w:r w:rsidR="00686044">
        <w:rPr>
          <w:kern w:val="22"/>
          <w:szCs w:val="22"/>
        </w:rPr>
        <w:t>’</w:t>
      </w:r>
      <w:r w:rsidR="008D5ABB">
        <w:rPr>
          <w:kern w:val="22"/>
          <w:szCs w:val="22"/>
        </w:rPr>
        <w:t>en 2018</w:t>
      </w:r>
      <w:r>
        <w:rPr>
          <w:kern w:val="22"/>
          <w:szCs w:val="22"/>
        </w:rPr>
        <w:t xml:space="preserve">; </w:t>
      </w:r>
      <w:r w:rsidR="008D5ABB">
        <w:rPr>
          <w:kern w:val="22"/>
          <w:szCs w:val="22"/>
        </w:rPr>
        <w:t xml:space="preserve">tandis que </w:t>
      </w:r>
      <w:r>
        <w:rPr>
          <w:kern w:val="22"/>
          <w:szCs w:val="22"/>
        </w:rPr>
        <w:t>l</w:t>
      </w:r>
      <w:r w:rsidR="00686044">
        <w:rPr>
          <w:kern w:val="22"/>
          <w:szCs w:val="22"/>
        </w:rPr>
        <w:t>’</w:t>
      </w:r>
      <w:r>
        <w:rPr>
          <w:kern w:val="22"/>
          <w:szCs w:val="22"/>
        </w:rPr>
        <w:t>Itali</w:t>
      </w:r>
      <w:r w:rsidR="008D5ABB">
        <w:rPr>
          <w:kern w:val="22"/>
          <w:szCs w:val="22"/>
        </w:rPr>
        <w:t xml:space="preserve">e </w:t>
      </w:r>
      <w:r>
        <w:rPr>
          <w:kern w:val="22"/>
          <w:szCs w:val="22"/>
        </w:rPr>
        <w:t>a</w:t>
      </w:r>
      <w:r w:rsidR="008D5ABB">
        <w:rPr>
          <w:kern w:val="22"/>
          <w:szCs w:val="22"/>
        </w:rPr>
        <w:t xml:space="preserve"> doublé ses flux</w:t>
      </w:r>
      <w:r>
        <w:rPr>
          <w:kern w:val="22"/>
          <w:szCs w:val="22"/>
        </w:rPr>
        <w:t xml:space="preserve"> en 2017.</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L</w:t>
      </w:r>
      <w:r w:rsidR="00686044">
        <w:rPr>
          <w:kern w:val="22"/>
          <w:szCs w:val="22"/>
        </w:rPr>
        <w:t>’</w:t>
      </w:r>
      <w:r>
        <w:rPr>
          <w:kern w:val="22"/>
          <w:szCs w:val="22"/>
        </w:rPr>
        <w:t>annexe II donne des ch</w:t>
      </w:r>
      <w:r w:rsidR="008D5ABB">
        <w:rPr>
          <w:kern w:val="22"/>
          <w:szCs w:val="22"/>
        </w:rPr>
        <w:t xml:space="preserve">iffres en </w:t>
      </w:r>
      <w:r w:rsidR="00905709" w:rsidRPr="00905709">
        <w:rPr>
          <w:kern w:val="22"/>
          <w:szCs w:val="22"/>
        </w:rPr>
        <w:t>dollars des États-Unis</w:t>
      </w:r>
      <w:r>
        <w:rPr>
          <w:kern w:val="22"/>
          <w:szCs w:val="22"/>
        </w:rPr>
        <w:t>. En raison des fluctuations monétaires, les montan</w:t>
      </w:r>
      <w:r w:rsidR="008D5ABB">
        <w:rPr>
          <w:kern w:val="22"/>
          <w:szCs w:val="22"/>
        </w:rPr>
        <w:t>ts en monnaies nationales sero</w:t>
      </w:r>
      <w:r>
        <w:rPr>
          <w:kern w:val="22"/>
          <w:szCs w:val="22"/>
        </w:rPr>
        <w:t>nt plus élevés (dans le cas d</w:t>
      </w:r>
      <w:r w:rsidR="00686044">
        <w:rPr>
          <w:kern w:val="22"/>
          <w:szCs w:val="22"/>
        </w:rPr>
        <w:t>’</w:t>
      </w:r>
      <w:r>
        <w:rPr>
          <w:kern w:val="22"/>
          <w:szCs w:val="22"/>
        </w:rPr>
        <w:t>une appréciation des monnaies nationales par rapport au dollar</w:t>
      </w:r>
      <w:r w:rsidR="008D5ABB">
        <w:rPr>
          <w:kern w:val="22"/>
          <w:szCs w:val="22"/>
        </w:rPr>
        <w:t xml:space="preserve"> </w:t>
      </w:r>
      <w:r w:rsidR="00905709" w:rsidRPr="00905709">
        <w:rPr>
          <w:kern w:val="22"/>
          <w:szCs w:val="22"/>
        </w:rPr>
        <w:t>des États-Unis</w:t>
      </w:r>
      <w:r>
        <w:rPr>
          <w:kern w:val="22"/>
          <w:szCs w:val="22"/>
        </w:rPr>
        <w:t>, par rapport au niveau de référence)</w:t>
      </w:r>
      <w:r w:rsidR="008D5ABB">
        <w:rPr>
          <w:kern w:val="22"/>
          <w:szCs w:val="22"/>
        </w:rPr>
        <w:t>,</w:t>
      </w:r>
      <w:r>
        <w:rPr>
          <w:kern w:val="22"/>
          <w:szCs w:val="22"/>
        </w:rPr>
        <w:t xml:space="preserve"> ou plus faibles (dans le cas d</w:t>
      </w:r>
      <w:r w:rsidR="00686044">
        <w:rPr>
          <w:kern w:val="22"/>
          <w:szCs w:val="22"/>
        </w:rPr>
        <w:t>’</w:t>
      </w:r>
      <w:r>
        <w:rPr>
          <w:kern w:val="22"/>
          <w:szCs w:val="22"/>
        </w:rPr>
        <w:t>une dépréciation). Par exemple</w:t>
      </w:r>
      <w:r w:rsidR="008D5ABB">
        <w:rPr>
          <w:kern w:val="22"/>
          <w:szCs w:val="22"/>
        </w:rPr>
        <w:t>, en exprimant les montants en E</w:t>
      </w:r>
      <w:r>
        <w:rPr>
          <w:kern w:val="22"/>
          <w:szCs w:val="22"/>
        </w:rPr>
        <w:t>uros, les institutions de l</w:t>
      </w:r>
      <w:r w:rsidR="00686044">
        <w:rPr>
          <w:kern w:val="22"/>
          <w:szCs w:val="22"/>
        </w:rPr>
        <w:t>’</w:t>
      </w:r>
      <w:r>
        <w:rPr>
          <w:kern w:val="22"/>
          <w:szCs w:val="22"/>
        </w:rPr>
        <w:t xml:space="preserve">Union </w:t>
      </w:r>
      <w:bookmarkStart w:id="3" w:name="_Hlk96961222"/>
      <w:r>
        <w:rPr>
          <w:kern w:val="22"/>
          <w:szCs w:val="22"/>
        </w:rPr>
        <w:t xml:space="preserve">européenne, avec </w:t>
      </w:r>
      <w:r>
        <w:rPr>
          <w:kern w:val="22"/>
          <w:szCs w:val="22"/>
        </w:rPr>
        <w:lastRenderedPageBreak/>
        <w:t>un quotient de 2,05 pour 2</w:t>
      </w:r>
      <w:r w:rsidR="008D5ABB">
        <w:rPr>
          <w:kern w:val="22"/>
          <w:szCs w:val="22"/>
        </w:rPr>
        <w:t>015, ont atteint le doublement de leurs flux en</w:t>
      </w:r>
      <w:r w:rsidR="006171DA">
        <w:rPr>
          <w:kern w:val="22"/>
          <w:szCs w:val="22"/>
        </w:rPr>
        <w:t xml:space="preserve"> 2015, tandis que</w:t>
      </w:r>
      <w:r>
        <w:rPr>
          <w:kern w:val="22"/>
          <w:szCs w:val="22"/>
        </w:rPr>
        <w:t xml:space="preserve"> les États membres de l</w:t>
      </w:r>
      <w:r w:rsidR="00686044">
        <w:rPr>
          <w:kern w:val="22"/>
          <w:szCs w:val="22"/>
        </w:rPr>
        <w:t>’</w:t>
      </w:r>
      <w:r>
        <w:rPr>
          <w:kern w:val="22"/>
          <w:szCs w:val="22"/>
        </w:rPr>
        <w:t xml:space="preserve">Union européenne ont </w:t>
      </w:r>
      <w:bookmarkEnd w:id="2"/>
      <w:r>
        <w:rPr>
          <w:kern w:val="22"/>
          <w:szCs w:val="22"/>
        </w:rPr>
        <w:t>collectivement presque doublé leurs flu</w:t>
      </w:r>
      <w:r w:rsidR="008D5ABB">
        <w:rPr>
          <w:kern w:val="22"/>
          <w:szCs w:val="22"/>
        </w:rPr>
        <w:t>x internationaux de ressources en</w:t>
      </w:r>
      <w:r>
        <w:rPr>
          <w:kern w:val="22"/>
          <w:szCs w:val="22"/>
        </w:rPr>
        <w:t xml:space="preserve"> 2015 (quotient de 1,9), ont atteint le doublement d</w:t>
      </w:r>
      <w:r w:rsidR="008D5ABB">
        <w:rPr>
          <w:kern w:val="22"/>
          <w:szCs w:val="22"/>
        </w:rPr>
        <w:t>e leurs flux en 2016 et ont maintenu c</w:t>
      </w:r>
      <w:r>
        <w:rPr>
          <w:kern w:val="22"/>
          <w:szCs w:val="22"/>
        </w:rPr>
        <w:t>e doublement au cours des années suivantes.</w:t>
      </w:r>
      <w:bookmarkEnd w:id="3"/>
      <w:r w:rsidR="00040067" w:rsidRPr="00696B9C">
        <w:rPr>
          <w:rStyle w:val="FootnoteReference"/>
          <w:kern w:val="22"/>
          <w:szCs w:val="22"/>
        </w:rPr>
        <w:footnoteReference w:id="8"/>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Les données sur les flux privés restent très disparates</w:t>
      </w:r>
      <w:r w:rsidR="006F561F">
        <w:rPr>
          <w:kern w:val="22"/>
          <w:szCs w:val="22"/>
        </w:rPr>
        <w:t>. Toutes les Parties ayant présenté</w:t>
      </w:r>
      <w:r w:rsidR="006171DA">
        <w:rPr>
          <w:kern w:val="22"/>
          <w:szCs w:val="22"/>
        </w:rPr>
        <w:t xml:space="preserve"> un rapport</w:t>
      </w:r>
      <w:r>
        <w:rPr>
          <w:kern w:val="22"/>
          <w:szCs w:val="22"/>
        </w:rPr>
        <w:t xml:space="preserve"> ont déclaré qu</w:t>
      </w:r>
      <w:r w:rsidR="00686044">
        <w:rPr>
          <w:kern w:val="22"/>
          <w:szCs w:val="22"/>
        </w:rPr>
        <w:t>’</w:t>
      </w:r>
      <w:r>
        <w:rPr>
          <w:kern w:val="22"/>
          <w:szCs w:val="22"/>
        </w:rPr>
        <w:t>elles avaient pris au moins certaines mesures pour encourager le secteur privé et les organisations de la société civile à fournir un appui international, et qu</w:t>
      </w:r>
      <w:r w:rsidR="00686044">
        <w:rPr>
          <w:kern w:val="22"/>
          <w:szCs w:val="22"/>
        </w:rPr>
        <w:t>’</w:t>
      </w:r>
      <w:r>
        <w:rPr>
          <w:kern w:val="22"/>
          <w:szCs w:val="22"/>
        </w:rPr>
        <w:t xml:space="preserve">elles avaient fourni des informations qualitatives et quantitatives à ce sujet. Toutefois, dans </w:t>
      </w:r>
      <w:r w:rsidR="006171DA">
        <w:rPr>
          <w:kern w:val="22"/>
          <w:szCs w:val="22"/>
        </w:rPr>
        <w:t>le cadre du cycle d’établissement des rapports de</w:t>
      </w:r>
      <w:r>
        <w:rPr>
          <w:kern w:val="22"/>
          <w:szCs w:val="22"/>
        </w:rPr>
        <w:t xml:space="preserve"> 2020, seuls deux pays (l</w:t>
      </w:r>
      <w:r w:rsidR="00686044">
        <w:rPr>
          <w:kern w:val="22"/>
          <w:szCs w:val="22"/>
        </w:rPr>
        <w:t>’</w:t>
      </w:r>
      <w:r>
        <w:rPr>
          <w:kern w:val="22"/>
          <w:szCs w:val="22"/>
        </w:rPr>
        <w:t>Autriche et la Suisse) ont fourni des informations quantitatives dans la colonne correspondante du tableau du</w:t>
      </w:r>
      <w:r w:rsidR="006171DA">
        <w:rPr>
          <w:kern w:val="22"/>
          <w:szCs w:val="22"/>
        </w:rPr>
        <w:t xml:space="preserve"> cadre de présentation des rapports financiers</w:t>
      </w:r>
      <w:r>
        <w:rPr>
          <w:kern w:val="22"/>
          <w:szCs w:val="22"/>
        </w:rPr>
        <w:t>. Quelques au</w:t>
      </w:r>
      <w:r w:rsidR="006171DA">
        <w:rPr>
          <w:kern w:val="22"/>
          <w:szCs w:val="22"/>
        </w:rPr>
        <w:t>tres pays avaient communiqué des</w:t>
      </w:r>
      <w:r>
        <w:rPr>
          <w:kern w:val="22"/>
          <w:szCs w:val="22"/>
        </w:rPr>
        <w:t xml:space="preserve"> données </w:t>
      </w:r>
      <w:r w:rsidR="006171DA">
        <w:rPr>
          <w:kern w:val="22"/>
          <w:szCs w:val="22"/>
        </w:rPr>
        <w:t xml:space="preserve">en la matière </w:t>
      </w:r>
      <w:r>
        <w:rPr>
          <w:kern w:val="22"/>
          <w:szCs w:val="22"/>
        </w:rPr>
        <w:t>dans le cadre du premier cycle</w:t>
      </w:r>
      <w:r w:rsidR="006171DA">
        <w:rPr>
          <w:kern w:val="22"/>
          <w:szCs w:val="22"/>
        </w:rPr>
        <w:t xml:space="preserve"> d’établissement des rapports, mais ces initiatives</w:t>
      </w:r>
      <w:r>
        <w:rPr>
          <w:kern w:val="22"/>
          <w:szCs w:val="22"/>
        </w:rPr>
        <w:t xml:space="preserve"> n</w:t>
      </w:r>
      <w:r w:rsidR="00686044">
        <w:rPr>
          <w:kern w:val="22"/>
          <w:szCs w:val="22"/>
        </w:rPr>
        <w:t>’</w:t>
      </w:r>
      <w:r>
        <w:rPr>
          <w:kern w:val="22"/>
          <w:szCs w:val="22"/>
        </w:rPr>
        <w:t>on</w:t>
      </w:r>
      <w:r w:rsidR="006171DA">
        <w:rPr>
          <w:kern w:val="22"/>
          <w:szCs w:val="22"/>
        </w:rPr>
        <w:t>t semble-t-il pas été poursuivie</w:t>
      </w:r>
      <w:r>
        <w:rPr>
          <w:kern w:val="22"/>
          <w:szCs w:val="22"/>
        </w:rPr>
        <w:t>s.</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bCs/>
          <w:kern w:val="22"/>
          <w:szCs w:val="22"/>
        </w:rPr>
        <w:t xml:space="preserve">Les </w:t>
      </w:r>
      <w:r>
        <w:rPr>
          <w:kern w:val="22"/>
          <w:szCs w:val="22"/>
        </w:rPr>
        <w:t>membres du</w:t>
      </w:r>
      <w:r>
        <w:rPr>
          <w:bCs/>
          <w:kern w:val="22"/>
          <w:szCs w:val="22"/>
        </w:rPr>
        <w:t xml:space="preserve"> CAD</w:t>
      </w:r>
      <w:r>
        <w:rPr>
          <w:kern w:val="22"/>
          <w:szCs w:val="22"/>
        </w:rPr>
        <w:t xml:space="preserve"> ont fait référence à la méthodologie du marqueur de Rio (qui fait partie du Système de n</w:t>
      </w:r>
      <w:r w:rsidR="00847864">
        <w:rPr>
          <w:kern w:val="22"/>
          <w:szCs w:val="22"/>
        </w:rPr>
        <w:t>otification des pays créanciers</w:t>
      </w:r>
      <w:r w:rsidR="00372B16">
        <w:rPr>
          <w:kern w:val="22"/>
          <w:szCs w:val="22"/>
        </w:rPr>
        <w:t xml:space="preserve"> </w:t>
      </w:r>
      <w:r>
        <w:rPr>
          <w:kern w:val="22"/>
          <w:szCs w:val="22"/>
        </w:rPr>
        <w:t>de l</w:t>
      </w:r>
      <w:r w:rsidR="00686044">
        <w:rPr>
          <w:kern w:val="22"/>
          <w:szCs w:val="22"/>
        </w:rPr>
        <w:t>’</w:t>
      </w:r>
      <w:r>
        <w:rPr>
          <w:kern w:val="22"/>
          <w:szCs w:val="22"/>
        </w:rPr>
        <w:t xml:space="preserve">OCDE) comme base de leurs rapports sur les ressources </w:t>
      </w:r>
      <w:r w:rsidR="006171DA">
        <w:rPr>
          <w:kern w:val="22"/>
          <w:szCs w:val="22"/>
        </w:rPr>
        <w:t xml:space="preserve">qu’ils ont </w:t>
      </w:r>
      <w:r>
        <w:rPr>
          <w:kern w:val="22"/>
          <w:szCs w:val="22"/>
        </w:rPr>
        <w:t>fournies. Dans le cadre de la méthodologie du mar</w:t>
      </w:r>
      <w:r w:rsidR="006171DA">
        <w:rPr>
          <w:kern w:val="22"/>
          <w:szCs w:val="22"/>
        </w:rPr>
        <w:t>queur de Rio, le CAD rassemble l</w:t>
      </w:r>
      <w:r>
        <w:rPr>
          <w:kern w:val="22"/>
          <w:szCs w:val="22"/>
        </w:rPr>
        <w:t xml:space="preserve">es données des États membres du CAD concernant la part de leur aide bilatérale au développement qui a la biodiversité comme objectif « principal » ou « </w:t>
      </w:r>
      <w:r w:rsidR="00502BDD">
        <w:rPr>
          <w:kern w:val="22"/>
          <w:szCs w:val="22"/>
        </w:rPr>
        <w:t>significatif</w:t>
      </w:r>
      <w:r>
        <w:rPr>
          <w:kern w:val="22"/>
          <w:szCs w:val="22"/>
        </w:rPr>
        <w:t xml:space="preserve"> ». Le tableau 2 ci-dessous fournit des informations pertinentes sur l</w:t>
      </w:r>
      <w:r w:rsidR="00686044">
        <w:rPr>
          <w:kern w:val="22"/>
          <w:szCs w:val="22"/>
        </w:rPr>
        <w:t>’</w:t>
      </w:r>
      <w:r>
        <w:rPr>
          <w:kern w:val="22"/>
          <w:szCs w:val="22"/>
        </w:rPr>
        <w:t>aide engagée lié</w:t>
      </w:r>
      <w:r w:rsidR="00604E52">
        <w:rPr>
          <w:kern w:val="22"/>
          <w:szCs w:val="22"/>
        </w:rPr>
        <w:t>e à la biodiversité, à partir</w:t>
      </w:r>
      <w:r>
        <w:rPr>
          <w:kern w:val="22"/>
          <w:szCs w:val="22"/>
        </w:rPr>
        <w:t xml:space="preserve"> des donnée</w:t>
      </w:r>
      <w:r w:rsidR="006171DA">
        <w:rPr>
          <w:kern w:val="22"/>
          <w:szCs w:val="22"/>
        </w:rPr>
        <w:t>s provenant de</w:t>
      </w:r>
      <w:r>
        <w:rPr>
          <w:kern w:val="22"/>
          <w:szCs w:val="22"/>
        </w:rPr>
        <w:t xml:space="preserve"> la base de données </w:t>
      </w:r>
      <w:r w:rsidR="00604E52">
        <w:rPr>
          <w:kern w:val="22"/>
          <w:szCs w:val="22"/>
        </w:rPr>
        <w:t xml:space="preserve">du </w:t>
      </w:r>
      <w:r w:rsidR="006F561F" w:rsidRPr="006F561F">
        <w:rPr>
          <w:kern w:val="22"/>
          <w:szCs w:val="22"/>
        </w:rPr>
        <w:t>Système de notification des pays créanciers</w:t>
      </w:r>
      <w:r>
        <w:rPr>
          <w:kern w:val="22"/>
          <w:szCs w:val="22"/>
        </w:rPr>
        <w:t>. Lors de l</w:t>
      </w:r>
      <w:r w:rsidR="00686044">
        <w:rPr>
          <w:kern w:val="22"/>
          <w:szCs w:val="22"/>
        </w:rPr>
        <w:t>’</w:t>
      </w:r>
      <w:r>
        <w:rPr>
          <w:kern w:val="22"/>
          <w:szCs w:val="22"/>
        </w:rPr>
        <w:t>examen des données, il convient de garder à l</w:t>
      </w:r>
      <w:r w:rsidR="00686044">
        <w:rPr>
          <w:kern w:val="22"/>
          <w:szCs w:val="22"/>
        </w:rPr>
        <w:t>’</w:t>
      </w:r>
      <w:r>
        <w:rPr>
          <w:kern w:val="22"/>
          <w:szCs w:val="22"/>
        </w:rPr>
        <w:t>esprit que :</w:t>
      </w:r>
    </w:p>
    <w:p w:rsidR="00AC7EA1" w:rsidRDefault="00324D7C">
      <w:pPr>
        <w:numPr>
          <w:ilvl w:val="1"/>
          <w:numId w:val="19"/>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Pr>
          <w:snapToGrid w:val="0"/>
          <w:kern w:val="22"/>
          <w:szCs w:val="22"/>
        </w:rPr>
        <w:t>Le deuxième plus grand donateur d</w:t>
      </w:r>
      <w:r w:rsidR="00686044">
        <w:rPr>
          <w:snapToGrid w:val="0"/>
          <w:kern w:val="22"/>
          <w:szCs w:val="22"/>
        </w:rPr>
        <w:t>’</w:t>
      </w:r>
      <w:r>
        <w:rPr>
          <w:snapToGrid w:val="0"/>
          <w:kern w:val="22"/>
          <w:szCs w:val="22"/>
        </w:rPr>
        <w:t>aide liée à la biodiversité n</w:t>
      </w:r>
      <w:r w:rsidR="00686044">
        <w:rPr>
          <w:snapToGrid w:val="0"/>
          <w:kern w:val="22"/>
          <w:szCs w:val="22"/>
        </w:rPr>
        <w:t>’</w:t>
      </w:r>
      <w:r>
        <w:rPr>
          <w:snapToGrid w:val="0"/>
          <w:kern w:val="22"/>
          <w:szCs w:val="22"/>
        </w:rPr>
        <w:t>est pas Partie à la Convention et n</w:t>
      </w:r>
      <w:r w:rsidR="00686044">
        <w:rPr>
          <w:snapToGrid w:val="0"/>
          <w:kern w:val="22"/>
          <w:szCs w:val="22"/>
        </w:rPr>
        <w:t>’</w:t>
      </w:r>
      <w:r w:rsidR="00511AFF">
        <w:rPr>
          <w:snapToGrid w:val="0"/>
          <w:kern w:val="22"/>
          <w:szCs w:val="22"/>
        </w:rPr>
        <w:t xml:space="preserve">a donc pas remis un rapport au titre du </w:t>
      </w:r>
      <w:r w:rsidR="00686044">
        <w:rPr>
          <w:snapToGrid w:val="0"/>
          <w:kern w:val="22"/>
          <w:szCs w:val="22"/>
        </w:rPr>
        <w:t>cadre de présentation des</w:t>
      </w:r>
      <w:r>
        <w:rPr>
          <w:snapToGrid w:val="0"/>
          <w:kern w:val="22"/>
          <w:szCs w:val="22"/>
        </w:rPr>
        <w:t xml:space="preserve"> rapports financiers, mais il est </w:t>
      </w:r>
      <w:r w:rsidR="006171DA">
        <w:rPr>
          <w:snapToGrid w:val="0"/>
          <w:kern w:val="22"/>
          <w:szCs w:val="22"/>
        </w:rPr>
        <w:t xml:space="preserve">inclus dans les données du </w:t>
      </w:r>
      <w:r w:rsidR="006F561F" w:rsidRPr="006F561F">
        <w:rPr>
          <w:snapToGrid w:val="0"/>
          <w:kern w:val="22"/>
          <w:szCs w:val="22"/>
        </w:rPr>
        <w:t>Système de notification des pays créanciers</w:t>
      </w:r>
      <w:r>
        <w:rPr>
          <w:snapToGrid w:val="0"/>
          <w:kern w:val="22"/>
          <w:szCs w:val="22"/>
        </w:rPr>
        <w:t>;</w:t>
      </w:r>
    </w:p>
    <w:p w:rsidR="00AC7EA1" w:rsidRDefault="00511AFF">
      <w:pPr>
        <w:numPr>
          <w:ilvl w:val="1"/>
          <w:numId w:val="19"/>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Pr>
          <w:snapToGrid w:val="0"/>
          <w:kern w:val="22"/>
          <w:szCs w:val="22"/>
        </w:rPr>
        <w:t>Les marqueurs de Rio po</w:t>
      </w:r>
      <w:r w:rsidR="006171DA">
        <w:rPr>
          <w:snapToGrid w:val="0"/>
          <w:kern w:val="22"/>
          <w:szCs w:val="22"/>
        </w:rPr>
        <w:t>ur</w:t>
      </w:r>
      <w:r w:rsidR="00324D7C">
        <w:rPr>
          <w:snapToGrid w:val="0"/>
          <w:kern w:val="22"/>
          <w:szCs w:val="22"/>
        </w:rPr>
        <w:t xml:space="preserve"> la diversité biologique couvrent l</w:t>
      </w:r>
      <w:r w:rsidR="00686044">
        <w:rPr>
          <w:snapToGrid w:val="0"/>
          <w:kern w:val="22"/>
          <w:szCs w:val="22"/>
        </w:rPr>
        <w:t>’</w:t>
      </w:r>
      <w:r>
        <w:rPr>
          <w:snapToGrid w:val="0"/>
          <w:kern w:val="22"/>
          <w:szCs w:val="22"/>
        </w:rPr>
        <w:t>aide bilatérale, alors</w:t>
      </w:r>
      <w:r w:rsidR="00324D7C">
        <w:rPr>
          <w:snapToGrid w:val="0"/>
          <w:kern w:val="22"/>
          <w:szCs w:val="22"/>
        </w:rPr>
        <w:t xml:space="preserve"> que la plupar</w:t>
      </w:r>
      <w:r>
        <w:rPr>
          <w:snapToGrid w:val="0"/>
          <w:kern w:val="22"/>
          <w:szCs w:val="22"/>
        </w:rPr>
        <w:t>t des Parties qui ont remis un rapport</w:t>
      </w:r>
      <w:r w:rsidR="00324D7C">
        <w:rPr>
          <w:snapToGrid w:val="0"/>
          <w:kern w:val="22"/>
          <w:szCs w:val="22"/>
        </w:rPr>
        <w:t xml:space="preserve"> au titre du cadre d</w:t>
      </w:r>
      <w:r>
        <w:rPr>
          <w:snapToGrid w:val="0"/>
          <w:kern w:val="22"/>
          <w:szCs w:val="22"/>
        </w:rPr>
        <w:t>e présentation des rapports financiers</w:t>
      </w:r>
      <w:r w:rsidR="00324D7C">
        <w:rPr>
          <w:snapToGrid w:val="0"/>
          <w:kern w:val="22"/>
          <w:szCs w:val="22"/>
        </w:rPr>
        <w:t xml:space="preserve"> incluent également l</w:t>
      </w:r>
      <w:r w:rsidR="00686044">
        <w:rPr>
          <w:snapToGrid w:val="0"/>
          <w:kern w:val="22"/>
          <w:szCs w:val="22"/>
        </w:rPr>
        <w:t>’</w:t>
      </w:r>
      <w:r w:rsidR="00324D7C">
        <w:rPr>
          <w:snapToGrid w:val="0"/>
          <w:kern w:val="22"/>
          <w:szCs w:val="22"/>
        </w:rPr>
        <w:t>aide multilatérale au développement</w:t>
      </w:r>
      <w:r>
        <w:rPr>
          <w:snapToGrid w:val="0"/>
          <w:kern w:val="22"/>
          <w:szCs w:val="22"/>
        </w:rPr>
        <w:t xml:space="preserve"> liée à la diversité biologique</w:t>
      </w:r>
      <w:r w:rsidR="00324D7C">
        <w:rPr>
          <w:snapToGrid w:val="0"/>
          <w:kern w:val="22"/>
          <w:szCs w:val="22"/>
        </w:rPr>
        <w:t>;</w:t>
      </w:r>
      <w:r w:rsidR="00BD6514" w:rsidRPr="00000DA0">
        <w:rPr>
          <w:rStyle w:val="FootnoteReference"/>
          <w:snapToGrid w:val="0"/>
          <w:kern w:val="22"/>
          <w:szCs w:val="22"/>
        </w:rPr>
        <w:footnoteReference w:id="9"/>
      </w:r>
    </w:p>
    <w:p w:rsidR="00AC7EA1" w:rsidRDefault="00324D7C">
      <w:pPr>
        <w:numPr>
          <w:ilvl w:val="1"/>
          <w:numId w:val="19"/>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Pr>
          <w:snapToGrid w:val="0"/>
          <w:kern w:val="22"/>
          <w:szCs w:val="22"/>
        </w:rPr>
        <w:t>Si la plupart des Parties font état de décaissements effectifs, les données fournies dans le tableau 2 ci-après concernent les engagements</w:t>
      </w:r>
      <w:r w:rsidR="00502BDD">
        <w:rPr>
          <w:snapToGrid w:val="0"/>
          <w:kern w:val="22"/>
          <w:szCs w:val="22"/>
        </w:rPr>
        <w:t xml:space="preserve"> en matière d</w:t>
      </w:r>
      <w:r w:rsidR="00372B16">
        <w:rPr>
          <w:snapToGrid w:val="0"/>
          <w:kern w:val="22"/>
          <w:szCs w:val="22"/>
        </w:rPr>
        <w:t>’aide</w:t>
      </w:r>
      <w:r w:rsidR="00502BDD">
        <w:rPr>
          <w:snapToGrid w:val="0"/>
          <w:kern w:val="22"/>
          <w:szCs w:val="22"/>
        </w:rPr>
        <w:t>.</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 xml:space="preserve">Dans le </w:t>
      </w:r>
      <w:r w:rsidR="00686044">
        <w:rPr>
          <w:kern w:val="22"/>
          <w:szCs w:val="22"/>
        </w:rPr>
        <w:t>cadre de présentation des</w:t>
      </w:r>
      <w:r>
        <w:rPr>
          <w:kern w:val="22"/>
          <w:szCs w:val="22"/>
        </w:rPr>
        <w:t xml:space="preserve"> rapports financiers, les Parties ont utilisé différentes méthodes pour agréger les flux marqués «</w:t>
      </w:r>
      <w:r w:rsidR="00502BDD">
        <w:rPr>
          <w:kern w:val="22"/>
          <w:szCs w:val="22"/>
        </w:rPr>
        <w:t xml:space="preserve"> </w:t>
      </w:r>
      <w:r>
        <w:rPr>
          <w:kern w:val="22"/>
          <w:szCs w:val="22"/>
        </w:rPr>
        <w:t>principal</w:t>
      </w:r>
      <w:r w:rsidR="00502BDD">
        <w:rPr>
          <w:kern w:val="22"/>
          <w:szCs w:val="22"/>
        </w:rPr>
        <w:t xml:space="preserve"> </w:t>
      </w:r>
      <w:r>
        <w:rPr>
          <w:kern w:val="22"/>
          <w:szCs w:val="22"/>
        </w:rPr>
        <w:t>» et «</w:t>
      </w:r>
      <w:r w:rsidR="00502BDD">
        <w:rPr>
          <w:kern w:val="22"/>
          <w:szCs w:val="22"/>
        </w:rPr>
        <w:t xml:space="preserve"> significatif »</w:t>
      </w:r>
      <w:r>
        <w:rPr>
          <w:kern w:val="22"/>
          <w:szCs w:val="22"/>
        </w:rPr>
        <w:t>, la plupart du temps en appliquant un o</w:t>
      </w:r>
      <w:r w:rsidR="00E33A0D">
        <w:rPr>
          <w:kern w:val="22"/>
          <w:szCs w:val="22"/>
        </w:rPr>
        <w:t>u plusieurs coefficients &lt; 1 au</w:t>
      </w:r>
      <w:r>
        <w:rPr>
          <w:kern w:val="22"/>
          <w:szCs w:val="22"/>
        </w:rPr>
        <w:t xml:space="preserve"> flux «</w:t>
      </w:r>
      <w:r w:rsidR="00502BDD">
        <w:rPr>
          <w:kern w:val="22"/>
          <w:szCs w:val="22"/>
        </w:rPr>
        <w:t xml:space="preserve"> significatif </w:t>
      </w:r>
      <w:r>
        <w:rPr>
          <w:kern w:val="22"/>
          <w:szCs w:val="22"/>
        </w:rPr>
        <w:t>».</w:t>
      </w:r>
      <w:r w:rsidR="00550E27">
        <w:rPr>
          <w:rStyle w:val="FootnoteReference"/>
          <w:kern w:val="22"/>
          <w:szCs w:val="22"/>
        </w:rPr>
        <w:footnoteReference w:id="10"/>
      </w:r>
      <w:r w:rsidR="00502BDD">
        <w:rPr>
          <w:kern w:val="22"/>
          <w:szCs w:val="22"/>
        </w:rPr>
        <w:t xml:space="preserve"> La cinquième édition des </w:t>
      </w:r>
      <w:r w:rsidR="00502BDD" w:rsidRPr="00502BDD">
        <w:rPr>
          <w:i/>
          <w:kern w:val="22"/>
          <w:szCs w:val="22"/>
        </w:rPr>
        <w:t>Perspectives mondiales de la diversité biologique</w:t>
      </w:r>
      <w:r>
        <w:rPr>
          <w:kern w:val="22"/>
          <w:szCs w:val="22"/>
        </w:rPr>
        <w:t xml:space="preserve"> a utilisé, à titre d</w:t>
      </w:r>
      <w:r w:rsidR="00686044">
        <w:rPr>
          <w:kern w:val="22"/>
          <w:szCs w:val="22"/>
        </w:rPr>
        <w:t>’</w:t>
      </w:r>
      <w:r>
        <w:rPr>
          <w:kern w:val="22"/>
          <w:szCs w:val="22"/>
        </w:rPr>
        <w:t>exemple, un coefficient de 0,4, et cette</w:t>
      </w:r>
      <w:r w:rsidR="00502BDD">
        <w:rPr>
          <w:kern w:val="22"/>
          <w:szCs w:val="22"/>
        </w:rPr>
        <w:t xml:space="preserve"> approche a également été intégr</w:t>
      </w:r>
      <w:r>
        <w:rPr>
          <w:kern w:val="22"/>
          <w:szCs w:val="22"/>
        </w:rPr>
        <w:t>ée dans le tableau 2 ci-dessous.</w:t>
      </w:r>
      <w:r>
        <w:rPr>
          <w:rStyle w:val="FootnoteReference"/>
          <w:kern w:val="22"/>
          <w:szCs w:val="22"/>
        </w:rPr>
        <w:t xml:space="preserve"> </w:t>
      </w:r>
      <w:r w:rsidR="00E75C4E" w:rsidRPr="00B0379B">
        <w:rPr>
          <w:rStyle w:val="FootnoteReference"/>
          <w:kern w:val="22"/>
          <w:szCs w:val="22"/>
        </w:rPr>
        <w:footnoteReference w:id="11"/>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Compte tenu des réserves ci-dessus, les données de l</w:t>
      </w:r>
      <w:r w:rsidR="00686044">
        <w:rPr>
          <w:kern w:val="22"/>
          <w:szCs w:val="22"/>
        </w:rPr>
        <w:t>’</w:t>
      </w:r>
      <w:r>
        <w:rPr>
          <w:kern w:val="22"/>
          <w:szCs w:val="22"/>
        </w:rPr>
        <w:t>OCDE montrent que</w:t>
      </w:r>
      <w:r w:rsidR="00502BDD">
        <w:rPr>
          <w:kern w:val="22"/>
          <w:szCs w:val="22"/>
        </w:rPr>
        <w:t xml:space="preserve"> : </w:t>
      </w:r>
      <w:r>
        <w:rPr>
          <w:kern w:val="22"/>
          <w:szCs w:val="22"/>
        </w:rPr>
        <w:t>a) l</w:t>
      </w:r>
      <w:r w:rsidR="00686044">
        <w:rPr>
          <w:kern w:val="22"/>
          <w:szCs w:val="22"/>
        </w:rPr>
        <w:t>’</w:t>
      </w:r>
      <w:r>
        <w:rPr>
          <w:kern w:val="22"/>
          <w:szCs w:val="22"/>
        </w:rPr>
        <w:t>objectif de doublement a é</w:t>
      </w:r>
      <w:r w:rsidR="00474F59">
        <w:rPr>
          <w:kern w:val="22"/>
          <w:szCs w:val="22"/>
        </w:rPr>
        <w:t>té attei</w:t>
      </w:r>
      <w:r w:rsidR="00E33A0D">
        <w:rPr>
          <w:kern w:val="22"/>
          <w:szCs w:val="22"/>
        </w:rPr>
        <w:t>nt en 2015 pour le</w:t>
      </w:r>
      <w:r w:rsidR="00474F59">
        <w:rPr>
          <w:kern w:val="22"/>
          <w:szCs w:val="22"/>
        </w:rPr>
        <w:t xml:space="preserve"> flux</w:t>
      </w:r>
      <w:r w:rsidR="00E33A0D">
        <w:rPr>
          <w:kern w:val="22"/>
          <w:szCs w:val="22"/>
        </w:rPr>
        <w:t xml:space="preserve"> « principal</w:t>
      </w:r>
      <w:r>
        <w:rPr>
          <w:kern w:val="22"/>
          <w:szCs w:val="22"/>
        </w:rPr>
        <w:t xml:space="preserve"> » et po</w:t>
      </w:r>
      <w:r w:rsidR="00E33A0D">
        <w:rPr>
          <w:kern w:val="22"/>
          <w:szCs w:val="22"/>
        </w:rPr>
        <w:t>ur le</w:t>
      </w:r>
      <w:r w:rsidR="00474F59">
        <w:rPr>
          <w:kern w:val="22"/>
          <w:szCs w:val="22"/>
        </w:rPr>
        <w:t xml:space="preserve"> flux « significatif </w:t>
      </w:r>
      <w:r>
        <w:rPr>
          <w:kern w:val="22"/>
          <w:szCs w:val="22"/>
        </w:rPr>
        <w:t>», c</w:t>
      </w:r>
      <w:r w:rsidR="00686044">
        <w:rPr>
          <w:kern w:val="22"/>
          <w:szCs w:val="22"/>
        </w:rPr>
        <w:t>’</w:t>
      </w:r>
      <w:r>
        <w:rPr>
          <w:kern w:val="22"/>
          <w:szCs w:val="22"/>
        </w:rPr>
        <w:t>est-à-dire</w:t>
      </w:r>
      <w:r w:rsidR="00474F59">
        <w:rPr>
          <w:kern w:val="22"/>
          <w:szCs w:val="22"/>
        </w:rPr>
        <w:t>,</w:t>
      </w:r>
      <w:r>
        <w:rPr>
          <w:kern w:val="22"/>
          <w:szCs w:val="22"/>
        </w:rPr>
        <w:t xml:space="preserve"> quelle que soit la valeur d</w:t>
      </w:r>
      <w:r w:rsidR="00686044">
        <w:rPr>
          <w:kern w:val="22"/>
          <w:szCs w:val="22"/>
        </w:rPr>
        <w:t>’</w:t>
      </w:r>
      <w:r w:rsidR="00474F59">
        <w:rPr>
          <w:kern w:val="22"/>
          <w:szCs w:val="22"/>
        </w:rPr>
        <w:t xml:space="preserve">un coefficient spécifique; </w:t>
      </w:r>
      <w:r>
        <w:rPr>
          <w:kern w:val="22"/>
          <w:szCs w:val="22"/>
        </w:rPr>
        <w:t xml:space="preserve">b) le niveau de doublement a été maintenu tout au long des </w:t>
      </w:r>
      <w:r w:rsidR="00474F59">
        <w:rPr>
          <w:kern w:val="22"/>
          <w:szCs w:val="22"/>
        </w:rPr>
        <w:t>a</w:t>
      </w:r>
      <w:r w:rsidR="00E33A0D">
        <w:rPr>
          <w:kern w:val="22"/>
          <w:szCs w:val="22"/>
        </w:rPr>
        <w:t>nnées 2016 à 2020 pour le</w:t>
      </w:r>
      <w:r w:rsidR="00474F59">
        <w:rPr>
          <w:kern w:val="22"/>
          <w:szCs w:val="22"/>
        </w:rPr>
        <w:t xml:space="preserve"> flux</w:t>
      </w:r>
      <w:r>
        <w:rPr>
          <w:kern w:val="22"/>
          <w:szCs w:val="22"/>
        </w:rPr>
        <w:t xml:space="preserve"> « significatif »</w:t>
      </w:r>
      <w:r w:rsidR="00474F59">
        <w:rPr>
          <w:kern w:val="22"/>
          <w:szCs w:val="22"/>
        </w:rPr>
        <w:t>,</w:t>
      </w:r>
      <w:r w:rsidR="00E33A0D">
        <w:rPr>
          <w:kern w:val="22"/>
          <w:szCs w:val="22"/>
        </w:rPr>
        <w:t xml:space="preserve"> mais pas pour le</w:t>
      </w:r>
      <w:r w:rsidR="00474F59">
        <w:rPr>
          <w:kern w:val="22"/>
          <w:szCs w:val="22"/>
        </w:rPr>
        <w:t xml:space="preserve"> flux « </w:t>
      </w:r>
      <w:r w:rsidR="00E33A0D">
        <w:rPr>
          <w:kern w:val="22"/>
          <w:szCs w:val="22"/>
        </w:rPr>
        <w:t>principal</w:t>
      </w:r>
      <w:r>
        <w:rPr>
          <w:kern w:val="22"/>
          <w:szCs w:val="22"/>
        </w:rPr>
        <w:t xml:space="preserve"> ». En outre, le calcul d</w:t>
      </w:r>
      <w:r w:rsidR="00686044">
        <w:rPr>
          <w:kern w:val="22"/>
          <w:szCs w:val="22"/>
        </w:rPr>
        <w:t>’</w:t>
      </w:r>
      <w:r>
        <w:rPr>
          <w:kern w:val="22"/>
          <w:szCs w:val="22"/>
        </w:rPr>
        <w:t>un total pondéré (100 % pour le</w:t>
      </w:r>
      <w:r w:rsidR="00474F59">
        <w:rPr>
          <w:kern w:val="22"/>
          <w:szCs w:val="22"/>
        </w:rPr>
        <w:t xml:space="preserve"> flux</w:t>
      </w:r>
      <w:r>
        <w:rPr>
          <w:kern w:val="22"/>
          <w:szCs w:val="22"/>
        </w:rPr>
        <w:t xml:space="preserve"> «</w:t>
      </w:r>
      <w:r w:rsidR="00474F59">
        <w:rPr>
          <w:kern w:val="22"/>
          <w:szCs w:val="22"/>
        </w:rPr>
        <w:t xml:space="preserve"> </w:t>
      </w:r>
      <w:r w:rsidR="00E33A0D">
        <w:rPr>
          <w:kern w:val="22"/>
          <w:szCs w:val="22"/>
        </w:rPr>
        <w:t>principal</w:t>
      </w:r>
      <w:r w:rsidR="00474F59">
        <w:rPr>
          <w:kern w:val="22"/>
          <w:szCs w:val="22"/>
        </w:rPr>
        <w:t xml:space="preserve"> </w:t>
      </w:r>
      <w:r>
        <w:rPr>
          <w:kern w:val="22"/>
          <w:szCs w:val="22"/>
        </w:rPr>
        <w:t>»</w:t>
      </w:r>
      <w:r w:rsidR="00474F59">
        <w:rPr>
          <w:kern w:val="22"/>
          <w:szCs w:val="22"/>
        </w:rPr>
        <w:t>,</w:t>
      </w:r>
      <w:r>
        <w:rPr>
          <w:kern w:val="22"/>
          <w:szCs w:val="22"/>
        </w:rPr>
        <w:t xml:space="preserve"> plus tout</w:t>
      </w:r>
      <w:r w:rsidR="00E33A0D">
        <w:rPr>
          <w:kern w:val="22"/>
          <w:szCs w:val="22"/>
        </w:rPr>
        <w:t xml:space="preserve"> montant en pourcentage pour le</w:t>
      </w:r>
      <w:r>
        <w:rPr>
          <w:kern w:val="22"/>
          <w:szCs w:val="22"/>
        </w:rPr>
        <w:t xml:space="preserve"> flux «</w:t>
      </w:r>
      <w:r w:rsidR="00474F59">
        <w:rPr>
          <w:kern w:val="22"/>
          <w:szCs w:val="22"/>
        </w:rPr>
        <w:t xml:space="preserve"> </w:t>
      </w:r>
      <w:r w:rsidR="00E33A0D">
        <w:rPr>
          <w:kern w:val="22"/>
          <w:szCs w:val="22"/>
        </w:rPr>
        <w:t>significatif </w:t>
      </w:r>
      <w:r>
        <w:rPr>
          <w:kern w:val="22"/>
          <w:szCs w:val="22"/>
        </w:rPr>
        <w:t>») donne à penser que si l</w:t>
      </w:r>
      <w:r w:rsidR="00686044">
        <w:rPr>
          <w:kern w:val="22"/>
          <w:szCs w:val="22"/>
        </w:rPr>
        <w:t>’</w:t>
      </w:r>
      <w:r>
        <w:rPr>
          <w:kern w:val="22"/>
          <w:szCs w:val="22"/>
        </w:rPr>
        <w:t>objectif de d</w:t>
      </w:r>
      <w:r w:rsidR="00474F59">
        <w:rPr>
          <w:kern w:val="22"/>
          <w:szCs w:val="22"/>
        </w:rPr>
        <w:t>oubler les flux internationaux d’ici à</w:t>
      </w:r>
      <w:r>
        <w:rPr>
          <w:kern w:val="22"/>
          <w:szCs w:val="22"/>
        </w:rPr>
        <w:t xml:space="preserve"> 2015 a été atteint, ce doublement n</w:t>
      </w:r>
      <w:r w:rsidR="00686044">
        <w:rPr>
          <w:kern w:val="22"/>
          <w:szCs w:val="22"/>
        </w:rPr>
        <w:t>’</w:t>
      </w:r>
      <w:r>
        <w:rPr>
          <w:kern w:val="22"/>
          <w:szCs w:val="22"/>
        </w:rPr>
        <w:t>a pas été maintenu en moyenne jusqu</w:t>
      </w:r>
      <w:r w:rsidR="00686044">
        <w:rPr>
          <w:kern w:val="22"/>
          <w:szCs w:val="22"/>
        </w:rPr>
        <w:t>’</w:t>
      </w:r>
      <w:r>
        <w:rPr>
          <w:kern w:val="22"/>
          <w:szCs w:val="22"/>
        </w:rPr>
        <w:t>en 2020 (la moyenne sur la période 2016-2020 étant inférieure à 2 fois la valeur de référence pour tout coefficient compris entre 0 et 1).</w:t>
      </w:r>
    </w:p>
    <w:p w:rsidR="00AC7EA1" w:rsidRDefault="00324D7C">
      <w:pPr>
        <w:pStyle w:val="Para1"/>
        <w:keepNext/>
        <w:numPr>
          <w:ilvl w:val="0"/>
          <w:numId w:val="0"/>
        </w:numPr>
        <w:kinsoku w:val="0"/>
        <w:overflowPunct w:val="0"/>
        <w:autoSpaceDE w:val="0"/>
        <w:autoSpaceDN w:val="0"/>
        <w:snapToGrid w:val="0"/>
        <w:spacing w:after="60"/>
        <w:rPr>
          <w:kern w:val="22"/>
          <w:szCs w:val="22"/>
        </w:rPr>
      </w:pPr>
      <w:r>
        <w:rPr>
          <w:b/>
          <w:kern w:val="22"/>
          <w:szCs w:val="22"/>
        </w:rPr>
        <w:lastRenderedPageBreak/>
        <w:t>Tableau 2. Aide publique au développement bilatérale liée à la biodiversité</w:t>
      </w: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975"/>
        <w:gridCol w:w="868"/>
        <w:gridCol w:w="1084"/>
        <w:gridCol w:w="976"/>
        <w:gridCol w:w="976"/>
        <w:gridCol w:w="933"/>
        <w:gridCol w:w="992"/>
        <w:gridCol w:w="1003"/>
      </w:tblGrid>
      <w:tr w:rsidR="00D92AAB" w:rsidRPr="00BF3EF6" w:rsidTr="00C13977">
        <w:trPr>
          <w:cantSplit/>
          <w:jc w:val="center"/>
        </w:trPr>
        <w:tc>
          <w:tcPr>
            <w:tcW w:w="1696" w:type="dxa"/>
            <w:tcBorders>
              <w:bottom w:val="single" w:sz="4" w:space="0" w:color="auto"/>
            </w:tcBorders>
            <w:shd w:val="clear" w:color="auto" w:fill="auto"/>
            <w:tcMar>
              <w:top w:w="14" w:type="dxa"/>
              <w:left w:w="29" w:type="dxa"/>
              <w:bottom w:w="14" w:type="dxa"/>
              <w:right w:w="29" w:type="dxa"/>
            </w:tcMar>
            <w:vAlign w:val="center"/>
          </w:tcPr>
          <w:p w:rsidR="00AC7EA1" w:rsidRDefault="00324D7C">
            <w:pPr>
              <w:keepNext/>
              <w:suppressLineNumbers/>
              <w:suppressAutoHyphens/>
              <w:kinsoku w:val="0"/>
              <w:overflowPunct w:val="0"/>
              <w:autoSpaceDE w:val="0"/>
              <w:autoSpaceDN w:val="0"/>
              <w:adjustRightInd w:val="0"/>
              <w:snapToGrid w:val="0"/>
              <w:spacing w:before="40" w:after="40"/>
              <w:jc w:val="center"/>
              <w:rPr>
                <w:snapToGrid w:val="0"/>
                <w:kern w:val="22"/>
                <w:sz w:val="20"/>
                <w:szCs w:val="20"/>
              </w:rPr>
            </w:pPr>
            <w:r>
              <w:rPr>
                <w:snapToGrid w:val="0"/>
                <w:kern w:val="22"/>
                <w:sz w:val="20"/>
                <w:szCs w:val="20"/>
              </w:rPr>
              <w:t>Tous les membres du CAD</w:t>
            </w:r>
          </w:p>
        </w:tc>
        <w:tc>
          <w:tcPr>
            <w:tcW w:w="975" w:type="dxa"/>
            <w:tcBorders>
              <w:bottom w:val="single" w:sz="4" w:space="0" w:color="auto"/>
            </w:tcBorders>
            <w:shd w:val="clear" w:color="auto" w:fill="auto"/>
            <w:tcMar>
              <w:top w:w="14" w:type="dxa"/>
              <w:left w:w="29" w:type="dxa"/>
              <w:bottom w:w="14" w:type="dxa"/>
              <w:right w:w="29" w:type="dxa"/>
            </w:tcMar>
            <w:vAlign w:val="center"/>
          </w:tcPr>
          <w:p w:rsidR="00AC7EA1" w:rsidRDefault="00324D7C">
            <w:pPr>
              <w:keepNext/>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Moyenne 2006-2010</w:t>
            </w:r>
          </w:p>
        </w:tc>
        <w:tc>
          <w:tcPr>
            <w:tcW w:w="868" w:type="dxa"/>
            <w:tcBorders>
              <w:bottom w:val="single" w:sz="4" w:space="0" w:color="auto"/>
            </w:tcBorders>
            <w:shd w:val="clear" w:color="auto" w:fill="auto"/>
            <w:tcMar>
              <w:top w:w="14" w:type="dxa"/>
              <w:left w:w="29" w:type="dxa"/>
              <w:bottom w:w="14" w:type="dxa"/>
              <w:right w:w="29" w:type="dxa"/>
            </w:tcMar>
            <w:vAlign w:val="center"/>
          </w:tcPr>
          <w:p w:rsidR="00AC7EA1" w:rsidRDefault="00324D7C">
            <w:pPr>
              <w:keepNext/>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2015</w:t>
            </w:r>
          </w:p>
        </w:tc>
        <w:tc>
          <w:tcPr>
            <w:tcW w:w="1084" w:type="dxa"/>
            <w:tcBorders>
              <w:bottom w:val="single" w:sz="4" w:space="0" w:color="auto"/>
            </w:tcBorders>
            <w:vAlign w:val="center"/>
          </w:tcPr>
          <w:p w:rsidR="00AC7EA1" w:rsidRDefault="00324D7C">
            <w:pPr>
              <w:keepNext/>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2016</w:t>
            </w:r>
          </w:p>
        </w:tc>
        <w:tc>
          <w:tcPr>
            <w:tcW w:w="976" w:type="dxa"/>
            <w:tcBorders>
              <w:bottom w:val="single" w:sz="4" w:space="0" w:color="auto"/>
            </w:tcBorders>
            <w:vAlign w:val="center"/>
          </w:tcPr>
          <w:p w:rsidR="00AC7EA1" w:rsidRDefault="00324D7C">
            <w:pPr>
              <w:keepNext/>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2017</w:t>
            </w:r>
          </w:p>
        </w:tc>
        <w:tc>
          <w:tcPr>
            <w:tcW w:w="976" w:type="dxa"/>
            <w:tcBorders>
              <w:bottom w:val="single" w:sz="4" w:space="0" w:color="auto"/>
            </w:tcBorders>
            <w:vAlign w:val="center"/>
          </w:tcPr>
          <w:p w:rsidR="00AC7EA1" w:rsidRDefault="00324D7C">
            <w:pPr>
              <w:keepNext/>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2018</w:t>
            </w:r>
          </w:p>
        </w:tc>
        <w:tc>
          <w:tcPr>
            <w:tcW w:w="933" w:type="dxa"/>
            <w:tcBorders>
              <w:bottom w:val="single" w:sz="4" w:space="0" w:color="auto"/>
            </w:tcBorders>
            <w:vAlign w:val="center"/>
          </w:tcPr>
          <w:p w:rsidR="00AC7EA1" w:rsidRDefault="00324D7C">
            <w:pPr>
              <w:keepNext/>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2019</w:t>
            </w:r>
          </w:p>
        </w:tc>
        <w:tc>
          <w:tcPr>
            <w:tcW w:w="992" w:type="dxa"/>
            <w:tcBorders>
              <w:bottom w:val="single" w:sz="4" w:space="0" w:color="auto"/>
            </w:tcBorders>
            <w:vAlign w:val="center"/>
          </w:tcPr>
          <w:p w:rsidR="00AC7EA1" w:rsidRDefault="00324D7C">
            <w:pPr>
              <w:keepNext/>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2020</w:t>
            </w:r>
          </w:p>
        </w:tc>
        <w:tc>
          <w:tcPr>
            <w:tcW w:w="1003" w:type="dxa"/>
            <w:tcBorders>
              <w:bottom w:val="single" w:sz="4" w:space="0" w:color="auto"/>
            </w:tcBorders>
            <w:vAlign w:val="center"/>
          </w:tcPr>
          <w:p w:rsidR="00AC7EA1" w:rsidRDefault="00324D7C">
            <w:pPr>
              <w:keepNext/>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Moyenne 2016-2020</w:t>
            </w:r>
          </w:p>
        </w:tc>
      </w:tr>
      <w:tr w:rsidR="006730CB" w:rsidRPr="00BF3EF6" w:rsidTr="00785769">
        <w:trPr>
          <w:cantSplit/>
          <w:jc w:val="center"/>
        </w:trPr>
        <w:tc>
          <w:tcPr>
            <w:tcW w:w="9503" w:type="dxa"/>
            <w:gridSpan w:val="9"/>
            <w:tcBorders>
              <w:top w:val="single" w:sz="4" w:space="0" w:color="auto"/>
              <w:left w:val="single" w:sz="4" w:space="0" w:color="auto"/>
              <w:bottom w:val="single" w:sz="4" w:space="0" w:color="auto"/>
              <w:right w:val="single" w:sz="4" w:space="0" w:color="auto"/>
            </w:tcBorders>
            <w:shd w:val="clear" w:color="auto" w:fill="auto"/>
            <w:tcMar>
              <w:top w:w="14" w:type="dxa"/>
              <w:left w:w="29" w:type="dxa"/>
              <w:bottom w:w="14" w:type="dxa"/>
              <w:right w:w="29" w:type="dxa"/>
            </w:tcMar>
            <w:vAlign w:val="bottom"/>
          </w:tcPr>
          <w:p w:rsidR="00AC7EA1" w:rsidRDefault="00324D7C">
            <w:pPr>
              <w:keepNext/>
              <w:suppressLineNumbers/>
              <w:suppressAutoHyphens/>
              <w:kinsoku w:val="0"/>
              <w:overflowPunct w:val="0"/>
              <w:autoSpaceDE w:val="0"/>
              <w:autoSpaceDN w:val="0"/>
              <w:adjustRightInd w:val="0"/>
              <w:snapToGrid w:val="0"/>
              <w:spacing w:before="40" w:after="40"/>
              <w:jc w:val="left"/>
              <w:rPr>
                <w:snapToGrid w:val="0"/>
                <w:kern w:val="22"/>
                <w:sz w:val="20"/>
                <w:szCs w:val="20"/>
              </w:rPr>
            </w:pPr>
            <w:r>
              <w:rPr>
                <w:snapToGrid w:val="0"/>
                <w:kern w:val="22"/>
                <w:sz w:val="20"/>
                <w:szCs w:val="20"/>
              </w:rPr>
              <w:t>Flux « principal »</w:t>
            </w:r>
          </w:p>
        </w:tc>
      </w:tr>
      <w:tr w:rsidR="00D92AAB" w:rsidRPr="00BF3EF6" w:rsidTr="00C13977">
        <w:trPr>
          <w:cantSplit/>
          <w:jc w:val="center"/>
        </w:trPr>
        <w:tc>
          <w:tcPr>
            <w:tcW w:w="1696" w:type="dxa"/>
            <w:tcBorders>
              <w:top w:val="single" w:sz="4" w:space="0" w:color="auto"/>
              <w:left w:val="single" w:sz="4" w:space="0" w:color="auto"/>
              <w:bottom w:val="nil"/>
              <w:right w:val="single" w:sz="4" w:space="0" w:color="auto"/>
            </w:tcBorders>
            <w:shd w:val="clear" w:color="auto" w:fill="auto"/>
            <w:tcMar>
              <w:top w:w="14" w:type="dxa"/>
              <w:left w:w="29" w:type="dxa"/>
              <w:bottom w:w="14" w:type="dxa"/>
              <w:right w:w="29" w:type="dxa"/>
            </w:tcMar>
          </w:tcPr>
          <w:p w:rsidR="00AC7EA1" w:rsidRDefault="00847864">
            <w:pPr>
              <w:suppressLineNumbers/>
              <w:suppressAutoHyphens/>
              <w:kinsoku w:val="0"/>
              <w:overflowPunct w:val="0"/>
              <w:autoSpaceDE w:val="0"/>
              <w:autoSpaceDN w:val="0"/>
              <w:adjustRightInd w:val="0"/>
              <w:snapToGrid w:val="0"/>
              <w:spacing w:before="40" w:after="40"/>
              <w:ind w:left="90"/>
              <w:jc w:val="left"/>
              <w:rPr>
                <w:snapToGrid w:val="0"/>
                <w:kern w:val="22"/>
                <w:sz w:val="20"/>
                <w:szCs w:val="20"/>
              </w:rPr>
            </w:pPr>
            <w:r>
              <w:rPr>
                <w:snapToGrid w:val="0"/>
                <w:kern w:val="22"/>
                <w:sz w:val="20"/>
                <w:szCs w:val="20"/>
              </w:rPr>
              <w:t>E</w:t>
            </w:r>
            <w:r w:rsidR="00324D7C">
              <w:rPr>
                <w:snapToGrid w:val="0"/>
                <w:kern w:val="22"/>
                <w:sz w:val="20"/>
                <w:szCs w:val="20"/>
              </w:rPr>
              <w:t xml:space="preserve">n millions de </w:t>
            </w:r>
            <w:r w:rsidR="00905709" w:rsidRPr="00905709">
              <w:rPr>
                <w:snapToGrid w:val="0"/>
                <w:kern w:val="22"/>
                <w:sz w:val="20"/>
                <w:szCs w:val="20"/>
              </w:rPr>
              <w:t>dollars des États-Unis</w:t>
            </w:r>
          </w:p>
          <w:p w:rsidR="00AC7EA1" w:rsidRDefault="00324D7C">
            <w:pPr>
              <w:suppressLineNumbers/>
              <w:suppressAutoHyphens/>
              <w:kinsoku w:val="0"/>
              <w:overflowPunct w:val="0"/>
              <w:autoSpaceDE w:val="0"/>
              <w:autoSpaceDN w:val="0"/>
              <w:adjustRightInd w:val="0"/>
              <w:snapToGrid w:val="0"/>
              <w:spacing w:before="40" w:after="40"/>
              <w:ind w:left="90"/>
              <w:jc w:val="left"/>
              <w:rPr>
                <w:snapToGrid w:val="0"/>
                <w:kern w:val="22"/>
                <w:sz w:val="20"/>
                <w:szCs w:val="20"/>
              </w:rPr>
            </w:pPr>
            <w:r>
              <w:rPr>
                <w:i/>
                <w:iCs/>
                <w:snapToGrid w:val="0"/>
                <w:kern w:val="22"/>
                <w:sz w:val="20"/>
                <w:szCs w:val="20"/>
              </w:rPr>
              <w:t>Quotient</w:t>
            </w:r>
          </w:p>
        </w:tc>
        <w:tc>
          <w:tcPr>
            <w:tcW w:w="975" w:type="dxa"/>
            <w:tcBorders>
              <w:top w:val="single" w:sz="4" w:space="0" w:color="auto"/>
              <w:left w:val="single" w:sz="4" w:space="0" w:color="auto"/>
              <w:bottom w:val="nil"/>
              <w:right w:val="single" w:sz="4" w:space="0" w:color="auto"/>
            </w:tcBorders>
            <w:shd w:val="clear" w:color="auto" w:fill="auto"/>
            <w:tcMar>
              <w:top w:w="14" w:type="dxa"/>
              <w:left w:w="115" w:type="dxa"/>
              <w:bottom w:w="14" w:type="dxa"/>
              <w:right w:w="115" w:type="dxa"/>
            </w:tcMar>
          </w:tcPr>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2 008</w:t>
            </w:r>
          </w:p>
          <w:p w:rsidR="00990192" w:rsidRPr="00C264EE" w:rsidRDefault="00990192" w:rsidP="00875DF6">
            <w:pPr>
              <w:suppressLineNumbers/>
              <w:suppressAutoHyphens/>
              <w:kinsoku w:val="0"/>
              <w:overflowPunct w:val="0"/>
              <w:autoSpaceDE w:val="0"/>
              <w:autoSpaceDN w:val="0"/>
              <w:adjustRightInd w:val="0"/>
              <w:snapToGrid w:val="0"/>
              <w:spacing w:before="40" w:after="40"/>
              <w:jc w:val="right"/>
              <w:rPr>
                <w:snapToGrid w:val="0"/>
                <w:kern w:val="22"/>
                <w:sz w:val="20"/>
                <w:szCs w:val="20"/>
              </w:rPr>
            </w:pPr>
          </w:p>
        </w:tc>
        <w:tc>
          <w:tcPr>
            <w:tcW w:w="868" w:type="dxa"/>
            <w:tcBorders>
              <w:top w:val="single" w:sz="4" w:space="0" w:color="auto"/>
              <w:left w:val="single" w:sz="4" w:space="0" w:color="auto"/>
              <w:bottom w:val="nil"/>
              <w:right w:val="single" w:sz="4" w:space="0" w:color="auto"/>
            </w:tcBorders>
            <w:shd w:val="clear" w:color="auto" w:fill="auto"/>
            <w:tcMar>
              <w:top w:w="14" w:type="dxa"/>
              <w:left w:w="115" w:type="dxa"/>
              <w:bottom w:w="14" w:type="dxa"/>
              <w:right w:w="115" w:type="dxa"/>
            </w:tcMar>
          </w:tcPr>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4 160</w:t>
            </w:r>
          </w:p>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kern w:val="22"/>
                <w:sz w:val="20"/>
                <w:szCs w:val="20"/>
              </w:rPr>
              <w:t>2,07</w:t>
            </w:r>
          </w:p>
        </w:tc>
        <w:tc>
          <w:tcPr>
            <w:tcW w:w="1084" w:type="dxa"/>
            <w:tcBorders>
              <w:top w:val="single" w:sz="4" w:space="0" w:color="auto"/>
              <w:left w:val="single" w:sz="4" w:space="0" w:color="auto"/>
              <w:bottom w:val="nil"/>
              <w:right w:val="single" w:sz="4" w:space="0" w:color="auto"/>
            </w:tcBorders>
          </w:tcPr>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2 958</w:t>
            </w:r>
          </w:p>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kern w:val="22"/>
                <w:sz w:val="20"/>
                <w:szCs w:val="20"/>
              </w:rPr>
              <w:t>1,47</w:t>
            </w:r>
          </w:p>
        </w:tc>
        <w:tc>
          <w:tcPr>
            <w:tcW w:w="976" w:type="dxa"/>
            <w:tcBorders>
              <w:top w:val="single" w:sz="4" w:space="0" w:color="auto"/>
              <w:left w:val="single" w:sz="4" w:space="0" w:color="auto"/>
              <w:bottom w:val="nil"/>
              <w:right w:val="single" w:sz="4" w:space="0" w:color="auto"/>
            </w:tcBorders>
          </w:tcPr>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3 480</w:t>
            </w:r>
          </w:p>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kern w:val="22"/>
                <w:sz w:val="20"/>
                <w:szCs w:val="20"/>
              </w:rPr>
              <w:t>1,73</w:t>
            </w:r>
          </w:p>
        </w:tc>
        <w:tc>
          <w:tcPr>
            <w:tcW w:w="976" w:type="dxa"/>
            <w:tcBorders>
              <w:top w:val="single" w:sz="4" w:space="0" w:color="auto"/>
              <w:left w:val="single" w:sz="4" w:space="0" w:color="auto"/>
              <w:bottom w:val="nil"/>
              <w:right w:val="single" w:sz="4" w:space="0" w:color="auto"/>
            </w:tcBorders>
          </w:tcPr>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2 762</w:t>
            </w:r>
          </w:p>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kern w:val="22"/>
                <w:sz w:val="20"/>
                <w:szCs w:val="20"/>
              </w:rPr>
              <w:t>1,38</w:t>
            </w:r>
          </w:p>
        </w:tc>
        <w:tc>
          <w:tcPr>
            <w:tcW w:w="933" w:type="dxa"/>
            <w:tcBorders>
              <w:top w:val="single" w:sz="4" w:space="0" w:color="auto"/>
              <w:left w:val="single" w:sz="4" w:space="0" w:color="auto"/>
              <w:bottom w:val="nil"/>
              <w:right w:val="single" w:sz="4" w:space="0" w:color="auto"/>
            </w:tcBorders>
          </w:tcPr>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2 647</w:t>
            </w:r>
          </w:p>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kern w:val="22"/>
                <w:sz w:val="20"/>
                <w:szCs w:val="20"/>
              </w:rPr>
              <w:t>1,32</w:t>
            </w:r>
          </w:p>
        </w:tc>
        <w:tc>
          <w:tcPr>
            <w:tcW w:w="992" w:type="dxa"/>
            <w:tcBorders>
              <w:top w:val="single" w:sz="4" w:space="0" w:color="auto"/>
              <w:left w:val="single" w:sz="4" w:space="0" w:color="auto"/>
              <w:bottom w:val="nil"/>
              <w:right w:val="single" w:sz="4" w:space="0" w:color="auto"/>
            </w:tcBorders>
          </w:tcPr>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2 345</w:t>
            </w:r>
          </w:p>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kern w:val="22"/>
                <w:sz w:val="20"/>
                <w:szCs w:val="20"/>
              </w:rPr>
              <w:t>1,17</w:t>
            </w:r>
          </w:p>
        </w:tc>
        <w:tc>
          <w:tcPr>
            <w:tcW w:w="1003" w:type="dxa"/>
            <w:tcBorders>
              <w:top w:val="single" w:sz="4" w:space="0" w:color="auto"/>
              <w:left w:val="single" w:sz="4" w:space="0" w:color="auto"/>
              <w:bottom w:val="nil"/>
              <w:right w:val="single" w:sz="4" w:space="0" w:color="auto"/>
            </w:tcBorders>
          </w:tcPr>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2 838</w:t>
            </w:r>
          </w:p>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kern w:val="22"/>
                <w:sz w:val="20"/>
                <w:szCs w:val="20"/>
              </w:rPr>
              <w:t>1,66</w:t>
            </w:r>
          </w:p>
        </w:tc>
      </w:tr>
      <w:tr w:rsidR="006730CB" w:rsidRPr="00BF3EF6" w:rsidTr="00686044">
        <w:trPr>
          <w:cantSplit/>
          <w:jc w:val="center"/>
        </w:trPr>
        <w:tc>
          <w:tcPr>
            <w:tcW w:w="9503" w:type="dxa"/>
            <w:gridSpan w:val="9"/>
            <w:tcBorders>
              <w:top w:val="single" w:sz="4" w:space="0" w:color="auto"/>
              <w:left w:val="single" w:sz="4" w:space="0" w:color="auto"/>
              <w:bottom w:val="nil"/>
              <w:right w:val="single" w:sz="4" w:space="0" w:color="auto"/>
            </w:tcBorders>
            <w:shd w:val="clear" w:color="auto" w:fill="auto"/>
            <w:tcMar>
              <w:top w:w="14" w:type="dxa"/>
              <w:left w:w="29" w:type="dxa"/>
              <w:bottom w:w="14" w:type="dxa"/>
              <w:right w:w="29" w:type="dxa"/>
            </w:tcMar>
            <w:vAlign w:val="bottom"/>
          </w:tcPr>
          <w:p w:rsidR="00AC7EA1" w:rsidRDefault="00324D7C">
            <w:pPr>
              <w:keepNext/>
              <w:suppressLineNumbers/>
              <w:suppressAutoHyphens/>
              <w:kinsoku w:val="0"/>
              <w:overflowPunct w:val="0"/>
              <w:autoSpaceDE w:val="0"/>
              <w:autoSpaceDN w:val="0"/>
              <w:adjustRightInd w:val="0"/>
              <w:snapToGrid w:val="0"/>
              <w:spacing w:before="40" w:after="40"/>
              <w:jc w:val="left"/>
              <w:rPr>
                <w:snapToGrid w:val="0"/>
                <w:kern w:val="22"/>
                <w:sz w:val="20"/>
                <w:szCs w:val="20"/>
              </w:rPr>
            </w:pPr>
            <w:r>
              <w:rPr>
                <w:snapToGrid w:val="0"/>
                <w:kern w:val="22"/>
                <w:sz w:val="20"/>
                <w:szCs w:val="20"/>
              </w:rPr>
              <w:t>Flux « significatif »</w:t>
            </w:r>
          </w:p>
        </w:tc>
      </w:tr>
      <w:tr w:rsidR="006730CB" w:rsidRPr="00BF3EF6" w:rsidTr="00C13977">
        <w:trPr>
          <w:cantSplit/>
          <w:jc w:val="center"/>
        </w:trPr>
        <w:tc>
          <w:tcPr>
            <w:tcW w:w="1696" w:type="dxa"/>
            <w:tcBorders>
              <w:top w:val="single" w:sz="4" w:space="0" w:color="auto"/>
              <w:left w:val="single" w:sz="4" w:space="0" w:color="auto"/>
              <w:bottom w:val="nil"/>
              <w:right w:val="single" w:sz="4" w:space="0" w:color="auto"/>
            </w:tcBorders>
            <w:shd w:val="clear" w:color="auto" w:fill="auto"/>
            <w:tcMar>
              <w:top w:w="14" w:type="dxa"/>
              <w:left w:w="29" w:type="dxa"/>
              <w:bottom w:w="14" w:type="dxa"/>
              <w:right w:w="29" w:type="dxa"/>
            </w:tcMar>
            <w:vAlign w:val="bottom"/>
          </w:tcPr>
          <w:p w:rsidR="00AC7EA1" w:rsidRDefault="00847864">
            <w:pPr>
              <w:suppressLineNumbers/>
              <w:suppressAutoHyphens/>
              <w:kinsoku w:val="0"/>
              <w:overflowPunct w:val="0"/>
              <w:autoSpaceDE w:val="0"/>
              <w:autoSpaceDN w:val="0"/>
              <w:adjustRightInd w:val="0"/>
              <w:snapToGrid w:val="0"/>
              <w:spacing w:before="40" w:after="40"/>
              <w:ind w:left="90"/>
              <w:jc w:val="left"/>
              <w:rPr>
                <w:snapToGrid w:val="0"/>
                <w:kern w:val="22"/>
                <w:sz w:val="20"/>
                <w:szCs w:val="20"/>
              </w:rPr>
            </w:pPr>
            <w:r>
              <w:rPr>
                <w:snapToGrid w:val="0"/>
                <w:kern w:val="22"/>
                <w:sz w:val="20"/>
                <w:szCs w:val="20"/>
              </w:rPr>
              <w:t>E</w:t>
            </w:r>
            <w:r w:rsidR="00324D7C">
              <w:rPr>
                <w:snapToGrid w:val="0"/>
                <w:kern w:val="22"/>
                <w:sz w:val="20"/>
                <w:szCs w:val="20"/>
              </w:rPr>
              <w:t xml:space="preserve">n millions de </w:t>
            </w:r>
            <w:r w:rsidR="00905709" w:rsidRPr="00905709">
              <w:rPr>
                <w:snapToGrid w:val="0"/>
                <w:kern w:val="22"/>
                <w:sz w:val="20"/>
                <w:szCs w:val="20"/>
              </w:rPr>
              <w:t>dollars des États-Unis</w:t>
            </w:r>
          </w:p>
          <w:p w:rsidR="00AC7EA1" w:rsidRDefault="00324D7C">
            <w:pPr>
              <w:suppressLineNumbers/>
              <w:suppressAutoHyphens/>
              <w:kinsoku w:val="0"/>
              <w:overflowPunct w:val="0"/>
              <w:autoSpaceDE w:val="0"/>
              <w:autoSpaceDN w:val="0"/>
              <w:adjustRightInd w:val="0"/>
              <w:snapToGrid w:val="0"/>
              <w:spacing w:before="40" w:after="40"/>
              <w:ind w:left="90"/>
              <w:jc w:val="left"/>
              <w:rPr>
                <w:snapToGrid w:val="0"/>
                <w:kern w:val="22"/>
                <w:sz w:val="20"/>
                <w:szCs w:val="20"/>
              </w:rPr>
            </w:pPr>
            <w:r>
              <w:rPr>
                <w:i/>
                <w:iCs/>
                <w:snapToGrid w:val="0"/>
                <w:kern w:val="22"/>
                <w:sz w:val="20"/>
                <w:szCs w:val="20"/>
              </w:rPr>
              <w:t>Quotient</w:t>
            </w:r>
          </w:p>
        </w:tc>
        <w:tc>
          <w:tcPr>
            <w:tcW w:w="975" w:type="dxa"/>
            <w:tcBorders>
              <w:top w:val="single" w:sz="4" w:space="0" w:color="auto"/>
              <w:left w:val="single" w:sz="4" w:space="0" w:color="auto"/>
              <w:bottom w:val="nil"/>
              <w:right w:val="single" w:sz="4" w:space="0" w:color="auto"/>
            </w:tcBorders>
            <w:shd w:val="clear" w:color="auto" w:fill="auto"/>
            <w:tcMar>
              <w:top w:w="14" w:type="dxa"/>
              <w:left w:w="115" w:type="dxa"/>
              <w:bottom w:w="14" w:type="dxa"/>
              <w:right w:w="115" w:type="dxa"/>
            </w:tcMar>
            <w:vAlign w:val="bottom"/>
          </w:tcPr>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2 009</w:t>
            </w:r>
          </w:p>
          <w:p w:rsidR="00990192" w:rsidRPr="00C264EE" w:rsidRDefault="00990192" w:rsidP="006730CB">
            <w:pPr>
              <w:suppressLineNumbers/>
              <w:suppressAutoHyphens/>
              <w:kinsoku w:val="0"/>
              <w:overflowPunct w:val="0"/>
              <w:autoSpaceDE w:val="0"/>
              <w:autoSpaceDN w:val="0"/>
              <w:adjustRightInd w:val="0"/>
              <w:snapToGrid w:val="0"/>
              <w:spacing w:before="40" w:after="40"/>
              <w:jc w:val="right"/>
              <w:rPr>
                <w:snapToGrid w:val="0"/>
                <w:kern w:val="22"/>
                <w:sz w:val="20"/>
                <w:szCs w:val="20"/>
              </w:rPr>
            </w:pPr>
          </w:p>
        </w:tc>
        <w:tc>
          <w:tcPr>
            <w:tcW w:w="868" w:type="dxa"/>
            <w:tcBorders>
              <w:top w:val="single" w:sz="4" w:space="0" w:color="auto"/>
              <w:left w:val="single" w:sz="4" w:space="0" w:color="auto"/>
              <w:bottom w:val="nil"/>
              <w:right w:val="single" w:sz="4" w:space="0" w:color="auto"/>
            </w:tcBorders>
            <w:shd w:val="clear" w:color="auto" w:fill="auto"/>
            <w:tcMar>
              <w:top w:w="14" w:type="dxa"/>
              <w:left w:w="115" w:type="dxa"/>
              <w:bottom w:w="14" w:type="dxa"/>
              <w:right w:w="115" w:type="dxa"/>
            </w:tcMar>
            <w:vAlign w:val="bottom"/>
          </w:tcPr>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4 613</w:t>
            </w:r>
          </w:p>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kern w:val="22"/>
                <w:sz w:val="20"/>
                <w:szCs w:val="20"/>
              </w:rPr>
              <w:t>2,30</w:t>
            </w:r>
          </w:p>
        </w:tc>
        <w:tc>
          <w:tcPr>
            <w:tcW w:w="1084" w:type="dxa"/>
            <w:tcBorders>
              <w:top w:val="single" w:sz="4" w:space="0" w:color="auto"/>
              <w:left w:val="single" w:sz="4" w:space="0" w:color="auto"/>
              <w:bottom w:val="nil"/>
              <w:right w:val="single" w:sz="4" w:space="0" w:color="auto"/>
            </w:tcBorders>
            <w:vAlign w:val="bottom"/>
          </w:tcPr>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4 591</w:t>
            </w:r>
          </w:p>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kern w:val="22"/>
                <w:sz w:val="20"/>
                <w:szCs w:val="20"/>
              </w:rPr>
              <w:t>2,28</w:t>
            </w:r>
          </w:p>
        </w:tc>
        <w:tc>
          <w:tcPr>
            <w:tcW w:w="976" w:type="dxa"/>
            <w:tcBorders>
              <w:top w:val="single" w:sz="4" w:space="0" w:color="auto"/>
              <w:left w:val="single" w:sz="4" w:space="0" w:color="auto"/>
              <w:bottom w:val="nil"/>
              <w:right w:val="single" w:sz="4" w:space="0" w:color="auto"/>
            </w:tcBorders>
            <w:vAlign w:val="bottom"/>
          </w:tcPr>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5 359</w:t>
            </w:r>
          </w:p>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kern w:val="22"/>
                <w:sz w:val="20"/>
                <w:szCs w:val="20"/>
              </w:rPr>
              <w:t>2,67</w:t>
            </w:r>
          </w:p>
        </w:tc>
        <w:tc>
          <w:tcPr>
            <w:tcW w:w="976" w:type="dxa"/>
            <w:tcBorders>
              <w:top w:val="single" w:sz="4" w:space="0" w:color="auto"/>
              <w:left w:val="single" w:sz="4" w:space="0" w:color="auto"/>
              <w:bottom w:val="nil"/>
              <w:right w:val="single" w:sz="4" w:space="0" w:color="auto"/>
            </w:tcBorders>
            <w:vAlign w:val="bottom"/>
          </w:tcPr>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5 238</w:t>
            </w:r>
          </w:p>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kern w:val="22"/>
                <w:sz w:val="20"/>
                <w:szCs w:val="20"/>
              </w:rPr>
              <w:t>2,61</w:t>
            </w:r>
          </w:p>
        </w:tc>
        <w:tc>
          <w:tcPr>
            <w:tcW w:w="933" w:type="dxa"/>
            <w:tcBorders>
              <w:top w:val="single" w:sz="4" w:space="0" w:color="auto"/>
              <w:left w:val="single" w:sz="4" w:space="0" w:color="auto"/>
              <w:bottom w:val="nil"/>
              <w:right w:val="single" w:sz="4" w:space="0" w:color="auto"/>
            </w:tcBorders>
            <w:vAlign w:val="bottom"/>
          </w:tcPr>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4 187</w:t>
            </w:r>
          </w:p>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kern w:val="22"/>
                <w:sz w:val="20"/>
                <w:szCs w:val="20"/>
              </w:rPr>
              <w:t>2,08</w:t>
            </w:r>
          </w:p>
        </w:tc>
        <w:tc>
          <w:tcPr>
            <w:tcW w:w="992" w:type="dxa"/>
            <w:tcBorders>
              <w:top w:val="single" w:sz="4" w:space="0" w:color="auto"/>
              <w:left w:val="single" w:sz="4" w:space="0" w:color="auto"/>
              <w:bottom w:val="nil"/>
              <w:right w:val="single" w:sz="4" w:space="0" w:color="auto"/>
            </w:tcBorders>
            <w:vAlign w:val="bottom"/>
          </w:tcPr>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4 857</w:t>
            </w:r>
          </w:p>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kern w:val="22"/>
                <w:sz w:val="20"/>
                <w:szCs w:val="20"/>
              </w:rPr>
              <w:t>2,42</w:t>
            </w:r>
          </w:p>
        </w:tc>
        <w:tc>
          <w:tcPr>
            <w:tcW w:w="1003" w:type="dxa"/>
            <w:tcBorders>
              <w:top w:val="single" w:sz="4" w:space="0" w:color="auto"/>
              <w:left w:val="single" w:sz="4" w:space="0" w:color="auto"/>
              <w:bottom w:val="nil"/>
              <w:right w:val="single" w:sz="4" w:space="0" w:color="auto"/>
            </w:tcBorders>
            <w:vAlign w:val="bottom"/>
          </w:tcPr>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4 846</w:t>
            </w:r>
          </w:p>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kern w:val="22"/>
                <w:sz w:val="20"/>
                <w:szCs w:val="20"/>
              </w:rPr>
              <w:t>2,46</w:t>
            </w:r>
          </w:p>
        </w:tc>
      </w:tr>
      <w:tr w:rsidR="006730CB" w:rsidRPr="00BF3EF6" w:rsidTr="00686044">
        <w:trPr>
          <w:cantSplit/>
          <w:jc w:val="center"/>
        </w:trPr>
        <w:tc>
          <w:tcPr>
            <w:tcW w:w="9503" w:type="dxa"/>
            <w:gridSpan w:val="9"/>
            <w:tcBorders>
              <w:top w:val="single" w:sz="4" w:space="0" w:color="auto"/>
              <w:bottom w:val="single" w:sz="4" w:space="0" w:color="auto"/>
            </w:tcBorders>
            <w:shd w:val="clear" w:color="auto" w:fill="auto"/>
            <w:tcMar>
              <w:top w:w="14" w:type="dxa"/>
              <w:left w:w="29" w:type="dxa"/>
              <w:bottom w:w="14" w:type="dxa"/>
              <w:right w:w="29" w:type="dxa"/>
            </w:tcMar>
            <w:vAlign w:val="center"/>
          </w:tcPr>
          <w:p w:rsidR="00AC7EA1" w:rsidRDefault="00324D7C">
            <w:pPr>
              <w:keepNext/>
              <w:suppressLineNumbers/>
              <w:suppressAutoHyphens/>
              <w:kinsoku w:val="0"/>
              <w:overflowPunct w:val="0"/>
              <w:autoSpaceDE w:val="0"/>
              <w:autoSpaceDN w:val="0"/>
              <w:adjustRightInd w:val="0"/>
              <w:snapToGrid w:val="0"/>
              <w:spacing w:before="40" w:after="40"/>
              <w:jc w:val="left"/>
              <w:rPr>
                <w:snapToGrid w:val="0"/>
                <w:kern w:val="22"/>
                <w:sz w:val="20"/>
                <w:szCs w:val="20"/>
              </w:rPr>
            </w:pPr>
            <w:r>
              <w:rPr>
                <w:snapToGrid w:val="0"/>
                <w:kern w:val="22"/>
                <w:sz w:val="20"/>
                <w:szCs w:val="20"/>
              </w:rPr>
              <w:t>Total pon</w:t>
            </w:r>
            <w:r w:rsidR="00C13977">
              <w:rPr>
                <w:snapToGrid w:val="0"/>
                <w:kern w:val="22"/>
                <w:sz w:val="20"/>
                <w:szCs w:val="20"/>
              </w:rPr>
              <w:t>déré (100 % de flux « principal</w:t>
            </w:r>
            <w:r>
              <w:rPr>
                <w:snapToGrid w:val="0"/>
                <w:kern w:val="22"/>
                <w:sz w:val="20"/>
                <w:szCs w:val="20"/>
              </w:rPr>
              <w:t xml:space="preserve"> »</w:t>
            </w:r>
            <w:r w:rsidR="00C13977">
              <w:rPr>
                <w:snapToGrid w:val="0"/>
                <w:kern w:val="22"/>
                <w:sz w:val="20"/>
                <w:szCs w:val="20"/>
              </w:rPr>
              <w:t>,</w:t>
            </w:r>
            <w:r>
              <w:rPr>
                <w:snapToGrid w:val="0"/>
                <w:kern w:val="22"/>
                <w:sz w:val="20"/>
                <w:szCs w:val="20"/>
              </w:rPr>
              <w:t xml:space="preserve"> p</w:t>
            </w:r>
            <w:r w:rsidR="00C13977">
              <w:rPr>
                <w:snapToGrid w:val="0"/>
                <w:kern w:val="22"/>
                <w:sz w:val="20"/>
                <w:szCs w:val="20"/>
              </w:rPr>
              <w:t>lus 40 % de flux « significatif</w:t>
            </w:r>
            <w:r>
              <w:rPr>
                <w:snapToGrid w:val="0"/>
                <w:kern w:val="22"/>
                <w:sz w:val="20"/>
                <w:szCs w:val="20"/>
              </w:rPr>
              <w:t xml:space="preserve"> »)</w:t>
            </w:r>
          </w:p>
        </w:tc>
      </w:tr>
      <w:tr w:rsidR="006730CB" w:rsidRPr="00BF3EF6" w:rsidTr="00C13977">
        <w:trPr>
          <w:cantSplit/>
          <w:jc w:val="center"/>
        </w:trPr>
        <w:tc>
          <w:tcPr>
            <w:tcW w:w="1696" w:type="dxa"/>
            <w:tcBorders>
              <w:top w:val="single" w:sz="4" w:space="0" w:color="auto"/>
              <w:bottom w:val="single" w:sz="4" w:space="0" w:color="auto"/>
            </w:tcBorders>
            <w:shd w:val="clear" w:color="auto" w:fill="auto"/>
            <w:tcMar>
              <w:top w:w="14" w:type="dxa"/>
              <w:left w:w="29" w:type="dxa"/>
              <w:bottom w:w="14" w:type="dxa"/>
              <w:right w:w="29" w:type="dxa"/>
            </w:tcMar>
            <w:vAlign w:val="bottom"/>
          </w:tcPr>
          <w:p w:rsidR="00AC7EA1" w:rsidRDefault="00847864">
            <w:pPr>
              <w:suppressLineNumbers/>
              <w:suppressAutoHyphens/>
              <w:kinsoku w:val="0"/>
              <w:overflowPunct w:val="0"/>
              <w:autoSpaceDE w:val="0"/>
              <w:autoSpaceDN w:val="0"/>
              <w:adjustRightInd w:val="0"/>
              <w:snapToGrid w:val="0"/>
              <w:spacing w:before="40" w:after="40"/>
              <w:ind w:left="90"/>
              <w:jc w:val="left"/>
              <w:rPr>
                <w:snapToGrid w:val="0"/>
                <w:kern w:val="22"/>
                <w:sz w:val="20"/>
                <w:szCs w:val="20"/>
              </w:rPr>
            </w:pPr>
            <w:r>
              <w:rPr>
                <w:snapToGrid w:val="0"/>
                <w:kern w:val="22"/>
                <w:sz w:val="20"/>
                <w:szCs w:val="20"/>
              </w:rPr>
              <w:t>E</w:t>
            </w:r>
            <w:r w:rsidR="00324D7C">
              <w:rPr>
                <w:snapToGrid w:val="0"/>
                <w:kern w:val="22"/>
                <w:sz w:val="20"/>
                <w:szCs w:val="20"/>
              </w:rPr>
              <w:t xml:space="preserve">n millions de </w:t>
            </w:r>
            <w:r w:rsidR="00905709" w:rsidRPr="00905709">
              <w:rPr>
                <w:snapToGrid w:val="0"/>
                <w:kern w:val="22"/>
                <w:sz w:val="20"/>
                <w:szCs w:val="20"/>
              </w:rPr>
              <w:t>dollars des États-Unis</w:t>
            </w:r>
          </w:p>
          <w:p w:rsidR="00AC7EA1" w:rsidRDefault="00324D7C">
            <w:pPr>
              <w:suppressLineNumbers/>
              <w:suppressAutoHyphens/>
              <w:kinsoku w:val="0"/>
              <w:overflowPunct w:val="0"/>
              <w:autoSpaceDE w:val="0"/>
              <w:autoSpaceDN w:val="0"/>
              <w:adjustRightInd w:val="0"/>
              <w:snapToGrid w:val="0"/>
              <w:spacing w:before="40" w:after="40"/>
              <w:ind w:left="90"/>
              <w:jc w:val="left"/>
              <w:rPr>
                <w:snapToGrid w:val="0"/>
                <w:kern w:val="22"/>
                <w:sz w:val="20"/>
                <w:szCs w:val="20"/>
              </w:rPr>
            </w:pPr>
            <w:r>
              <w:rPr>
                <w:i/>
                <w:iCs/>
                <w:snapToGrid w:val="0"/>
                <w:kern w:val="22"/>
                <w:sz w:val="20"/>
                <w:szCs w:val="20"/>
              </w:rPr>
              <w:t>Quotient</w:t>
            </w:r>
          </w:p>
        </w:tc>
        <w:tc>
          <w:tcPr>
            <w:tcW w:w="975" w:type="dxa"/>
            <w:tcBorders>
              <w:top w:val="single" w:sz="4" w:space="0" w:color="auto"/>
              <w:bottom w:val="single" w:sz="4" w:space="0" w:color="auto"/>
            </w:tcBorders>
            <w:shd w:val="clear" w:color="auto" w:fill="auto"/>
            <w:tcMar>
              <w:top w:w="14" w:type="dxa"/>
              <w:left w:w="115" w:type="dxa"/>
              <w:bottom w:w="14" w:type="dxa"/>
              <w:right w:w="115" w:type="dxa"/>
            </w:tcMar>
            <w:vAlign w:val="center"/>
          </w:tcPr>
          <w:p w:rsidR="00AC7EA1" w:rsidRDefault="00324D7C">
            <w:pPr>
              <w:suppressLineNumbers/>
              <w:suppressAutoHyphens/>
              <w:kinsoku w:val="0"/>
              <w:overflowPunct w:val="0"/>
              <w:autoSpaceDE w:val="0"/>
              <w:autoSpaceDN w:val="0"/>
              <w:adjustRightInd w:val="0"/>
              <w:snapToGrid w:val="0"/>
              <w:spacing w:before="40" w:after="40"/>
              <w:jc w:val="right"/>
              <w:rPr>
                <w:snapToGrid w:val="0"/>
                <w:color w:val="000000"/>
                <w:kern w:val="22"/>
                <w:sz w:val="20"/>
                <w:szCs w:val="20"/>
              </w:rPr>
            </w:pPr>
            <w:r>
              <w:rPr>
                <w:snapToGrid w:val="0"/>
                <w:color w:val="000000"/>
                <w:kern w:val="22"/>
                <w:sz w:val="20"/>
                <w:szCs w:val="20"/>
              </w:rPr>
              <w:t>2 812</w:t>
            </w:r>
          </w:p>
          <w:p w:rsidR="006730CB" w:rsidRPr="00C264EE" w:rsidRDefault="006730CB" w:rsidP="006730CB">
            <w:pPr>
              <w:suppressLineNumbers/>
              <w:suppressAutoHyphens/>
              <w:kinsoku w:val="0"/>
              <w:overflowPunct w:val="0"/>
              <w:autoSpaceDE w:val="0"/>
              <w:autoSpaceDN w:val="0"/>
              <w:adjustRightInd w:val="0"/>
              <w:snapToGrid w:val="0"/>
              <w:spacing w:before="40" w:after="40"/>
              <w:jc w:val="right"/>
              <w:rPr>
                <w:snapToGrid w:val="0"/>
                <w:kern w:val="22"/>
                <w:sz w:val="20"/>
                <w:szCs w:val="20"/>
              </w:rPr>
            </w:pPr>
          </w:p>
        </w:tc>
        <w:tc>
          <w:tcPr>
            <w:tcW w:w="868" w:type="dxa"/>
            <w:tcBorders>
              <w:top w:val="single" w:sz="4" w:space="0" w:color="auto"/>
              <w:bottom w:val="single" w:sz="4" w:space="0" w:color="auto"/>
            </w:tcBorders>
            <w:shd w:val="clear" w:color="auto" w:fill="auto"/>
            <w:tcMar>
              <w:top w:w="14" w:type="dxa"/>
              <w:left w:w="115" w:type="dxa"/>
              <w:bottom w:w="14" w:type="dxa"/>
              <w:right w:w="115" w:type="dxa"/>
            </w:tcMar>
            <w:vAlign w:val="center"/>
          </w:tcPr>
          <w:p w:rsidR="00AC7EA1" w:rsidRDefault="00324D7C">
            <w:pPr>
              <w:suppressLineNumbers/>
              <w:suppressAutoHyphens/>
              <w:kinsoku w:val="0"/>
              <w:overflowPunct w:val="0"/>
              <w:autoSpaceDE w:val="0"/>
              <w:autoSpaceDN w:val="0"/>
              <w:adjustRightInd w:val="0"/>
              <w:snapToGrid w:val="0"/>
              <w:spacing w:before="40" w:after="40"/>
              <w:jc w:val="right"/>
              <w:rPr>
                <w:snapToGrid w:val="0"/>
                <w:color w:val="000000"/>
                <w:kern w:val="22"/>
                <w:sz w:val="20"/>
                <w:szCs w:val="20"/>
              </w:rPr>
            </w:pPr>
            <w:r>
              <w:rPr>
                <w:snapToGrid w:val="0"/>
                <w:color w:val="000000"/>
                <w:kern w:val="22"/>
                <w:sz w:val="20"/>
                <w:szCs w:val="20"/>
              </w:rPr>
              <w:t>6 005</w:t>
            </w:r>
          </w:p>
          <w:p w:rsidR="00AC7EA1" w:rsidRDefault="00324D7C">
            <w:pPr>
              <w:suppressLineNumbers/>
              <w:suppressAutoHyphens/>
              <w:kinsoku w:val="0"/>
              <w:overflowPunct w:val="0"/>
              <w:autoSpaceDE w:val="0"/>
              <w:autoSpaceDN w:val="0"/>
              <w:adjustRightInd w:val="0"/>
              <w:snapToGrid w:val="0"/>
              <w:spacing w:before="40" w:after="40"/>
              <w:jc w:val="right"/>
              <w:rPr>
                <w:i/>
                <w:iCs/>
                <w:snapToGrid w:val="0"/>
                <w:kern w:val="22"/>
                <w:sz w:val="20"/>
                <w:szCs w:val="20"/>
              </w:rPr>
            </w:pPr>
            <w:r>
              <w:rPr>
                <w:i/>
                <w:iCs/>
                <w:snapToGrid w:val="0"/>
                <w:color w:val="000000"/>
                <w:kern w:val="22"/>
                <w:sz w:val="20"/>
                <w:szCs w:val="20"/>
              </w:rPr>
              <w:t>2,14</w:t>
            </w:r>
          </w:p>
        </w:tc>
        <w:tc>
          <w:tcPr>
            <w:tcW w:w="1084" w:type="dxa"/>
            <w:tcBorders>
              <w:top w:val="single" w:sz="4" w:space="0" w:color="auto"/>
              <w:bottom w:val="single" w:sz="4" w:space="0" w:color="auto"/>
            </w:tcBorders>
            <w:vAlign w:val="center"/>
          </w:tcPr>
          <w:p w:rsidR="00AC7EA1" w:rsidRDefault="00324D7C">
            <w:pPr>
              <w:suppressLineNumbers/>
              <w:suppressAutoHyphens/>
              <w:kinsoku w:val="0"/>
              <w:overflowPunct w:val="0"/>
              <w:autoSpaceDE w:val="0"/>
              <w:autoSpaceDN w:val="0"/>
              <w:adjustRightInd w:val="0"/>
              <w:snapToGrid w:val="0"/>
              <w:spacing w:before="40" w:after="40"/>
              <w:jc w:val="right"/>
              <w:rPr>
                <w:snapToGrid w:val="0"/>
                <w:color w:val="000000"/>
                <w:kern w:val="22"/>
                <w:sz w:val="20"/>
                <w:szCs w:val="20"/>
              </w:rPr>
            </w:pPr>
            <w:r>
              <w:rPr>
                <w:snapToGrid w:val="0"/>
                <w:color w:val="000000"/>
                <w:kern w:val="22"/>
                <w:sz w:val="20"/>
                <w:szCs w:val="20"/>
              </w:rPr>
              <w:t>4 795</w:t>
            </w:r>
          </w:p>
          <w:p w:rsidR="00AC7EA1" w:rsidRDefault="00324D7C">
            <w:pPr>
              <w:suppressLineNumbers/>
              <w:suppressAutoHyphens/>
              <w:kinsoku w:val="0"/>
              <w:overflowPunct w:val="0"/>
              <w:autoSpaceDE w:val="0"/>
              <w:autoSpaceDN w:val="0"/>
              <w:adjustRightInd w:val="0"/>
              <w:snapToGrid w:val="0"/>
              <w:spacing w:before="40" w:after="40"/>
              <w:jc w:val="right"/>
              <w:rPr>
                <w:i/>
                <w:iCs/>
                <w:snapToGrid w:val="0"/>
                <w:kern w:val="22"/>
                <w:sz w:val="20"/>
                <w:szCs w:val="20"/>
              </w:rPr>
            </w:pPr>
            <w:r>
              <w:rPr>
                <w:i/>
                <w:iCs/>
                <w:snapToGrid w:val="0"/>
                <w:color w:val="000000"/>
                <w:kern w:val="22"/>
                <w:sz w:val="20"/>
                <w:szCs w:val="20"/>
              </w:rPr>
              <w:t>1,71</w:t>
            </w:r>
          </w:p>
        </w:tc>
        <w:tc>
          <w:tcPr>
            <w:tcW w:w="976" w:type="dxa"/>
            <w:tcBorders>
              <w:top w:val="single" w:sz="4" w:space="0" w:color="auto"/>
              <w:bottom w:val="single" w:sz="4" w:space="0" w:color="auto"/>
            </w:tcBorders>
            <w:vAlign w:val="center"/>
          </w:tcPr>
          <w:p w:rsidR="00AC7EA1" w:rsidRDefault="00324D7C">
            <w:pPr>
              <w:suppressLineNumbers/>
              <w:suppressAutoHyphens/>
              <w:kinsoku w:val="0"/>
              <w:overflowPunct w:val="0"/>
              <w:autoSpaceDE w:val="0"/>
              <w:autoSpaceDN w:val="0"/>
              <w:adjustRightInd w:val="0"/>
              <w:snapToGrid w:val="0"/>
              <w:spacing w:before="40" w:after="40"/>
              <w:jc w:val="right"/>
              <w:rPr>
                <w:snapToGrid w:val="0"/>
                <w:color w:val="000000"/>
                <w:kern w:val="22"/>
                <w:sz w:val="20"/>
                <w:szCs w:val="20"/>
              </w:rPr>
            </w:pPr>
            <w:r>
              <w:rPr>
                <w:snapToGrid w:val="0"/>
                <w:color w:val="000000"/>
                <w:kern w:val="22"/>
                <w:sz w:val="20"/>
                <w:szCs w:val="20"/>
              </w:rPr>
              <w:t>5 623</w:t>
            </w:r>
          </w:p>
          <w:p w:rsidR="00AC7EA1" w:rsidRDefault="00324D7C">
            <w:pPr>
              <w:suppressLineNumbers/>
              <w:suppressAutoHyphens/>
              <w:kinsoku w:val="0"/>
              <w:overflowPunct w:val="0"/>
              <w:autoSpaceDE w:val="0"/>
              <w:autoSpaceDN w:val="0"/>
              <w:adjustRightInd w:val="0"/>
              <w:snapToGrid w:val="0"/>
              <w:spacing w:before="40" w:after="40"/>
              <w:jc w:val="right"/>
              <w:rPr>
                <w:i/>
                <w:iCs/>
                <w:snapToGrid w:val="0"/>
                <w:kern w:val="22"/>
                <w:sz w:val="20"/>
                <w:szCs w:val="20"/>
              </w:rPr>
            </w:pPr>
            <w:r>
              <w:rPr>
                <w:i/>
                <w:iCs/>
                <w:snapToGrid w:val="0"/>
                <w:kern w:val="22"/>
                <w:sz w:val="20"/>
                <w:szCs w:val="20"/>
              </w:rPr>
              <w:t>2,00</w:t>
            </w:r>
          </w:p>
        </w:tc>
        <w:tc>
          <w:tcPr>
            <w:tcW w:w="976" w:type="dxa"/>
            <w:tcBorders>
              <w:top w:val="single" w:sz="4" w:space="0" w:color="auto"/>
              <w:bottom w:val="single" w:sz="4" w:space="0" w:color="auto"/>
            </w:tcBorders>
            <w:vAlign w:val="center"/>
          </w:tcPr>
          <w:p w:rsidR="00AC7EA1" w:rsidRDefault="00324D7C">
            <w:pPr>
              <w:suppressLineNumbers/>
              <w:suppressAutoHyphens/>
              <w:kinsoku w:val="0"/>
              <w:overflowPunct w:val="0"/>
              <w:autoSpaceDE w:val="0"/>
              <w:autoSpaceDN w:val="0"/>
              <w:adjustRightInd w:val="0"/>
              <w:snapToGrid w:val="0"/>
              <w:spacing w:before="40" w:after="40"/>
              <w:jc w:val="right"/>
              <w:rPr>
                <w:snapToGrid w:val="0"/>
                <w:color w:val="000000"/>
                <w:kern w:val="22"/>
                <w:sz w:val="20"/>
                <w:szCs w:val="20"/>
              </w:rPr>
            </w:pPr>
            <w:r>
              <w:rPr>
                <w:snapToGrid w:val="0"/>
                <w:color w:val="000000"/>
                <w:kern w:val="22"/>
                <w:sz w:val="20"/>
                <w:szCs w:val="20"/>
              </w:rPr>
              <w:t>4 857</w:t>
            </w:r>
          </w:p>
          <w:p w:rsidR="00AC7EA1" w:rsidRDefault="00324D7C">
            <w:pPr>
              <w:suppressLineNumbers/>
              <w:suppressAutoHyphens/>
              <w:kinsoku w:val="0"/>
              <w:overflowPunct w:val="0"/>
              <w:autoSpaceDE w:val="0"/>
              <w:autoSpaceDN w:val="0"/>
              <w:adjustRightInd w:val="0"/>
              <w:snapToGrid w:val="0"/>
              <w:spacing w:before="40" w:after="40"/>
              <w:jc w:val="right"/>
              <w:rPr>
                <w:i/>
                <w:iCs/>
                <w:snapToGrid w:val="0"/>
                <w:kern w:val="22"/>
                <w:sz w:val="20"/>
                <w:szCs w:val="20"/>
              </w:rPr>
            </w:pPr>
            <w:r>
              <w:rPr>
                <w:i/>
                <w:iCs/>
                <w:snapToGrid w:val="0"/>
                <w:kern w:val="22"/>
                <w:sz w:val="20"/>
                <w:szCs w:val="20"/>
              </w:rPr>
              <w:t>1,73</w:t>
            </w:r>
          </w:p>
        </w:tc>
        <w:tc>
          <w:tcPr>
            <w:tcW w:w="933" w:type="dxa"/>
            <w:tcBorders>
              <w:top w:val="single" w:sz="4" w:space="0" w:color="auto"/>
              <w:bottom w:val="single" w:sz="4" w:space="0" w:color="auto"/>
            </w:tcBorders>
            <w:vAlign w:val="center"/>
          </w:tcPr>
          <w:p w:rsidR="00AC7EA1" w:rsidRDefault="00324D7C">
            <w:pPr>
              <w:suppressLineNumbers/>
              <w:suppressAutoHyphens/>
              <w:kinsoku w:val="0"/>
              <w:overflowPunct w:val="0"/>
              <w:autoSpaceDE w:val="0"/>
              <w:autoSpaceDN w:val="0"/>
              <w:adjustRightInd w:val="0"/>
              <w:snapToGrid w:val="0"/>
              <w:spacing w:before="40" w:after="40"/>
              <w:jc w:val="right"/>
              <w:rPr>
                <w:snapToGrid w:val="0"/>
                <w:color w:val="000000"/>
                <w:kern w:val="22"/>
                <w:sz w:val="20"/>
                <w:szCs w:val="20"/>
              </w:rPr>
            </w:pPr>
            <w:r>
              <w:rPr>
                <w:snapToGrid w:val="0"/>
                <w:color w:val="000000"/>
                <w:kern w:val="22"/>
                <w:sz w:val="20"/>
                <w:szCs w:val="20"/>
              </w:rPr>
              <w:t>4 321</w:t>
            </w:r>
          </w:p>
          <w:p w:rsidR="00AC7EA1" w:rsidRDefault="00324D7C">
            <w:pPr>
              <w:suppressLineNumbers/>
              <w:suppressAutoHyphens/>
              <w:kinsoku w:val="0"/>
              <w:overflowPunct w:val="0"/>
              <w:autoSpaceDE w:val="0"/>
              <w:autoSpaceDN w:val="0"/>
              <w:adjustRightInd w:val="0"/>
              <w:snapToGrid w:val="0"/>
              <w:spacing w:before="40" w:after="40"/>
              <w:jc w:val="right"/>
              <w:rPr>
                <w:i/>
                <w:iCs/>
                <w:snapToGrid w:val="0"/>
                <w:kern w:val="22"/>
                <w:sz w:val="20"/>
                <w:szCs w:val="20"/>
              </w:rPr>
            </w:pPr>
            <w:r>
              <w:rPr>
                <w:i/>
                <w:iCs/>
                <w:snapToGrid w:val="0"/>
                <w:kern w:val="22"/>
                <w:sz w:val="20"/>
                <w:szCs w:val="20"/>
              </w:rPr>
              <w:t>1,54</w:t>
            </w:r>
          </w:p>
        </w:tc>
        <w:tc>
          <w:tcPr>
            <w:tcW w:w="992" w:type="dxa"/>
            <w:tcBorders>
              <w:top w:val="single" w:sz="4" w:space="0" w:color="auto"/>
              <w:bottom w:val="single" w:sz="4" w:space="0" w:color="auto"/>
            </w:tcBorders>
            <w:vAlign w:val="center"/>
          </w:tcPr>
          <w:p w:rsidR="00AC7EA1" w:rsidRDefault="00324D7C">
            <w:pPr>
              <w:suppressLineNumbers/>
              <w:suppressAutoHyphens/>
              <w:kinsoku w:val="0"/>
              <w:overflowPunct w:val="0"/>
              <w:autoSpaceDE w:val="0"/>
              <w:autoSpaceDN w:val="0"/>
              <w:adjustRightInd w:val="0"/>
              <w:snapToGrid w:val="0"/>
              <w:spacing w:before="40" w:after="40"/>
              <w:jc w:val="right"/>
              <w:rPr>
                <w:snapToGrid w:val="0"/>
                <w:color w:val="000000"/>
                <w:kern w:val="22"/>
                <w:sz w:val="20"/>
                <w:szCs w:val="20"/>
              </w:rPr>
            </w:pPr>
            <w:r>
              <w:rPr>
                <w:snapToGrid w:val="0"/>
                <w:color w:val="000000"/>
                <w:kern w:val="22"/>
                <w:sz w:val="20"/>
                <w:szCs w:val="20"/>
              </w:rPr>
              <w:t>4 288</w:t>
            </w:r>
          </w:p>
          <w:p w:rsidR="00AC7EA1" w:rsidRDefault="00324D7C">
            <w:pPr>
              <w:suppressLineNumbers/>
              <w:suppressAutoHyphens/>
              <w:kinsoku w:val="0"/>
              <w:overflowPunct w:val="0"/>
              <w:autoSpaceDE w:val="0"/>
              <w:autoSpaceDN w:val="0"/>
              <w:adjustRightInd w:val="0"/>
              <w:snapToGrid w:val="0"/>
              <w:spacing w:before="40" w:after="40"/>
              <w:jc w:val="right"/>
              <w:rPr>
                <w:i/>
                <w:iCs/>
                <w:snapToGrid w:val="0"/>
                <w:kern w:val="22"/>
                <w:sz w:val="20"/>
                <w:szCs w:val="20"/>
              </w:rPr>
            </w:pPr>
            <w:r>
              <w:rPr>
                <w:i/>
                <w:iCs/>
                <w:snapToGrid w:val="0"/>
                <w:kern w:val="22"/>
                <w:sz w:val="20"/>
                <w:szCs w:val="20"/>
              </w:rPr>
              <w:t>1,53</w:t>
            </w:r>
          </w:p>
        </w:tc>
        <w:tc>
          <w:tcPr>
            <w:tcW w:w="1003" w:type="dxa"/>
            <w:tcBorders>
              <w:top w:val="single" w:sz="4" w:space="0" w:color="auto"/>
              <w:bottom w:val="single" w:sz="4" w:space="0" w:color="auto"/>
            </w:tcBorders>
            <w:vAlign w:val="center"/>
          </w:tcPr>
          <w:p w:rsidR="00AC7EA1" w:rsidRDefault="00324D7C">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kern w:val="22"/>
                <w:sz w:val="20"/>
                <w:szCs w:val="20"/>
              </w:rPr>
              <w:t>4 777</w:t>
            </w:r>
          </w:p>
          <w:p w:rsidR="00AC7EA1" w:rsidRDefault="00324D7C">
            <w:pPr>
              <w:suppressLineNumbers/>
              <w:suppressAutoHyphens/>
              <w:kinsoku w:val="0"/>
              <w:overflowPunct w:val="0"/>
              <w:autoSpaceDE w:val="0"/>
              <w:autoSpaceDN w:val="0"/>
              <w:adjustRightInd w:val="0"/>
              <w:snapToGrid w:val="0"/>
              <w:spacing w:before="40" w:after="40"/>
              <w:jc w:val="right"/>
              <w:rPr>
                <w:i/>
                <w:iCs/>
                <w:snapToGrid w:val="0"/>
                <w:kern w:val="22"/>
                <w:sz w:val="20"/>
                <w:szCs w:val="20"/>
              </w:rPr>
            </w:pPr>
            <w:r>
              <w:rPr>
                <w:i/>
                <w:iCs/>
                <w:snapToGrid w:val="0"/>
                <w:kern w:val="22"/>
                <w:sz w:val="20"/>
                <w:szCs w:val="20"/>
              </w:rPr>
              <w:t>1,70</w:t>
            </w:r>
          </w:p>
        </w:tc>
      </w:tr>
      <w:tr w:rsidR="00BF3EF6" w:rsidRPr="00BF3EF6" w:rsidTr="00785769">
        <w:trPr>
          <w:cantSplit/>
          <w:jc w:val="center"/>
        </w:trPr>
        <w:tc>
          <w:tcPr>
            <w:tcW w:w="9503" w:type="dxa"/>
            <w:gridSpan w:val="9"/>
            <w:tcBorders>
              <w:top w:val="single" w:sz="4" w:space="0" w:color="auto"/>
              <w:left w:val="nil"/>
              <w:bottom w:val="nil"/>
              <w:right w:val="nil"/>
            </w:tcBorders>
            <w:shd w:val="clear" w:color="auto" w:fill="auto"/>
            <w:tcMar>
              <w:top w:w="14" w:type="dxa"/>
              <w:left w:w="29" w:type="dxa"/>
              <w:bottom w:w="14" w:type="dxa"/>
              <w:right w:w="29" w:type="dxa"/>
            </w:tcMar>
            <w:vAlign w:val="bottom"/>
          </w:tcPr>
          <w:p w:rsidR="00AC7EA1" w:rsidRDefault="00324D7C">
            <w:pPr>
              <w:suppressLineNumbers/>
              <w:suppressAutoHyphens/>
              <w:kinsoku w:val="0"/>
              <w:overflowPunct w:val="0"/>
              <w:autoSpaceDE w:val="0"/>
              <w:autoSpaceDN w:val="0"/>
              <w:adjustRightInd w:val="0"/>
              <w:snapToGrid w:val="0"/>
              <w:spacing w:before="40" w:after="40"/>
              <w:jc w:val="left"/>
              <w:rPr>
                <w:i/>
                <w:iCs/>
                <w:snapToGrid w:val="0"/>
                <w:kern w:val="22"/>
                <w:sz w:val="20"/>
                <w:szCs w:val="20"/>
              </w:rPr>
            </w:pPr>
            <w:r>
              <w:rPr>
                <w:rStyle w:val="cf11"/>
                <w:rFonts w:ascii="Times New Roman" w:hAnsi="Times New Roman" w:cs="Times New Roman"/>
                <w:i/>
                <w:iCs/>
                <w:sz w:val="20"/>
                <w:szCs w:val="20"/>
              </w:rPr>
              <w:t>Calculé à partir des données ext</w:t>
            </w:r>
            <w:r w:rsidR="00761566">
              <w:rPr>
                <w:rStyle w:val="cf11"/>
                <w:rFonts w:ascii="Times New Roman" w:hAnsi="Times New Roman" w:cs="Times New Roman"/>
                <w:i/>
                <w:iCs/>
                <w:sz w:val="20"/>
                <w:szCs w:val="20"/>
              </w:rPr>
              <w:t xml:space="preserve">raites de la base de données </w:t>
            </w:r>
            <w:r w:rsidR="00604E52" w:rsidRPr="00847864">
              <w:rPr>
                <w:rStyle w:val="cf11"/>
                <w:rFonts w:ascii="Times New Roman" w:hAnsi="Times New Roman" w:cs="Times New Roman"/>
                <w:i/>
                <w:iCs/>
                <w:sz w:val="20"/>
                <w:szCs w:val="20"/>
              </w:rPr>
              <w:t xml:space="preserve">du </w:t>
            </w:r>
            <w:r w:rsidR="006F561F" w:rsidRPr="00847864">
              <w:rPr>
                <w:rStyle w:val="cf11"/>
                <w:rFonts w:ascii="Times New Roman" w:hAnsi="Times New Roman" w:cs="Times New Roman"/>
                <w:i/>
                <w:iCs/>
                <w:sz w:val="20"/>
                <w:szCs w:val="20"/>
              </w:rPr>
              <w:t>Système de notification des pays créanciers</w:t>
            </w:r>
            <w:r>
              <w:rPr>
                <w:rStyle w:val="cf11"/>
                <w:rFonts w:ascii="Times New Roman" w:hAnsi="Times New Roman" w:cs="Times New Roman"/>
                <w:i/>
                <w:iCs/>
                <w:sz w:val="20"/>
                <w:szCs w:val="20"/>
              </w:rPr>
              <w:t xml:space="preserve"> de l</w:t>
            </w:r>
            <w:r w:rsidR="00686044">
              <w:rPr>
                <w:rStyle w:val="cf11"/>
                <w:rFonts w:ascii="Times New Roman" w:hAnsi="Times New Roman" w:cs="Times New Roman"/>
                <w:i/>
                <w:iCs/>
                <w:sz w:val="20"/>
                <w:szCs w:val="20"/>
              </w:rPr>
              <w:t>’</w:t>
            </w:r>
            <w:r>
              <w:rPr>
                <w:rStyle w:val="cf11"/>
                <w:rFonts w:ascii="Times New Roman" w:hAnsi="Times New Roman" w:cs="Times New Roman"/>
                <w:i/>
                <w:iCs/>
                <w:sz w:val="20"/>
                <w:szCs w:val="20"/>
              </w:rPr>
              <w:t>OCDE (</w:t>
            </w:r>
            <w:hyperlink r:id="rId16" w:history="1">
              <w:r>
                <w:rPr>
                  <w:i/>
                  <w:iCs/>
                  <w:color w:val="0000FF"/>
                  <w:sz w:val="20"/>
                  <w:szCs w:val="20"/>
                  <w:u w:val="single"/>
                </w:rPr>
                <w:t>http://stats.oecd.org</w:t>
              </w:r>
            </w:hyperlink>
            <w:r>
              <w:rPr>
                <w:rStyle w:val="cf11"/>
                <w:rFonts w:ascii="Times New Roman" w:hAnsi="Times New Roman" w:cs="Times New Roman"/>
                <w:i/>
                <w:iCs/>
                <w:sz w:val="20"/>
                <w:szCs w:val="20"/>
              </w:rPr>
              <w:t xml:space="preserve">) le 7 octobre 2022. </w:t>
            </w:r>
            <w:r>
              <w:rPr>
                <w:rStyle w:val="cf11"/>
                <w:rFonts w:ascii="Times New Roman" w:hAnsi="Times New Roman" w:cs="Times New Roman"/>
                <w:sz w:val="20"/>
                <w:szCs w:val="20"/>
              </w:rPr>
              <w:t>Engag</w:t>
            </w:r>
            <w:r w:rsidR="00686044">
              <w:rPr>
                <w:rStyle w:val="cf11"/>
                <w:rFonts w:ascii="Times New Roman" w:hAnsi="Times New Roman" w:cs="Times New Roman"/>
                <w:sz w:val="20"/>
                <w:szCs w:val="20"/>
              </w:rPr>
              <w:t xml:space="preserve">ements </w:t>
            </w:r>
            <w:r w:rsidR="00C13977">
              <w:rPr>
                <w:rStyle w:val="cf11"/>
                <w:rFonts w:ascii="Times New Roman" w:hAnsi="Times New Roman" w:cs="Times New Roman"/>
                <w:sz w:val="20"/>
                <w:szCs w:val="20"/>
              </w:rPr>
              <w:t xml:space="preserve">pris </w:t>
            </w:r>
            <w:r w:rsidR="00905709">
              <w:rPr>
                <w:rStyle w:val="cf11"/>
                <w:rFonts w:ascii="Times New Roman" w:hAnsi="Times New Roman" w:cs="Times New Roman"/>
                <w:sz w:val="20"/>
                <w:szCs w:val="20"/>
              </w:rPr>
              <w:t>en dollars des États-Unis</w:t>
            </w:r>
            <w:r w:rsidR="00761566">
              <w:rPr>
                <w:rStyle w:val="cf11"/>
                <w:rFonts w:ascii="Times New Roman" w:hAnsi="Times New Roman" w:cs="Times New Roman"/>
                <w:sz w:val="20"/>
                <w:szCs w:val="20"/>
              </w:rPr>
              <w:t xml:space="preserve"> courant</w:t>
            </w:r>
            <w:r w:rsidR="00C13977">
              <w:rPr>
                <w:rStyle w:val="cf11"/>
                <w:rFonts w:ascii="Times New Roman" w:hAnsi="Times New Roman" w:cs="Times New Roman"/>
                <w:sz w:val="20"/>
                <w:szCs w:val="20"/>
              </w:rPr>
              <w:t>s</w:t>
            </w:r>
            <w:r>
              <w:rPr>
                <w:rStyle w:val="cf11"/>
                <w:rFonts w:ascii="Times New Roman" w:hAnsi="Times New Roman" w:cs="Times New Roman"/>
                <w:sz w:val="20"/>
                <w:szCs w:val="20"/>
              </w:rPr>
              <w:t>.</w:t>
            </w:r>
          </w:p>
        </w:tc>
      </w:tr>
    </w:tbl>
    <w:p w:rsidR="00AC7EA1" w:rsidRDefault="00761566">
      <w:pPr>
        <w:pStyle w:val="Para1"/>
        <w:numPr>
          <w:ilvl w:val="0"/>
          <w:numId w:val="25"/>
        </w:numPr>
        <w:tabs>
          <w:tab w:val="clear" w:pos="360"/>
        </w:tabs>
        <w:kinsoku w:val="0"/>
        <w:overflowPunct w:val="0"/>
        <w:autoSpaceDE w:val="0"/>
        <w:autoSpaceDN w:val="0"/>
        <w:snapToGrid w:val="0"/>
        <w:rPr>
          <w:kern w:val="22"/>
          <w:szCs w:val="22"/>
        </w:rPr>
      </w:pPr>
      <w:r>
        <w:rPr>
          <w:kern w:val="22"/>
          <w:szCs w:val="22"/>
        </w:rPr>
        <w:t xml:space="preserve">Le </w:t>
      </w:r>
      <w:r w:rsidR="006F561F" w:rsidRPr="006F561F">
        <w:rPr>
          <w:kern w:val="22"/>
          <w:szCs w:val="22"/>
        </w:rPr>
        <w:t>Système de notification des pays créanciers</w:t>
      </w:r>
      <w:r w:rsidR="00324D7C">
        <w:rPr>
          <w:kern w:val="22"/>
          <w:szCs w:val="22"/>
        </w:rPr>
        <w:t xml:space="preserve"> comprend également des données provenant d</w:t>
      </w:r>
      <w:r w:rsidR="00686044">
        <w:rPr>
          <w:kern w:val="22"/>
          <w:szCs w:val="22"/>
        </w:rPr>
        <w:t>’</w:t>
      </w:r>
      <w:r w:rsidR="00324D7C">
        <w:rPr>
          <w:kern w:val="22"/>
          <w:szCs w:val="22"/>
        </w:rPr>
        <w:t>un certain nombre de Parties non membres du CAD</w:t>
      </w:r>
      <w:r>
        <w:rPr>
          <w:kern w:val="22"/>
          <w:szCs w:val="22"/>
        </w:rPr>
        <w:t>,</w:t>
      </w:r>
      <w:r w:rsidR="00324D7C">
        <w:rPr>
          <w:kern w:val="22"/>
          <w:szCs w:val="22"/>
        </w:rPr>
        <w:t xml:space="preserve"> ainsi que d</w:t>
      </w:r>
      <w:r w:rsidR="00686044">
        <w:rPr>
          <w:kern w:val="22"/>
          <w:szCs w:val="22"/>
        </w:rPr>
        <w:t>’</w:t>
      </w:r>
      <w:r w:rsidR="00324D7C">
        <w:rPr>
          <w:kern w:val="22"/>
          <w:szCs w:val="22"/>
        </w:rPr>
        <w:t>institutions multilatérales et d</w:t>
      </w:r>
      <w:r w:rsidR="00604E52">
        <w:rPr>
          <w:kern w:val="22"/>
          <w:szCs w:val="22"/>
        </w:rPr>
        <w:t>’</w:t>
      </w:r>
      <w:r w:rsidR="00324D7C">
        <w:rPr>
          <w:kern w:val="22"/>
          <w:szCs w:val="22"/>
        </w:rPr>
        <w:t>organis</w:t>
      </w:r>
      <w:r>
        <w:rPr>
          <w:kern w:val="22"/>
          <w:szCs w:val="22"/>
        </w:rPr>
        <w:t>ations caritatives mondiales</w:t>
      </w:r>
      <w:r w:rsidR="00604E52">
        <w:rPr>
          <w:kern w:val="22"/>
          <w:szCs w:val="22"/>
        </w:rPr>
        <w:t xml:space="preserve"> importantes</w:t>
      </w:r>
      <w:r w:rsidR="00324D7C">
        <w:rPr>
          <w:kern w:val="22"/>
          <w:szCs w:val="22"/>
        </w:rPr>
        <w:t>. Bien que ces données n</w:t>
      </w:r>
      <w:r w:rsidR="00686044">
        <w:rPr>
          <w:kern w:val="22"/>
          <w:szCs w:val="22"/>
        </w:rPr>
        <w:t>’</w:t>
      </w:r>
      <w:r w:rsidR="00324D7C">
        <w:rPr>
          <w:kern w:val="22"/>
          <w:szCs w:val="22"/>
        </w:rPr>
        <w:t>utilisent pas la méthode du marqueur de Rio, la classification sectori</w:t>
      </w:r>
      <w:r>
        <w:rPr>
          <w:kern w:val="22"/>
          <w:szCs w:val="22"/>
        </w:rPr>
        <w:t>elle du</w:t>
      </w:r>
      <w:r w:rsidR="00324D7C">
        <w:rPr>
          <w:kern w:val="22"/>
          <w:szCs w:val="22"/>
        </w:rPr>
        <w:t xml:space="preserve"> </w:t>
      </w:r>
      <w:r w:rsidR="006F561F" w:rsidRPr="006F561F">
        <w:rPr>
          <w:kern w:val="22"/>
          <w:szCs w:val="22"/>
        </w:rPr>
        <w:t>Système de notification des pays créanciers</w:t>
      </w:r>
      <w:r w:rsidR="00324D7C">
        <w:rPr>
          <w:kern w:val="22"/>
          <w:szCs w:val="22"/>
        </w:rPr>
        <w:t xml:space="preserve"> semble permettre au moins l</w:t>
      </w:r>
      <w:r w:rsidR="00686044">
        <w:rPr>
          <w:kern w:val="22"/>
          <w:szCs w:val="22"/>
        </w:rPr>
        <w:t>’</w:t>
      </w:r>
      <w:r w:rsidR="00324D7C">
        <w:rPr>
          <w:kern w:val="22"/>
          <w:szCs w:val="22"/>
        </w:rPr>
        <w:t xml:space="preserve">identification des financements liés </w:t>
      </w:r>
      <w:r>
        <w:rPr>
          <w:kern w:val="22"/>
          <w:szCs w:val="22"/>
        </w:rPr>
        <w:t>à la biodiversité au sens strict</w:t>
      </w:r>
      <w:r w:rsidR="00324D7C">
        <w:rPr>
          <w:kern w:val="22"/>
          <w:szCs w:val="22"/>
        </w:rPr>
        <w:t>, c</w:t>
      </w:r>
      <w:r w:rsidR="00686044">
        <w:rPr>
          <w:kern w:val="22"/>
          <w:szCs w:val="22"/>
        </w:rPr>
        <w:t>’</w:t>
      </w:r>
      <w:r w:rsidR="00324D7C">
        <w:rPr>
          <w:kern w:val="22"/>
          <w:szCs w:val="22"/>
        </w:rPr>
        <w:t>est-à-dire en utilisant les codes sectoriels 41020 (protection de la biosphère), 41030 (biodiversité) et 41040 (préservation des sites).</w:t>
      </w:r>
      <w:r w:rsidR="0098055F" w:rsidRPr="00D77983">
        <w:rPr>
          <w:rStyle w:val="FootnoteReference"/>
          <w:kern w:val="22"/>
          <w:szCs w:val="22"/>
        </w:rPr>
        <w:footnoteReference w:id="12"/>
      </w:r>
      <w:r w:rsidR="00324D7C">
        <w:rPr>
          <w:kern w:val="22"/>
          <w:szCs w:val="22"/>
        </w:rPr>
        <w:t xml:space="preserve"> B</w:t>
      </w:r>
      <w:r w:rsidR="00604E52">
        <w:rPr>
          <w:kern w:val="22"/>
          <w:szCs w:val="22"/>
        </w:rPr>
        <w:t xml:space="preserve">ien que ces données du </w:t>
      </w:r>
      <w:r w:rsidR="006F561F" w:rsidRPr="006F561F">
        <w:rPr>
          <w:kern w:val="22"/>
          <w:szCs w:val="22"/>
        </w:rPr>
        <w:t>Système de notification des pays créanciers</w:t>
      </w:r>
      <w:r w:rsidR="001A0E31">
        <w:rPr>
          <w:kern w:val="22"/>
          <w:szCs w:val="22"/>
        </w:rPr>
        <w:t xml:space="preserve"> ne permettent pas de mesur</w:t>
      </w:r>
      <w:r w:rsidR="00324D7C">
        <w:rPr>
          <w:kern w:val="22"/>
          <w:szCs w:val="22"/>
        </w:rPr>
        <w:t>er une base de référence significative pour 2006-2010, leur couverture semble plus complète pour les années les plus</w:t>
      </w:r>
      <w:r w:rsidR="00604E52">
        <w:rPr>
          <w:kern w:val="22"/>
          <w:szCs w:val="22"/>
        </w:rPr>
        <w:t xml:space="preserve"> récentes, et ces données du </w:t>
      </w:r>
      <w:r w:rsidR="006F561F" w:rsidRPr="006F561F">
        <w:rPr>
          <w:kern w:val="22"/>
          <w:szCs w:val="22"/>
        </w:rPr>
        <w:t>Système de notification des pays créanciers</w:t>
      </w:r>
      <w:r w:rsidR="00324D7C">
        <w:rPr>
          <w:kern w:val="22"/>
          <w:szCs w:val="22"/>
        </w:rPr>
        <w:t xml:space="preserve"> pourraient constituer un complément utile aux données </w:t>
      </w:r>
      <w:r w:rsidR="00604E52">
        <w:rPr>
          <w:kern w:val="22"/>
          <w:szCs w:val="22"/>
        </w:rPr>
        <w:t>du marqueur</w:t>
      </w:r>
      <w:r w:rsidR="00324D7C">
        <w:rPr>
          <w:kern w:val="22"/>
          <w:szCs w:val="22"/>
        </w:rPr>
        <w:t xml:space="preserve"> de Rio (biodiversité) à l</w:t>
      </w:r>
      <w:r w:rsidR="00686044">
        <w:rPr>
          <w:kern w:val="22"/>
          <w:szCs w:val="22"/>
        </w:rPr>
        <w:t>’</w:t>
      </w:r>
      <w:r w:rsidR="00324D7C">
        <w:rPr>
          <w:kern w:val="22"/>
          <w:szCs w:val="22"/>
        </w:rPr>
        <w:t>avenir, en particulier sur les sources multilatérales et sur certains flux de financement privés.</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Une comparaison des données fournies par le bia</w:t>
      </w:r>
      <w:r w:rsidR="00604E52">
        <w:rPr>
          <w:kern w:val="22"/>
          <w:szCs w:val="22"/>
        </w:rPr>
        <w:t>is du cadre de présentation des rapports financiers</w:t>
      </w:r>
      <w:r>
        <w:rPr>
          <w:kern w:val="22"/>
          <w:szCs w:val="22"/>
        </w:rPr>
        <w:t xml:space="preserve"> et du </w:t>
      </w:r>
      <w:r w:rsidR="006F561F" w:rsidRPr="006F561F">
        <w:rPr>
          <w:kern w:val="22"/>
          <w:szCs w:val="22"/>
        </w:rPr>
        <w:t>Système de notification des pays créanciers</w:t>
      </w:r>
      <w:r>
        <w:rPr>
          <w:kern w:val="22"/>
          <w:szCs w:val="22"/>
        </w:rPr>
        <w:t xml:space="preserve"> de l</w:t>
      </w:r>
      <w:r w:rsidR="00686044">
        <w:rPr>
          <w:kern w:val="22"/>
          <w:szCs w:val="22"/>
        </w:rPr>
        <w:t>’</w:t>
      </w:r>
      <w:r>
        <w:rPr>
          <w:kern w:val="22"/>
          <w:szCs w:val="22"/>
        </w:rPr>
        <w:t>OCDE conduit à un certain nombre d</w:t>
      </w:r>
      <w:r w:rsidR="00686044">
        <w:rPr>
          <w:kern w:val="22"/>
          <w:szCs w:val="22"/>
        </w:rPr>
        <w:t>’</w:t>
      </w:r>
      <w:r>
        <w:rPr>
          <w:kern w:val="22"/>
          <w:szCs w:val="22"/>
        </w:rPr>
        <w:t>observations. Premièrement, il ne semble pas y avoir d</w:t>
      </w:r>
      <w:r w:rsidR="00604E52">
        <w:rPr>
          <w:kern w:val="22"/>
          <w:szCs w:val="22"/>
        </w:rPr>
        <w:t>e lacunes importantes dans les</w:t>
      </w:r>
      <w:r>
        <w:rPr>
          <w:kern w:val="22"/>
          <w:szCs w:val="22"/>
        </w:rPr>
        <w:t xml:space="preserve"> </w:t>
      </w:r>
      <w:r w:rsidR="00604E52">
        <w:rPr>
          <w:kern w:val="22"/>
          <w:szCs w:val="22"/>
        </w:rPr>
        <w:t>données du marqueur</w:t>
      </w:r>
      <w:r>
        <w:rPr>
          <w:kern w:val="22"/>
          <w:szCs w:val="22"/>
        </w:rPr>
        <w:t xml:space="preserve"> de biodiversité</w:t>
      </w:r>
      <w:r w:rsidR="00604E52">
        <w:rPr>
          <w:kern w:val="22"/>
          <w:szCs w:val="22"/>
        </w:rPr>
        <w:t xml:space="preserve"> du </w:t>
      </w:r>
      <w:r w:rsidR="00721806" w:rsidRPr="006F561F">
        <w:rPr>
          <w:kern w:val="22"/>
          <w:szCs w:val="22"/>
        </w:rPr>
        <w:t>Système de notification des pays créanciers</w:t>
      </w:r>
      <w:r w:rsidR="00721806">
        <w:rPr>
          <w:kern w:val="22"/>
          <w:szCs w:val="22"/>
        </w:rPr>
        <w:t xml:space="preserve"> </w:t>
      </w:r>
      <w:r w:rsidR="00604E52">
        <w:rPr>
          <w:kern w:val="22"/>
          <w:szCs w:val="22"/>
        </w:rPr>
        <w:t>- les données manquantes sont ainsi beaucoup moins importantes qu</w:t>
      </w:r>
      <w:r w:rsidR="00931260">
        <w:rPr>
          <w:kern w:val="22"/>
          <w:szCs w:val="22"/>
        </w:rPr>
        <w:t>e les données manquantes du</w:t>
      </w:r>
      <w:r w:rsidR="00604E52">
        <w:rPr>
          <w:kern w:val="22"/>
          <w:szCs w:val="22"/>
        </w:rPr>
        <w:t xml:space="preserve"> </w:t>
      </w:r>
      <w:r>
        <w:rPr>
          <w:kern w:val="22"/>
          <w:szCs w:val="22"/>
        </w:rPr>
        <w:t>cadre de présentation des rapports financiers. Deuxièmement, la communication d</w:t>
      </w:r>
      <w:r w:rsidR="00604E52">
        <w:rPr>
          <w:kern w:val="22"/>
          <w:szCs w:val="22"/>
        </w:rPr>
        <w:t>’information</w:t>
      </w:r>
      <w:r w:rsidR="00FA7D48">
        <w:rPr>
          <w:kern w:val="22"/>
          <w:szCs w:val="22"/>
        </w:rPr>
        <w:t>s par le biais du</w:t>
      </w:r>
      <w:r w:rsidR="00604E52">
        <w:rPr>
          <w:kern w:val="22"/>
          <w:szCs w:val="22"/>
        </w:rPr>
        <w:t xml:space="preserve"> cadre de présentation des rapports financiers</w:t>
      </w:r>
      <w:r>
        <w:rPr>
          <w:kern w:val="22"/>
          <w:szCs w:val="22"/>
        </w:rPr>
        <w:t xml:space="preserve"> semble être dans une large mesure une double communication d</w:t>
      </w:r>
      <w:r w:rsidR="00604E52">
        <w:rPr>
          <w:kern w:val="22"/>
          <w:szCs w:val="22"/>
        </w:rPr>
        <w:t>’information</w:t>
      </w:r>
      <w:r>
        <w:rPr>
          <w:kern w:val="22"/>
          <w:szCs w:val="22"/>
        </w:rPr>
        <w:t>s (avec l</w:t>
      </w:r>
      <w:r w:rsidR="00686044">
        <w:rPr>
          <w:kern w:val="22"/>
          <w:szCs w:val="22"/>
        </w:rPr>
        <w:t>’</w:t>
      </w:r>
      <w:r>
        <w:rPr>
          <w:kern w:val="22"/>
          <w:szCs w:val="22"/>
        </w:rPr>
        <w:t>étape supplémentaire consistant à appliquer le ou les coeff</w:t>
      </w:r>
      <w:r w:rsidR="00FA7D48">
        <w:rPr>
          <w:kern w:val="22"/>
          <w:szCs w:val="22"/>
        </w:rPr>
        <w:t>icients pertinents pour le flux</w:t>
      </w:r>
      <w:r>
        <w:rPr>
          <w:kern w:val="22"/>
          <w:szCs w:val="22"/>
        </w:rPr>
        <w:t xml:space="preserve"> « significatif » et à ajouter l</w:t>
      </w:r>
      <w:r w:rsidR="00686044">
        <w:rPr>
          <w:kern w:val="22"/>
          <w:szCs w:val="22"/>
        </w:rPr>
        <w:t>’</w:t>
      </w:r>
      <w:r>
        <w:rPr>
          <w:kern w:val="22"/>
          <w:szCs w:val="22"/>
        </w:rPr>
        <w:t>aide multilatérale), et l</w:t>
      </w:r>
      <w:r w:rsidR="00FA7D48">
        <w:rPr>
          <w:kern w:val="22"/>
          <w:szCs w:val="22"/>
        </w:rPr>
        <w:t xml:space="preserve">es lacunes dans les </w:t>
      </w:r>
      <w:r>
        <w:rPr>
          <w:kern w:val="22"/>
          <w:szCs w:val="22"/>
        </w:rPr>
        <w:t>informations pourrai</w:t>
      </w:r>
      <w:r w:rsidR="00FA7D48">
        <w:rPr>
          <w:kern w:val="22"/>
          <w:szCs w:val="22"/>
        </w:rPr>
        <w:t>ent être liées à</w:t>
      </w:r>
      <w:r>
        <w:rPr>
          <w:kern w:val="22"/>
          <w:szCs w:val="22"/>
        </w:rPr>
        <w:t xml:space="preserve"> cette charge supplémentaire de communication d</w:t>
      </w:r>
      <w:r w:rsidR="00686044">
        <w:rPr>
          <w:kern w:val="22"/>
          <w:szCs w:val="22"/>
        </w:rPr>
        <w:t>’</w:t>
      </w:r>
      <w:r>
        <w:rPr>
          <w:kern w:val="22"/>
          <w:szCs w:val="22"/>
        </w:rPr>
        <w:t>informations. Troisièmement, bien que les données du marque</w:t>
      </w:r>
      <w:r w:rsidR="00FA7D48">
        <w:rPr>
          <w:kern w:val="22"/>
          <w:szCs w:val="22"/>
        </w:rPr>
        <w:t>ur de Rio (biodiversité) dans le</w:t>
      </w:r>
      <w:r>
        <w:rPr>
          <w:kern w:val="22"/>
          <w:szCs w:val="22"/>
        </w:rPr>
        <w:t xml:space="preserve"> </w:t>
      </w:r>
      <w:r w:rsidR="006F561F" w:rsidRPr="006F561F">
        <w:rPr>
          <w:kern w:val="22"/>
          <w:szCs w:val="22"/>
        </w:rPr>
        <w:t>Système de notification des pays créanciers</w:t>
      </w:r>
      <w:r>
        <w:rPr>
          <w:kern w:val="22"/>
          <w:szCs w:val="22"/>
        </w:rPr>
        <w:t xml:space="preserve"> ne soient pas agrégées, elles permettent tout de m</w:t>
      </w:r>
      <w:r w:rsidR="00FA7D48">
        <w:rPr>
          <w:kern w:val="22"/>
          <w:szCs w:val="22"/>
        </w:rPr>
        <w:t>ême une évaluation distincte de</w:t>
      </w:r>
      <w:r>
        <w:rPr>
          <w:kern w:val="22"/>
          <w:szCs w:val="22"/>
        </w:rPr>
        <w:t xml:space="preserve"> la question de savoir </w:t>
      </w:r>
      <w:r w:rsidR="00FA7D48">
        <w:rPr>
          <w:kern w:val="22"/>
          <w:szCs w:val="22"/>
        </w:rPr>
        <w:t>si les ressources mobilisées au titre du flux « principal</w:t>
      </w:r>
      <w:r>
        <w:rPr>
          <w:kern w:val="22"/>
          <w:szCs w:val="22"/>
        </w:rPr>
        <w:t xml:space="preserve"> » et</w:t>
      </w:r>
      <w:r w:rsidR="00FA7D48">
        <w:rPr>
          <w:kern w:val="22"/>
          <w:szCs w:val="22"/>
        </w:rPr>
        <w:t xml:space="preserve"> du flux</w:t>
      </w:r>
      <w:r>
        <w:rPr>
          <w:kern w:val="22"/>
          <w:szCs w:val="22"/>
        </w:rPr>
        <w:t xml:space="preserve"> « </w:t>
      </w:r>
      <w:r w:rsidR="00502BDD">
        <w:rPr>
          <w:kern w:val="22"/>
          <w:szCs w:val="22"/>
        </w:rPr>
        <w:t>significatif</w:t>
      </w:r>
      <w:r>
        <w:rPr>
          <w:kern w:val="22"/>
          <w:szCs w:val="22"/>
        </w:rPr>
        <w:t xml:space="preserve"> » ont augmenté. Quatrièmement, les limites des données du marqueur de Rio (en ce sens qu</w:t>
      </w:r>
      <w:r w:rsidR="00686044">
        <w:rPr>
          <w:kern w:val="22"/>
          <w:szCs w:val="22"/>
        </w:rPr>
        <w:t>’</w:t>
      </w:r>
      <w:r w:rsidR="00FA7D48">
        <w:rPr>
          <w:kern w:val="22"/>
          <w:szCs w:val="22"/>
        </w:rPr>
        <w:t>elles</w:t>
      </w:r>
      <w:r>
        <w:rPr>
          <w:kern w:val="22"/>
          <w:szCs w:val="22"/>
        </w:rPr>
        <w:t xml:space="preserve"> concernent</w:t>
      </w:r>
      <w:r w:rsidR="00FA7D48">
        <w:rPr>
          <w:kern w:val="22"/>
          <w:szCs w:val="22"/>
        </w:rPr>
        <w:t xml:space="preserve"> uniquement </w:t>
      </w:r>
      <w:r>
        <w:rPr>
          <w:kern w:val="22"/>
          <w:szCs w:val="22"/>
        </w:rPr>
        <w:t>les membres du CAD et l</w:t>
      </w:r>
      <w:r w:rsidR="00686044">
        <w:rPr>
          <w:kern w:val="22"/>
          <w:szCs w:val="22"/>
        </w:rPr>
        <w:t>’</w:t>
      </w:r>
      <w:r>
        <w:rPr>
          <w:kern w:val="22"/>
          <w:szCs w:val="22"/>
        </w:rPr>
        <w:t>aide bilatérale) sont de plus en plus traitées par d</w:t>
      </w:r>
      <w:r w:rsidR="00686044">
        <w:rPr>
          <w:kern w:val="22"/>
          <w:szCs w:val="22"/>
        </w:rPr>
        <w:t>’</w:t>
      </w:r>
      <w:r>
        <w:rPr>
          <w:kern w:val="22"/>
          <w:szCs w:val="22"/>
        </w:rPr>
        <w:t xml:space="preserve">autres </w:t>
      </w:r>
      <w:r>
        <w:rPr>
          <w:kern w:val="22"/>
          <w:szCs w:val="22"/>
        </w:rPr>
        <w:lastRenderedPageBreak/>
        <w:t xml:space="preserve">ensembles de données disponibles dans le cadre du </w:t>
      </w:r>
      <w:r w:rsidR="006F561F" w:rsidRPr="006F561F">
        <w:rPr>
          <w:kern w:val="22"/>
          <w:szCs w:val="22"/>
        </w:rPr>
        <w:t>Système de notification des pays créanciers</w:t>
      </w:r>
      <w:r>
        <w:rPr>
          <w:kern w:val="22"/>
          <w:szCs w:val="22"/>
        </w:rPr>
        <w:t xml:space="preserve"> de l</w:t>
      </w:r>
      <w:r w:rsidR="00686044">
        <w:rPr>
          <w:kern w:val="22"/>
          <w:szCs w:val="22"/>
        </w:rPr>
        <w:t>’</w:t>
      </w:r>
      <w:r>
        <w:rPr>
          <w:kern w:val="22"/>
          <w:szCs w:val="22"/>
        </w:rPr>
        <w:t>OCDE. L</w:t>
      </w:r>
      <w:r w:rsidR="00686044">
        <w:rPr>
          <w:kern w:val="22"/>
          <w:szCs w:val="22"/>
        </w:rPr>
        <w:t>’</w:t>
      </w:r>
      <w:r>
        <w:rPr>
          <w:kern w:val="22"/>
          <w:szCs w:val="22"/>
        </w:rPr>
        <w:t>ensemble de ces observations laisse entrevoir une possibilité potentiellement importante</w:t>
      </w:r>
      <w:r w:rsidR="00FA7D48">
        <w:rPr>
          <w:kern w:val="22"/>
          <w:szCs w:val="22"/>
        </w:rPr>
        <w:t xml:space="preserve"> de rationaliser le suivi et la communication de données concernant l</w:t>
      </w:r>
      <w:r>
        <w:rPr>
          <w:kern w:val="22"/>
          <w:szCs w:val="22"/>
        </w:rPr>
        <w:t>es flux internationaux</w:t>
      </w:r>
      <w:r w:rsidR="00FA7D48">
        <w:rPr>
          <w:kern w:val="22"/>
          <w:szCs w:val="22"/>
        </w:rPr>
        <w:t>,</w:t>
      </w:r>
      <w:r>
        <w:rPr>
          <w:kern w:val="22"/>
          <w:szCs w:val="22"/>
        </w:rPr>
        <w:t xml:space="preserve"> en utilisant directement les données fournies par le </w:t>
      </w:r>
      <w:r w:rsidR="006F561F" w:rsidRPr="006F561F">
        <w:rPr>
          <w:kern w:val="22"/>
          <w:szCs w:val="22"/>
        </w:rPr>
        <w:t>Système de notification des pays créanciers</w:t>
      </w:r>
      <w:r>
        <w:rPr>
          <w:kern w:val="22"/>
          <w:szCs w:val="22"/>
        </w:rPr>
        <w:t xml:space="preserve"> de l</w:t>
      </w:r>
      <w:r w:rsidR="00686044">
        <w:rPr>
          <w:kern w:val="22"/>
          <w:szCs w:val="22"/>
        </w:rPr>
        <w:t>’</w:t>
      </w:r>
      <w:r>
        <w:rPr>
          <w:kern w:val="22"/>
          <w:szCs w:val="22"/>
        </w:rPr>
        <w:t>OCDE. Le cas échéant, une décision générale à cet effet pourrait être complétée par des orientations de la Conférence des Parties (et, par la suite, de chacune des Parties) à l</w:t>
      </w:r>
      <w:r w:rsidR="00686044">
        <w:rPr>
          <w:kern w:val="22"/>
          <w:szCs w:val="22"/>
        </w:rPr>
        <w:t>’</w:t>
      </w:r>
      <w:r>
        <w:rPr>
          <w:kern w:val="22"/>
          <w:szCs w:val="22"/>
        </w:rPr>
        <w:t>intention du Secrétariat sur la manière d</w:t>
      </w:r>
      <w:r w:rsidR="00686044">
        <w:rPr>
          <w:kern w:val="22"/>
          <w:szCs w:val="22"/>
        </w:rPr>
        <w:t>’</w:t>
      </w:r>
      <w:r>
        <w:rPr>
          <w:kern w:val="22"/>
          <w:szCs w:val="22"/>
        </w:rPr>
        <w:t>analyser les données.</w:t>
      </w:r>
      <w:r w:rsidR="00AE4C83" w:rsidRPr="00562633">
        <w:rPr>
          <w:rStyle w:val="FootnoteReference"/>
          <w:kern w:val="22"/>
          <w:szCs w:val="22"/>
        </w:rPr>
        <w:footnoteReference w:id="13"/>
      </w:r>
    </w:p>
    <w:p w:rsidR="00AC7EA1" w:rsidRDefault="00905709" w:rsidP="0019107F">
      <w:pPr>
        <w:pStyle w:val="Heading1"/>
        <w:suppressLineNumbers/>
        <w:tabs>
          <w:tab w:val="clear" w:pos="720"/>
          <w:tab w:val="left" w:pos="851"/>
        </w:tabs>
        <w:suppressAutoHyphens/>
        <w:kinsoku w:val="0"/>
        <w:overflowPunct w:val="0"/>
        <w:autoSpaceDE w:val="0"/>
        <w:autoSpaceDN w:val="0"/>
        <w:adjustRightInd w:val="0"/>
        <w:snapToGrid w:val="0"/>
        <w:spacing w:before="120"/>
        <w:ind w:left="851" w:hanging="567"/>
        <w:jc w:val="left"/>
        <w:rPr>
          <w:snapToGrid w:val="0"/>
          <w:kern w:val="22"/>
          <w:szCs w:val="22"/>
        </w:rPr>
      </w:pPr>
      <w:r>
        <w:rPr>
          <w:snapToGrid w:val="0"/>
          <w:kern w:val="22"/>
          <w:szCs w:val="22"/>
        </w:rPr>
        <w:t>IV.</w:t>
      </w:r>
      <w:r>
        <w:rPr>
          <w:snapToGrid w:val="0"/>
          <w:kern w:val="22"/>
          <w:szCs w:val="22"/>
        </w:rPr>
        <w:tab/>
        <w:t>Inclusi</w:t>
      </w:r>
      <w:r w:rsidR="00324D7C">
        <w:rPr>
          <w:snapToGrid w:val="0"/>
          <w:kern w:val="22"/>
          <w:szCs w:val="22"/>
        </w:rPr>
        <w:t xml:space="preserve">on de la biodiversité dans les priorités et les </w:t>
      </w:r>
      <w:r w:rsidR="002626FE">
        <w:rPr>
          <w:snapToGrid w:val="0"/>
          <w:kern w:val="22"/>
          <w:szCs w:val="22"/>
        </w:rPr>
        <w:t>plans</w:t>
      </w:r>
      <w:r>
        <w:rPr>
          <w:snapToGrid w:val="0"/>
          <w:kern w:val="22"/>
          <w:szCs w:val="22"/>
        </w:rPr>
        <w:t>, et evaluation</w:t>
      </w:r>
      <w:r w:rsidR="003D6A7A">
        <w:rPr>
          <w:snapToGrid w:val="0"/>
          <w:kern w:val="22"/>
          <w:szCs w:val="22"/>
        </w:rPr>
        <w:t xml:space="preserve"> et/ou é</w:t>
      </w:r>
      <w:r>
        <w:rPr>
          <w:snapToGrid w:val="0"/>
          <w:kern w:val="22"/>
          <w:szCs w:val="22"/>
        </w:rPr>
        <w:t>stima</w:t>
      </w:r>
      <w:r w:rsidR="006369F9">
        <w:rPr>
          <w:snapToGrid w:val="0"/>
          <w:kern w:val="22"/>
          <w:szCs w:val="22"/>
        </w:rPr>
        <w:t>tion</w:t>
      </w:r>
      <w:r w:rsidR="00324D7C">
        <w:rPr>
          <w:snapToGrid w:val="0"/>
          <w:kern w:val="22"/>
          <w:szCs w:val="22"/>
        </w:rPr>
        <w:t xml:space="preserve"> des valeurs</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L</w:t>
      </w:r>
      <w:r w:rsidR="00686044">
        <w:rPr>
          <w:kern w:val="22"/>
          <w:szCs w:val="22"/>
        </w:rPr>
        <w:t>’</w:t>
      </w:r>
      <w:r>
        <w:rPr>
          <w:kern w:val="22"/>
          <w:szCs w:val="22"/>
        </w:rPr>
        <w:t>objectif b) des objectifs de mobilisation des ressources adopt</w:t>
      </w:r>
      <w:r w:rsidR="00300832">
        <w:rPr>
          <w:kern w:val="22"/>
          <w:szCs w:val="22"/>
        </w:rPr>
        <w:t>és dans la décision XII/3 vise</w:t>
      </w:r>
      <w:r>
        <w:rPr>
          <w:kern w:val="22"/>
          <w:szCs w:val="22"/>
        </w:rPr>
        <w:t xml:space="preserve"> à ce que 100 %, mais au moins 75 %, des Parties aient inclus la biodiversité </w:t>
      </w:r>
      <w:r w:rsidR="00300832">
        <w:rPr>
          <w:kern w:val="22"/>
          <w:szCs w:val="22"/>
        </w:rPr>
        <w:t xml:space="preserve">dans leurs priorités </w:t>
      </w:r>
      <w:r w:rsidR="003D6A7A">
        <w:rPr>
          <w:kern w:val="22"/>
          <w:szCs w:val="22"/>
        </w:rPr>
        <w:t xml:space="preserve">ou </w:t>
      </w:r>
      <w:r w:rsidR="002626FE">
        <w:rPr>
          <w:kern w:val="22"/>
          <w:szCs w:val="22"/>
        </w:rPr>
        <w:t>plans</w:t>
      </w:r>
      <w:r>
        <w:rPr>
          <w:kern w:val="22"/>
          <w:szCs w:val="22"/>
        </w:rPr>
        <w:t xml:space="preserve"> de développement </w:t>
      </w:r>
      <w:r w:rsidR="00300832">
        <w:rPr>
          <w:kern w:val="22"/>
          <w:szCs w:val="22"/>
        </w:rPr>
        <w:t xml:space="preserve">nationaux </w:t>
      </w:r>
      <w:r>
        <w:rPr>
          <w:kern w:val="22"/>
          <w:szCs w:val="22"/>
        </w:rPr>
        <w:t>d</w:t>
      </w:r>
      <w:r w:rsidR="00686044">
        <w:rPr>
          <w:kern w:val="22"/>
          <w:szCs w:val="22"/>
        </w:rPr>
        <w:t>’</w:t>
      </w:r>
      <w:r>
        <w:rPr>
          <w:kern w:val="22"/>
          <w:szCs w:val="22"/>
        </w:rPr>
        <w:t>ici à 2015</w:t>
      </w:r>
      <w:r w:rsidR="00300832">
        <w:rPr>
          <w:kern w:val="22"/>
          <w:szCs w:val="22"/>
        </w:rPr>
        <w:t>,</w:t>
      </w:r>
      <w:r>
        <w:rPr>
          <w:kern w:val="22"/>
          <w:szCs w:val="22"/>
        </w:rPr>
        <w:t xml:space="preserve"> et aient donc pris les dispositions financières nationales appropriées. </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Au tot</w:t>
      </w:r>
      <w:r w:rsidR="003D6A7A">
        <w:rPr>
          <w:kern w:val="22"/>
          <w:szCs w:val="22"/>
        </w:rPr>
        <w:t>al, 94 Parties ont répondu à la question de savoir si elles on</w:t>
      </w:r>
      <w:r w:rsidR="002626FE">
        <w:rPr>
          <w:kern w:val="22"/>
          <w:szCs w:val="22"/>
        </w:rPr>
        <w:t xml:space="preserve">t intégré </w:t>
      </w:r>
      <w:r>
        <w:rPr>
          <w:kern w:val="22"/>
          <w:szCs w:val="22"/>
        </w:rPr>
        <w:t xml:space="preserve">la biodiversité dans les priorités </w:t>
      </w:r>
      <w:r w:rsidR="003D6A7A">
        <w:rPr>
          <w:kern w:val="22"/>
          <w:szCs w:val="22"/>
        </w:rPr>
        <w:t xml:space="preserve">ou </w:t>
      </w:r>
      <w:r w:rsidR="002626FE">
        <w:rPr>
          <w:kern w:val="22"/>
          <w:szCs w:val="22"/>
        </w:rPr>
        <w:t>plans</w:t>
      </w:r>
      <w:r>
        <w:rPr>
          <w:kern w:val="22"/>
          <w:szCs w:val="22"/>
        </w:rPr>
        <w:t xml:space="preserve"> de développement </w:t>
      </w:r>
      <w:r w:rsidR="003D6A7A">
        <w:rPr>
          <w:kern w:val="22"/>
          <w:szCs w:val="22"/>
        </w:rPr>
        <w:t xml:space="preserve">nationaux </w:t>
      </w:r>
      <w:r w:rsidR="002626FE">
        <w:rPr>
          <w:kern w:val="22"/>
          <w:szCs w:val="22"/>
        </w:rPr>
        <w:t>dans l</w:t>
      </w:r>
      <w:r>
        <w:rPr>
          <w:kern w:val="22"/>
          <w:szCs w:val="22"/>
        </w:rPr>
        <w:t>es rapports de</w:t>
      </w:r>
      <w:r w:rsidR="002626FE">
        <w:rPr>
          <w:kern w:val="22"/>
          <w:szCs w:val="22"/>
        </w:rPr>
        <w:t xml:space="preserve"> 2015, et toutes ont indiqué avoir accomplis </w:t>
      </w:r>
      <w:r>
        <w:rPr>
          <w:kern w:val="22"/>
          <w:szCs w:val="22"/>
        </w:rPr>
        <w:t>quelques progrès</w:t>
      </w:r>
      <w:r w:rsidR="002626FE">
        <w:rPr>
          <w:kern w:val="22"/>
          <w:szCs w:val="22"/>
        </w:rPr>
        <w:t xml:space="preserve"> au moins</w:t>
      </w:r>
      <w:r>
        <w:rPr>
          <w:kern w:val="22"/>
          <w:szCs w:val="22"/>
        </w:rPr>
        <w:t>, ce qui correspond à environ 50 % de l</w:t>
      </w:r>
      <w:r w:rsidR="00686044">
        <w:rPr>
          <w:kern w:val="22"/>
          <w:szCs w:val="22"/>
        </w:rPr>
        <w:t>’</w:t>
      </w:r>
      <w:r w:rsidR="002626FE">
        <w:rPr>
          <w:kern w:val="22"/>
          <w:szCs w:val="22"/>
        </w:rPr>
        <w:t>ensemble des Parties : 65 </w:t>
      </w:r>
      <w:r>
        <w:rPr>
          <w:kern w:val="22"/>
          <w:szCs w:val="22"/>
        </w:rPr>
        <w:t>Parties, soit 69 % des répondants, ont indiqué qu</w:t>
      </w:r>
      <w:r w:rsidR="00686044">
        <w:rPr>
          <w:kern w:val="22"/>
          <w:szCs w:val="22"/>
        </w:rPr>
        <w:t>’</w:t>
      </w:r>
      <w:r w:rsidR="002626FE">
        <w:rPr>
          <w:kern w:val="22"/>
          <w:szCs w:val="22"/>
        </w:rPr>
        <w:t>un certain niveau d’intégration avait été réalisé, tandis que 29 Parties</w:t>
      </w:r>
      <w:r>
        <w:rPr>
          <w:kern w:val="22"/>
          <w:szCs w:val="22"/>
        </w:rPr>
        <w:t>, soit 31 %</w:t>
      </w:r>
      <w:r w:rsidR="002626FE">
        <w:rPr>
          <w:kern w:val="22"/>
          <w:szCs w:val="22"/>
        </w:rPr>
        <w:t xml:space="preserve"> des répondants</w:t>
      </w:r>
      <w:r>
        <w:rPr>
          <w:kern w:val="22"/>
          <w:szCs w:val="22"/>
        </w:rPr>
        <w:t>, ont indiqué qu</w:t>
      </w:r>
      <w:r w:rsidR="00686044">
        <w:rPr>
          <w:kern w:val="22"/>
          <w:szCs w:val="22"/>
        </w:rPr>
        <w:t>’</w:t>
      </w:r>
      <w:r w:rsidR="002626FE">
        <w:rPr>
          <w:kern w:val="22"/>
          <w:szCs w:val="22"/>
        </w:rPr>
        <w:t>une intégration</w:t>
      </w:r>
      <w:r>
        <w:rPr>
          <w:kern w:val="22"/>
          <w:szCs w:val="22"/>
        </w:rPr>
        <w:t xml:space="preserve"> complète avait été réalisée. Ces progrès encourageants en ce qui concerne l</w:t>
      </w:r>
      <w:r w:rsidR="00686044">
        <w:rPr>
          <w:kern w:val="22"/>
          <w:szCs w:val="22"/>
        </w:rPr>
        <w:t>’</w:t>
      </w:r>
      <w:r>
        <w:rPr>
          <w:kern w:val="22"/>
          <w:szCs w:val="22"/>
        </w:rPr>
        <w:t>objectif b)</w:t>
      </w:r>
      <w:r w:rsidR="002626FE">
        <w:rPr>
          <w:kern w:val="22"/>
          <w:szCs w:val="22"/>
        </w:rPr>
        <w:t xml:space="preserve"> de la décision XII/3 semblent avoir été maintenus dans le cadre des rapports de</w:t>
      </w:r>
      <w:r>
        <w:rPr>
          <w:kern w:val="22"/>
          <w:szCs w:val="22"/>
        </w:rPr>
        <w:t xml:space="preserve"> 2020, où les 48 Parties ayant répondu</w:t>
      </w:r>
      <w:r w:rsidR="002626FE">
        <w:rPr>
          <w:kern w:val="22"/>
          <w:szCs w:val="22"/>
        </w:rPr>
        <w:t xml:space="preserve"> à cette question ont indiqué avoir accompli quelque</w:t>
      </w:r>
      <w:r>
        <w:rPr>
          <w:kern w:val="22"/>
          <w:szCs w:val="22"/>
        </w:rPr>
        <w:t>s progrès</w:t>
      </w:r>
      <w:r w:rsidR="002626FE">
        <w:rPr>
          <w:kern w:val="22"/>
          <w:szCs w:val="22"/>
        </w:rPr>
        <w:t xml:space="preserve"> au moins</w:t>
      </w:r>
      <w:r>
        <w:rPr>
          <w:kern w:val="22"/>
          <w:szCs w:val="22"/>
        </w:rPr>
        <w:t xml:space="preserve"> : 28 Parties, soit 58 % des répondants, ont indiqué qu</w:t>
      </w:r>
      <w:r w:rsidR="00686044">
        <w:rPr>
          <w:kern w:val="22"/>
          <w:szCs w:val="22"/>
        </w:rPr>
        <w:t>’</w:t>
      </w:r>
      <w:r w:rsidR="002626FE">
        <w:rPr>
          <w:kern w:val="22"/>
          <w:szCs w:val="22"/>
        </w:rPr>
        <w:t>un certain niveau d’intégration avait été réalisé, tandis que 20 Partie</w:t>
      </w:r>
      <w:r>
        <w:rPr>
          <w:kern w:val="22"/>
          <w:szCs w:val="22"/>
        </w:rPr>
        <w:t>s, soit 42 %</w:t>
      </w:r>
      <w:r w:rsidR="002626FE">
        <w:rPr>
          <w:kern w:val="22"/>
          <w:szCs w:val="22"/>
        </w:rPr>
        <w:t xml:space="preserve"> des répondants</w:t>
      </w:r>
      <w:r>
        <w:rPr>
          <w:kern w:val="22"/>
          <w:szCs w:val="22"/>
        </w:rPr>
        <w:t>, ont indiqué qu</w:t>
      </w:r>
      <w:r w:rsidR="00686044">
        <w:rPr>
          <w:kern w:val="22"/>
          <w:szCs w:val="22"/>
        </w:rPr>
        <w:t>’</w:t>
      </w:r>
      <w:r w:rsidR="002626FE">
        <w:rPr>
          <w:kern w:val="22"/>
          <w:szCs w:val="22"/>
        </w:rPr>
        <w:t>une intégratio</w:t>
      </w:r>
      <w:r>
        <w:rPr>
          <w:kern w:val="22"/>
          <w:szCs w:val="22"/>
        </w:rPr>
        <w:t>n complète avait été réalisée. Les pay</w:t>
      </w:r>
      <w:r w:rsidR="00916D08">
        <w:rPr>
          <w:kern w:val="22"/>
          <w:szCs w:val="22"/>
        </w:rPr>
        <w:t>s ont fait valoir que les liens créés</w:t>
      </w:r>
      <w:r w:rsidR="002626FE">
        <w:rPr>
          <w:kern w:val="22"/>
          <w:szCs w:val="22"/>
        </w:rPr>
        <w:t xml:space="preserve"> </w:t>
      </w:r>
      <w:r>
        <w:rPr>
          <w:kern w:val="22"/>
          <w:szCs w:val="22"/>
        </w:rPr>
        <w:t>avec les plans sectoriels ou les plans ou politiques de haut nivea</w:t>
      </w:r>
      <w:r w:rsidR="002626FE">
        <w:rPr>
          <w:kern w:val="22"/>
          <w:szCs w:val="22"/>
        </w:rPr>
        <w:t xml:space="preserve">u, tels que les plans </w:t>
      </w:r>
      <w:r>
        <w:rPr>
          <w:kern w:val="22"/>
          <w:szCs w:val="22"/>
        </w:rPr>
        <w:t>de développement ou de croissance (durable)</w:t>
      </w:r>
      <w:r w:rsidR="002626FE">
        <w:rPr>
          <w:kern w:val="22"/>
          <w:szCs w:val="22"/>
        </w:rPr>
        <w:t xml:space="preserve"> nationaux</w:t>
      </w:r>
      <w:r>
        <w:rPr>
          <w:kern w:val="22"/>
          <w:szCs w:val="22"/>
        </w:rPr>
        <w:t>, les cadres d</w:t>
      </w:r>
      <w:r w:rsidR="00686044">
        <w:rPr>
          <w:kern w:val="22"/>
          <w:szCs w:val="22"/>
        </w:rPr>
        <w:t>’</w:t>
      </w:r>
      <w:r>
        <w:rPr>
          <w:kern w:val="22"/>
          <w:szCs w:val="22"/>
        </w:rPr>
        <w:t>utilisation rationnelle des ressources ou même la constitution nationale, étaient les principaux moyens d</w:t>
      </w:r>
      <w:r w:rsidR="00686044">
        <w:rPr>
          <w:kern w:val="22"/>
          <w:szCs w:val="22"/>
        </w:rPr>
        <w:t>’</w:t>
      </w:r>
      <w:r>
        <w:rPr>
          <w:kern w:val="22"/>
          <w:szCs w:val="22"/>
        </w:rPr>
        <w:t>intégrer efficacement la diversité biologique.</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Dans le cadre de l</w:t>
      </w:r>
      <w:r w:rsidR="00686044">
        <w:rPr>
          <w:kern w:val="22"/>
          <w:szCs w:val="22"/>
        </w:rPr>
        <w:t>’</w:t>
      </w:r>
      <w:r w:rsidR="006369F9">
        <w:rPr>
          <w:kern w:val="22"/>
          <w:szCs w:val="22"/>
        </w:rPr>
        <w:t xml:space="preserve">objectif d), la décision XII/3 a entrepris </w:t>
      </w:r>
      <w:r>
        <w:rPr>
          <w:kern w:val="22"/>
          <w:szCs w:val="22"/>
        </w:rPr>
        <w:t xml:space="preserve">de faire en sorte que 30 % des Parties aient </w:t>
      </w:r>
      <w:r w:rsidR="001A0E31">
        <w:rPr>
          <w:kern w:val="22"/>
          <w:szCs w:val="22"/>
        </w:rPr>
        <w:t>évalu</w:t>
      </w:r>
      <w:r w:rsidR="006369F9">
        <w:rPr>
          <w:kern w:val="22"/>
          <w:szCs w:val="22"/>
        </w:rPr>
        <w:t xml:space="preserve">é et/ou </w:t>
      </w:r>
      <w:r w:rsidR="001A0E31">
        <w:rPr>
          <w:kern w:val="22"/>
          <w:szCs w:val="22"/>
        </w:rPr>
        <w:t>estimé</w:t>
      </w:r>
      <w:r>
        <w:rPr>
          <w:kern w:val="22"/>
          <w:szCs w:val="22"/>
        </w:rPr>
        <w:t xml:space="preserve"> les valeurs intrinsèques, écologiques, génétiques, socioéconomiques, scientifiques, éducatives, culturelles, récréatives et esthétiques de la diversité biologique et de ses </w:t>
      </w:r>
      <w:r w:rsidR="00916D08">
        <w:rPr>
          <w:kern w:val="22"/>
          <w:szCs w:val="22"/>
        </w:rPr>
        <w:t>éléments constitutif</w:t>
      </w:r>
      <w:r>
        <w:rPr>
          <w:kern w:val="22"/>
          <w:szCs w:val="22"/>
        </w:rPr>
        <w:t>s. Des rapports antérieurs avaien</w:t>
      </w:r>
      <w:r w:rsidR="00916D08">
        <w:rPr>
          <w:kern w:val="22"/>
          <w:szCs w:val="22"/>
        </w:rPr>
        <w:t>t noté des progrès au regard de</w:t>
      </w:r>
      <w:r>
        <w:rPr>
          <w:kern w:val="22"/>
          <w:szCs w:val="22"/>
        </w:rPr>
        <w:t xml:space="preserve"> cet objectif, et ces progrès ont été maintenus. Dans les rapports de 2015, huit Parties, soit 9 %, ont ind</w:t>
      </w:r>
      <w:r w:rsidR="00916D08">
        <w:rPr>
          <w:kern w:val="22"/>
          <w:szCs w:val="22"/>
        </w:rPr>
        <w:t>iqué que des évaluations complètes avaient été effectué</w:t>
      </w:r>
      <w:r>
        <w:rPr>
          <w:kern w:val="22"/>
          <w:szCs w:val="22"/>
        </w:rPr>
        <w:t xml:space="preserve">s, et </w:t>
      </w:r>
      <w:r w:rsidR="00916D08">
        <w:rPr>
          <w:kern w:val="22"/>
          <w:szCs w:val="22"/>
        </w:rPr>
        <w:t xml:space="preserve">90 % des pays </w:t>
      </w:r>
      <w:r w:rsidR="001A0E31" w:rsidRPr="001A0E31">
        <w:rPr>
          <w:kern w:val="22"/>
          <w:szCs w:val="22"/>
        </w:rPr>
        <w:t>ayant présenté un rapport</w:t>
      </w:r>
      <w:r>
        <w:rPr>
          <w:kern w:val="22"/>
          <w:szCs w:val="22"/>
        </w:rPr>
        <w:t>, soit 42 % de l</w:t>
      </w:r>
      <w:r w:rsidR="00686044">
        <w:rPr>
          <w:kern w:val="22"/>
          <w:szCs w:val="22"/>
        </w:rPr>
        <w:t>’</w:t>
      </w:r>
      <w:r>
        <w:rPr>
          <w:kern w:val="22"/>
          <w:szCs w:val="22"/>
        </w:rPr>
        <w:t xml:space="preserve">ensemble des Parties, ont indiqué avoir entrepris au moins </w:t>
      </w:r>
      <w:r w:rsidR="00916D08">
        <w:rPr>
          <w:kern w:val="22"/>
          <w:szCs w:val="22"/>
        </w:rPr>
        <w:t>certaines</w:t>
      </w:r>
      <w:r>
        <w:rPr>
          <w:kern w:val="22"/>
          <w:szCs w:val="22"/>
        </w:rPr>
        <w:t xml:space="preserve"> évaluations. Dans le</w:t>
      </w:r>
      <w:r w:rsidR="00916D08">
        <w:rPr>
          <w:kern w:val="22"/>
          <w:szCs w:val="22"/>
        </w:rPr>
        <w:t>s</w:t>
      </w:r>
      <w:r>
        <w:rPr>
          <w:kern w:val="22"/>
          <w:szCs w:val="22"/>
        </w:rPr>
        <w:t xml:space="preserve"> rapport</w:t>
      </w:r>
      <w:r w:rsidR="00916D08">
        <w:rPr>
          <w:kern w:val="22"/>
          <w:szCs w:val="22"/>
        </w:rPr>
        <w:t>s</w:t>
      </w:r>
      <w:r>
        <w:rPr>
          <w:kern w:val="22"/>
          <w:szCs w:val="22"/>
        </w:rPr>
        <w:t xml:space="preserve"> de 2020, cinq Parties (soit 10 %) ont ind</w:t>
      </w:r>
      <w:r w:rsidR="00916D08">
        <w:rPr>
          <w:kern w:val="22"/>
          <w:szCs w:val="22"/>
        </w:rPr>
        <w:t>iqué que des évaluations complètes avaient été effectué</w:t>
      </w:r>
      <w:r>
        <w:rPr>
          <w:kern w:val="22"/>
          <w:szCs w:val="22"/>
        </w:rPr>
        <w:t xml:space="preserve">es, et </w:t>
      </w:r>
      <w:r w:rsidR="00916D08">
        <w:rPr>
          <w:kern w:val="22"/>
          <w:szCs w:val="22"/>
        </w:rPr>
        <w:t xml:space="preserve">90 % des pays </w:t>
      </w:r>
      <w:r w:rsidR="001A0E31" w:rsidRPr="001A0E31">
        <w:rPr>
          <w:kern w:val="22"/>
          <w:szCs w:val="22"/>
        </w:rPr>
        <w:t>ayant présenté un rapport</w:t>
      </w:r>
      <w:r w:rsidR="00916D08">
        <w:rPr>
          <w:kern w:val="22"/>
          <w:szCs w:val="22"/>
        </w:rPr>
        <w:t xml:space="preserve"> (soit 22 % de l’ensemble d</w:t>
      </w:r>
      <w:r>
        <w:rPr>
          <w:kern w:val="22"/>
          <w:szCs w:val="22"/>
        </w:rPr>
        <w:t>es Parties) ont indiqué avoir entrepris au moins certaines évaluations. Par rapport à l</w:t>
      </w:r>
      <w:r w:rsidR="00686044">
        <w:rPr>
          <w:kern w:val="22"/>
          <w:szCs w:val="22"/>
        </w:rPr>
        <w:t>’</w:t>
      </w:r>
      <w:r>
        <w:rPr>
          <w:kern w:val="22"/>
          <w:szCs w:val="22"/>
        </w:rPr>
        <w:t>objectif de 30 %, ce chiffre continue d</w:t>
      </w:r>
      <w:r w:rsidR="00686044">
        <w:rPr>
          <w:kern w:val="22"/>
          <w:szCs w:val="22"/>
        </w:rPr>
        <w:t>’</w:t>
      </w:r>
      <w:r>
        <w:rPr>
          <w:kern w:val="22"/>
          <w:szCs w:val="22"/>
        </w:rPr>
        <w:t>être plutôt satisfaisant. Les pays ont fait réf</w:t>
      </w:r>
      <w:r w:rsidR="00916D08">
        <w:rPr>
          <w:kern w:val="22"/>
          <w:szCs w:val="22"/>
        </w:rPr>
        <w:t>érence à des évaluations complète</w:t>
      </w:r>
      <w:r>
        <w:rPr>
          <w:kern w:val="22"/>
          <w:szCs w:val="22"/>
        </w:rPr>
        <w:t>s ou à des études d</w:t>
      </w:r>
      <w:r w:rsidR="00686044">
        <w:rPr>
          <w:kern w:val="22"/>
          <w:szCs w:val="22"/>
        </w:rPr>
        <w:t>’</w:t>
      </w:r>
      <w:r>
        <w:rPr>
          <w:kern w:val="22"/>
          <w:szCs w:val="22"/>
        </w:rPr>
        <w:t>évaluation à plus petite échelle, éventuellement à caractère sectoriel. Par exem</w:t>
      </w:r>
      <w:r w:rsidR="00916D08">
        <w:rPr>
          <w:kern w:val="22"/>
          <w:szCs w:val="22"/>
        </w:rPr>
        <w:t xml:space="preserve">ple, </w:t>
      </w:r>
      <w:r w:rsidR="0002487E">
        <w:rPr>
          <w:kern w:val="22"/>
          <w:szCs w:val="22"/>
        </w:rPr>
        <w:t xml:space="preserve">la </w:t>
      </w:r>
      <w:r w:rsidR="00916D08">
        <w:rPr>
          <w:kern w:val="22"/>
          <w:szCs w:val="22"/>
        </w:rPr>
        <w:t xml:space="preserve">Türkiye a mentionné </w:t>
      </w:r>
      <w:r>
        <w:rPr>
          <w:kern w:val="22"/>
          <w:szCs w:val="22"/>
        </w:rPr>
        <w:t xml:space="preserve">son </w:t>
      </w:r>
      <w:r w:rsidR="00916D08">
        <w:rPr>
          <w:kern w:val="22"/>
          <w:szCs w:val="22"/>
        </w:rPr>
        <w:t>Projet d’</w:t>
      </w:r>
      <w:r>
        <w:rPr>
          <w:kern w:val="22"/>
          <w:szCs w:val="22"/>
        </w:rPr>
        <w:t xml:space="preserve">inventaire </w:t>
      </w:r>
      <w:r w:rsidR="00916D08">
        <w:rPr>
          <w:kern w:val="22"/>
          <w:szCs w:val="22"/>
        </w:rPr>
        <w:t>et de surveillance nationaux</w:t>
      </w:r>
      <w:r>
        <w:rPr>
          <w:kern w:val="22"/>
          <w:szCs w:val="22"/>
        </w:rPr>
        <w:t xml:space="preserve"> de la biodiversité</w:t>
      </w:r>
      <w:r w:rsidR="00916D08">
        <w:rPr>
          <w:kern w:val="22"/>
          <w:szCs w:val="22"/>
        </w:rPr>
        <w:t>, tandis q</w:t>
      </w:r>
      <w:r w:rsidR="00BA49A8">
        <w:rPr>
          <w:kern w:val="22"/>
          <w:szCs w:val="22"/>
        </w:rPr>
        <w:t xml:space="preserve">ue le Royaume-Uni a mentionné des rapports annuels en lien avec </w:t>
      </w:r>
      <w:r>
        <w:rPr>
          <w:kern w:val="22"/>
          <w:szCs w:val="22"/>
        </w:rPr>
        <w:t>une séri</w:t>
      </w:r>
      <w:r w:rsidR="009C547F">
        <w:rPr>
          <w:kern w:val="22"/>
          <w:szCs w:val="22"/>
        </w:rPr>
        <w:t>e de comptes de capital naturel</w:t>
      </w:r>
      <w:r>
        <w:rPr>
          <w:kern w:val="22"/>
          <w:szCs w:val="22"/>
        </w:rPr>
        <w:t xml:space="preserve"> qui on</w:t>
      </w:r>
      <w:r w:rsidR="00BA49A8">
        <w:rPr>
          <w:kern w:val="22"/>
          <w:szCs w:val="22"/>
        </w:rPr>
        <w:t>t été créé</w:t>
      </w:r>
      <w:r w:rsidR="009C547F">
        <w:rPr>
          <w:kern w:val="22"/>
          <w:szCs w:val="22"/>
        </w:rPr>
        <w:t>s après son É</w:t>
      </w:r>
      <w:r>
        <w:rPr>
          <w:kern w:val="22"/>
          <w:szCs w:val="22"/>
        </w:rPr>
        <w:t>valuation nationale des écosystèmes en 2011. Le Royaume-Uni a également indiqué qu</w:t>
      </w:r>
      <w:r w:rsidR="00686044">
        <w:rPr>
          <w:kern w:val="22"/>
          <w:szCs w:val="22"/>
        </w:rPr>
        <w:t>’</w:t>
      </w:r>
      <w:r w:rsidR="00BA49A8">
        <w:rPr>
          <w:kern w:val="22"/>
          <w:szCs w:val="22"/>
        </w:rPr>
        <w:t xml:space="preserve">il </w:t>
      </w:r>
      <w:r w:rsidR="009C547F">
        <w:rPr>
          <w:kern w:val="22"/>
          <w:szCs w:val="22"/>
        </w:rPr>
        <w:t>avait parrainé</w:t>
      </w:r>
      <w:r w:rsidR="00BA49A8">
        <w:rPr>
          <w:kern w:val="22"/>
          <w:szCs w:val="22"/>
        </w:rPr>
        <w:t xml:space="preserve"> l</w:t>
      </w:r>
      <w:r w:rsidR="009C547F">
        <w:rPr>
          <w:kern w:val="22"/>
          <w:szCs w:val="22"/>
        </w:rPr>
        <w:t>e Rapport</w:t>
      </w:r>
      <w:r>
        <w:rPr>
          <w:kern w:val="22"/>
          <w:szCs w:val="22"/>
        </w:rPr>
        <w:t xml:space="preserve"> Dasgupta sur l</w:t>
      </w:r>
      <w:r w:rsidR="00686044">
        <w:rPr>
          <w:kern w:val="22"/>
          <w:szCs w:val="22"/>
        </w:rPr>
        <w:t>’</w:t>
      </w:r>
      <w:r>
        <w:rPr>
          <w:kern w:val="22"/>
          <w:szCs w:val="22"/>
        </w:rPr>
        <w:t>économie de la biodiversité</w:t>
      </w:r>
      <w:r w:rsidR="00BA49A8">
        <w:rPr>
          <w:kern w:val="22"/>
          <w:szCs w:val="22"/>
        </w:rPr>
        <w:t>,</w:t>
      </w:r>
      <w:r>
        <w:rPr>
          <w:kern w:val="22"/>
          <w:szCs w:val="22"/>
        </w:rPr>
        <w:t xml:space="preserve"> en tant que</w:t>
      </w:r>
      <w:r w:rsidR="00BA49A8">
        <w:rPr>
          <w:kern w:val="22"/>
          <w:szCs w:val="22"/>
        </w:rPr>
        <w:t xml:space="preserve"> nouveau cadre économique exhaustif</w:t>
      </w:r>
      <w:r>
        <w:rPr>
          <w:kern w:val="22"/>
          <w:szCs w:val="22"/>
        </w:rPr>
        <w:t xml:space="preserve"> qui tient compte de la dépendance de l</w:t>
      </w:r>
      <w:r w:rsidR="00686044">
        <w:rPr>
          <w:kern w:val="22"/>
          <w:szCs w:val="22"/>
        </w:rPr>
        <w:t>’</w:t>
      </w:r>
      <w:r>
        <w:rPr>
          <w:kern w:val="22"/>
          <w:szCs w:val="22"/>
        </w:rPr>
        <w:t>humanité à l</w:t>
      </w:r>
      <w:r w:rsidR="00686044">
        <w:rPr>
          <w:kern w:val="22"/>
          <w:szCs w:val="22"/>
        </w:rPr>
        <w:t>’</w:t>
      </w:r>
      <w:r>
        <w:rPr>
          <w:kern w:val="22"/>
          <w:szCs w:val="22"/>
        </w:rPr>
        <w:t>égard de la nature.</w:t>
      </w:r>
    </w:p>
    <w:p w:rsidR="00AC7EA1" w:rsidRDefault="00916D08" w:rsidP="0019107F">
      <w:pPr>
        <w:pStyle w:val="Heading1"/>
        <w:suppressLineNumbers/>
        <w:tabs>
          <w:tab w:val="clear" w:pos="720"/>
        </w:tabs>
        <w:suppressAutoHyphens/>
        <w:kinsoku w:val="0"/>
        <w:overflowPunct w:val="0"/>
        <w:autoSpaceDE w:val="0"/>
        <w:autoSpaceDN w:val="0"/>
        <w:adjustRightInd w:val="0"/>
        <w:snapToGrid w:val="0"/>
        <w:spacing w:before="120"/>
        <w:ind w:left="851" w:hanging="567"/>
        <w:jc w:val="left"/>
        <w:rPr>
          <w:snapToGrid w:val="0"/>
          <w:kern w:val="22"/>
          <w:szCs w:val="22"/>
        </w:rPr>
      </w:pPr>
      <w:r>
        <w:rPr>
          <w:snapToGrid w:val="0"/>
          <w:kern w:val="22"/>
          <w:szCs w:val="22"/>
        </w:rPr>
        <w:lastRenderedPageBreak/>
        <w:t>V.</w:t>
      </w:r>
      <w:r>
        <w:rPr>
          <w:snapToGrid w:val="0"/>
          <w:kern w:val="22"/>
          <w:szCs w:val="22"/>
        </w:rPr>
        <w:tab/>
        <w:t>informations communiquées</w:t>
      </w:r>
      <w:r w:rsidR="00324D7C">
        <w:rPr>
          <w:snapToGrid w:val="0"/>
          <w:kern w:val="22"/>
          <w:szCs w:val="22"/>
        </w:rPr>
        <w:t xml:space="preserve"> sur les dépenses intérieures courantes en </w:t>
      </w:r>
      <w:r w:rsidR="00686044">
        <w:rPr>
          <w:snapToGrid w:val="0"/>
          <w:kern w:val="22"/>
          <w:szCs w:val="22"/>
        </w:rPr>
        <w:t xml:space="preserve">matiere de </w:t>
      </w:r>
      <w:r w:rsidR="00324D7C">
        <w:rPr>
          <w:snapToGrid w:val="0"/>
          <w:kern w:val="22"/>
          <w:szCs w:val="22"/>
        </w:rPr>
        <w:t>biodiversité</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L</w:t>
      </w:r>
      <w:r w:rsidR="00686044">
        <w:rPr>
          <w:kern w:val="22"/>
          <w:szCs w:val="22"/>
        </w:rPr>
        <w:t>’</w:t>
      </w:r>
      <w:r>
        <w:rPr>
          <w:kern w:val="22"/>
          <w:szCs w:val="22"/>
        </w:rPr>
        <w:t>objectif c) des objectifs de mobilisation des ressources adopt</w:t>
      </w:r>
      <w:r w:rsidR="009C547F">
        <w:rPr>
          <w:kern w:val="22"/>
          <w:szCs w:val="22"/>
        </w:rPr>
        <w:t>és dans la décision XII/3 vise</w:t>
      </w:r>
      <w:r>
        <w:rPr>
          <w:kern w:val="22"/>
          <w:szCs w:val="22"/>
        </w:rPr>
        <w:t xml:space="preserve"> à ce que 100 %, mais au moins 75 %, des Parties disposent de ressources financières suffisantes pour faire rapport sur les dépenses intérieures consacrées à la diversité biologique, ainsi que sur les besoins, les </w:t>
      </w:r>
      <w:r w:rsidR="00931260" w:rsidRPr="00931260">
        <w:rPr>
          <w:kern w:val="22"/>
          <w:szCs w:val="22"/>
        </w:rPr>
        <w:t>déficits</w:t>
      </w:r>
      <w:r>
        <w:rPr>
          <w:kern w:val="22"/>
          <w:szCs w:val="22"/>
        </w:rPr>
        <w:t xml:space="preserve"> et les priorités en matière de financement, d</w:t>
      </w:r>
      <w:r w:rsidR="00686044">
        <w:rPr>
          <w:kern w:val="22"/>
          <w:szCs w:val="22"/>
        </w:rPr>
        <w:t>’</w:t>
      </w:r>
      <w:r>
        <w:rPr>
          <w:kern w:val="22"/>
          <w:szCs w:val="22"/>
        </w:rPr>
        <w:t xml:space="preserve">ici à 2015. </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Sur les 97 Parties qui ont fait rapport sur les progrès initiaux accomplis jusqu</w:t>
      </w:r>
      <w:r w:rsidR="00686044">
        <w:rPr>
          <w:kern w:val="22"/>
          <w:szCs w:val="22"/>
        </w:rPr>
        <w:t>’</w:t>
      </w:r>
      <w:r>
        <w:rPr>
          <w:kern w:val="22"/>
          <w:szCs w:val="22"/>
        </w:rPr>
        <w:t>en 2015, 88 Parties, soit plus de 90 %, ont fait rapport sur leur appui financier annuel fourni aux activités nationales liées à la biodiversité dans le</w:t>
      </w:r>
      <w:r w:rsidR="00D64B8F">
        <w:rPr>
          <w:kern w:val="22"/>
          <w:szCs w:val="22"/>
        </w:rPr>
        <w:t>ur</w:t>
      </w:r>
      <w:r>
        <w:rPr>
          <w:kern w:val="22"/>
          <w:szCs w:val="22"/>
        </w:rPr>
        <w:t xml:space="preserve"> pays. Bien que cela puisse également sembler satisfaisant, cela ne représente que près de 46 % de l</w:t>
      </w:r>
      <w:r w:rsidR="00686044">
        <w:rPr>
          <w:kern w:val="22"/>
          <w:szCs w:val="22"/>
        </w:rPr>
        <w:t>’</w:t>
      </w:r>
      <w:r w:rsidR="00D64B8F">
        <w:rPr>
          <w:kern w:val="22"/>
          <w:szCs w:val="22"/>
        </w:rPr>
        <w:t>ensemble des Parties</w:t>
      </w:r>
      <w:r>
        <w:rPr>
          <w:kern w:val="22"/>
          <w:szCs w:val="22"/>
        </w:rPr>
        <w:t>; par conséquent, selon une interprétation stricte, cet élément de l</w:t>
      </w:r>
      <w:r w:rsidR="00686044">
        <w:rPr>
          <w:kern w:val="22"/>
          <w:szCs w:val="22"/>
        </w:rPr>
        <w:t>’</w:t>
      </w:r>
      <w:r w:rsidR="00D64B8F">
        <w:rPr>
          <w:kern w:val="22"/>
          <w:szCs w:val="22"/>
        </w:rPr>
        <w:t>objectif </w:t>
      </w:r>
      <w:r>
        <w:rPr>
          <w:kern w:val="22"/>
          <w:szCs w:val="22"/>
        </w:rPr>
        <w:t>c) de la décision XII/3 n</w:t>
      </w:r>
      <w:r w:rsidR="00686044">
        <w:rPr>
          <w:kern w:val="22"/>
          <w:szCs w:val="22"/>
        </w:rPr>
        <w:t>’</w:t>
      </w:r>
      <w:r>
        <w:rPr>
          <w:kern w:val="22"/>
          <w:szCs w:val="22"/>
        </w:rPr>
        <w:t>a pas été atteint.</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L</w:t>
      </w:r>
      <w:r w:rsidR="00686044">
        <w:rPr>
          <w:kern w:val="22"/>
          <w:szCs w:val="22"/>
        </w:rPr>
        <w:t>’</w:t>
      </w:r>
      <w:r>
        <w:rPr>
          <w:kern w:val="22"/>
          <w:szCs w:val="22"/>
        </w:rPr>
        <w:t>objectif e) des objectifs de mobil</w:t>
      </w:r>
      <w:r w:rsidR="00576D2A">
        <w:rPr>
          <w:kern w:val="22"/>
          <w:szCs w:val="22"/>
        </w:rPr>
        <w:t>isation des ressources prévoit</w:t>
      </w:r>
      <w:r>
        <w:rPr>
          <w:kern w:val="22"/>
          <w:szCs w:val="22"/>
        </w:rPr>
        <w:t xml:space="preserve"> une mobilisation des r</w:t>
      </w:r>
      <w:r w:rsidR="00D64B8F">
        <w:rPr>
          <w:kern w:val="22"/>
          <w:szCs w:val="22"/>
        </w:rPr>
        <w:t>essources financières nationale</w:t>
      </w:r>
      <w:r>
        <w:rPr>
          <w:kern w:val="22"/>
          <w:szCs w:val="22"/>
        </w:rPr>
        <w:t>s de toutes provenances pour réduire l</w:t>
      </w:r>
      <w:r w:rsidR="00686044">
        <w:rPr>
          <w:kern w:val="22"/>
          <w:szCs w:val="22"/>
        </w:rPr>
        <w:t>’</w:t>
      </w:r>
      <w:r>
        <w:rPr>
          <w:kern w:val="22"/>
          <w:szCs w:val="22"/>
        </w:rPr>
        <w:t>écart entre les besoins recensés et les ressources disponibles au niveau national. Bien que les données ne permettent pas d</w:t>
      </w:r>
      <w:r w:rsidR="00686044">
        <w:rPr>
          <w:kern w:val="22"/>
          <w:szCs w:val="22"/>
        </w:rPr>
        <w:t>’</w:t>
      </w:r>
      <w:r>
        <w:rPr>
          <w:kern w:val="22"/>
          <w:szCs w:val="22"/>
        </w:rPr>
        <w:t>effectuer des comparaisons entre les pays ou de fournir un chiffre global significat</w:t>
      </w:r>
      <w:r w:rsidR="00D64B8F">
        <w:rPr>
          <w:kern w:val="22"/>
          <w:szCs w:val="22"/>
        </w:rPr>
        <w:t>if des dépenses intérieures consacrées à</w:t>
      </w:r>
      <w:r>
        <w:rPr>
          <w:kern w:val="22"/>
          <w:szCs w:val="22"/>
        </w:rPr>
        <w:t xml:space="preserve"> la biodiversité, elles permettent, dans une certaine mesure, une analyse des tendances de l</w:t>
      </w:r>
      <w:r w:rsidR="00686044">
        <w:rPr>
          <w:kern w:val="22"/>
          <w:szCs w:val="22"/>
        </w:rPr>
        <w:t>’</w:t>
      </w:r>
      <w:r>
        <w:rPr>
          <w:kern w:val="22"/>
          <w:szCs w:val="22"/>
        </w:rPr>
        <w:t>évolution des dépenses liées à la biodiversité au fil du temps, mais pas dans tous les cas.</w:t>
      </w:r>
      <w:r w:rsidR="00EE6889" w:rsidRPr="00000DA0">
        <w:rPr>
          <w:rStyle w:val="FootnoteReference"/>
          <w:kern w:val="22"/>
          <w:szCs w:val="22"/>
        </w:rPr>
        <w:footnoteReference w:id="14"/>
      </w:r>
      <w:r w:rsidR="00D64B8F">
        <w:rPr>
          <w:kern w:val="22"/>
          <w:szCs w:val="22"/>
        </w:rPr>
        <w:t xml:space="preserve"> Le tableau 3 ci-dessous résume cette analyse, effectuée</w:t>
      </w:r>
      <w:r>
        <w:rPr>
          <w:kern w:val="22"/>
          <w:szCs w:val="22"/>
        </w:rPr>
        <w:t xml:space="preserve"> dans la mesure d</w:t>
      </w:r>
      <w:r w:rsidR="00D64B8F">
        <w:rPr>
          <w:kern w:val="22"/>
          <w:szCs w:val="22"/>
        </w:rPr>
        <w:t>u possible. En raison de l’</w:t>
      </w:r>
      <w:r>
        <w:rPr>
          <w:kern w:val="22"/>
          <w:szCs w:val="22"/>
        </w:rPr>
        <w:t>augmentation des dépenses liées à la biodiversité dans</w:t>
      </w:r>
      <w:r w:rsidR="00D64B8F">
        <w:rPr>
          <w:kern w:val="22"/>
          <w:szCs w:val="22"/>
        </w:rPr>
        <w:t xml:space="preserve"> environ la moitié des pays, le tableau </w:t>
      </w:r>
      <w:r>
        <w:rPr>
          <w:kern w:val="22"/>
          <w:szCs w:val="22"/>
        </w:rPr>
        <w:t>indique que des progrès ont été accomplis jusqu</w:t>
      </w:r>
      <w:r w:rsidR="00686044">
        <w:rPr>
          <w:kern w:val="22"/>
          <w:szCs w:val="22"/>
        </w:rPr>
        <w:t>’</w:t>
      </w:r>
      <w:r w:rsidR="00D64B8F">
        <w:rPr>
          <w:kern w:val="22"/>
          <w:szCs w:val="22"/>
        </w:rPr>
        <w:t>en 2015</w:t>
      </w:r>
      <w:r>
        <w:rPr>
          <w:kern w:val="22"/>
          <w:szCs w:val="22"/>
        </w:rPr>
        <w:t xml:space="preserve">; cependant, cette </w:t>
      </w:r>
      <w:r w:rsidR="00D64B8F">
        <w:rPr>
          <w:kern w:val="22"/>
          <w:szCs w:val="22"/>
        </w:rPr>
        <w:t>tendance doit être relativisée, puisque dans l’autre</w:t>
      </w:r>
      <w:r>
        <w:rPr>
          <w:kern w:val="22"/>
          <w:szCs w:val="22"/>
        </w:rPr>
        <w:t xml:space="preserve"> moitié</w:t>
      </w:r>
      <w:r w:rsidR="00D64B8F">
        <w:rPr>
          <w:kern w:val="22"/>
          <w:szCs w:val="22"/>
        </w:rPr>
        <w:t xml:space="preserve"> des pays, ces dépenses ont stagné ou ont diminué</w:t>
      </w:r>
      <w:r>
        <w:rPr>
          <w:kern w:val="22"/>
          <w:szCs w:val="2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941"/>
        <w:gridCol w:w="1579"/>
        <w:gridCol w:w="1224"/>
        <w:gridCol w:w="1016"/>
        <w:gridCol w:w="1022"/>
      </w:tblGrid>
      <w:tr w:rsidR="004A39BD" w:rsidRPr="00951A79" w:rsidTr="004A39BD">
        <w:trPr>
          <w:cantSplit/>
          <w:jc w:val="center"/>
        </w:trPr>
        <w:tc>
          <w:tcPr>
            <w:tcW w:w="9476" w:type="dxa"/>
            <w:gridSpan w:val="6"/>
            <w:tcBorders>
              <w:top w:val="nil"/>
              <w:left w:val="nil"/>
              <w:bottom w:val="single" w:sz="4" w:space="0" w:color="auto"/>
              <w:right w:val="nil"/>
            </w:tcBorders>
            <w:shd w:val="clear" w:color="auto" w:fill="auto"/>
          </w:tcPr>
          <w:p w:rsidR="00AC7EA1" w:rsidRDefault="00721806">
            <w:pPr>
              <w:pStyle w:val="ListParagraph"/>
              <w:keepNext/>
              <w:suppressLineNumbers/>
              <w:suppressAutoHyphens/>
              <w:kinsoku w:val="0"/>
              <w:overflowPunct w:val="0"/>
              <w:autoSpaceDE w:val="0"/>
              <w:autoSpaceDN w:val="0"/>
              <w:adjustRightInd w:val="0"/>
              <w:snapToGrid w:val="0"/>
              <w:spacing w:before="60" w:after="60"/>
              <w:ind w:left="0"/>
              <w:contextualSpacing w:val="0"/>
              <w:jc w:val="left"/>
              <w:rPr>
                <w:snapToGrid w:val="0"/>
                <w:kern w:val="22"/>
                <w:szCs w:val="22"/>
              </w:rPr>
            </w:pPr>
            <w:r>
              <w:rPr>
                <w:b/>
                <w:snapToGrid w:val="0"/>
                <w:kern w:val="22"/>
                <w:szCs w:val="22"/>
              </w:rPr>
              <w:t>Tableau 3. Evolution</w:t>
            </w:r>
            <w:r w:rsidR="00324D7C">
              <w:rPr>
                <w:b/>
                <w:snapToGrid w:val="0"/>
                <w:kern w:val="22"/>
                <w:szCs w:val="22"/>
              </w:rPr>
              <w:t xml:space="preserve"> des dépenses nationales</w:t>
            </w:r>
            <w:r>
              <w:rPr>
                <w:b/>
                <w:snapToGrid w:val="0"/>
                <w:kern w:val="22"/>
                <w:szCs w:val="22"/>
              </w:rPr>
              <w:t xml:space="preserve"> intérieures en matière de </w:t>
            </w:r>
            <w:r w:rsidR="00324D7C">
              <w:rPr>
                <w:b/>
                <w:snapToGrid w:val="0"/>
                <w:kern w:val="22"/>
                <w:szCs w:val="22"/>
              </w:rPr>
              <w:t>biodiversité (jusqu</w:t>
            </w:r>
            <w:r w:rsidR="00686044">
              <w:rPr>
                <w:b/>
                <w:snapToGrid w:val="0"/>
                <w:kern w:val="22"/>
                <w:szCs w:val="22"/>
              </w:rPr>
              <w:t>’</w:t>
            </w:r>
            <w:r w:rsidR="00324D7C">
              <w:rPr>
                <w:b/>
                <w:snapToGrid w:val="0"/>
                <w:kern w:val="22"/>
                <w:szCs w:val="22"/>
              </w:rPr>
              <w:t>en 2015), cadre d</w:t>
            </w:r>
            <w:r w:rsidR="00D64B8F">
              <w:rPr>
                <w:b/>
                <w:snapToGrid w:val="0"/>
                <w:kern w:val="22"/>
                <w:szCs w:val="22"/>
              </w:rPr>
              <w:t>e présentation des rapports financiers</w:t>
            </w:r>
          </w:p>
        </w:tc>
      </w:tr>
      <w:tr w:rsidR="008E17FE" w:rsidRPr="00951A79" w:rsidTr="00AF6C20">
        <w:trPr>
          <w:cantSplit/>
          <w:jc w:val="center"/>
        </w:trPr>
        <w:tc>
          <w:tcPr>
            <w:tcW w:w="2694" w:type="dxa"/>
            <w:tcBorders>
              <w:top w:val="single" w:sz="4" w:space="0" w:color="auto"/>
            </w:tcBorders>
            <w:shd w:val="clear" w:color="auto" w:fill="auto"/>
          </w:tcPr>
          <w:p w:rsidR="004D0673" w:rsidRPr="00951A79" w:rsidRDefault="004D0673" w:rsidP="00C264EE">
            <w:pPr>
              <w:keepNext/>
              <w:suppressLineNumbers/>
              <w:suppressAutoHyphens/>
              <w:kinsoku w:val="0"/>
              <w:overflowPunct w:val="0"/>
              <w:autoSpaceDE w:val="0"/>
              <w:autoSpaceDN w:val="0"/>
              <w:adjustRightInd w:val="0"/>
              <w:snapToGrid w:val="0"/>
              <w:spacing w:before="40" w:after="40"/>
              <w:ind w:left="360"/>
              <w:rPr>
                <w:bCs/>
                <w:snapToGrid w:val="0"/>
                <w:kern w:val="22"/>
                <w:szCs w:val="22"/>
              </w:rPr>
            </w:pPr>
          </w:p>
        </w:tc>
        <w:tc>
          <w:tcPr>
            <w:tcW w:w="6782" w:type="dxa"/>
            <w:gridSpan w:val="5"/>
            <w:tcBorders>
              <w:top w:val="single" w:sz="4" w:space="0" w:color="auto"/>
            </w:tcBorders>
            <w:shd w:val="clear" w:color="auto" w:fill="auto"/>
          </w:tcPr>
          <w:p w:rsidR="00AC7EA1" w:rsidRDefault="00324D7C">
            <w:pPr>
              <w:keepNext/>
              <w:suppressLineNumbers/>
              <w:suppressAutoHyphens/>
              <w:kinsoku w:val="0"/>
              <w:overflowPunct w:val="0"/>
              <w:autoSpaceDE w:val="0"/>
              <w:autoSpaceDN w:val="0"/>
              <w:adjustRightInd w:val="0"/>
              <w:snapToGrid w:val="0"/>
              <w:spacing w:before="40" w:after="40"/>
              <w:ind w:left="360"/>
              <w:jc w:val="center"/>
              <w:rPr>
                <w:i/>
                <w:snapToGrid w:val="0"/>
                <w:kern w:val="22"/>
                <w:szCs w:val="22"/>
              </w:rPr>
            </w:pPr>
            <w:r>
              <w:rPr>
                <w:i/>
                <w:iCs/>
                <w:snapToGrid w:val="0"/>
                <w:kern w:val="22"/>
                <w:szCs w:val="22"/>
              </w:rPr>
              <w:t>Nombre de pays</w:t>
            </w:r>
          </w:p>
        </w:tc>
      </w:tr>
      <w:tr w:rsidR="004A39BD" w:rsidRPr="00951A79" w:rsidTr="00AF6C20">
        <w:trPr>
          <w:cantSplit/>
          <w:jc w:val="center"/>
        </w:trPr>
        <w:tc>
          <w:tcPr>
            <w:tcW w:w="2694" w:type="dxa"/>
            <w:tcBorders>
              <w:top w:val="single" w:sz="4" w:space="0" w:color="auto"/>
            </w:tcBorders>
            <w:shd w:val="clear" w:color="auto" w:fill="auto"/>
          </w:tcPr>
          <w:p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rPr>
                <w:bCs/>
                <w:snapToGrid w:val="0"/>
                <w:kern w:val="22"/>
                <w:szCs w:val="22"/>
              </w:rPr>
            </w:pPr>
          </w:p>
        </w:tc>
        <w:tc>
          <w:tcPr>
            <w:tcW w:w="1941" w:type="dxa"/>
            <w:tcBorders>
              <w:top w:val="single" w:sz="4" w:space="0" w:color="auto"/>
            </w:tcBorders>
            <w:shd w:val="clear" w:color="auto" w:fill="auto"/>
          </w:tcPr>
          <w:p w:rsidR="00AC7EA1" w:rsidRDefault="00D64B8F">
            <w:pPr>
              <w:keepNext/>
              <w:suppressLineNumbers/>
              <w:suppressAutoHyphens/>
              <w:kinsoku w:val="0"/>
              <w:overflowPunct w:val="0"/>
              <w:autoSpaceDE w:val="0"/>
              <w:autoSpaceDN w:val="0"/>
              <w:adjustRightInd w:val="0"/>
              <w:snapToGrid w:val="0"/>
              <w:spacing w:before="40" w:after="40"/>
              <w:ind w:left="360"/>
              <w:rPr>
                <w:i/>
                <w:snapToGrid w:val="0"/>
                <w:kern w:val="22"/>
                <w:szCs w:val="22"/>
              </w:rPr>
            </w:pPr>
            <w:r>
              <w:rPr>
                <w:i/>
                <w:snapToGrid w:val="0"/>
                <w:kern w:val="22"/>
                <w:szCs w:val="22"/>
              </w:rPr>
              <w:t>Augmentation</w:t>
            </w:r>
          </w:p>
        </w:tc>
        <w:tc>
          <w:tcPr>
            <w:tcW w:w="1579" w:type="dxa"/>
            <w:tcBorders>
              <w:top w:val="single" w:sz="4" w:space="0" w:color="auto"/>
            </w:tcBorders>
            <w:shd w:val="clear" w:color="auto" w:fill="auto"/>
          </w:tcPr>
          <w:p w:rsidR="00AC7EA1" w:rsidRDefault="00D64B8F">
            <w:pPr>
              <w:keepNext/>
              <w:suppressLineNumbers/>
              <w:suppressAutoHyphens/>
              <w:kinsoku w:val="0"/>
              <w:overflowPunct w:val="0"/>
              <w:autoSpaceDE w:val="0"/>
              <w:autoSpaceDN w:val="0"/>
              <w:adjustRightInd w:val="0"/>
              <w:snapToGrid w:val="0"/>
              <w:spacing w:before="40" w:after="40"/>
              <w:ind w:left="360"/>
              <w:rPr>
                <w:i/>
                <w:snapToGrid w:val="0"/>
                <w:kern w:val="22"/>
                <w:szCs w:val="22"/>
              </w:rPr>
            </w:pPr>
            <w:r>
              <w:rPr>
                <w:i/>
                <w:snapToGrid w:val="0"/>
                <w:kern w:val="22"/>
                <w:szCs w:val="22"/>
              </w:rPr>
              <w:t>Diminution</w:t>
            </w:r>
          </w:p>
        </w:tc>
        <w:tc>
          <w:tcPr>
            <w:tcW w:w="1224" w:type="dxa"/>
            <w:tcBorders>
              <w:top w:val="single" w:sz="4" w:space="0" w:color="auto"/>
            </w:tcBorders>
            <w:shd w:val="clear" w:color="auto" w:fill="auto"/>
          </w:tcPr>
          <w:p w:rsidR="00AC7EA1" w:rsidRDefault="00324D7C">
            <w:pPr>
              <w:keepNext/>
              <w:suppressLineNumbers/>
              <w:suppressAutoHyphens/>
              <w:kinsoku w:val="0"/>
              <w:overflowPunct w:val="0"/>
              <w:autoSpaceDE w:val="0"/>
              <w:autoSpaceDN w:val="0"/>
              <w:adjustRightInd w:val="0"/>
              <w:snapToGrid w:val="0"/>
              <w:spacing w:before="40" w:after="40"/>
              <w:ind w:left="360"/>
              <w:rPr>
                <w:i/>
                <w:snapToGrid w:val="0"/>
                <w:kern w:val="22"/>
                <w:szCs w:val="22"/>
              </w:rPr>
            </w:pPr>
            <w:r>
              <w:rPr>
                <w:i/>
                <w:snapToGrid w:val="0"/>
                <w:kern w:val="22"/>
                <w:szCs w:val="22"/>
              </w:rPr>
              <w:t>Neutre</w:t>
            </w:r>
          </w:p>
        </w:tc>
        <w:tc>
          <w:tcPr>
            <w:tcW w:w="1016" w:type="dxa"/>
            <w:tcBorders>
              <w:top w:val="single" w:sz="4" w:space="0" w:color="auto"/>
            </w:tcBorders>
            <w:shd w:val="clear" w:color="auto" w:fill="auto"/>
          </w:tcPr>
          <w:p w:rsidR="00AC7EA1" w:rsidRDefault="00D64B8F">
            <w:pPr>
              <w:keepNext/>
              <w:suppressLineNumbers/>
              <w:suppressAutoHyphens/>
              <w:kinsoku w:val="0"/>
              <w:overflowPunct w:val="0"/>
              <w:autoSpaceDE w:val="0"/>
              <w:autoSpaceDN w:val="0"/>
              <w:adjustRightInd w:val="0"/>
              <w:snapToGrid w:val="0"/>
              <w:spacing w:before="40" w:after="40"/>
              <w:ind w:left="360"/>
              <w:rPr>
                <w:i/>
                <w:snapToGrid w:val="0"/>
                <w:kern w:val="22"/>
                <w:szCs w:val="22"/>
              </w:rPr>
            </w:pPr>
            <w:r>
              <w:rPr>
                <w:i/>
                <w:snapToGrid w:val="0"/>
                <w:kern w:val="22"/>
                <w:szCs w:val="22"/>
              </w:rPr>
              <w:t>Sans objet</w:t>
            </w:r>
          </w:p>
        </w:tc>
        <w:tc>
          <w:tcPr>
            <w:tcW w:w="1022" w:type="dxa"/>
            <w:tcBorders>
              <w:top w:val="single" w:sz="4" w:space="0" w:color="auto"/>
            </w:tcBorders>
            <w:shd w:val="clear" w:color="auto" w:fill="auto"/>
          </w:tcPr>
          <w:p w:rsidR="00AC7EA1" w:rsidRDefault="00324D7C">
            <w:pPr>
              <w:keepNext/>
              <w:suppressLineNumbers/>
              <w:suppressAutoHyphens/>
              <w:kinsoku w:val="0"/>
              <w:overflowPunct w:val="0"/>
              <w:autoSpaceDE w:val="0"/>
              <w:autoSpaceDN w:val="0"/>
              <w:adjustRightInd w:val="0"/>
              <w:snapToGrid w:val="0"/>
              <w:spacing w:before="40" w:after="40"/>
              <w:ind w:left="360"/>
              <w:rPr>
                <w:i/>
                <w:snapToGrid w:val="0"/>
                <w:kern w:val="22"/>
                <w:szCs w:val="22"/>
              </w:rPr>
            </w:pPr>
            <w:r>
              <w:rPr>
                <w:i/>
                <w:snapToGrid w:val="0"/>
                <w:kern w:val="22"/>
                <w:szCs w:val="22"/>
              </w:rPr>
              <w:t>Total</w:t>
            </w:r>
          </w:p>
        </w:tc>
      </w:tr>
      <w:tr w:rsidR="004A39BD" w:rsidRPr="00951A79" w:rsidTr="00AF6C20">
        <w:trPr>
          <w:cantSplit/>
          <w:jc w:val="center"/>
        </w:trPr>
        <w:tc>
          <w:tcPr>
            <w:tcW w:w="2694" w:type="dxa"/>
            <w:shd w:val="clear" w:color="auto" w:fill="auto"/>
          </w:tcPr>
          <w:p w:rsidR="00AC7EA1" w:rsidRDefault="00324D7C">
            <w:pPr>
              <w:keepNext/>
              <w:suppressLineNumbers/>
              <w:suppressAutoHyphens/>
              <w:kinsoku w:val="0"/>
              <w:overflowPunct w:val="0"/>
              <w:autoSpaceDE w:val="0"/>
              <w:autoSpaceDN w:val="0"/>
              <w:adjustRightInd w:val="0"/>
              <w:snapToGrid w:val="0"/>
              <w:spacing w:before="40" w:after="40"/>
              <w:rPr>
                <w:snapToGrid w:val="0"/>
                <w:kern w:val="22"/>
                <w:szCs w:val="22"/>
              </w:rPr>
            </w:pPr>
            <w:r>
              <w:rPr>
                <w:snapToGrid w:val="0"/>
                <w:kern w:val="22"/>
                <w:szCs w:val="22"/>
              </w:rPr>
              <w:t>Membres du CAD</w:t>
            </w:r>
          </w:p>
        </w:tc>
        <w:tc>
          <w:tcPr>
            <w:tcW w:w="1941" w:type="dxa"/>
            <w:shd w:val="clear" w:color="auto" w:fill="auto"/>
          </w:tcPr>
          <w:p w:rsidR="00AC7EA1" w:rsidRDefault="00324D7C">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kern w:val="22"/>
                <w:szCs w:val="22"/>
              </w:rPr>
              <w:t>9</w:t>
            </w:r>
          </w:p>
        </w:tc>
        <w:tc>
          <w:tcPr>
            <w:tcW w:w="1579" w:type="dxa"/>
            <w:shd w:val="clear" w:color="auto" w:fill="auto"/>
          </w:tcPr>
          <w:p w:rsidR="00AC7EA1" w:rsidRDefault="00324D7C">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kern w:val="22"/>
                <w:szCs w:val="22"/>
              </w:rPr>
              <w:t>8</w:t>
            </w:r>
          </w:p>
        </w:tc>
        <w:tc>
          <w:tcPr>
            <w:tcW w:w="1224" w:type="dxa"/>
            <w:shd w:val="clear" w:color="auto" w:fill="auto"/>
          </w:tcPr>
          <w:p w:rsidR="00AC7EA1" w:rsidRDefault="00324D7C">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kern w:val="22"/>
                <w:szCs w:val="22"/>
              </w:rPr>
              <w:t>4</w:t>
            </w:r>
          </w:p>
        </w:tc>
        <w:tc>
          <w:tcPr>
            <w:tcW w:w="1016" w:type="dxa"/>
            <w:shd w:val="clear" w:color="auto" w:fill="auto"/>
          </w:tcPr>
          <w:p w:rsidR="00AC7EA1" w:rsidRDefault="00324D7C">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kern w:val="22"/>
                <w:szCs w:val="22"/>
              </w:rPr>
              <w:t>3</w:t>
            </w:r>
          </w:p>
        </w:tc>
        <w:tc>
          <w:tcPr>
            <w:tcW w:w="1022" w:type="dxa"/>
            <w:shd w:val="clear" w:color="auto" w:fill="auto"/>
          </w:tcPr>
          <w:p w:rsidR="00AC7EA1" w:rsidRDefault="00324D7C">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kern w:val="22"/>
                <w:szCs w:val="22"/>
              </w:rPr>
              <w:t>24</w:t>
            </w:r>
          </w:p>
        </w:tc>
      </w:tr>
      <w:tr w:rsidR="004A39BD" w:rsidRPr="00951A79" w:rsidTr="00AF6C20">
        <w:trPr>
          <w:cantSplit/>
          <w:jc w:val="center"/>
        </w:trPr>
        <w:tc>
          <w:tcPr>
            <w:tcW w:w="2694" w:type="dxa"/>
            <w:shd w:val="clear" w:color="auto" w:fill="auto"/>
          </w:tcPr>
          <w:p w:rsidR="00AC7EA1" w:rsidRDefault="00721806">
            <w:pPr>
              <w:keepNext/>
              <w:suppressLineNumbers/>
              <w:suppressAutoHyphens/>
              <w:kinsoku w:val="0"/>
              <w:overflowPunct w:val="0"/>
              <w:autoSpaceDE w:val="0"/>
              <w:autoSpaceDN w:val="0"/>
              <w:adjustRightInd w:val="0"/>
              <w:snapToGrid w:val="0"/>
              <w:spacing w:before="40" w:after="40"/>
              <w:rPr>
                <w:snapToGrid w:val="0"/>
                <w:kern w:val="22"/>
                <w:szCs w:val="22"/>
              </w:rPr>
            </w:pPr>
            <w:r>
              <w:rPr>
                <w:snapToGrid w:val="0"/>
                <w:kern w:val="22"/>
                <w:szCs w:val="22"/>
              </w:rPr>
              <w:t>Pays</w:t>
            </w:r>
            <w:r w:rsidR="00324D7C">
              <w:rPr>
                <w:snapToGrid w:val="0"/>
                <w:kern w:val="22"/>
                <w:szCs w:val="22"/>
              </w:rPr>
              <w:t xml:space="preserve"> non membres du CAD</w:t>
            </w:r>
          </w:p>
        </w:tc>
        <w:tc>
          <w:tcPr>
            <w:tcW w:w="1941" w:type="dxa"/>
            <w:shd w:val="clear" w:color="auto" w:fill="auto"/>
          </w:tcPr>
          <w:p w:rsidR="00AC7EA1" w:rsidRDefault="00324D7C">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kern w:val="22"/>
                <w:szCs w:val="22"/>
              </w:rPr>
              <w:t>26</w:t>
            </w:r>
          </w:p>
        </w:tc>
        <w:tc>
          <w:tcPr>
            <w:tcW w:w="1579" w:type="dxa"/>
            <w:shd w:val="clear" w:color="auto" w:fill="auto"/>
          </w:tcPr>
          <w:p w:rsidR="00AC7EA1" w:rsidRDefault="00324D7C">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kern w:val="22"/>
                <w:szCs w:val="22"/>
              </w:rPr>
              <w:t>6</w:t>
            </w:r>
          </w:p>
        </w:tc>
        <w:tc>
          <w:tcPr>
            <w:tcW w:w="1224" w:type="dxa"/>
            <w:shd w:val="clear" w:color="auto" w:fill="auto"/>
          </w:tcPr>
          <w:p w:rsidR="00AC7EA1" w:rsidRDefault="00324D7C">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kern w:val="22"/>
                <w:szCs w:val="22"/>
              </w:rPr>
              <w:t>20</w:t>
            </w:r>
          </w:p>
        </w:tc>
        <w:tc>
          <w:tcPr>
            <w:tcW w:w="1016" w:type="dxa"/>
            <w:shd w:val="clear" w:color="auto" w:fill="auto"/>
          </w:tcPr>
          <w:p w:rsidR="00AC7EA1" w:rsidRDefault="00324D7C">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kern w:val="22"/>
                <w:szCs w:val="22"/>
              </w:rPr>
              <w:t>12</w:t>
            </w:r>
          </w:p>
        </w:tc>
        <w:tc>
          <w:tcPr>
            <w:tcW w:w="1022" w:type="dxa"/>
            <w:shd w:val="clear" w:color="auto" w:fill="auto"/>
          </w:tcPr>
          <w:p w:rsidR="00AC7EA1" w:rsidRDefault="00324D7C">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kern w:val="22"/>
                <w:szCs w:val="22"/>
              </w:rPr>
              <w:t>64</w:t>
            </w:r>
          </w:p>
        </w:tc>
      </w:tr>
      <w:tr w:rsidR="004A39BD" w:rsidRPr="00951A79" w:rsidTr="00AF6C20">
        <w:trPr>
          <w:cantSplit/>
          <w:jc w:val="center"/>
        </w:trPr>
        <w:tc>
          <w:tcPr>
            <w:tcW w:w="2694" w:type="dxa"/>
            <w:shd w:val="clear" w:color="auto" w:fill="auto"/>
          </w:tcPr>
          <w:p w:rsidR="00AC7EA1" w:rsidRDefault="00AF6C20" w:rsidP="00721806">
            <w:pPr>
              <w:suppressLineNumbers/>
              <w:suppressAutoHyphens/>
              <w:kinsoku w:val="0"/>
              <w:overflowPunct w:val="0"/>
              <w:autoSpaceDE w:val="0"/>
              <w:autoSpaceDN w:val="0"/>
              <w:adjustRightInd w:val="0"/>
              <w:snapToGrid w:val="0"/>
              <w:spacing w:before="40" w:after="40"/>
              <w:jc w:val="left"/>
              <w:rPr>
                <w:i/>
                <w:iCs/>
                <w:snapToGrid w:val="0"/>
                <w:kern w:val="22"/>
                <w:szCs w:val="22"/>
              </w:rPr>
            </w:pPr>
            <w:r>
              <w:rPr>
                <w:i/>
                <w:iCs/>
                <w:snapToGrid w:val="0"/>
                <w:kern w:val="22"/>
                <w:szCs w:val="22"/>
              </w:rPr>
              <w:t>P</w:t>
            </w:r>
            <w:r w:rsidR="00721806">
              <w:rPr>
                <w:i/>
                <w:iCs/>
                <w:snapToGrid w:val="0"/>
                <w:kern w:val="22"/>
                <w:szCs w:val="22"/>
              </w:rPr>
              <w:t>ays « hyperdivers » en biodiversité</w:t>
            </w:r>
          </w:p>
        </w:tc>
        <w:tc>
          <w:tcPr>
            <w:tcW w:w="1941" w:type="dxa"/>
            <w:shd w:val="clear" w:color="auto" w:fill="auto"/>
          </w:tcPr>
          <w:p w:rsidR="00AC7EA1" w:rsidRDefault="00324D7C">
            <w:pPr>
              <w:suppressLineNumbers/>
              <w:suppressAutoHyphens/>
              <w:kinsoku w:val="0"/>
              <w:overflowPunct w:val="0"/>
              <w:autoSpaceDE w:val="0"/>
              <w:autoSpaceDN w:val="0"/>
              <w:adjustRightInd w:val="0"/>
              <w:snapToGrid w:val="0"/>
              <w:spacing w:before="40" w:after="40"/>
              <w:ind w:left="360"/>
              <w:jc w:val="right"/>
              <w:rPr>
                <w:i/>
                <w:iCs/>
                <w:snapToGrid w:val="0"/>
                <w:kern w:val="22"/>
                <w:szCs w:val="22"/>
              </w:rPr>
            </w:pPr>
            <w:r>
              <w:rPr>
                <w:i/>
                <w:iCs/>
                <w:snapToGrid w:val="0"/>
                <w:kern w:val="22"/>
                <w:szCs w:val="22"/>
              </w:rPr>
              <w:t>7</w:t>
            </w:r>
          </w:p>
        </w:tc>
        <w:tc>
          <w:tcPr>
            <w:tcW w:w="1579" w:type="dxa"/>
            <w:shd w:val="clear" w:color="auto" w:fill="auto"/>
          </w:tcPr>
          <w:p w:rsidR="00AC7EA1" w:rsidRDefault="00324D7C">
            <w:pPr>
              <w:suppressLineNumbers/>
              <w:suppressAutoHyphens/>
              <w:kinsoku w:val="0"/>
              <w:overflowPunct w:val="0"/>
              <w:autoSpaceDE w:val="0"/>
              <w:autoSpaceDN w:val="0"/>
              <w:adjustRightInd w:val="0"/>
              <w:snapToGrid w:val="0"/>
              <w:spacing w:before="40" w:after="40"/>
              <w:ind w:left="360"/>
              <w:jc w:val="right"/>
              <w:rPr>
                <w:i/>
                <w:iCs/>
                <w:snapToGrid w:val="0"/>
                <w:kern w:val="22"/>
                <w:szCs w:val="22"/>
              </w:rPr>
            </w:pPr>
            <w:r>
              <w:rPr>
                <w:i/>
                <w:iCs/>
                <w:snapToGrid w:val="0"/>
                <w:kern w:val="22"/>
                <w:szCs w:val="22"/>
              </w:rPr>
              <w:t>2</w:t>
            </w:r>
          </w:p>
        </w:tc>
        <w:tc>
          <w:tcPr>
            <w:tcW w:w="1224" w:type="dxa"/>
            <w:shd w:val="clear" w:color="auto" w:fill="auto"/>
          </w:tcPr>
          <w:p w:rsidR="00AC7EA1" w:rsidRDefault="00324D7C">
            <w:pPr>
              <w:suppressLineNumbers/>
              <w:suppressAutoHyphens/>
              <w:kinsoku w:val="0"/>
              <w:overflowPunct w:val="0"/>
              <w:autoSpaceDE w:val="0"/>
              <w:autoSpaceDN w:val="0"/>
              <w:adjustRightInd w:val="0"/>
              <w:snapToGrid w:val="0"/>
              <w:spacing w:before="40" w:after="40"/>
              <w:ind w:left="360"/>
              <w:jc w:val="right"/>
              <w:rPr>
                <w:i/>
                <w:iCs/>
                <w:snapToGrid w:val="0"/>
                <w:kern w:val="22"/>
                <w:szCs w:val="22"/>
              </w:rPr>
            </w:pPr>
            <w:r>
              <w:rPr>
                <w:i/>
                <w:iCs/>
                <w:snapToGrid w:val="0"/>
                <w:kern w:val="22"/>
                <w:szCs w:val="22"/>
              </w:rPr>
              <w:t>0</w:t>
            </w:r>
          </w:p>
        </w:tc>
        <w:tc>
          <w:tcPr>
            <w:tcW w:w="1016" w:type="dxa"/>
            <w:shd w:val="clear" w:color="auto" w:fill="auto"/>
          </w:tcPr>
          <w:p w:rsidR="00AC7EA1" w:rsidRDefault="00324D7C">
            <w:pPr>
              <w:suppressLineNumbers/>
              <w:suppressAutoHyphens/>
              <w:kinsoku w:val="0"/>
              <w:overflowPunct w:val="0"/>
              <w:autoSpaceDE w:val="0"/>
              <w:autoSpaceDN w:val="0"/>
              <w:adjustRightInd w:val="0"/>
              <w:snapToGrid w:val="0"/>
              <w:spacing w:before="40" w:after="40"/>
              <w:ind w:left="360"/>
              <w:jc w:val="right"/>
              <w:rPr>
                <w:i/>
                <w:iCs/>
                <w:snapToGrid w:val="0"/>
                <w:kern w:val="22"/>
                <w:szCs w:val="22"/>
              </w:rPr>
            </w:pPr>
            <w:r>
              <w:rPr>
                <w:i/>
                <w:iCs/>
                <w:snapToGrid w:val="0"/>
                <w:kern w:val="22"/>
                <w:szCs w:val="22"/>
              </w:rPr>
              <w:t>0</w:t>
            </w:r>
          </w:p>
        </w:tc>
        <w:tc>
          <w:tcPr>
            <w:tcW w:w="1022" w:type="dxa"/>
            <w:shd w:val="clear" w:color="auto" w:fill="auto"/>
          </w:tcPr>
          <w:p w:rsidR="00AC7EA1" w:rsidRDefault="00324D7C">
            <w:pPr>
              <w:suppressLineNumbers/>
              <w:suppressAutoHyphens/>
              <w:kinsoku w:val="0"/>
              <w:overflowPunct w:val="0"/>
              <w:autoSpaceDE w:val="0"/>
              <w:autoSpaceDN w:val="0"/>
              <w:adjustRightInd w:val="0"/>
              <w:snapToGrid w:val="0"/>
              <w:spacing w:before="40" w:after="40"/>
              <w:ind w:left="360"/>
              <w:jc w:val="right"/>
              <w:rPr>
                <w:i/>
                <w:iCs/>
                <w:snapToGrid w:val="0"/>
                <w:kern w:val="22"/>
                <w:szCs w:val="22"/>
              </w:rPr>
            </w:pPr>
            <w:r>
              <w:rPr>
                <w:i/>
                <w:iCs/>
                <w:snapToGrid w:val="0"/>
                <w:kern w:val="22"/>
                <w:szCs w:val="22"/>
              </w:rPr>
              <w:t>9</w:t>
            </w:r>
          </w:p>
        </w:tc>
      </w:tr>
      <w:tr w:rsidR="004A39BD" w:rsidRPr="00951A79" w:rsidTr="00AF6C20">
        <w:trPr>
          <w:cantSplit/>
          <w:jc w:val="center"/>
        </w:trPr>
        <w:tc>
          <w:tcPr>
            <w:tcW w:w="2694" w:type="dxa"/>
            <w:shd w:val="clear" w:color="auto" w:fill="auto"/>
          </w:tcPr>
          <w:p w:rsidR="00AC7EA1" w:rsidRDefault="00324D7C">
            <w:pPr>
              <w:suppressLineNumbers/>
              <w:suppressAutoHyphens/>
              <w:kinsoku w:val="0"/>
              <w:overflowPunct w:val="0"/>
              <w:autoSpaceDE w:val="0"/>
              <w:autoSpaceDN w:val="0"/>
              <w:adjustRightInd w:val="0"/>
              <w:snapToGrid w:val="0"/>
              <w:spacing w:before="40" w:after="40"/>
              <w:rPr>
                <w:snapToGrid w:val="0"/>
                <w:kern w:val="22"/>
                <w:szCs w:val="22"/>
              </w:rPr>
            </w:pPr>
            <w:r>
              <w:rPr>
                <w:snapToGrid w:val="0"/>
                <w:kern w:val="22"/>
                <w:szCs w:val="22"/>
              </w:rPr>
              <w:t xml:space="preserve">Total </w:t>
            </w:r>
          </w:p>
        </w:tc>
        <w:tc>
          <w:tcPr>
            <w:tcW w:w="1941" w:type="dxa"/>
            <w:shd w:val="clear" w:color="auto" w:fill="auto"/>
          </w:tcPr>
          <w:p w:rsidR="00AC7EA1" w:rsidRDefault="00324D7C">
            <w:pPr>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kern w:val="22"/>
                <w:szCs w:val="22"/>
              </w:rPr>
              <w:t>35</w:t>
            </w:r>
          </w:p>
        </w:tc>
        <w:tc>
          <w:tcPr>
            <w:tcW w:w="1579" w:type="dxa"/>
            <w:shd w:val="clear" w:color="auto" w:fill="auto"/>
          </w:tcPr>
          <w:p w:rsidR="00AC7EA1" w:rsidRDefault="00324D7C">
            <w:pPr>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kern w:val="22"/>
                <w:szCs w:val="22"/>
              </w:rPr>
              <w:t>14</w:t>
            </w:r>
          </w:p>
        </w:tc>
        <w:tc>
          <w:tcPr>
            <w:tcW w:w="1224" w:type="dxa"/>
            <w:shd w:val="clear" w:color="auto" w:fill="auto"/>
          </w:tcPr>
          <w:p w:rsidR="00AC7EA1" w:rsidRDefault="00324D7C">
            <w:pPr>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kern w:val="22"/>
                <w:szCs w:val="22"/>
              </w:rPr>
              <w:t>24</w:t>
            </w:r>
          </w:p>
        </w:tc>
        <w:tc>
          <w:tcPr>
            <w:tcW w:w="1016" w:type="dxa"/>
            <w:shd w:val="clear" w:color="auto" w:fill="auto"/>
          </w:tcPr>
          <w:p w:rsidR="00AC7EA1" w:rsidRDefault="00324D7C">
            <w:pPr>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kern w:val="22"/>
                <w:szCs w:val="22"/>
              </w:rPr>
              <w:t>15</w:t>
            </w:r>
          </w:p>
        </w:tc>
        <w:tc>
          <w:tcPr>
            <w:tcW w:w="1022" w:type="dxa"/>
            <w:shd w:val="clear" w:color="auto" w:fill="auto"/>
          </w:tcPr>
          <w:p w:rsidR="00AC7EA1" w:rsidRDefault="00324D7C">
            <w:pPr>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kern w:val="22"/>
                <w:szCs w:val="22"/>
              </w:rPr>
              <w:t>88</w:t>
            </w:r>
          </w:p>
        </w:tc>
      </w:tr>
    </w:tbl>
    <w:p w:rsidR="00AC7EA1" w:rsidRDefault="00324D7C" w:rsidP="00AF6C20">
      <w:pPr>
        <w:pStyle w:val="Para1"/>
        <w:numPr>
          <w:ilvl w:val="0"/>
          <w:numId w:val="25"/>
        </w:numPr>
        <w:tabs>
          <w:tab w:val="clear" w:pos="360"/>
        </w:tabs>
        <w:kinsoku w:val="0"/>
        <w:overflowPunct w:val="0"/>
        <w:autoSpaceDE w:val="0"/>
        <w:autoSpaceDN w:val="0"/>
        <w:snapToGrid w:val="0"/>
        <w:spacing w:before="240"/>
        <w:rPr>
          <w:kern w:val="22"/>
          <w:szCs w:val="22"/>
        </w:rPr>
      </w:pPr>
      <w:r>
        <w:rPr>
          <w:kern w:val="22"/>
          <w:szCs w:val="22"/>
        </w:rPr>
        <w:t>Le tableau 4 ci-dessous donne une vue d</w:t>
      </w:r>
      <w:r w:rsidR="00686044">
        <w:rPr>
          <w:kern w:val="22"/>
          <w:szCs w:val="22"/>
        </w:rPr>
        <w:t>’</w:t>
      </w:r>
      <w:r>
        <w:rPr>
          <w:kern w:val="22"/>
          <w:szCs w:val="22"/>
        </w:rPr>
        <w:t>ensemble actualisée des sources et des catégories incluses dans les chiffres fournis, reflétant les différentes approches méthodologiques. Le tableau confirme les analyses anté</w:t>
      </w:r>
      <w:r w:rsidR="008D74BC">
        <w:rPr>
          <w:kern w:val="22"/>
          <w:szCs w:val="22"/>
        </w:rPr>
        <w:t>rieures : moins de pays abordent</w:t>
      </w:r>
      <w:r>
        <w:rPr>
          <w:kern w:val="22"/>
          <w:szCs w:val="22"/>
        </w:rPr>
        <w:t xml:space="preserve"> les niveaux inférieurs de gouvernement, les sources non gouvernementales ou les dépenses qui sont indirectement liées à la biodiversité</w:t>
      </w:r>
      <w:r w:rsidR="008D74BC">
        <w:rPr>
          <w:kern w:val="22"/>
          <w:szCs w:val="22"/>
        </w:rPr>
        <w:t xml:space="preserve">. En outre, les pays font rapport sur des </w:t>
      </w:r>
      <w:r>
        <w:rPr>
          <w:kern w:val="22"/>
          <w:szCs w:val="22"/>
        </w:rPr>
        <w:t xml:space="preserve">années différentes. </w:t>
      </w:r>
    </w:p>
    <w:p w:rsidR="00AC7EA1" w:rsidRDefault="00324D7C">
      <w:pPr>
        <w:keepNext/>
        <w:suppressLineNumbers/>
        <w:suppressAutoHyphens/>
        <w:kinsoku w:val="0"/>
        <w:overflowPunct w:val="0"/>
        <w:autoSpaceDE w:val="0"/>
        <w:autoSpaceDN w:val="0"/>
        <w:adjustRightInd w:val="0"/>
        <w:snapToGrid w:val="0"/>
        <w:spacing w:before="120" w:after="60"/>
        <w:jc w:val="left"/>
        <w:rPr>
          <w:snapToGrid w:val="0"/>
          <w:kern w:val="22"/>
          <w:szCs w:val="22"/>
        </w:rPr>
      </w:pPr>
      <w:r>
        <w:rPr>
          <w:b/>
          <w:snapToGrid w:val="0"/>
          <w:kern w:val="22"/>
          <w:szCs w:val="22"/>
        </w:rPr>
        <w:t>Tableau 4. Sources et catégories des dépenses intérieures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5"/>
        <w:gridCol w:w="2520"/>
        <w:gridCol w:w="2811"/>
      </w:tblGrid>
      <w:tr w:rsidR="00855A78" w:rsidRPr="00103C10" w:rsidTr="00000DA0">
        <w:tc>
          <w:tcPr>
            <w:tcW w:w="4135" w:type="dxa"/>
            <w:tcBorders>
              <w:top w:val="single" w:sz="4" w:space="0" w:color="auto"/>
              <w:left w:val="single" w:sz="4" w:space="0" w:color="auto"/>
              <w:bottom w:val="nil"/>
              <w:right w:val="single" w:sz="4" w:space="0" w:color="auto"/>
            </w:tcBorders>
            <w:shd w:val="clear" w:color="auto" w:fill="auto"/>
          </w:tcPr>
          <w:p w:rsidR="00855A78" w:rsidRPr="00103C10" w:rsidRDefault="00855A78" w:rsidP="008E17FE">
            <w:pPr>
              <w:keepNext/>
              <w:suppressLineNumbers/>
              <w:suppressAutoHyphens/>
              <w:kinsoku w:val="0"/>
              <w:overflowPunct w:val="0"/>
              <w:autoSpaceDE w:val="0"/>
              <w:autoSpaceDN w:val="0"/>
              <w:adjustRightInd w:val="0"/>
              <w:snapToGrid w:val="0"/>
              <w:spacing w:before="20" w:after="20"/>
              <w:jc w:val="left"/>
              <w:rPr>
                <w:bCs/>
                <w:snapToGrid w:val="0"/>
                <w:kern w:val="22"/>
                <w:szCs w:val="22"/>
              </w:rPr>
            </w:pPr>
          </w:p>
        </w:tc>
        <w:tc>
          <w:tcPr>
            <w:tcW w:w="5331" w:type="dxa"/>
            <w:gridSpan w:val="2"/>
            <w:tcBorders>
              <w:left w:val="single" w:sz="4" w:space="0" w:color="auto"/>
            </w:tcBorders>
            <w:shd w:val="clear" w:color="auto" w:fill="auto"/>
          </w:tcPr>
          <w:p w:rsidR="00AC7EA1" w:rsidRDefault="00324D7C">
            <w:pPr>
              <w:keepNext/>
              <w:suppressLineNumbers/>
              <w:suppressAutoHyphens/>
              <w:kinsoku w:val="0"/>
              <w:overflowPunct w:val="0"/>
              <w:autoSpaceDE w:val="0"/>
              <w:autoSpaceDN w:val="0"/>
              <w:adjustRightInd w:val="0"/>
              <w:snapToGrid w:val="0"/>
              <w:spacing w:before="20" w:after="20"/>
              <w:ind w:left="360"/>
              <w:jc w:val="center"/>
              <w:rPr>
                <w:i/>
                <w:iCs/>
                <w:snapToGrid w:val="0"/>
                <w:kern w:val="22"/>
                <w:szCs w:val="22"/>
              </w:rPr>
            </w:pPr>
            <w:r>
              <w:rPr>
                <w:i/>
                <w:iCs/>
                <w:snapToGrid w:val="0"/>
                <w:kern w:val="22"/>
                <w:szCs w:val="22"/>
              </w:rPr>
              <w:t>Nombre de pays</w:t>
            </w:r>
          </w:p>
        </w:tc>
      </w:tr>
      <w:tr w:rsidR="00855A78" w:rsidRPr="00103C10" w:rsidTr="00000DA0">
        <w:tc>
          <w:tcPr>
            <w:tcW w:w="4135" w:type="dxa"/>
            <w:tcBorders>
              <w:top w:val="nil"/>
              <w:left w:val="single" w:sz="4" w:space="0" w:color="auto"/>
              <w:bottom w:val="single" w:sz="4" w:space="0" w:color="auto"/>
              <w:right w:val="single" w:sz="4" w:space="0" w:color="auto"/>
            </w:tcBorders>
            <w:shd w:val="clear" w:color="auto" w:fill="auto"/>
            <w:hideMark/>
          </w:tcPr>
          <w:p w:rsidR="00AC7EA1" w:rsidRDefault="008D74BC">
            <w:pPr>
              <w:keepNext/>
              <w:suppressLineNumbers/>
              <w:suppressAutoHyphens/>
              <w:kinsoku w:val="0"/>
              <w:overflowPunct w:val="0"/>
              <w:autoSpaceDE w:val="0"/>
              <w:autoSpaceDN w:val="0"/>
              <w:adjustRightInd w:val="0"/>
              <w:snapToGrid w:val="0"/>
              <w:spacing w:before="20" w:after="20"/>
              <w:jc w:val="left"/>
              <w:rPr>
                <w:i/>
                <w:iCs/>
                <w:snapToGrid w:val="0"/>
                <w:kern w:val="22"/>
                <w:szCs w:val="22"/>
                <w:lang w:eastAsia="fr-FR"/>
              </w:rPr>
            </w:pPr>
            <w:r>
              <w:rPr>
                <w:i/>
                <w:iCs/>
                <w:snapToGrid w:val="0"/>
                <w:kern w:val="22"/>
                <w:szCs w:val="22"/>
              </w:rPr>
              <w:t>Sources et catégories</w:t>
            </w:r>
          </w:p>
        </w:tc>
        <w:tc>
          <w:tcPr>
            <w:tcW w:w="2520" w:type="dxa"/>
            <w:tcBorders>
              <w:left w:val="single" w:sz="4" w:space="0" w:color="auto"/>
            </w:tcBorders>
            <w:shd w:val="clear" w:color="auto" w:fill="auto"/>
            <w:hideMark/>
          </w:tcPr>
          <w:p w:rsidR="00AC7EA1" w:rsidRDefault="00324D7C">
            <w:pPr>
              <w:keepNext/>
              <w:suppressLineNumbers/>
              <w:suppressAutoHyphens/>
              <w:kinsoku w:val="0"/>
              <w:overflowPunct w:val="0"/>
              <w:autoSpaceDE w:val="0"/>
              <w:autoSpaceDN w:val="0"/>
              <w:adjustRightInd w:val="0"/>
              <w:snapToGrid w:val="0"/>
              <w:spacing w:before="20" w:after="20"/>
              <w:ind w:left="360"/>
              <w:jc w:val="center"/>
              <w:rPr>
                <w:i/>
                <w:iCs/>
                <w:snapToGrid w:val="0"/>
                <w:kern w:val="22"/>
                <w:szCs w:val="22"/>
                <w:lang w:eastAsia="fr-FR"/>
              </w:rPr>
            </w:pPr>
            <w:r>
              <w:rPr>
                <w:i/>
                <w:iCs/>
                <w:snapToGrid w:val="0"/>
                <w:kern w:val="22"/>
                <w:szCs w:val="22"/>
              </w:rPr>
              <w:t>Dépenses directement liées à la biodiversité</w:t>
            </w:r>
          </w:p>
        </w:tc>
        <w:tc>
          <w:tcPr>
            <w:tcW w:w="2811" w:type="dxa"/>
            <w:shd w:val="clear" w:color="auto" w:fill="auto"/>
            <w:hideMark/>
          </w:tcPr>
          <w:p w:rsidR="00AC7EA1" w:rsidRDefault="00324D7C">
            <w:pPr>
              <w:keepNext/>
              <w:suppressLineNumbers/>
              <w:suppressAutoHyphens/>
              <w:kinsoku w:val="0"/>
              <w:overflowPunct w:val="0"/>
              <w:autoSpaceDE w:val="0"/>
              <w:autoSpaceDN w:val="0"/>
              <w:adjustRightInd w:val="0"/>
              <w:snapToGrid w:val="0"/>
              <w:spacing w:before="20" w:after="20"/>
              <w:ind w:left="360"/>
              <w:jc w:val="center"/>
              <w:rPr>
                <w:i/>
                <w:iCs/>
                <w:snapToGrid w:val="0"/>
                <w:kern w:val="22"/>
                <w:szCs w:val="22"/>
                <w:lang w:eastAsia="fr-FR"/>
              </w:rPr>
            </w:pPr>
            <w:r>
              <w:rPr>
                <w:i/>
                <w:iCs/>
                <w:snapToGrid w:val="0"/>
                <w:kern w:val="22"/>
                <w:szCs w:val="22"/>
              </w:rPr>
              <w:t>Dépenses indirectement liées à la biodiversité</w:t>
            </w:r>
          </w:p>
        </w:tc>
      </w:tr>
      <w:tr w:rsidR="00855A78" w:rsidRPr="00103C10" w:rsidTr="00000DA0">
        <w:tc>
          <w:tcPr>
            <w:tcW w:w="4135" w:type="dxa"/>
            <w:tcBorders>
              <w:top w:val="single" w:sz="4" w:space="0" w:color="auto"/>
            </w:tcBorders>
            <w:shd w:val="clear" w:color="auto" w:fill="auto"/>
            <w:hideMark/>
          </w:tcPr>
          <w:p w:rsidR="00AC7EA1" w:rsidRDefault="008D74BC">
            <w:pPr>
              <w:keepNext/>
              <w:suppressLineNumbers/>
              <w:suppressAutoHyphens/>
              <w:kinsoku w:val="0"/>
              <w:overflowPunct w:val="0"/>
              <w:autoSpaceDE w:val="0"/>
              <w:autoSpaceDN w:val="0"/>
              <w:adjustRightInd w:val="0"/>
              <w:snapToGrid w:val="0"/>
              <w:spacing w:before="20" w:after="20"/>
              <w:jc w:val="left"/>
              <w:rPr>
                <w:snapToGrid w:val="0"/>
                <w:kern w:val="22"/>
                <w:szCs w:val="22"/>
                <w:lang w:eastAsia="fr-FR"/>
              </w:rPr>
            </w:pPr>
            <w:r>
              <w:rPr>
                <w:snapToGrid w:val="0"/>
                <w:kern w:val="22"/>
                <w:szCs w:val="22"/>
              </w:rPr>
              <w:t>Budgets du gouvernement - c</w:t>
            </w:r>
            <w:r w:rsidR="00324D7C">
              <w:rPr>
                <w:snapToGrid w:val="0"/>
                <w:kern w:val="22"/>
                <w:szCs w:val="22"/>
              </w:rPr>
              <w:t>entral</w:t>
            </w:r>
          </w:p>
        </w:tc>
        <w:tc>
          <w:tcPr>
            <w:tcW w:w="2520" w:type="dxa"/>
            <w:shd w:val="clear" w:color="auto" w:fill="auto"/>
            <w:noWrap/>
            <w:tcMar>
              <w:left w:w="720" w:type="dxa"/>
              <w:right w:w="720" w:type="dxa"/>
            </w:tcMar>
            <w:vAlign w:val="center"/>
          </w:tcPr>
          <w:p w:rsidR="00AC7EA1" w:rsidRDefault="00324D7C">
            <w:pPr>
              <w:keepNext/>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kern w:val="22"/>
                <w:szCs w:val="22"/>
              </w:rPr>
              <w:t>87</w:t>
            </w:r>
          </w:p>
        </w:tc>
        <w:tc>
          <w:tcPr>
            <w:tcW w:w="2811" w:type="dxa"/>
            <w:shd w:val="clear" w:color="auto" w:fill="auto"/>
            <w:noWrap/>
            <w:tcMar>
              <w:left w:w="720" w:type="dxa"/>
              <w:right w:w="720" w:type="dxa"/>
            </w:tcMar>
            <w:vAlign w:val="center"/>
          </w:tcPr>
          <w:p w:rsidR="00AC7EA1" w:rsidRDefault="00324D7C">
            <w:pPr>
              <w:keepNext/>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kern w:val="22"/>
                <w:szCs w:val="22"/>
              </w:rPr>
              <w:t>49</w:t>
            </w:r>
          </w:p>
        </w:tc>
      </w:tr>
      <w:tr w:rsidR="00855A78" w:rsidRPr="00103C10" w:rsidTr="00000DA0">
        <w:tc>
          <w:tcPr>
            <w:tcW w:w="4135" w:type="dxa"/>
            <w:shd w:val="clear" w:color="auto" w:fill="auto"/>
            <w:hideMark/>
          </w:tcPr>
          <w:p w:rsidR="00AC7EA1" w:rsidRDefault="008D74BC">
            <w:pPr>
              <w:suppressLineNumbers/>
              <w:suppressAutoHyphens/>
              <w:kinsoku w:val="0"/>
              <w:overflowPunct w:val="0"/>
              <w:autoSpaceDE w:val="0"/>
              <w:autoSpaceDN w:val="0"/>
              <w:adjustRightInd w:val="0"/>
              <w:snapToGrid w:val="0"/>
              <w:spacing w:before="20" w:after="20"/>
              <w:jc w:val="left"/>
              <w:rPr>
                <w:snapToGrid w:val="0"/>
                <w:kern w:val="22"/>
                <w:szCs w:val="22"/>
                <w:lang w:eastAsia="fr-FR"/>
              </w:rPr>
            </w:pPr>
            <w:r>
              <w:rPr>
                <w:snapToGrid w:val="0"/>
                <w:kern w:val="22"/>
                <w:szCs w:val="22"/>
              </w:rPr>
              <w:t>Budgets du gouvernement - é</w:t>
            </w:r>
            <w:r w:rsidR="00324D7C">
              <w:rPr>
                <w:snapToGrid w:val="0"/>
                <w:kern w:val="22"/>
                <w:szCs w:val="22"/>
              </w:rPr>
              <w:t>tat/province</w:t>
            </w:r>
          </w:p>
        </w:tc>
        <w:tc>
          <w:tcPr>
            <w:tcW w:w="2520" w:type="dxa"/>
            <w:shd w:val="clear" w:color="auto" w:fill="auto"/>
            <w:noWrap/>
            <w:tcMar>
              <w:left w:w="720" w:type="dxa"/>
              <w:right w:w="720" w:type="dxa"/>
            </w:tcMar>
            <w:vAlign w:val="center"/>
          </w:tcPr>
          <w:p w:rsidR="00AC7EA1" w:rsidRDefault="00324D7C">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kern w:val="22"/>
                <w:szCs w:val="22"/>
              </w:rPr>
              <w:t>33</w:t>
            </w:r>
          </w:p>
        </w:tc>
        <w:tc>
          <w:tcPr>
            <w:tcW w:w="2811" w:type="dxa"/>
            <w:shd w:val="clear" w:color="auto" w:fill="auto"/>
            <w:noWrap/>
            <w:tcMar>
              <w:left w:w="720" w:type="dxa"/>
              <w:right w:w="720" w:type="dxa"/>
            </w:tcMar>
            <w:vAlign w:val="center"/>
          </w:tcPr>
          <w:p w:rsidR="00AC7EA1" w:rsidRDefault="00324D7C">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kern w:val="22"/>
                <w:szCs w:val="22"/>
              </w:rPr>
              <w:t>20</w:t>
            </w:r>
          </w:p>
        </w:tc>
      </w:tr>
      <w:tr w:rsidR="00855A78" w:rsidRPr="00103C10" w:rsidTr="00000DA0">
        <w:tc>
          <w:tcPr>
            <w:tcW w:w="4135" w:type="dxa"/>
            <w:shd w:val="clear" w:color="auto" w:fill="auto"/>
            <w:hideMark/>
          </w:tcPr>
          <w:p w:rsidR="00AC7EA1" w:rsidRDefault="00324D7C">
            <w:pPr>
              <w:suppressLineNumbers/>
              <w:suppressAutoHyphens/>
              <w:kinsoku w:val="0"/>
              <w:overflowPunct w:val="0"/>
              <w:autoSpaceDE w:val="0"/>
              <w:autoSpaceDN w:val="0"/>
              <w:adjustRightInd w:val="0"/>
              <w:snapToGrid w:val="0"/>
              <w:spacing w:before="20" w:after="20"/>
              <w:jc w:val="left"/>
              <w:rPr>
                <w:snapToGrid w:val="0"/>
                <w:kern w:val="22"/>
                <w:szCs w:val="22"/>
                <w:lang w:eastAsia="fr-FR"/>
              </w:rPr>
            </w:pPr>
            <w:r>
              <w:rPr>
                <w:snapToGrid w:val="0"/>
                <w:kern w:val="22"/>
                <w:szCs w:val="22"/>
              </w:rPr>
              <w:t>Budgets du gouvernement - local/municipal</w:t>
            </w:r>
          </w:p>
        </w:tc>
        <w:tc>
          <w:tcPr>
            <w:tcW w:w="2520" w:type="dxa"/>
            <w:shd w:val="clear" w:color="auto" w:fill="auto"/>
            <w:noWrap/>
            <w:tcMar>
              <w:left w:w="720" w:type="dxa"/>
              <w:right w:w="720" w:type="dxa"/>
            </w:tcMar>
            <w:vAlign w:val="center"/>
          </w:tcPr>
          <w:p w:rsidR="00AC7EA1" w:rsidRDefault="00324D7C">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kern w:val="22"/>
                <w:szCs w:val="22"/>
              </w:rPr>
              <w:t>32</w:t>
            </w:r>
          </w:p>
        </w:tc>
        <w:tc>
          <w:tcPr>
            <w:tcW w:w="2811" w:type="dxa"/>
            <w:shd w:val="clear" w:color="auto" w:fill="auto"/>
            <w:noWrap/>
            <w:tcMar>
              <w:left w:w="720" w:type="dxa"/>
              <w:right w:w="720" w:type="dxa"/>
            </w:tcMar>
            <w:vAlign w:val="center"/>
          </w:tcPr>
          <w:p w:rsidR="00AC7EA1" w:rsidRDefault="00324D7C">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kern w:val="22"/>
                <w:szCs w:val="22"/>
              </w:rPr>
              <w:t>18</w:t>
            </w:r>
          </w:p>
        </w:tc>
      </w:tr>
      <w:tr w:rsidR="00855A78" w:rsidRPr="00103C10" w:rsidTr="00000DA0">
        <w:tc>
          <w:tcPr>
            <w:tcW w:w="4135" w:type="dxa"/>
            <w:shd w:val="clear" w:color="auto" w:fill="auto"/>
            <w:hideMark/>
          </w:tcPr>
          <w:p w:rsidR="00AC7EA1" w:rsidRDefault="008D74BC">
            <w:pPr>
              <w:suppressLineNumbers/>
              <w:suppressAutoHyphens/>
              <w:kinsoku w:val="0"/>
              <w:overflowPunct w:val="0"/>
              <w:autoSpaceDE w:val="0"/>
              <w:autoSpaceDN w:val="0"/>
              <w:adjustRightInd w:val="0"/>
              <w:snapToGrid w:val="0"/>
              <w:spacing w:before="20" w:after="20"/>
              <w:jc w:val="left"/>
              <w:rPr>
                <w:snapToGrid w:val="0"/>
                <w:kern w:val="22"/>
                <w:szCs w:val="22"/>
                <w:lang w:eastAsia="fr-FR"/>
              </w:rPr>
            </w:pPr>
            <w:r>
              <w:rPr>
                <w:snapToGrid w:val="0"/>
                <w:kern w:val="22"/>
                <w:szCs w:val="22"/>
              </w:rPr>
              <w:lastRenderedPageBreak/>
              <w:t>Sources extrab</w:t>
            </w:r>
            <w:r w:rsidR="00324D7C">
              <w:rPr>
                <w:snapToGrid w:val="0"/>
                <w:kern w:val="22"/>
                <w:szCs w:val="22"/>
              </w:rPr>
              <w:t>udgétaire</w:t>
            </w:r>
            <w:r>
              <w:rPr>
                <w:snapToGrid w:val="0"/>
                <w:kern w:val="22"/>
                <w:szCs w:val="22"/>
              </w:rPr>
              <w:t>s</w:t>
            </w:r>
          </w:p>
        </w:tc>
        <w:tc>
          <w:tcPr>
            <w:tcW w:w="2520" w:type="dxa"/>
            <w:shd w:val="clear" w:color="auto" w:fill="auto"/>
            <w:noWrap/>
            <w:tcMar>
              <w:left w:w="720" w:type="dxa"/>
              <w:right w:w="720" w:type="dxa"/>
            </w:tcMar>
            <w:vAlign w:val="center"/>
          </w:tcPr>
          <w:p w:rsidR="00AC7EA1" w:rsidRDefault="00324D7C">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kern w:val="22"/>
                <w:szCs w:val="22"/>
              </w:rPr>
              <w:t>30</w:t>
            </w:r>
          </w:p>
        </w:tc>
        <w:tc>
          <w:tcPr>
            <w:tcW w:w="2811" w:type="dxa"/>
            <w:shd w:val="clear" w:color="auto" w:fill="auto"/>
            <w:noWrap/>
            <w:tcMar>
              <w:left w:w="720" w:type="dxa"/>
              <w:right w:w="720" w:type="dxa"/>
            </w:tcMar>
            <w:vAlign w:val="center"/>
          </w:tcPr>
          <w:p w:rsidR="00AC7EA1" w:rsidRDefault="00324D7C">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kern w:val="22"/>
                <w:szCs w:val="22"/>
              </w:rPr>
              <w:t>17</w:t>
            </w:r>
          </w:p>
        </w:tc>
      </w:tr>
      <w:tr w:rsidR="00855A78" w:rsidRPr="00D76083" w:rsidTr="00000DA0">
        <w:tc>
          <w:tcPr>
            <w:tcW w:w="4135" w:type="dxa"/>
            <w:shd w:val="clear" w:color="auto" w:fill="auto"/>
            <w:hideMark/>
          </w:tcPr>
          <w:p w:rsidR="00AC7EA1" w:rsidRDefault="008D74BC">
            <w:pPr>
              <w:suppressLineNumbers/>
              <w:suppressAutoHyphens/>
              <w:kinsoku w:val="0"/>
              <w:overflowPunct w:val="0"/>
              <w:autoSpaceDE w:val="0"/>
              <w:autoSpaceDN w:val="0"/>
              <w:adjustRightInd w:val="0"/>
              <w:snapToGrid w:val="0"/>
              <w:spacing w:before="20" w:after="20"/>
              <w:jc w:val="left"/>
              <w:rPr>
                <w:snapToGrid w:val="0"/>
                <w:kern w:val="22"/>
                <w:szCs w:val="22"/>
                <w:lang w:eastAsia="fr-FR"/>
              </w:rPr>
            </w:pPr>
            <w:r>
              <w:rPr>
                <w:snapToGrid w:val="0"/>
                <w:kern w:val="22"/>
                <w:szCs w:val="22"/>
              </w:rPr>
              <w:t>Sources p</w:t>
            </w:r>
            <w:r w:rsidR="00324D7C">
              <w:rPr>
                <w:snapToGrid w:val="0"/>
                <w:kern w:val="22"/>
                <w:szCs w:val="22"/>
              </w:rPr>
              <w:t>rivé</w:t>
            </w:r>
            <w:r>
              <w:rPr>
                <w:snapToGrid w:val="0"/>
                <w:kern w:val="22"/>
                <w:szCs w:val="22"/>
              </w:rPr>
              <w:t>es ou commerciales</w:t>
            </w:r>
          </w:p>
        </w:tc>
        <w:tc>
          <w:tcPr>
            <w:tcW w:w="2520" w:type="dxa"/>
            <w:shd w:val="clear" w:color="auto" w:fill="auto"/>
            <w:noWrap/>
            <w:tcMar>
              <w:left w:w="720" w:type="dxa"/>
              <w:right w:w="720" w:type="dxa"/>
            </w:tcMar>
            <w:vAlign w:val="center"/>
          </w:tcPr>
          <w:p w:rsidR="00AC7EA1" w:rsidRDefault="00324D7C">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kern w:val="22"/>
                <w:szCs w:val="22"/>
              </w:rPr>
              <w:t>22</w:t>
            </w:r>
          </w:p>
        </w:tc>
        <w:tc>
          <w:tcPr>
            <w:tcW w:w="2811" w:type="dxa"/>
            <w:shd w:val="clear" w:color="auto" w:fill="auto"/>
            <w:noWrap/>
            <w:tcMar>
              <w:left w:w="720" w:type="dxa"/>
              <w:right w:w="720" w:type="dxa"/>
            </w:tcMar>
            <w:vAlign w:val="center"/>
          </w:tcPr>
          <w:p w:rsidR="00AC7EA1" w:rsidRDefault="00324D7C">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kern w:val="22"/>
                <w:szCs w:val="22"/>
              </w:rPr>
              <w:t>13</w:t>
            </w:r>
          </w:p>
        </w:tc>
      </w:tr>
      <w:tr w:rsidR="00855A78" w:rsidRPr="00D76083" w:rsidTr="00000DA0">
        <w:tc>
          <w:tcPr>
            <w:tcW w:w="4135" w:type="dxa"/>
            <w:shd w:val="clear" w:color="auto" w:fill="auto"/>
            <w:hideMark/>
          </w:tcPr>
          <w:p w:rsidR="00AC7EA1" w:rsidRDefault="00324D7C">
            <w:pPr>
              <w:suppressLineNumbers/>
              <w:suppressAutoHyphens/>
              <w:kinsoku w:val="0"/>
              <w:overflowPunct w:val="0"/>
              <w:autoSpaceDE w:val="0"/>
              <w:autoSpaceDN w:val="0"/>
              <w:adjustRightInd w:val="0"/>
              <w:snapToGrid w:val="0"/>
              <w:spacing w:before="20" w:after="20"/>
              <w:jc w:val="left"/>
              <w:rPr>
                <w:snapToGrid w:val="0"/>
                <w:kern w:val="22"/>
                <w:szCs w:val="22"/>
                <w:lang w:eastAsia="fr-FR"/>
              </w:rPr>
            </w:pPr>
            <w:r>
              <w:rPr>
                <w:snapToGrid w:val="0"/>
                <w:kern w:val="22"/>
                <w:szCs w:val="22"/>
              </w:rPr>
              <w:t>Autres (ONG, fondations, universités)</w:t>
            </w:r>
          </w:p>
        </w:tc>
        <w:tc>
          <w:tcPr>
            <w:tcW w:w="2520" w:type="dxa"/>
            <w:shd w:val="clear" w:color="auto" w:fill="auto"/>
            <w:noWrap/>
            <w:tcMar>
              <w:left w:w="720" w:type="dxa"/>
              <w:right w:w="720" w:type="dxa"/>
            </w:tcMar>
            <w:vAlign w:val="center"/>
          </w:tcPr>
          <w:p w:rsidR="00AC7EA1" w:rsidRDefault="00324D7C">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kern w:val="22"/>
                <w:szCs w:val="22"/>
              </w:rPr>
              <w:t>37</w:t>
            </w:r>
          </w:p>
        </w:tc>
        <w:tc>
          <w:tcPr>
            <w:tcW w:w="2811" w:type="dxa"/>
            <w:shd w:val="clear" w:color="auto" w:fill="auto"/>
            <w:noWrap/>
            <w:tcMar>
              <w:left w:w="720" w:type="dxa"/>
              <w:right w:w="720" w:type="dxa"/>
            </w:tcMar>
            <w:vAlign w:val="center"/>
          </w:tcPr>
          <w:p w:rsidR="00AC7EA1" w:rsidRDefault="00324D7C">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kern w:val="22"/>
                <w:szCs w:val="22"/>
              </w:rPr>
              <w:t>22</w:t>
            </w:r>
          </w:p>
        </w:tc>
      </w:tr>
      <w:tr w:rsidR="00855A78" w:rsidRPr="00D76083" w:rsidTr="00000DA0">
        <w:tc>
          <w:tcPr>
            <w:tcW w:w="4135" w:type="dxa"/>
            <w:shd w:val="clear" w:color="auto" w:fill="auto"/>
            <w:hideMark/>
          </w:tcPr>
          <w:p w:rsidR="00AC7EA1" w:rsidRDefault="008D74BC">
            <w:pPr>
              <w:suppressLineNumbers/>
              <w:suppressAutoHyphens/>
              <w:kinsoku w:val="0"/>
              <w:overflowPunct w:val="0"/>
              <w:autoSpaceDE w:val="0"/>
              <w:autoSpaceDN w:val="0"/>
              <w:adjustRightInd w:val="0"/>
              <w:snapToGrid w:val="0"/>
              <w:spacing w:before="20" w:after="20"/>
              <w:jc w:val="left"/>
              <w:rPr>
                <w:snapToGrid w:val="0"/>
                <w:kern w:val="22"/>
                <w:szCs w:val="22"/>
                <w:lang w:eastAsia="fr-FR"/>
              </w:rPr>
            </w:pPr>
            <w:r>
              <w:rPr>
                <w:snapToGrid w:val="0"/>
                <w:kern w:val="22"/>
                <w:szCs w:val="22"/>
              </w:rPr>
              <w:t>Mesures collectives</w:t>
            </w:r>
            <w:r w:rsidR="00721806">
              <w:rPr>
                <w:snapToGrid w:val="0"/>
                <w:kern w:val="22"/>
                <w:szCs w:val="22"/>
              </w:rPr>
              <w:t xml:space="preserve"> des peuple</w:t>
            </w:r>
            <w:r w:rsidR="00324D7C">
              <w:rPr>
                <w:snapToGrid w:val="0"/>
                <w:kern w:val="22"/>
                <w:szCs w:val="22"/>
              </w:rPr>
              <w:t xml:space="preserve">s autochtones et </w:t>
            </w:r>
            <w:r w:rsidR="00721806">
              <w:rPr>
                <w:snapToGrid w:val="0"/>
                <w:kern w:val="22"/>
                <w:szCs w:val="22"/>
              </w:rPr>
              <w:t xml:space="preserve">communautés </w:t>
            </w:r>
            <w:r w:rsidR="00324D7C">
              <w:rPr>
                <w:snapToGrid w:val="0"/>
                <w:kern w:val="22"/>
                <w:szCs w:val="22"/>
              </w:rPr>
              <w:t>locales</w:t>
            </w:r>
          </w:p>
        </w:tc>
        <w:tc>
          <w:tcPr>
            <w:tcW w:w="2520" w:type="dxa"/>
            <w:shd w:val="clear" w:color="auto" w:fill="auto"/>
            <w:noWrap/>
            <w:tcMar>
              <w:left w:w="720" w:type="dxa"/>
              <w:right w:w="720" w:type="dxa"/>
            </w:tcMar>
            <w:vAlign w:val="center"/>
            <w:hideMark/>
          </w:tcPr>
          <w:p w:rsidR="00AC7EA1" w:rsidRDefault="00324D7C">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kern w:val="22"/>
                <w:szCs w:val="22"/>
              </w:rPr>
              <w:t>7</w:t>
            </w:r>
          </w:p>
        </w:tc>
        <w:tc>
          <w:tcPr>
            <w:tcW w:w="2811" w:type="dxa"/>
            <w:shd w:val="clear" w:color="auto" w:fill="auto"/>
            <w:noWrap/>
            <w:tcMar>
              <w:left w:w="720" w:type="dxa"/>
              <w:right w:w="720" w:type="dxa"/>
            </w:tcMar>
            <w:vAlign w:val="center"/>
            <w:hideMark/>
          </w:tcPr>
          <w:p w:rsidR="00AC7EA1" w:rsidRDefault="00324D7C">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kern w:val="22"/>
                <w:szCs w:val="22"/>
              </w:rPr>
              <w:t>4</w:t>
            </w:r>
          </w:p>
        </w:tc>
      </w:tr>
    </w:tbl>
    <w:p w:rsidR="00AC7EA1" w:rsidRDefault="00324D7C" w:rsidP="008D74BC">
      <w:pPr>
        <w:pStyle w:val="Para1"/>
        <w:numPr>
          <w:ilvl w:val="0"/>
          <w:numId w:val="25"/>
        </w:numPr>
        <w:tabs>
          <w:tab w:val="clear" w:pos="360"/>
        </w:tabs>
        <w:kinsoku w:val="0"/>
        <w:overflowPunct w:val="0"/>
        <w:autoSpaceDE w:val="0"/>
        <w:autoSpaceDN w:val="0"/>
        <w:snapToGrid w:val="0"/>
        <w:spacing w:before="240"/>
        <w:rPr>
          <w:kern w:val="22"/>
          <w:szCs w:val="22"/>
        </w:rPr>
      </w:pPr>
      <w:r>
        <w:rPr>
          <w:kern w:val="22"/>
          <w:szCs w:val="22"/>
        </w:rPr>
        <w:t xml:space="preserve">Parmi les Parties </w:t>
      </w:r>
      <w:r w:rsidR="008D74BC">
        <w:rPr>
          <w:kern w:val="22"/>
          <w:szCs w:val="22"/>
        </w:rPr>
        <w:t>ayant fourni</w:t>
      </w:r>
      <w:r>
        <w:rPr>
          <w:kern w:val="22"/>
          <w:szCs w:val="22"/>
        </w:rPr>
        <w:t xml:space="preserve"> des informations méthodologiques supplémentaires, de nombreuses Partie</w:t>
      </w:r>
      <w:r w:rsidR="008D74BC">
        <w:rPr>
          <w:kern w:val="22"/>
          <w:szCs w:val="22"/>
        </w:rPr>
        <w:t xml:space="preserve">s (46) ont indiqué </w:t>
      </w:r>
      <w:r>
        <w:rPr>
          <w:kern w:val="22"/>
          <w:szCs w:val="22"/>
        </w:rPr>
        <w:t>une analyse des documents budgétaires, y compris l</w:t>
      </w:r>
      <w:r w:rsidR="00686044">
        <w:rPr>
          <w:kern w:val="22"/>
          <w:szCs w:val="22"/>
        </w:rPr>
        <w:t>’</w:t>
      </w:r>
      <w:r>
        <w:rPr>
          <w:kern w:val="22"/>
          <w:szCs w:val="22"/>
        </w:rPr>
        <w:t xml:space="preserve">attribution de coefficients pour les contributions indirectes </w:t>
      </w:r>
      <w:r w:rsidR="00A011A0">
        <w:rPr>
          <w:kern w:val="22"/>
          <w:szCs w:val="22"/>
        </w:rPr>
        <w:t>en faveur de</w:t>
      </w:r>
      <w:r>
        <w:rPr>
          <w:kern w:val="22"/>
          <w:szCs w:val="22"/>
        </w:rPr>
        <w:t xml:space="preserve"> la biodiversité. Un groupe plus restreint de 15 Parties a mentionné l</w:t>
      </w:r>
      <w:r w:rsidR="00686044">
        <w:rPr>
          <w:kern w:val="22"/>
          <w:szCs w:val="22"/>
        </w:rPr>
        <w:t>’</w:t>
      </w:r>
      <w:r>
        <w:rPr>
          <w:kern w:val="22"/>
          <w:szCs w:val="22"/>
        </w:rPr>
        <w:t xml:space="preserve">utilisation de statistiques nationales, fondées sur les comptes des dépenses publiques </w:t>
      </w:r>
      <w:r w:rsidR="00A011A0">
        <w:rPr>
          <w:kern w:val="22"/>
          <w:szCs w:val="22"/>
        </w:rPr>
        <w:t>en matière d</w:t>
      </w:r>
      <w:r w:rsidR="00686044">
        <w:rPr>
          <w:kern w:val="22"/>
          <w:szCs w:val="22"/>
        </w:rPr>
        <w:t>’</w:t>
      </w:r>
      <w:r>
        <w:rPr>
          <w:kern w:val="22"/>
          <w:szCs w:val="22"/>
        </w:rPr>
        <w:t xml:space="preserve">environnement, faisant référence aux classifications </w:t>
      </w:r>
      <w:r w:rsidR="00A011A0">
        <w:rPr>
          <w:kern w:val="22"/>
          <w:szCs w:val="22"/>
        </w:rPr>
        <w:t>acceptées au niveau international</w:t>
      </w:r>
      <w:r>
        <w:rPr>
          <w:kern w:val="22"/>
          <w:szCs w:val="22"/>
        </w:rPr>
        <w:t>, telles que la Classification des activités de protection de l</w:t>
      </w:r>
      <w:r w:rsidR="00686044">
        <w:rPr>
          <w:kern w:val="22"/>
          <w:szCs w:val="22"/>
        </w:rPr>
        <w:t>’</w:t>
      </w:r>
      <w:r>
        <w:rPr>
          <w:kern w:val="22"/>
          <w:szCs w:val="22"/>
        </w:rPr>
        <w:t>environnement ou la Classification des fonctions des pouvoirs publics et</w:t>
      </w:r>
      <w:r w:rsidR="00A011A0">
        <w:rPr>
          <w:kern w:val="22"/>
          <w:szCs w:val="22"/>
        </w:rPr>
        <w:t>, en particulier, la sous-catégorie</w:t>
      </w:r>
      <w:r>
        <w:rPr>
          <w:kern w:val="22"/>
          <w:szCs w:val="22"/>
        </w:rPr>
        <w:t xml:space="preserve"> «</w:t>
      </w:r>
      <w:r w:rsidR="00A011A0">
        <w:rPr>
          <w:kern w:val="22"/>
          <w:szCs w:val="22"/>
        </w:rPr>
        <w:t xml:space="preserve"> </w:t>
      </w:r>
      <w:r>
        <w:rPr>
          <w:kern w:val="22"/>
          <w:szCs w:val="22"/>
        </w:rPr>
        <w:t>biodiversité et protection des paysages</w:t>
      </w:r>
      <w:r w:rsidR="00A011A0">
        <w:rPr>
          <w:kern w:val="22"/>
          <w:szCs w:val="22"/>
        </w:rPr>
        <w:t xml:space="preserve"> </w:t>
      </w:r>
      <w:r>
        <w:rPr>
          <w:kern w:val="22"/>
          <w:szCs w:val="22"/>
        </w:rPr>
        <w:t>» qui y figure.</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Au sein de ce dernier groupe</w:t>
      </w:r>
      <w:r w:rsidR="00A011A0">
        <w:rPr>
          <w:kern w:val="22"/>
          <w:szCs w:val="22"/>
        </w:rPr>
        <w:t xml:space="preserve"> de Parties</w:t>
      </w:r>
      <w:r>
        <w:rPr>
          <w:kern w:val="22"/>
          <w:szCs w:val="22"/>
        </w:rPr>
        <w:t xml:space="preserve">, la Tchéquie et </w:t>
      </w:r>
      <w:r w:rsidR="00A011A0">
        <w:rPr>
          <w:kern w:val="22"/>
          <w:szCs w:val="22"/>
        </w:rPr>
        <w:t>la Finlande ont mentionné</w:t>
      </w:r>
      <w:r>
        <w:rPr>
          <w:kern w:val="22"/>
          <w:szCs w:val="22"/>
        </w:rPr>
        <w:t xml:space="preserve"> la couverture des sources privées </w:t>
      </w:r>
      <w:r w:rsidR="00A011A0">
        <w:rPr>
          <w:kern w:val="22"/>
          <w:szCs w:val="22"/>
        </w:rPr>
        <w:t>dans les comptes des dépenses consacrées à la</w:t>
      </w:r>
      <w:r>
        <w:rPr>
          <w:kern w:val="22"/>
          <w:szCs w:val="22"/>
        </w:rPr>
        <w:t xml:space="preserve"> protection de l</w:t>
      </w:r>
      <w:r w:rsidR="00686044">
        <w:rPr>
          <w:kern w:val="22"/>
          <w:szCs w:val="22"/>
        </w:rPr>
        <w:t>’</w:t>
      </w:r>
      <w:r>
        <w:rPr>
          <w:kern w:val="22"/>
          <w:szCs w:val="22"/>
        </w:rPr>
        <w:t>environnement,</w:t>
      </w:r>
      <w:r w:rsidR="004001DA" w:rsidRPr="00951A79">
        <w:rPr>
          <w:rStyle w:val="FootnoteReference"/>
          <w:kern w:val="22"/>
          <w:szCs w:val="22"/>
        </w:rPr>
        <w:footnoteReference w:id="15"/>
      </w:r>
      <w:r>
        <w:rPr>
          <w:kern w:val="22"/>
          <w:szCs w:val="22"/>
        </w:rPr>
        <w:t xml:space="preserve"> tandis que d</w:t>
      </w:r>
      <w:r w:rsidR="00686044">
        <w:rPr>
          <w:kern w:val="22"/>
          <w:szCs w:val="22"/>
        </w:rPr>
        <w:t>’</w:t>
      </w:r>
      <w:r>
        <w:rPr>
          <w:kern w:val="22"/>
          <w:szCs w:val="22"/>
        </w:rPr>
        <w:t>autres pays, du premier groupe</w:t>
      </w:r>
      <w:r w:rsidR="00A011A0">
        <w:rPr>
          <w:kern w:val="22"/>
          <w:szCs w:val="22"/>
        </w:rPr>
        <w:t xml:space="preserve"> de Parties</w:t>
      </w:r>
      <w:r>
        <w:rPr>
          <w:kern w:val="22"/>
          <w:szCs w:val="22"/>
        </w:rPr>
        <w:t>, s</w:t>
      </w:r>
      <w:r w:rsidR="00686044">
        <w:rPr>
          <w:kern w:val="22"/>
          <w:szCs w:val="22"/>
        </w:rPr>
        <w:t>’</w:t>
      </w:r>
      <w:r>
        <w:rPr>
          <w:kern w:val="22"/>
          <w:szCs w:val="22"/>
        </w:rPr>
        <w:t>appuyaient généralement sur une identification et une compilation ad hoc de d</w:t>
      </w:r>
      <w:r w:rsidR="00A011A0">
        <w:rPr>
          <w:kern w:val="22"/>
          <w:szCs w:val="22"/>
        </w:rPr>
        <w:t>onnées pour traiter ces sources</w:t>
      </w:r>
      <w:r>
        <w:rPr>
          <w:kern w:val="22"/>
          <w:szCs w:val="22"/>
        </w:rPr>
        <w:t>; par exemple, la Croatie, le Danemark, le Liban et la Suisse ont utilisé des do</w:t>
      </w:r>
      <w:r w:rsidR="00A011A0">
        <w:rPr>
          <w:kern w:val="22"/>
          <w:szCs w:val="22"/>
        </w:rPr>
        <w:t>nnées fia</w:t>
      </w:r>
      <w:r>
        <w:rPr>
          <w:kern w:val="22"/>
          <w:szCs w:val="22"/>
        </w:rPr>
        <w:t>bles provenant de sociétés, de fondations et d</w:t>
      </w:r>
      <w:r w:rsidR="00686044">
        <w:rPr>
          <w:kern w:val="22"/>
          <w:szCs w:val="22"/>
        </w:rPr>
        <w:t>’</w:t>
      </w:r>
      <w:r>
        <w:rPr>
          <w:kern w:val="22"/>
          <w:szCs w:val="22"/>
        </w:rPr>
        <w:t>établissements universitaires.</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En ce qui concerne les dépenses extrabudgétaires, douze Parties ont expliqué qu</w:t>
      </w:r>
      <w:r w:rsidR="00686044">
        <w:rPr>
          <w:kern w:val="22"/>
          <w:szCs w:val="22"/>
        </w:rPr>
        <w:t>’</w:t>
      </w:r>
      <w:r>
        <w:rPr>
          <w:kern w:val="22"/>
          <w:szCs w:val="22"/>
        </w:rPr>
        <w:t>elles avaient entrepris une évaluation de</w:t>
      </w:r>
      <w:r w:rsidR="00A011A0">
        <w:rPr>
          <w:kern w:val="22"/>
          <w:szCs w:val="22"/>
        </w:rPr>
        <w:t>s projets de coopération en matière de</w:t>
      </w:r>
      <w:r>
        <w:rPr>
          <w:kern w:val="22"/>
          <w:szCs w:val="22"/>
        </w:rPr>
        <w:t xml:space="preserve"> développement</w:t>
      </w:r>
      <w:r w:rsidR="00A011A0">
        <w:rPr>
          <w:kern w:val="22"/>
          <w:szCs w:val="22"/>
        </w:rPr>
        <w:t>,</w:t>
      </w:r>
      <w:r>
        <w:rPr>
          <w:kern w:val="22"/>
          <w:szCs w:val="22"/>
        </w:rPr>
        <w:t xml:space="preserve"> afin d</w:t>
      </w:r>
      <w:r w:rsidR="00686044">
        <w:rPr>
          <w:kern w:val="22"/>
          <w:szCs w:val="22"/>
        </w:rPr>
        <w:t>’</w:t>
      </w:r>
      <w:r>
        <w:rPr>
          <w:kern w:val="22"/>
          <w:szCs w:val="22"/>
        </w:rPr>
        <w:t>identifier les dépenses extrabudgé</w:t>
      </w:r>
      <w:r w:rsidR="00DD688F">
        <w:rPr>
          <w:kern w:val="22"/>
          <w:szCs w:val="22"/>
        </w:rPr>
        <w:t>taires qui sont en lien avec</w:t>
      </w:r>
      <w:r>
        <w:rPr>
          <w:kern w:val="22"/>
          <w:szCs w:val="22"/>
        </w:rPr>
        <w:t xml:space="preserve"> la biodiversité, en attribuant à nouveau d</w:t>
      </w:r>
      <w:r w:rsidR="00A011A0">
        <w:rPr>
          <w:kern w:val="22"/>
          <w:szCs w:val="22"/>
        </w:rPr>
        <w:t>es parts en pourcentage aux dépenses</w:t>
      </w:r>
      <w:r>
        <w:rPr>
          <w:kern w:val="22"/>
          <w:szCs w:val="22"/>
        </w:rPr>
        <w:t xml:space="preserve"> qui sont indirectement liées</w:t>
      </w:r>
      <w:r w:rsidR="00A011A0">
        <w:rPr>
          <w:kern w:val="22"/>
          <w:szCs w:val="22"/>
        </w:rPr>
        <w:t xml:space="preserve"> à la biodiversité</w:t>
      </w:r>
      <w:r>
        <w:rPr>
          <w:kern w:val="22"/>
          <w:szCs w:val="22"/>
        </w:rPr>
        <w:t>, et parfois en uti</w:t>
      </w:r>
      <w:r w:rsidR="00A011A0">
        <w:rPr>
          <w:kern w:val="22"/>
          <w:szCs w:val="22"/>
        </w:rPr>
        <w:t xml:space="preserve">lisant la base de données du </w:t>
      </w:r>
      <w:r w:rsidR="006F561F" w:rsidRPr="006F561F">
        <w:rPr>
          <w:kern w:val="22"/>
          <w:szCs w:val="22"/>
        </w:rPr>
        <w:t>Système de notification des pays créanciers</w:t>
      </w:r>
      <w:r>
        <w:rPr>
          <w:kern w:val="22"/>
          <w:szCs w:val="22"/>
        </w:rPr>
        <w:t xml:space="preserve"> de l</w:t>
      </w:r>
      <w:r w:rsidR="00686044">
        <w:rPr>
          <w:kern w:val="22"/>
          <w:szCs w:val="22"/>
        </w:rPr>
        <w:t>’</w:t>
      </w:r>
      <w:r>
        <w:rPr>
          <w:kern w:val="22"/>
          <w:szCs w:val="22"/>
        </w:rPr>
        <w:t>OCDE pour identifier les projets pertinents et les dépenses connexes.</w:t>
      </w:r>
    </w:p>
    <w:p w:rsidR="00AC7EA1" w:rsidRDefault="00DD688F">
      <w:pPr>
        <w:pStyle w:val="Para1"/>
        <w:numPr>
          <w:ilvl w:val="0"/>
          <w:numId w:val="25"/>
        </w:numPr>
        <w:tabs>
          <w:tab w:val="clear" w:pos="360"/>
        </w:tabs>
        <w:kinsoku w:val="0"/>
        <w:overflowPunct w:val="0"/>
        <w:autoSpaceDE w:val="0"/>
        <w:autoSpaceDN w:val="0"/>
        <w:snapToGrid w:val="0"/>
        <w:spacing w:before="240"/>
        <w:rPr>
          <w:kern w:val="22"/>
          <w:szCs w:val="22"/>
        </w:rPr>
      </w:pPr>
      <w:r>
        <w:rPr>
          <w:kern w:val="22"/>
          <w:szCs w:val="22"/>
        </w:rPr>
        <w:t>D</w:t>
      </w:r>
      <w:r w:rsidR="00324D7C">
        <w:rPr>
          <w:kern w:val="22"/>
          <w:szCs w:val="22"/>
        </w:rPr>
        <w:t>es informations sur les dépenses publiques sont collectées et fournies par le Fonds monétaire international (FMI) dans ses Statisti</w:t>
      </w:r>
      <w:r w:rsidR="00721806">
        <w:rPr>
          <w:kern w:val="22"/>
          <w:szCs w:val="22"/>
        </w:rPr>
        <w:t>ques de finances publiques</w:t>
      </w:r>
      <w:r w:rsidR="00324D7C">
        <w:rPr>
          <w:kern w:val="22"/>
          <w:szCs w:val="22"/>
        </w:rPr>
        <w:t>.</w:t>
      </w:r>
      <w:r w:rsidR="00420A96">
        <w:rPr>
          <w:rStyle w:val="FootnoteReference"/>
          <w:kern w:val="22"/>
          <w:szCs w:val="22"/>
        </w:rPr>
        <w:footnoteReference w:id="16"/>
      </w:r>
      <w:r w:rsidR="00324D7C">
        <w:rPr>
          <w:kern w:val="22"/>
          <w:szCs w:val="22"/>
        </w:rPr>
        <w:t xml:space="preserve"> Les </w:t>
      </w:r>
      <w:r w:rsidR="00721806" w:rsidRPr="00721806">
        <w:rPr>
          <w:kern w:val="22"/>
          <w:szCs w:val="22"/>
        </w:rPr>
        <w:t>Statistiques de finances publiques</w:t>
      </w:r>
      <w:r w:rsidR="00324D7C">
        <w:rPr>
          <w:kern w:val="22"/>
          <w:szCs w:val="22"/>
        </w:rPr>
        <w:t xml:space="preserve"> du FMI fournissent également des informations statistiques sur les dépenses fonctionnelles</w:t>
      </w:r>
      <w:r>
        <w:rPr>
          <w:kern w:val="22"/>
          <w:szCs w:val="22"/>
        </w:rPr>
        <w:t>,</w:t>
      </w:r>
      <w:r w:rsidR="00324D7C">
        <w:rPr>
          <w:kern w:val="22"/>
          <w:szCs w:val="22"/>
        </w:rPr>
        <w:t xml:space="preserve"> à l</w:t>
      </w:r>
      <w:r w:rsidR="00686044">
        <w:rPr>
          <w:kern w:val="22"/>
          <w:szCs w:val="22"/>
        </w:rPr>
        <w:t>’</w:t>
      </w:r>
      <w:r w:rsidR="00324D7C">
        <w:rPr>
          <w:kern w:val="22"/>
          <w:szCs w:val="22"/>
        </w:rPr>
        <w:t>aide de la Classification des fonctions de l</w:t>
      </w:r>
      <w:r w:rsidR="00686044">
        <w:rPr>
          <w:kern w:val="22"/>
          <w:szCs w:val="22"/>
        </w:rPr>
        <w:t>’</w:t>
      </w:r>
      <w:r w:rsidR="00324D7C">
        <w:rPr>
          <w:kern w:val="22"/>
          <w:szCs w:val="22"/>
        </w:rPr>
        <w:t xml:space="preserve">État </w:t>
      </w:r>
      <w:r w:rsidR="007D0817">
        <w:rPr>
          <w:kern w:val="22"/>
          <w:szCs w:val="22"/>
        </w:rPr>
        <w:t>(COFOG en anglais</w:t>
      </w:r>
      <w:r>
        <w:rPr>
          <w:kern w:val="22"/>
          <w:szCs w:val="22"/>
        </w:rPr>
        <w:t>), y compris la sous-catégorie</w:t>
      </w:r>
      <w:r w:rsidR="00324D7C">
        <w:rPr>
          <w:kern w:val="22"/>
          <w:szCs w:val="22"/>
        </w:rPr>
        <w:t xml:space="preserve"> « biodiversité et protection des paysages »,</w:t>
      </w:r>
      <w:r>
        <w:rPr>
          <w:kern w:val="22"/>
          <w:szCs w:val="22"/>
        </w:rPr>
        <w:t xml:space="preserve"> qui fait partie des dépenses consacrées à la</w:t>
      </w:r>
      <w:r w:rsidR="00324D7C">
        <w:rPr>
          <w:kern w:val="22"/>
          <w:szCs w:val="22"/>
        </w:rPr>
        <w:t xml:space="preserve"> protection de l</w:t>
      </w:r>
      <w:r w:rsidR="00686044">
        <w:rPr>
          <w:kern w:val="22"/>
          <w:szCs w:val="22"/>
        </w:rPr>
        <w:t>’</w:t>
      </w:r>
      <w:r w:rsidR="00324D7C">
        <w:rPr>
          <w:kern w:val="22"/>
          <w:szCs w:val="22"/>
        </w:rPr>
        <w:t>environnement. Jusqu</w:t>
      </w:r>
      <w:r w:rsidR="00686044">
        <w:rPr>
          <w:kern w:val="22"/>
          <w:szCs w:val="22"/>
        </w:rPr>
        <w:t>’</w:t>
      </w:r>
      <w:r w:rsidR="00324D7C">
        <w:rPr>
          <w:kern w:val="22"/>
          <w:szCs w:val="22"/>
        </w:rPr>
        <w:t>à 77 gouvernements ont fourni de telles informations fonctionnelles entre 2015 et 2022</w:t>
      </w:r>
      <w:r>
        <w:rPr>
          <w:kern w:val="22"/>
          <w:szCs w:val="22"/>
        </w:rPr>
        <w:t>,</w:t>
      </w:r>
      <w:r w:rsidR="00324D7C">
        <w:rPr>
          <w:kern w:val="22"/>
          <w:szCs w:val="22"/>
        </w:rPr>
        <w:t xml:space="preserve"> et la majorité d</w:t>
      </w:r>
      <w:r w:rsidR="00686044">
        <w:rPr>
          <w:kern w:val="22"/>
          <w:szCs w:val="22"/>
        </w:rPr>
        <w:t>’</w:t>
      </w:r>
      <w:r w:rsidR="00324D7C">
        <w:rPr>
          <w:kern w:val="22"/>
          <w:szCs w:val="22"/>
        </w:rPr>
        <w:t>entre eux (près de 80 %)</w:t>
      </w:r>
      <w:r w:rsidR="00714083">
        <w:rPr>
          <w:kern w:val="22"/>
          <w:szCs w:val="22"/>
        </w:rPr>
        <w:t xml:space="preserve"> ont égaleme</w:t>
      </w:r>
      <w:r w:rsidR="00324D7C">
        <w:rPr>
          <w:kern w:val="22"/>
          <w:szCs w:val="22"/>
        </w:rPr>
        <w:t>nt fourni des informations sur la biodiversité et la protection des paysages. Le tableau figurant à l</w:t>
      </w:r>
      <w:r w:rsidR="00686044">
        <w:rPr>
          <w:kern w:val="22"/>
          <w:szCs w:val="22"/>
        </w:rPr>
        <w:t>’</w:t>
      </w:r>
      <w:r w:rsidR="00324D7C">
        <w:rPr>
          <w:kern w:val="22"/>
          <w:szCs w:val="22"/>
        </w:rPr>
        <w:t>annexe III donne un aperçu par pays déclarant, exprimé en pourcentage du produit intérieur brut (PIB), tandis que le tableau 5 ci-dessous présente une analyse des tendances similaires pour les années 2015 à 2019.</w:t>
      </w:r>
      <w:r w:rsidR="00A6379F" w:rsidRPr="0066775D">
        <w:rPr>
          <w:rStyle w:val="FootnoteReference"/>
          <w:kern w:val="22"/>
          <w:szCs w:val="22"/>
        </w:rPr>
        <w:footnoteReference w:id="17"/>
      </w:r>
      <w:r w:rsidR="00324D7C">
        <w:rPr>
          <w:kern w:val="22"/>
          <w:szCs w:val="22"/>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4"/>
        <w:gridCol w:w="1811"/>
        <w:gridCol w:w="1579"/>
        <w:gridCol w:w="1224"/>
        <w:gridCol w:w="1016"/>
        <w:gridCol w:w="1022"/>
      </w:tblGrid>
      <w:tr w:rsidR="00A70A01" w:rsidRPr="00FF750D" w:rsidTr="00000DA0">
        <w:trPr>
          <w:cantSplit/>
          <w:jc w:val="center"/>
        </w:trPr>
        <w:tc>
          <w:tcPr>
            <w:tcW w:w="9576" w:type="dxa"/>
            <w:gridSpan w:val="6"/>
            <w:tcBorders>
              <w:top w:val="nil"/>
              <w:left w:val="nil"/>
              <w:bottom w:val="single" w:sz="4" w:space="0" w:color="auto"/>
              <w:right w:val="nil"/>
            </w:tcBorders>
            <w:shd w:val="clear" w:color="auto" w:fill="auto"/>
          </w:tcPr>
          <w:p w:rsidR="00AC7EA1" w:rsidRDefault="00721806">
            <w:pPr>
              <w:pStyle w:val="ListParagraph"/>
              <w:keepNext/>
              <w:suppressLineNumbers/>
              <w:suppressAutoHyphens/>
              <w:kinsoku w:val="0"/>
              <w:overflowPunct w:val="0"/>
              <w:autoSpaceDE w:val="0"/>
              <w:autoSpaceDN w:val="0"/>
              <w:adjustRightInd w:val="0"/>
              <w:snapToGrid w:val="0"/>
              <w:spacing w:before="60" w:after="60"/>
              <w:ind w:left="0"/>
              <w:contextualSpacing w:val="0"/>
              <w:jc w:val="left"/>
              <w:rPr>
                <w:snapToGrid w:val="0"/>
                <w:kern w:val="22"/>
                <w:szCs w:val="22"/>
              </w:rPr>
            </w:pPr>
            <w:r>
              <w:rPr>
                <w:b/>
                <w:snapToGrid w:val="0"/>
                <w:kern w:val="22"/>
                <w:szCs w:val="22"/>
              </w:rPr>
              <w:lastRenderedPageBreak/>
              <w:t>Tableau 5. Evolution</w:t>
            </w:r>
            <w:r w:rsidR="00793472">
              <w:rPr>
                <w:b/>
                <w:snapToGrid w:val="0"/>
                <w:kern w:val="22"/>
                <w:szCs w:val="22"/>
              </w:rPr>
              <w:t xml:space="preserve"> des dépenses intérieures en matière d</w:t>
            </w:r>
            <w:r w:rsidR="00324D7C">
              <w:rPr>
                <w:b/>
                <w:snapToGrid w:val="0"/>
                <w:kern w:val="22"/>
                <w:szCs w:val="22"/>
              </w:rPr>
              <w:t>e biodiversité et de protection des paysages</w:t>
            </w:r>
            <w:r w:rsidR="007C05EC">
              <w:rPr>
                <w:b/>
                <w:snapToGrid w:val="0"/>
                <w:kern w:val="22"/>
                <w:szCs w:val="22"/>
              </w:rPr>
              <w:t>,</w:t>
            </w:r>
            <w:r w:rsidR="00324D7C">
              <w:rPr>
                <w:b/>
                <w:snapToGrid w:val="0"/>
                <w:kern w:val="22"/>
                <w:szCs w:val="22"/>
              </w:rPr>
              <w:t xml:space="preserve"> en pourcentage du PIB (2015-2019) </w:t>
            </w:r>
          </w:p>
        </w:tc>
      </w:tr>
      <w:tr w:rsidR="00A70A01" w:rsidRPr="00FF750D" w:rsidTr="00000DA0">
        <w:trPr>
          <w:cantSplit/>
          <w:jc w:val="center"/>
        </w:trPr>
        <w:tc>
          <w:tcPr>
            <w:tcW w:w="3661" w:type="dxa"/>
            <w:tcBorders>
              <w:top w:val="single" w:sz="4" w:space="0" w:color="auto"/>
            </w:tcBorders>
            <w:shd w:val="clear" w:color="auto" w:fill="auto"/>
          </w:tcPr>
          <w:p w:rsidR="00A70A01" w:rsidRPr="00371399" w:rsidRDefault="00A70A01" w:rsidP="00C264EE">
            <w:pPr>
              <w:keepNext/>
              <w:suppressLineNumbers/>
              <w:suppressAutoHyphens/>
              <w:kinsoku w:val="0"/>
              <w:overflowPunct w:val="0"/>
              <w:autoSpaceDE w:val="0"/>
              <w:autoSpaceDN w:val="0"/>
              <w:adjustRightInd w:val="0"/>
              <w:snapToGrid w:val="0"/>
              <w:spacing w:before="40" w:after="40"/>
              <w:ind w:left="360"/>
              <w:rPr>
                <w:bCs/>
                <w:snapToGrid w:val="0"/>
                <w:kern w:val="22"/>
                <w:szCs w:val="22"/>
              </w:rPr>
            </w:pPr>
          </w:p>
        </w:tc>
        <w:tc>
          <w:tcPr>
            <w:tcW w:w="1326" w:type="dxa"/>
            <w:tcBorders>
              <w:top w:val="single" w:sz="4" w:space="0" w:color="auto"/>
            </w:tcBorders>
            <w:shd w:val="clear" w:color="auto" w:fill="auto"/>
          </w:tcPr>
          <w:p w:rsidR="00AC7EA1" w:rsidRDefault="007D0817">
            <w:pPr>
              <w:keepNext/>
              <w:suppressLineNumbers/>
              <w:suppressAutoHyphens/>
              <w:kinsoku w:val="0"/>
              <w:overflowPunct w:val="0"/>
              <w:autoSpaceDE w:val="0"/>
              <w:autoSpaceDN w:val="0"/>
              <w:adjustRightInd w:val="0"/>
              <w:snapToGrid w:val="0"/>
              <w:ind w:left="360"/>
              <w:rPr>
                <w:i/>
                <w:snapToGrid w:val="0"/>
                <w:kern w:val="22"/>
                <w:szCs w:val="22"/>
              </w:rPr>
            </w:pPr>
            <w:r>
              <w:rPr>
                <w:i/>
                <w:snapToGrid w:val="0"/>
                <w:kern w:val="22"/>
                <w:szCs w:val="22"/>
              </w:rPr>
              <w:t>Augmentation</w:t>
            </w:r>
          </w:p>
        </w:tc>
        <w:tc>
          <w:tcPr>
            <w:tcW w:w="1399" w:type="dxa"/>
            <w:tcBorders>
              <w:top w:val="single" w:sz="4" w:space="0" w:color="auto"/>
            </w:tcBorders>
            <w:shd w:val="clear" w:color="auto" w:fill="auto"/>
          </w:tcPr>
          <w:p w:rsidR="00AC7EA1" w:rsidRDefault="007D0817">
            <w:pPr>
              <w:keepNext/>
              <w:suppressLineNumbers/>
              <w:suppressAutoHyphens/>
              <w:kinsoku w:val="0"/>
              <w:overflowPunct w:val="0"/>
              <w:autoSpaceDE w:val="0"/>
              <w:autoSpaceDN w:val="0"/>
              <w:adjustRightInd w:val="0"/>
              <w:snapToGrid w:val="0"/>
              <w:ind w:left="360"/>
              <w:rPr>
                <w:i/>
                <w:snapToGrid w:val="0"/>
                <w:kern w:val="22"/>
                <w:szCs w:val="22"/>
              </w:rPr>
            </w:pPr>
            <w:r>
              <w:rPr>
                <w:i/>
                <w:snapToGrid w:val="0"/>
                <w:kern w:val="22"/>
                <w:szCs w:val="22"/>
              </w:rPr>
              <w:t>Diminution</w:t>
            </w:r>
          </w:p>
        </w:tc>
        <w:tc>
          <w:tcPr>
            <w:tcW w:w="1249" w:type="dxa"/>
            <w:tcBorders>
              <w:top w:val="single" w:sz="4" w:space="0" w:color="auto"/>
            </w:tcBorders>
            <w:shd w:val="clear" w:color="auto" w:fill="auto"/>
          </w:tcPr>
          <w:p w:rsidR="00AC7EA1" w:rsidRDefault="00324D7C">
            <w:pPr>
              <w:keepNext/>
              <w:suppressLineNumbers/>
              <w:suppressAutoHyphens/>
              <w:kinsoku w:val="0"/>
              <w:overflowPunct w:val="0"/>
              <w:autoSpaceDE w:val="0"/>
              <w:autoSpaceDN w:val="0"/>
              <w:adjustRightInd w:val="0"/>
              <w:snapToGrid w:val="0"/>
              <w:ind w:left="360"/>
              <w:rPr>
                <w:i/>
                <w:snapToGrid w:val="0"/>
                <w:kern w:val="22"/>
                <w:szCs w:val="22"/>
              </w:rPr>
            </w:pPr>
            <w:r>
              <w:rPr>
                <w:i/>
                <w:snapToGrid w:val="0"/>
                <w:kern w:val="22"/>
                <w:szCs w:val="22"/>
              </w:rPr>
              <w:t>Neutre</w:t>
            </w:r>
          </w:p>
        </w:tc>
        <w:tc>
          <w:tcPr>
            <w:tcW w:w="919" w:type="dxa"/>
            <w:tcBorders>
              <w:top w:val="single" w:sz="4" w:space="0" w:color="auto"/>
            </w:tcBorders>
            <w:shd w:val="clear" w:color="auto" w:fill="auto"/>
          </w:tcPr>
          <w:p w:rsidR="00AC7EA1" w:rsidRDefault="007D0817">
            <w:pPr>
              <w:keepNext/>
              <w:suppressLineNumbers/>
              <w:suppressAutoHyphens/>
              <w:kinsoku w:val="0"/>
              <w:overflowPunct w:val="0"/>
              <w:autoSpaceDE w:val="0"/>
              <w:autoSpaceDN w:val="0"/>
              <w:adjustRightInd w:val="0"/>
              <w:snapToGrid w:val="0"/>
              <w:ind w:left="360"/>
              <w:rPr>
                <w:i/>
                <w:snapToGrid w:val="0"/>
                <w:kern w:val="22"/>
                <w:szCs w:val="22"/>
              </w:rPr>
            </w:pPr>
            <w:r>
              <w:rPr>
                <w:i/>
                <w:snapToGrid w:val="0"/>
                <w:kern w:val="22"/>
                <w:szCs w:val="22"/>
              </w:rPr>
              <w:t>Sans objet</w:t>
            </w:r>
          </w:p>
        </w:tc>
        <w:tc>
          <w:tcPr>
            <w:tcW w:w="1022" w:type="dxa"/>
            <w:tcBorders>
              <w:top w:val="single" w:sz="4" w:space="0" w:color="auto"/>
            </w:tcBorders>
            <w:shd w:val="clear" w:color="auto" w:fill="auto"/>
          </w:tcPr>
          <w:p w:rsidR="00AC7EA1" w:rsidRDefault="00324D7C">
            <w:pPr>
              <w:keepNext/>
              <w:suppressLineNumbers/>
              <w:suppressAutoHyphens/>
              <w:kinsoku w:val="0"/>
              <w:overflowPunct w:val="0"/>
              <w:autoSpaceDE w:val="0"/>
              <w:autoSpaceDN w:val="0"/>
              <w:adjustRightInd w:val="0"/>
              <w:snapToGrid w:val="0"/>
              <w:ind w:left="360"/>
              <w:rPr>
                <w:i/>
                <w:snapToGrid w:val="0"/>
                <w:kern w:val="22"/>
                <w:szCs w:val="22"/>
              </w:rPr>
            </w:pPr>
            <w:r>
              <w:rPr>
                <w:i/>
                <w:snapToGrid w:val="0"/>
                <w:kern w:val="22"/>
                <w:szCs w:val="22"/>
              </w:rPr>
              <w:t>Total</w:t>
            </w:r>
          </w:p>
        </w:tc>
      </w:tr>
      <w:tr w:rsidR="00A70A01" w:rsidRPr="00FF750D" w:rsidTr="00000DA0">
        <w:trPr>
          <w:cantSplit/>
          <w:jc w:val="center"/>
        </w:trPr>
        <w:tc>
          <w:tcPr>
            <w:tcW w:w="3661" w:type="dxa"/>
            <w:tcBorders>
              <w:bottom w:val="single" w:sz="4" w:space="0" w:color="auto"/>
            </w:tcBorders>
            <w:shd w:val="clear" w:color="auto" w:fill="auto"/>
          </w:tcPr>
          <w:p w:rsidR="00AC7EA1" w:rsidRDefault="00324D7C">
            <w:pPr>
              <w:keepNext/>
              <w:suppressLineNumbers/>
              <w:suppressAutoHyphens/>
              <w:kinsoku w:val="0"/>
              <w:overflowPunct w:val="0"/>
              <w:autoSpaceDE w:val="0"/>
              <w:autoSpaceDN w:val="0"/>
              <w:adjustRightInd w:val="0"/>
              <w:snapToGrid w:val="0"/>
              <w:spacing w:before="40" w:after="40"/>
              <w:rPr>
                <w:snapToGrid w:val="0"/>
                <w:kern w:val="22"/>
                <w:szCs w:val="22"/>
              </w:rPr>
            </w:pPr>
            <w:r>
              <w:rPr>
                <w:snapToGrid w:val="0"/>
                <w:kern w:val="22"/>
                <w:szCs w:val="22"/>
              </w:rPr>
              <w:t>Nombre de pays</w:t>
            </w:r>
          </w:p>
        </w:tc>
        <w:tc>
          <w:tcPr>
            <w:tcW w:w="1326" w:type="dxa"/>
            <w:tcBorders>
              <w:bottom w:val="single" w:sz="4" w:space="0" w:color="auto"/>
            </w:tcBorders>
            <w:shd w:val="clear" w:color="auto" w:fill="auto"/>
          </w:tcPr>
          <w:p w:rsidR="00AC7EA1" w:rsidRDefault="00324D7C">
            <w:pPr>
              <w:keepNext/>
              <w:suppressLineNumbers/>
              <w:suppressAutoHyphens/>
              <w:kinsoku w:val="0"/>
              <w:overflowPunct w:val="0"/>
              <w:autoSpaceDE w:val="0"/>
              <w:autoSpaceDN w:val="0"/>
              <w:adjustRightInd w:val="0"/>
              <w:snapToGrid w:val="0"/>
              <w:ind w:left="360"/>
              <w:jc w:val="right"/>
              <w:rPr>
                <w:snapToGrid w:val="0"/>
                <w:kern w:val="22"/>
                <w:szCs w:val="22"/>
              </w:rPr>
            </w:pPr>
            <w:r>
              <w:rPr>
                <w:snapToGrid w:val="0"/>
                <w:kern w:val="22"/>
                <w:szCs w:val="22"/>
              </w:rPr>
              <w:t>18</w:t>
            </w:r>
          </w:p>
        </w:tc>
        <w:tc>
          <w:tcPr>
            <w:tcW w:w="1399" w:type="dxa"/>
            <w:tcBorders>
              <w:bottom w:val="single" w:sz="4" w:space="0" w:color="auto"/>
            </w:tcBorders>
            <w:shd w:val="clear" w:color="auto" w:fill="auto"/>
          </w:tcPr>
          <w:p w:rsidR="00AC7EA1" w:rsidRDefault="00324D7C">
            <w:pPr>
              <w:keepNext/>
              <w:suppressLineNumbers/>
              <w:suppressAutoHyphens/>
              <w:kinsoku w:val="0"/>
              <w:overflowPunct w:val="0"/>
              <w:autoSpaceDE w:val="0"/>
              <w:autoSpaceDN w:val="0"/>
              <w:adjustRightInd w:val="0"/>
              <w:snapToGrid w:val="0"/>
              <w:ind w:left="360"/>
              <w:jc w:val="right"/>
              <w:rPr>
                <w:snapToGrid w:val="0"/>
                <w:kern w:val="22"/>
                <w:szCs w:val="22"/>
              </w:rPr>
            </w:pPr>
            <w:r>
              <w:rPr>
                <w:snapToGrid w:val="0"/>
                <w:kern w:val="22"/>
                <w:szCs w:val="22"/>
              </w:rPr>
              <w:t>13</w:t>
            </w:r>
          </w:p>
        </w:tc>
        <w:tc>
          <w:tcPr>
            <w:tcW w:w="1249" w:type="dxa"/>
            <w:tcBorders>
              <w:bottom w:val="single" w:sz="4" w:space="0" w:color="auto"/>
            </w:tcBorders>
            <w:shd w:val="clear" w:color="auto" w:fill="auto"/>
          </w:tcPr>
          <w:p w:rsidR="00AC7EA1" w:rsidRDefault="00324D7C">
            <w:pPr>
              <w:keepNext/>
              <w:suppressLineNumbers/>
              <w:suppressAutoHyphens/>
              <w:kinsoku w:val="0"/>
              <w:overflowPunct w:val="0"/>
              <w:autoSpaceDE w:val="0"/>
              <w:autoSpaceDN w:val="0"/>
              <w:adjustRightInd w:val="0"/>
              <w:snapToGrid w:val="0"/>
              <w:ind w:left="360"/>
              <w:jc w:val="right"/>
              <w:rPr>
                <w:snapToGrid w:val="0"/>
                <w:kern w:val="22"/>
                <w:szCs w:val="22"/>
              </w:rPr>
            </w:pPr>
            <w:r>
              <w:rPr>
                <w:snapToGrid w:val="0"/>
                <w:kern w:val="22"/>
                <w:szCs w:val="22"/>
              </w:rPr>
              <w:t>17</w:t>
            </w:r>
          </w:p>
        </w:tc>
        <w:tc>
          <w:tcPr>
            <w:tcW w:w="919" w:type="dxa"/>
            <w:tcBorders>
              <w:bottom w:val="single" w:sz="4" w:space="0" w:color="auto"/>
            </w:tcBorders>
            <w:shd w:val="clear" w:color="auto" w:fill="auto"/>
          </w:tcPr>
          <w:p w:rsidR="00AC7EA1" w:rsidRDefault="00324D7C">
            <w:pPr>
              <w:keepNext/>
              <w:suppressLineNumbers/>
              <w:suppressAutoHyphens/>
              <w:kinsoku w:val="0"/>
              <w:overflowPunct w:val="0"/>
              <w:autoSpaceDE w:val="0"/>
              <w:autoSpaceDN w:val="0"/>
              <w:adjustRightInd w:val="0"/>
              <w:snapToGrid w:val="0"/>
              <w:ind w:left="360"/>
              <w:jc w:val="right"/>
              <w:rPr>
                <w:snapToGrid w:val="0"/>
                <w:kern w:val="22"/>
                <w:szCs w:val="22"/>
              </w:rPr>
            </w:pPr>
            <w:r>
              <w:rPr>
                <w:snapToGrid w:val="0"/>
                <w:kern w:val="22"/>
                <w:szCs w:val="22"/>
              </w:rPr>
              <w:t>10</w:t>
            </w:r>
          </w:p>
        </w:tc>
        <w:tc>
          <w:tcPr>
            <w:tcW w:w="1022" w:type="dxa"/>
            <w:tcBorders>
              <w:bottom w:val="single" w:sz="4" w:space="0" w:color="auto"/>
            </w:tcBorders>
            <w:shd w:val="clear" w:color="auto" w:fill="auto"/>
          </w:tcPr>
          <w:p w:rsidR="00AC7EA1" w:rsidRDefault="00324D7C">
            <w:pPr>
              <w:keepNext/>
              <w:suppressLineNumbers/>
              <w:suppressAutoHyphens/>
              <w:kinsoku w:val="0"/>
              <w:overflowPunct w:val="0"/>
              <w:autoSpaceDE w:val="0"/>
              <w:autoSpaceDN w:val="0"/>
              <w:adjustRightInd w:val="0"/>
              <w:snapToGrid w:val="0"/>
              <w:ind w:left="360"/>
              <w:jc w:val="right"/>
              <w:rPr>
                <w:snapToGrid w:val="0"/>
                <w:kern w:val="22"/>
                <w:szCs w:val="22"/>
              </w:rPr>
            </w:pPr>
            <w:r>
              <w:rPr>
                <w:snapToGrid w:val="0"/>
                <w:kern w:val="22"/>
                <w:szCs w:val="22"/>
              </w:rPr>
              <w:t>58</w:t>
            </w:r>
          </w:p>
        </w:tc>
      </w:tr>
      <w:tr w:rsidR="007528D9" w:rsidRPr="00FF750D" w:rsidTr="00000DA0">
        <w:trPr>
          <w:cantSplit/>
          <w:jc w:val="center"/>
        </w:trPr>
        <w:tc>
          <w:tcPr>
            <w:tcW w:w="9576" w:type="dxa"/>
            <w:gridSpan w:val="6"/>
            <w:tcBorders>
              <w:top w:val="single" w:sz="4" w:space="0" w:color="auto"/>
              <w:left w:val="nil"/>
              <w:bottom w:val="nil"/>
              <w:right w:val="nil"/>
            </w:tcBorders>
            <w:shd w:val="clear" w:color="auto" w:fill="auto"/>
          </w:tcPr>
          <w:p w:rsidR="00AC7EA1" w:rsidRDefault="00324D7C">
            <w:pPr>
              <w:keepNext/>
              <w:suppressLineNumbers/>
              <w:suppressAutoHyphens/>
              <w:kinsoku w:val="0"/>
              <w:overflowPunct w:val="0"/>
              <w:autoSpaceDE w:val="0"/>
              <w:autoSpaceDN w:val="0"/>
              <w:adjustRightInd w:val="0"/>
              <w:snapToGrid w:val="0"/>
              <w:spacing w:before="40" w:after="40"/>
              <w:jc w:val="left"/>
              <w:rPr>
                <w:snapToGrid w:val="0"/>
                <w:kern w:val="22"/>
                <w:szCs w:val="22"/>
              </w:rPr>
            </w:pPr>
            <w:r>
              <w:rPr>
                <w:i/>
                <w:iCs/>
                <w:snapToGrid w:val="0"/>
                <w:kern w:val="22"/>
                <w:sz w:val="18"/>
                <w:szCs w:val="18"/>
              </w:rPr>
              <w:t xml:space="preserve">Évalué sur la base des données des Statistiques des finances publiques du FMI, dépenses fonctionnelles, extraites le 31 octobre 2022. </w:t>
            </w:r>
            <w:r w:rsidR="007D0817">
              <w:rPr>
                <w:snapToGrid w:val="0"/>
                <w:kern w:val="22"/>
                <w:sz w:val="18"/>
                <w:szCs w:val="18"/>
              </w:rPr>
              <w:br/>
              <w:t>Sans objet</w:t>
            </w:r>
            <w:r>
              <w:rPr>
                <w:snapToGrid w:val="0"/>
                <w:kern w:val="22"/>
                <w:sz w:val="18"/>
                <w:szCs w:val="18"/>
              </w:rPr>
              <w:t xml:space="preserve"> : série </w:t>
            </w:r>
            <w:r w:rsidR="007C05EC">
              <w:rPr>
                <w:snapToGrid w:val="0"/>
                <w:kern w:val="22"/>
                <w:sz w:val="18"/>
                <w:szCs w:val="18"/>
              </w:rPr>
              <w:t>temporelle trop courte, ou aucune</w:t>
            </w:r>
            <w:r>
              <w:rPr>
                <w:snapToGrid w:val="0"/>
                <w:kern w:val="22"/>
                <w:sz w:val="18"/>
                <w:szCs w:val="18"/>
              </w:rPr>
              <w:t xml:space="preserve"> tendance</w:t>
            </w:r>
            <w:r w:rsidR="007C05EC">
              <w:rPr>
                <w:snapToGrid w:val="0"/>
                <w:kern w:val="22"/>
                <w:sz w:val="18"/>
                <w:szCs w:val="18"/>
              </w:rPr>
              <w:t xml:space="preserve"> observée</w:t>
            </w:r>
            <w:r>
              <w:rPr>
                <w:snapToGrid w:val="0"/>
                <w:kern w:val="22"/>
                <w:sz w:val="18"/>
                <w:szCs w:val="18"/>
              </w:rPr>
              <w:t>.</w:t>
            </w:r>
          </w:p>
        </w:tc>
      </w:tr>
    </w:tbl>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Une comparaison des deux ensembles de données conduit à un certain nombre d</w:t>
      </w:r>
      <w:r w:rsidR="00686044">
        <w:rPr>
          <w:kern w:val="22"/>
          <w:szCs w:val="22"/>
        </w:rPr>
        <w:t>’</w:t>
      </w:r>
      <w:r>
        <w:rPr>
          <w:kern w:val="22"/>
          <w:szCs w:val="22"/>
        </w:rPr>
        <w:t xml:space="preserve">observations. Premièrement, le nombre total de réponses </w:t>
      </w:r>
      <w:r w:rsidR="00965CBE">
        <w:rPr>
          <w:kern w:val="22"/>
          <w:szCs w:val="22"/>
        </w:rPr>
        <w:t xml:space="preserve">communiquées </w:t>
      </w:r>
      <w:r>
        <w:rPr>
          <w:kern w:val="22"/>
          <w:szCs w:val="22"/>
        </w:rPr>
        <w:t xml:space="preserve">aux </w:t>
      </w:r>
      <w:r w:rsidR="00721806" w:rsidRPr="00721806">
        <w:rPr>
          <w:kern w:val="22"/>
          <w:szCs w:val="22"/>
        </w:rPr>
        <w:t>Statistiques de finances publiques</w:t>
      </w:r>
      <w:r>
        <w:rPr>
          <w:kern w:val="22"/>
          <w:szCs w:val="22"/>
        </w:rPr>
        <w:t xml:space="preserve"> du FMI (77) met en perspective le nombre de cadres d</w:t>
      </w:r>
      <w:r w:rsidR="00B01839">
        <w:rPr>
          <w:kern w:val="22"/>
          <w:szCs w:val="22"/>
        </w:rPr>
        <w:t>e présentation des rapports financiers</w:t>
      </w:r>
      <w:r>
        <w:rPr>
          <w:kern w:val="22"/>
          <w:szCs w:val="22"/>
        </w:rPr>
        <w:t xml:space="preserve"> achev</w:t>
      </w:r>
      <w:r w:rsidR="00965CBE">
        <w:rPr>
          <w:kern w:val="22"/>
          <w:szCs w:val="22"/>
        </w:rPr>
        <w:t>és sur ce sujet (89). C</w:t>
      </w:r>
      <w:r w:rsidR="00B01839">
        <w:rPr>
          <w:kern w:val="22"/>
          <w:szCs w:val="22"/>
        </w:rPr>
        <w:t xml:space="preserve">eci tend à montrer </w:t>
      </w:r>
      <w:r>
        <w:rPr>
          <w:kern w:val="22"/>
          <w:szCs w:val="22"/>
        </w:rPr>
        <w:t>que, quelles que soient l</w:t>
      </w:r>
      <w:r w:rsidR="00965CBE">
        <w:rPr>
          <w:kern w:val="22"/>
          <w:szCs w:val="22"/>
        </w:rPr>
        <w:t>es raisons précises</w:t>
      </w:r>
      <w:r w:rsidR="00B01839">
        <w:rPr>
          <w:kern w:val="22"/>
          <w:szCs w:val="22"/>
        </w:rPr>
        <w:t xml:space="preserve"> de ce nombre limité de réponses</w:t>
      </w:r>
      <w:r>
        <w:rPr>
          <w:kern w:val="22"/>
          <w:szCs w:val="22"/>
        </w:rPr>
        <w:t xml:space="preserve">, elles peuvent être communes aux deux institutions. </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Deuxièmement, la comparaison des chiffres fournis par les différents pays semble indiquer que les chiffres du FMI sont généralement très conse</w:t>
      </w:r>
      <w:r w:rsidR="00B01839">
        <w:rPr>
          <w:kern w:val="22"/>
          <w:szCs w:val="22"/>
        </w:rPr>
        <w:t>rvateurs et couvrent sans doute uniquement</w:t>
      </w:r>
      <w:r>
        <w:rPr>
          <w:kern w:val="22"/>
          <w:szCs w:val="22"/>
        </w:rPr>
        <w:t xml:space="preserve"> ce que l</w:t>
      </w:r>
      <w:r w:rsidR="00686044">
        <w:rPr>
          <w:kern w:val="22"/>
          <w:szCs w:val="22"/>
        </w:rPr>
        <w:t>’</w:t>
      </w:r>
      <w:r>
        <w:rPr>
          <w:kern w:val="22"/>
          <w:szCs w:val="22"/>
        </w:rPr>
        <w:t>on app</w:t>
      </w:r>
      <w:r w:rsidR="00793472">
        <w:rPr>
          <w:kern w:val="22"/>
          <w:szCs w:val="22"/>
        </w:rPr>
        <w:t>elle, dans le cadre de présentation des rapports</w:t>
      </w:r>
      <w:r>
        <w:rPr>
          <w:kern w:val="22"/>
          <w:szCs w:val="22"/>
        </w:rPr>
        <w:t xml:space="preserve"> financier</w:t>
      </w:r>
      <w:r w:rsidR="00793472">
        <w:rPr>
          <w:kern w:val="22"/>
          <w:szCs w:val="22"/>
        </w:rPr>
        <w:t>s</w:t>
      </w:r>
      <w:r>
        <w:rPr>
          <w:kern w:val="22"/>
          <w:szCs w:val="22"/>
        </w:rPr>
        <w:t xml:space="preserve">, « les dépenses </w:t>
      </w:r>
      <w:r>
        <w:rPr>
          <w:i/>
          <w:iCs/>
          <w:kern w:val="22"/>
          <w:szCs w:val="22"/>
        </w:rPr>
        <w:t>directement</w:t>
      </w:r>
      <w:r>
        <w:rPr>
          <w:kern w:val="22"/>
          <w:szCs w:val="22"/>
        </w:rPr>
        <w:t xml:space="preserve"> liées à l</w:t>
      </w:r>
      <w:r w:rsidR="00B01839">
        <w:rPr>
          <w:kern w:val="22"/>
          <w:szCs w:val="22"/>
        </w:rPr>
        <w:t>a biodiversité</w:t>
      </w:r>
      <w:r>
        <w:rPr>
          <w:kern w:val="22"/>
          <w:szCs w:val="22"/>
        </w:rPr>
        <w:t xml:space="preserve"> »</w:t>
      </w:r>
      <w:r w:rsidR="00B01839">
        <w:rPr>
          <w:kern w:val="22"/>
          <w:szCs w:val="22"/>
        </w:rPr>
        <w:t>.</w:t>
      </w:r>
      <w:r>
        <w:rPr>
          <w:kern w:val="22"/>
          <w:szCs w:val="22"/>
        </w:rPr>
        <w:t xml:space="preserve"> En revanche, de nombreuses communications relatives au cadre de présentation des rapports financiers (à savoir, 49 sur les 87 </w:t>
      </w:r>
      <w:r w:rsidR="00B01839">
        <w:rPr>
          <w:kern w:val="22"/>
          <w:szCs w:val="22"/>
        </w:rPr>
        <w:t>qui ont fourni d</w:t>
      </w:r>
      <w:r>
        <w:rPr>
          <w:kern w:val="22"/>
          <w:szCs w:val="22"/>
        </w:rPr>
        <w:t xml:space="preserve">es informations pertinentes) couvrent également des dépenses </w:t>
      </w:r>
      <w:r>
        <w:rPr>
          <w:i/>
          <w:iCs/>
          <w:kern w:val="22"/>
          <w:szCs w:val="22"/>
        </w:rPr>
        <w:t>indirectement</w:t>
      </w:r>
      <w:r>
        <w:rPr>
          <w:kern w:val="22"/>
          <w:szCs w:val="22"/>
        </w:rPr>
        <w:t xml:space="preserve"> liées à la biodiversité, tandis que 30 et 22</w:t>
      </w:r>
      <w:r w:rsidR="00B01839">
        <w:rPr>
          <w:kern w:val="22"/>
          <w:szCs w:val="22"/>
        </w:rPr>
        <w:t xml:space="preserve"> communications</w:t>
      </w:r>
      <w:r>
        <w:rPr>
          <w:kern w:val="22"/>
          <w:szCs w:val="22"/>
        </w:rPr>
        <w:t>, respectivement, comprennent également des ressources extrabudgétaires et des dépenses non gouvernementales. Ces différences peuvent, au moins en partie, expliquer le résultat encore plus éloquent de l</w:t>
      </w:r>
      <w:r w:rsidR="00686044">
        <w:rPr>
          <w:kern w:val="22"/>
          <w:szCs w:val="22"/>
        </w:rPr>
        <w:t>’</w:t>
      </w:r>
      <w:r>
        <w:rPr>
          <w:kern w:val="22"/>
          <w:szCs w:val="22"/>
        </w:rPr>
        <w:t>analyse des tendances présentée dans le tableau 5 : sur les 48 pays où une tendance peut raisonnablement être détectée pour les années 2015-2019, seuls 18 pays affichent une tendance positive.</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L</w:t>
      </w:r>
      <w:r w:rsidR="00686044">
        <w:rPr>
          <w:kern w:val="22"/>
          <w:szCs w:val="22"/>
        </w:rPr>
        <w:t>’</w:t>
      </w:r>
      <w:r>
        <w:rPr>
          <w:kern w:val="22"/>
          <w:szCs w:val="22"/>
        </w:rPr>
        <w:t>identification de ce</w:t>
      </w:r>
      <w:r w:rsidR="00B01839">
        <w:rPr>
          <w:kern w:val="22"/>
          <w:szCs w:val="22"/>
        </w:rPr>
        <w:t>s autres types de dépenses a été</w:t>
      </w:r>
      <w:r>
        <w:rPr>
          <w:kern w:val="22"/>
          <w:szCs w:val="22"/>
        </w:rPr>
        <w:t xml:space="preserve"> généralement fondée sur un examen plus approfondi des budgets des organismes gouvernementaux ayant différents portefeuilles (c</w:t>
      </w:r>
      <w:r w:rsidR="00686044">
        <w:rPr>
          <w:kern w:val="22"/>
          <w:szCs w:val="22"/>
        </w:rPr>
        <w:t>’</w:t>
      </w:r>
      <w:r>
        <w:rPr>
          <w:kern w:val="22"/>
          <w:szCs w:val="22"/>
        </w:rPr>
        <w:t>est-à-dire</w:t>
      </w:r>
      <w:r w:rsidR="00463F0F">
        <w:rPr>
          <w:kern w:val="22"/>
          <w:szCs w:val="22"/>
        </w:rPr>
        <w:t>,</w:t>
      </w:r>
      <w:r>
        <w:rPr>
          <w:kern w:val="22"/>
          <w:szCs w:val="22"/>
        </w:rPr>
        <w:t xml:space="preserve"> au-delà du ministère de l</w:t>
      </w:r>
      <w:r w:rsidR="00686044">
        <w:rPr>
          <w:kern w:val="22"/>
          <w:szCs w:val="22"/>
        </w:rPr>
        <w:t>’</w:t>
      </w:r>
      <w:r>
        <w:rPr>
          <w:kern w:val="22"/>
          <w:szCs w:val="22"/>
        </w:rPr>
        <w:t xml:space="preserve">environnement) et, dans une moindre mesure, complétée par une analyse des entités non gouvernementales. Ces « examens des dépenses </w:t>
      </w:r>
      <w:r w:rsidR="00463F0F">
        <w:rPr>
          <w:kern w:val="22"/>
          <w:szCs w:val="22"/>
        </w:rPr>
        <w:t xml:space="preserve">en matière </w:t>
      </w:r>
      <w:r>
        <w:rPr>
          <w:kern w:val="22"/>
          <w:szCs w:val="22"/>
        </w:rPr>
        <w:t>de biodiversité » sont</w:t>
      </w:r>
      <w:r w:rsidR="00463F0F">
        <w:rPr>
          <w:kern w:val="22"/>
          <w:szCs w:val="22"/>
        </w:rPr>
        <w:t xml:space="preserve"> en eux-mêmes un exercice utile</w:t>
      </w:r>
      <w:r>
        <w:rPr>
          <w:kern w:val="22"/>
          <w:szCs w:val="22"/>
        </w:rPr>
        <w:t>; selon la méthodologie de l</w:t>
      </w:r>
      <w:r w:rsidR="00686044">
        <w:rPr>
          <w:kern w:val="22"/>
          <w:szCs w:val="22"/>
        </w:rPr>
        <w:t>’</w:t>
      </w:r>
      <w:r>
        <w:rPr>
          <w:kern w:val="22"/>
          <w:szCs w:val="22"/>
        </w:rPr>
        <w:t>Initiative de financement de la biodiversité (BIOFIN), une initiative gérée par le Programme des Nations Unies pour le développement, ils constituent une étape intermédiair</w:t>
      </w:r>
      <w:r w:rsidR="00463F0F">
        <w:rPr>
          <w:kern w:val="22"/>
          <w:szCs w:val="22"/>
        </w:rPr>
        <w:t>e importante dans</w:t>
      </w:r>
      <w:r>
        <w:rPr>
          <w:kern w:val="22"/>
          <w:szCs w:val="22"/>
        </w:rPr>
        <w:t xml:space="preserve"> l</w:t>
      </w:r>
      <w:r w:rsidR="00686044">
        <w:rPr>
          <w:kern w:val="22"/>
          <w:szCs w:val="22"/>
        </w:rPr>
        <w:t>’</w:t>
      </w:r>
      <w:r>
        <w:rPr>
          <w:kern w:val="22"/>
          <w:szCs w:val="22"/>
        </w:rPr>
        <w:t>élaboration de plans de financement nationaux et, s</w:t>
      </w:r>
      <w:r w:rsidR="00686044">
        <w:rPr>
          <w:kern w:val="22"/>
          <w:szCs w:val="22"/>
        </w:rPr>
        <w:t>’</w:t>
      </w:r>
      <w:r>
        <w:rPr>
          <w:kern w:val="22"/>
          <w:szCs w:val="22"/>
        </w:rPr>
        <w:t>ils sont répétés, ils permettraient d</w:t>
      </w:r>
      <w:r w:rsidR="00686044">
        <w:rPr>
          <w:kern w:val="22"/>
          <w:szCs w:val="22"/>
        </w:rPr>
        <w:t>’</w:t>
      </w:r>
      <w:r>
        <w:rPr>
          <w:kern w:val="22"/>
          <w:szCs w:val="22"/>
        </w:rPr>
        <w:t>évaluer les progrès réalisés dans la mobilisation des ressources nationales, mais aussi dans l</w:t>
      </w:r>
      <w:r w:rsidR="00686044">
        <w:rPr>
          <w:kern w:val="22"/>
          <w:szCs w:val="22"/>
        </w:rPr>
        <w:t>’</w:t>
      </w:r>
      <w:r>
        <w:rPr>
          <w:kern w:val="22"/>
          <w:szCs w:val="22"/>
        </w:rPr>
        <w:t>intégration budgétaire de la biodiversité. Compte tenu de l</w:t>
      </w:r>
      <w:r w:rsidR="00686044">
        <w:rPr>
          <w:kern w:val="22"/>
          <w:szCs w:val="22"/>
        </w:rPr>
        <w:t>’</w:t>
      </w:r>
      <w:r>
        <w:rPr>
          <w:kern w:val="22"/>
          <w:szCs w:val="22"/>
        </w:rPr>
        <w:t>appui apporté par FEM-8 à l</w:t>
      </w:r>
      <w:r w:rsidR="00686044">
        <w:rPr>
          <w:kern w:val="22"/>
          <w:szCs w:val="22"/>
        </w:rPr>
        <w:t>’</w:t>
      </w:r>
      <w:r>
        <w:rPr>
          <w:kern w:val="22"/>
          <w:szCs w:val="22"/>
        </w:rPr>
        <w:t>élaboration de plans de financement nationaux, on peut s</w:t>
      </w:r>
      <w:r w:rsidR="00686044">
        <w:rPr>
          <w:kern w:val="22"/>
          <w:szCs w:val="22"/>
        </w:rPr>
        <w:t>’</w:t>
      </w:r>
      <w:r>
        <w:rPr>
          <w:kern w:val="22"/>
          <w:szCs w:val="22"/>
        </w:rPr>
        <w:t>attendre à ce que davantage de données (et provenant d</w:t>
      </w:r>
      <w:r w:rsidR="00686044">
        <w:rPr>
          <w:kern w:val="22"/>
          <w:szCs w:val="22"/>
        </w:rPr>
        <w:t>’</w:t>
      </w:r>
      <w:r>
        <w:rPr>
          <w:kern w:val="22"/>
          <w:szCs w:val="22"/>
        </w:rPr>
        <w:t>un plus grand nombre de pays) soient disponibles à l</w:t>
      </w:r>
      <w:r w:rsidR="00686044">
        <w:rPr>
          <w:kern w:val="22"/>
          <w:szCs w:val="22"/>
        </w:rPr>
        <w:t>’</w:t>
      </w:r>
      <w:r>
        <w:rPr>
          <w:kern w:val="22"/>
          <w:szCs w:val="22"/>
        </w:rPr>
        <w:t>avenir. Les rapports sur les dépenses liées à la diversité biologique au titre de la Convention, afin de contribuer à l</w:t>
      </w:r>
      <w:r w:rsidR="00686044">
        <w:rPr>
          <w:kern w:val="22"/>
          <w:szCs w:val="22"/>
        </w:rPr>
        <w:t>’</w:t>
      </w:r>
      <w:r>
        <w:rPr>
          <w:kern w:val="22"/>
          <w:szCs w:val="22"/>
        </w:rPr>
        <w:t>évaluation des progrès accomplis dans la mobilisation des ressources intérieures, sont inclus en tant qu</w:t>
      </w:r>
      <w:r w:rsidR="00686044">
        <w:rPr>
          <w:kern w:val="22"/>
          <w:szCs w:val="22"/>
        </w:rPr>
        <w:t>’</w:t>
      </w:r>
      <w:r>
        <w:rPr>
          <w:kern w:val="22"/>
          <w:szCs w:val="22"/>
        </w:rPr>
        <w:t xml:space="preserve">indicateur dans le projet de cadre de </w:t>
      </w:r>
      <w:r w:rsidR="002B6EDE">
        <w:rPr>
          <w:kern w:val="22"/>
          <w:szCs w:val="22"/>
        </w:rPr>
        <w:t>suivi pour le cadre mondial de</w:t>
      </w:r>
      <w:r>
        <w:rPr>
          <w:kern w:val="22"/>
          <w:szCs w:val="22"/>
        </w:rPr>
        <w:t xml:space="preserve"> la </w:t>
      </w:r>
      <w:r w:rsidR="002B6EDE">
        <w:rPr>
          <w:kern w:val="22"/>
          <w:szCs w:val="22"/>
        </w:rPr>
        <w:t>biodiversité pour l’après-2020. Ceci</w:t>
      </w:r>
      <w:r>
        <w:rPr>
          <w:kern w:val="22"/>
          <w:szCs w:val="22"/>
        </w:rPr>
        <w:t xml:space="preserve"> pourrait être complété par l</w:t>
      </w:r>
      <w:r w:rsidR="00686044">
        <w:rPr>
          <w:kern w:val="22"/>
          <w:szCs w:val="22"/>
        </w:rPr>
        <w:t>’</w:t>
      </w:r>
      <w:r>
        <w:rPr>
          <w:kern w:val="22"/>
          <w:szCs w:val="22"/>
        </w:rPr>
        <w:t>utilisation de l</w:t>
      </w:r>
      <w:r w:rsidR="00686044">
        <w:rPr>
          <w:kern w:val="22"/>
          <w:szCs w:val="22"/>
        </w:rPr>
        <w:t>’</w:t>
      </w:r>
      <w:r>
        <w:rPr>
          <w:kern w:val="22"/>
          <w:szCs w:val="22"/>
        </w:rPr>
        <w:t xml:space="preserve">ensemble de données sur les </w:t>
      </w:r>
      <w:r w:rsidR="00721806" w:rsidRPr="00721806">
        <w:rPr>
          <w:kern w:val="22"/>
          <w:szCs w:val="22"/>
        </w:rPr>
        <w:t>Statistiques de finances publiques</w:t>
      </w:r>
      <w:r>
        <w:rPr>
          <w:kern w:val="22"/>
          <w:szCs w:val="22"/>
        </w:rPr>
        <w:t xml:space="preserve"> du FMI pour les pays qui n</w:t>
      </w:r>
      <w:r w:rsidR="00686044">
        <w:rPr>
          <w:kern w:val="22"/>
          <w:szCs w:val="22"/>
        </w:rPr>
        <w:t>’</w:t>
      </w:r>
      <w:r>
        <w:rPr>
          <w:kern w:val="22"/>
          <w:szCs w:val="22"/>
        </w:rPr>
        <w:t>entreprennent pas de tels exercices. Pour les raisons exposées ci-dessus, les données par pays ne sont pas directement comparables entr</w:t>
      </w:r>
      <w:r w:rsidR="002B6EDE">
        <w:rPr>
          <w:kern w:val="22"/>
          <w:szCs w:val="22"/>
        </w:rPr>
        <w:t>e les deux ensembles de données</w:t>
      </w:r>
      <w:r>
        <w:rPr>
          <w:kern w:val="22"/>
          <w:szCs w:val="22"/>
        </w:rPr>
        <w:t>; toutefois, les deux ensembles de données permettraient une certaine forme d</w:t>
      </w:r>
      <w:r w:rsidR="00686044">
        <w:rPr>
          <w:kern w:val="22"/>
          <w:szCs w:val="22"/>
        </w:rPr>
        <w:t>’</w:t>
      </w:r>
      <w:r>
        <w:rPr>
          <w:kern w:val="22"/>
          <w:szCs w:val="22"/>
        </w:rPr>
        <w:t xml:space="preserve">analyse des tendances par pays, comme indiqué ci-dessus. </w:t>
      </w:r>
    </w:p>
    <w:p w:rsidR="00AC7EA1" w:rsidRDefault="00931260">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Pr>
          <w:snapToGrid w:val="0"/>
          <w:kern w:val="22"/>
          <w:szCs w:val="22"/>
        </w:rPr>
        <w:t>VI.</w:t>
      </w:r>
      <w:r>
        <w:rPr>
          <w:snapToGrid w:val="0"/>
          <w:kern w:val="22"/>
          <w:szCs w:val="22"/>
        </w:rPr>
        <w:tab/>
        <w:t>E</w:t>
      </w:r>
      <w:r w:rsidR="008D74BC">
        <w:rPr>
          <w:snapToGrid w:val="0"/>
          <w:kern w:val="22"/>
          <w:szCs w:val="22"/>
        </w:rPr>
        <w:t>valuation du rôle des mesures collectives</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Au total, 58 Parties ont indiqué si e</w:t>
      </w:r>
      <w:r w:rsidR="002B6EDE">
        <w:rPr>
          <w:kern w:val="22"/>
          <w:szCs w:val="22"/>
        </w:rPr>
        <w:t xml:space="preserve">lles avaient évalué le rôle des </w:t>
      </w:r>
      <w:r w:rsidR="008D74BC">
        <w:rPr>
          <w:kern w:val="22"/>
          <w:szCs w:val="22"/>
        </w:rPr>
        <w:t>mesures collectives</w:t>
      </w:r>
      <w:r>
        <w:rPr>
          <w:kern w:val="22"/>
          <w:szCs w:val="22"/>
        </w:rPr>
        <w:t xml:space="preserve"> et des approches non marchandes dans la mobilisation des ressources pour atteindre les objectifs de la Convention a</w:t>
      </w:r>
      <w:r w:rsidR="002B6EDE">
        <w:rPr>
          <w:kern w:val="22"/>
          <w:szCs w:val="22"/>
        </w:rPr>
        <w:t>u cours du cycle d’établissement</w:t>
      </w:r>
      <w:r>
        <w:rPr>
          <w:kern w:val="22"/>
          <w:szCs w:val="22"/>
        </w:rPr>
        <w:t xml:space="preserve"> des rapports de 2015, et 33 Parties au cours du cycle</w:t>
      </w:r>
      <w:r w:rsidR="002B6EDE">
        <w:rPr>
          <w:kern w:val="22"/>
          <w:szCs w:val="22"/>
        </w:rPr>
        <w:t xml:space="preserve"> d’établissement</w:t>
      </w:r>
      <w:r>
        <w:rPr>
          <w:kern w:val="22"/>
          <w:szCs w:val="22"/>
        </w:rPr>
        <w:t xml:space="preserve"> des rapports de 2020. Pour l</w:t>
      </w:r>
      <w:r w:rsidR="00686044">
        <w:rPr>
          <w:kern w:val="22"/>
          <w:szCs w:val="22"/>
        </w:rPr>
        <w:t>’</w:t>
      </w:r>
      <w:r>
        <w:rPr>
          <w:kern w:val="22"/>
          <w:szCs w:val="22"/>
        </w:rPr>
        <w:t>établissement des rapports de 2015, 47 Parties n</w:t>
      </w:r>
      <w:r w:rsidR="00686044">
        <w:rPr>
          <w:kern w:val="22"/>
          <w:szCs w:val="22"/>
        </w:rPr>
        <w:t>’</w:t>
      </w:r>
      <w:r>
        <w:rPr>
          <w:kern w:val="22"/>
          <w:szCs w:val="22"/>
        </w:rPr>
        <w:t>avaient pas encore commencé</w:t>
      </w:r>
      <w:r w:rsidR="001378FB">
        <w:rPr>
          <w:kern w:val="22"/>
          <w:szCs w:val="22"/>
        </w:rPr>
        <w:t xml:space="preserve"> cette évaluation,</w:t>
      </w:r>
      <w:r>
        <w:rPr>
          <w:kern w:val="22"/>
          <w:szCs w:val="22"/>
        </w:rPr>
        <w:t xml:space="preserve"> et 10 </w:t>
      </w:r>
      <w:r w:rsidR="001378FB">
        <w:rPr>
          <w:kern w:val="22"/>
          <w:szCs w:val="22"/>
        </w:rPr>
        <w:t xml:space="preserve">Parties </w:t>
      </w:r>
      <w:r>
        <w:rPr>
          <w:kern w:val="22"/>
          <w:szCs w:val="22"/>
        </w:rPr>
        <w:t>ont indiqué que certaines évaluations avaient été entreprises. Pour les rapports de 2020, ces chiffres étaient respectivement de 19 et 13</w:t>
      </w:r>
      <w:r w:rsidR="001378FB">
        <w:rPr>
          <w:kern w:val="22"/>
          <w:szCs w:val="22"/>
        </w:rPr>
        <w:t xml:space="preserve"> Parties</w:t>
      </w:r>
      <w:r>
        <w:rPr>
          <w:kern w:val="22"/>
          <w:szCs w:val="22"/>
        </w:rPr>
        <w:t>. Un pays a in</w:t>
      </w:r>
      <w:r w:rsidR="001378FB">
        <w:rPr>
          <w:kern w:val="22"/>
          <w:szCs w:val="22"/>
        </w:rPr>
        <w:t>diqué que des évaluations complètes avaient été effectué</w:t>
      </w:r>
      <w:r>
        <w:rPr>
          <w:kern w:val="22"/>
          <w:szCs w:val="22"/>
        </w:rPr>
        <w:t>es pour les rapports de 2015</w:t>
      </w:r>
      <w:r w:rsidR="001378FB">
        <w:rPr>
          <w:kern w:val="22"/>
          <w:szCs w:val="22"/>
        </w:rPr>
        <w:t xml:space="preserve">, mais aucune </w:t>
      </w:r>
      <w:r>
        <w:rPr>
          <w:kern w:val="22"/>
          <w:szCs w:val="22"/>
        </w:rPr>
        <w:t xml:space="preserve">pour les rapports de 2020. Dans leurs </w:t>
      </w:r>
      <w:r>
        <w:rPr>
          <w:kern w:val="22"/>
          <w:szCs w:val="22"/>
        </w:rPr>
        <w:lastRenderedPageBreak/>
        <w:t>observations, plusieurs pays ont souligné l</w:t>
      </w:r>
      <w:r w:rsidR="00686044">
        <w:rPr>
          <w:kern w:val="22"/>
          <w:szCs w:val="22"/>
        </w:rPr>
        <w:t>’</w:t>
      </w:r>
      <w:r w:rsidR="0019107F">
        <w:rPr>
          <w:kern w:val="22"/>
          <w:szCs w:val="22"/>
        </w:rPr>
        <w:t>importance</w:t>
      </w:r>
      <w:r w:rsidR="00FD0D28">
        <w:rPr>
          <w:kern w:val="22"/>
          <w:szCs w:val="22"/>
        </w:rPr>
        <w:t xml:space="preserve"> des </w:t>
      </w:r>
      <w:r w:rsidR="008D74BC">
        <w:rPr>
          <w:kern w:val="22"/>
          <w:szCs w:val="22"/>
        </w:rPr>
        <w:t>mesures collectives</w:t>
      </w:r>
      <w:r>
        <w:rPr>
          <w:kern w:val="22"/>
          <w:szCs w:val="22"/>
        </w:rPr>
        <w:t>, mais aussi les difficultés méthodologiques rencontrées pour quantifier leur contribution</w:t>
      </w:r>
      <w:r w:rsidR="001378FB">
        <w:rPr>
          <w:kern w:val="22"/>
          <w:szCs w:val="22"/>
        </w:rPr>
        <w:t>,</w:t>
      </w:r>
      <w:r>
        <w:rPr>
          <w:kern w:val="22"/>
          <w:szCs w:val="22"/>
        </w:rPr>
        <w:t xml:space="preserve"> et la nécessité d</w:t>
      </w:r>
      <w:r w:rsidR="001378FB">
        <w:rPr>
          <w:kern w:val="22"/>
          <w:szCs w:val="22"/>
        </w:rPr>
        <w:t>e faire plus à ce sujet. Le Bhoutan a noté le rôle des programmes de paiement pour les services écosystémiques pour</w:t>
      </w:r>
      <w:r>
        <w:rPr>
          <w:kern w:val="22"/>
          <w:szCs w:val="22"/>
        </w:rPr>
        <w:t xml:space="preserve"> mobiliser les communautés locales. Le Canada a entrepris une évaluation partielle portant sur 19 exemples de programmes d</w:t>
      </w:r>
      <w:r w:rsidR="001378FB">
        <w:rPr>
          <w:kern w:val="22"/>
          <w:szCs w:val="22"/>
        </w:rPr>
        <w:t xml:space="preserve">e </w:t>
      </w:r>
      <w:r w:rsidR="008D74BC">
        <w:rPr>
          <w:kern w:val="22"/>
          <w:szCs w:val="22"/>
        </w:rPr>
        <w:t>mesures collectives</w:t>
      </w:r>
      <w:r w:rsidR="0019107F">
        <w:rPr>
          <w:kern w:val="22"/>
          <w:szCs w:val="22"/>
        </w:rPr>
        <w:t xml:space="preserve">, mais a noté la </w:t>
      </w:r>
      <w:r>
        <w:rPr>
          <w:kern w:val="22"/>
          <w:szCs w:val="22"/>
        </w:rPr>
        <w:t>difficulté d</w:t>
      </w:r>
      <w:r w:rsidR="00686044">
        <w:rPr>
          <w:kern w:val="22"/>
          <w:szCs w:val="22"/>
        </w:rPr>
        <w:t>’</w:t>
      </w:r>
      <w:r>
        <w:rPr>
          <w:kern w:val="22"/>
          <w:szCs w:val="22"/>
        </w:rPr>
        <w:t>agréger des indicateurs non financiers incohérents. Le Royaume-Uni a noté que, bien qu</w:t>
      </w:r>
      <w:r w:rsidR="00686044">
        <w:rPr>
          <w:kern w:val="22"/>
          <w:szCs w:val="22"/>
        </w:rPr>
        <w:t>’</w:t>
      </w:r>
      <w:r>
        <w:rPr>
          <w:kern w:val="22"/>
          <w:szCs w:val="22"/>
        </w:rPr>
        <w:t>il n</w:t>
      </w:r>
      <w:r w:rsidR="00686044">
        <w:rPr>
          <w:kern w:val="22"/>
          <w:szCs w:val="22"/>
        </w:rPr>
        <w:t>’</w:t>
      </w:r>
      <w:r>
        <w:rPr>
          <w:kern w:val="22"/>
          <w:szCs w:val="22"/>
        </w:rPr>
        <w:t>ait pas de peuples autochtones et de communautés locales au sens de l</w:t>
      </w:r>
      <w:r w:rsidR="00686044">
        <w:rPr>
          <w:kern w:val="22"/>
          <w:szCs w:val="22"/>
        </w:rPr>
        <w:t>’</w:t>
      </w:r>
      <w:r>
        <w:rPr>
          <w:kern w:val="22"/>
          <w:szCs w:val="22"/>
        </w:rPr>
        <w:t>article 8 j) de la Convention, le travail bénévole est essentiel, par exemple pour la collecte d</w:t>
      </w:r>
      <w:r w:rsidR="00686044">
        <w:rPr>
          <w:kern w:val="22"/>
          <w:szCs w:val="22"/>
        </w:rPr>
        <w:t>’</w:t>
      </w:r>
      <w:r>
        <w:rPr>
          <w:kern w:val="22"/>
          <w:szCs w:val="22"/>
        </w:rPr>
        <w:t>informations relatives aux espèces, e</w:t>
      </w:r>
      <w:r w:rsidR="001378FB">
        <w:rPr>
          <w:kern w:val="22"/>
          <w:szCs w:val="22"/>
        </w:rPr>
        <w:t>t on estime que la collecte de telles</w:t>
      </w:r>
      <w:r>
        <w:rPr>
          <w:kern w:val="22"/>
          <w:szCs w:val="22"/>
        </w:rPr>
        <w:t xml:space="preserve"> informations par des moyens </w:t>
      </w:r>
      <w:r w:rsidR="0023673B">
        <w:rPr>
          <w:kern w:val="22"/>
          <w:szCs w:val="22"/>
        </w:rPr>
        <w:t>officiels ou commerciaux représent</w:t>
      </w:r>
      <w:r>
        <w:rPr>
          <w:kern w:val="22"/>
          <w:szCs w:val="22"/>
        </w:rPr>
        <w:t>erait un coût annuel de plus de 53 mi</w:t>
      </w:r>
      <w:r w:rsidR="001378FB">
        <w:rPr>
          <w:kern w:val="22"/>
          <w:szCs w:val="22"/>
        </w:rPr>
        <w:t xml:space="preserve">llions de </w:t>
      </w:r>
      <w:r w:rsidR="00905709" w:rsidRPr="00905709">
        <w:rPr>
          <w:kern w:val="22"/>
          <w:szCs w:val="22"/>
        </w:rPr>
        <w:t>dollars des États-Unis</w:t>
      </w:r>
      <w:r>
        <w:rPr>
          <w:kern w:val="22"/>
          <w:szCs w:val="22"/>
        </w:rPr>
        <w:t>.</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Seuls quatre pays (Canada, Inde, Namibie et Pérou) ont fourni des informations quantitatives sur la contribution des peuples autochtones et des communautés</w:t>
      </w:r>
      <w:r w:rsidR="0023673B">
        <w:rPr>
          <w:kern w:val="22"/>
          <w:szCs w:val="22"/>
        </w:rPr>
        <w:t xml:space="preserve"> locales. Bien que ceci reste</w:t>
      </w:r>
      <w:r>
        <w:rPr>
          <w:kern w:val="22"/>
          <w:szCs w:val="22"/>
        </w:rPr>
        <w:t xml:space="preserve"> très limité, la question de l</w:t>
      </w:r>
      <w:r w:rsidR="00686044">
        <w:rPr>
          <w:kern w:val="22"/>
          <w:szCs w:val="22"/>
        </w:rPr>
        <w:t>’</w:t>
      </w:r>
      <w:r w:rsidR="0023673B">
        <w:rPr>
          <w:kern w:val="22"/>
          <w:szCs w:val="22"/>
        </w:rPr>
        <w:t xml:space="preserve">évaluation du rôle des </w:t>
      </w:r>
      <w:r w:rsidR="008D74BC">
        <w:rPr>
          <w:kern w:val="22"/>
          <w:szCs w:val="22"/>
        </w:rPr>
        <w:t>mesures collectives</w:t>
      </w:r>
      <w:r>
        <w:rPr>
          <w:kern w:val="22"/>
          <w:szCs w:val="22"/>
        </w:rPr>
        <w:t xml:space="preserve"> a également suscité des travaux conceptuels et méthodologiques</w:t>
      </w:r>
      <w:r w:rsidR="0023673B">
        <w:rPr>
          <w:kern w:val="22"/>
          <w:szCs w:val="22"/>
        </w:rPr>
        <w:t xml:space="preserve"> intéressants, comme </w:t>
      </w:r>
      <w:r>
        <w:rPr>
          <w:kern w:val="22"/>
          <w:szCs w:val="22"/>
        </w:rPr>
        <w:t>indiqué dans des rapports antérieurs,</w:t>
      </w:r>
      <w:r w:rsidR="00450E69" w:rsidRPr="00B96299">
        <w:rPr>
          <w:rStyle w:val="FootnoteReference"/>
          <w:kern w:val="22"/>
          <w:szCs w:val="22"/>
        </w:rPr>
        <w:footnoteReference w:id="18"/>
      </w:r>
      <w:r>
        <w:rPr>
          <w:kern w:val="22"/>
          <w:szCs w:val="22"/>
        </w:rPr>
        <w:t xml:space="preserve"> et des orientations méthodologiques à ce sujet ont été élaborées dans le cadre de </w:t>
      </w:r>
      <w:r w:rsidR="0023673B">
        <w:rPr>
          <w:kern w:val="22"/>
          <w:szCs w:val="22"/>
        </w:rPr>
        <w:t>la Convention, comme indiqué dans la décision </w:t>
      </w:r>
      <w:r>
        <w:rPr>
          <w:kern w:val="22"/>
          <w:szCs w:val="22"/>
        </w:rPr>
        <w:t xml:space="preserve">14/16. Dans cette décision, </w:t>
      </w:r>
      <w:bookmarkStart w:id="4" w:name="_Hlk118211958"/>
      <w:r>
        <w:rPr>
          <w:kern w:val="22"/>
          <w:szCs w:val="22"/>
        </w:rPr>
        <w:t>la Conférence des Parties</w:t>
      </w:r>
      <w:bookmarkEnd w:id="4"/>
      <w:r>
        <w:rPr>
          <w:kern w:val="22"/>
          <w:szCs w:val="22"/>
        </w:rPr>
        <w:t xml:space="preserve"> a reconnu l</w:t>
      </w:r>
      <w:r w:rsidR="00686044">
        <w:rPr>
          <w:kern w:val="22"/>
          <w:szCs w:val="22"/>
        </w:rPr>
        <w:t>’</w:t>
      </w:r>
      <w:r>
        <w:rPr>
          <w:kern w:val="22"/>
          <w:szCs w:val="22"/>
        </w:rPr>
        <w:t>importance d</w:t>
      </w:r>
      <w:r w:rsidR="0023673B">
        <w:rPr>
          <w:kern w:val="22"/>
          <w:szCs w:val="22"/>
        </w:rPr>
        <w:t>es mesure</w:t>
      </w:r>
      <w:r>
        <w:rPr>
          <w:kern w:val="22"/>
          <w:szCs w:val="22"/>
        </w:rPr>
        <w:t>s collectives globales des peuples autocht</w:t>
      </w:r>
      <w:r w:rsidR="0023673B">
        <w:rPr>
          <w:kern w:val="22"/>
          <w:szCs w:val="22"/>
        </w:rPr>
        <w:t>ones et des communautés locales</w:t>
      </w:r>
      <w:r w:rsidR="0096258D" w:rsidRPr="00000DA0">
        <w:rPr>
          <w:rStyle w:val="FootnoteReference"/>
          <w:kern w:val="22"/>
          <w:szCs w:val="22"/>
        </w:rPr>
        <w:footnoteReference w:id="19"/>
      </w:r>
      <w:r>
        <w:rPr>
          <w:kern w:val="22"/>
          <w:szCs w:val="22"/>
        </w:rPr>
        <w:t xml:space="preserve"> et, si la Conférence des Parties souhaitait encourager les Parties à poursuivre et à intensifier ces travaux, il pourrait être ut</w:t>
      </w:r>
      <w:r w:rsidR="0023673B">
        <w:rPr>
          <w:kern w:val="22"/>
          <w:szCs w:val="22"/>
        </w:rPr>
        <w:t>ile de continuer d’aborder cette question dans les rapports</w:t>
      </w:r>
      <w:r>
        <w:rPr>
          <w:kern w:val="22"/>
          <w:szCs w:val="22"/>
        </w:rPr>
        <w:t xml:space="preserve"> avec, le cas échéant, l</w:t>
      </w:r>
      <w:r w:rsidR="00686044">
        <w:rPr>
          <w:kern w:val="22"/>
          <w:szCs w:val="22"/>
        </w:rPr>
        <w:t>’</w:t>
      </w:r>
      <w:r>
        <w:rPr>
          <w:kern w:val="22"/>
          <w:szCs w:val="22"/>
        </w:rPr>
        <w:t>appui des organisations et initiatives internationales pertinentes.</w:t>
      </w:r>
    </w:p>
    <w:p w:rsidR="00AC7EA1" w:rsidRDefault="0023673B" w:rsidP="0019107F">
      <w:pPr>
        <w:pStyle w:val="Heading1"/>
        <w:suppressLineNumbers/>
        <w:tabs>
          <w:tab w:val="clear" w:pos="720"/>
        </w:tabs>
        <w:suppressAutoHyphens/>
        <w:kinsoku w:val="0"/>
        <w:overflowPunct w:val="0"/>
        <w:autoSpaceDE w:val="0"/>
        <w:autoSpaceDN w:val="0"/>
        <w:adjustRightInd w:val="0"/>
        <w:snapToGrid w:val="0"/>
        <w:spacing w:before="120"/>
        <w:ind w:left="993" w:hanging="709"/>
        <w:jc w:val="left"/>
        <w:rPr>
          <w:snapToGrid w:val="0"/>
          <w:kern w:val="22"/>
          <w:szCs w:val="22"/>
        </w:rPr>
      </w:pPr>
      <w:r>
        <w:rPr>
          <w:snapToGrid w:val="0"/>
          <w:kern w:val="22"/>
          <w:szCs w:val="22"/>
        </w:rPr>
        <w:t>VII.</w:t>
      </w:r>
      <w:r>
        <w:rPr>
          <w:snapToGrid w:val="0"/>
          <w:kern w:val="22"/>
          <w:szCs w:val="22"/>
        </w:rPr>
        <w:tab/>
        <w:t>informations</w:t>
      </w:r>
      <w:r w:rsidR="007C05EC">
        <w:rPr>
          <w:snapToGrid w:val="0"/>
          <w:kern w:val="22"/>
          <w:szCs w:val="22"/>
        </w:rPr>
        <w:t xml:space="preserve"> communique</w:t>
      </w:r>
      <w:r w:rsidR="00931260">
        <w:rPr>
          <w:snapToGrid w:val="0"/>
          <w:kern w:val="22"/>
          <w:szCs w:val="22"/>
        </w:rPr>
        <w:t>es sur les besoins, les deficit</w:t>
      </w:r>
      <w:r>
        <w:rPr>
          <w:snapToGrid w:val="0"/>
          <w:kern w:val="22"/>
          <w:szCs w:val="22"/>
        </w:rPr>
        <w:t>s et l</w:t>
      </w:r>
      <w:r w:rsidR="00931260">
        <w:rPr>
          <w:snapToGrid w:val="0"/>
          <w:kern w:val="22"/>
          <w:szCs w:val="22"/>
        </w:rPr>
        <w:t xml:space="preserve">es priorités en matiere </w:t>
      </w:r>
      <w:r w:rsidR="00324D7C">
        <w:rPr>
          <w:snapToGrid w:val="0"/>
          <w:kern w:val="22"/>
          <w:szCs w:val="22"/>
        </w:rPr>
        <w:t>de financement</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Une partie de l</w:t>
      </w:r>
      <w:r w:rsidR="00686044">
        <w:rPr>
          <w:kern w:val="22"/>
          <w:szCs w:val="22"/>
        </w:rPr>
        <w:t>’</w:t>
      </w:r>
      <w:r>
        <w:rPr>
          <w:kern w:val="22"/>
          <w:szCs w:val="22"/>
        </w:rPr>
        <w:t>objectif d) des objectifs de mobilisation des ressources adopt</w:t>
      </w:r>
      <w:r w:rsidR="0023673B">
        <w:rPr>
          <w:kern w:val="22"/>
          <w:szCs w:val="22"/>
        </w:rPr>
        <w:t>és dans la décision XII/3 vise</w:t>
      </w:r>
      <w:r>
        <w:rPr>
          <w:kern w:val="22"/>
          <w:szCs w:val="22"/>
        </w:rPr>
        <w:t xml:space="preserve"> à ce que 100 %, mais au moins 75 %, des Parties disposent de ressour</w:t>
      </w:r>
      <w:r w:rsidR="0023673B">
        <w:rPr>
          <w:kern w:val="22"/>
          <w:szCs w:val="22"/>
        </w:rPr>
        <w:t>ces financières suffisantes pour faire connaître</w:t>
      </w:r>
      <w:r w:rsidR="00931260">
        <w:rPr>
          <w:kern w:val="22"/>
          <w:szCs w:val="22"/>
        </w:rPr>
        <w:t xml:space="preserve"> leurs besoins, déficits et priorités en matière </w:t>
      </w:r>
      <w:r>
        <w:rPr>
          <w:kern w:val="22"/>
          <w:szCs w:val="22"/>
        </w:rPr>
        <w:t>de financement d</w:t>
      </w:r>
      <w:r w:rsidR="00686044">
        <w:rPr>
          <w:kern w:val="22"/>
          <w:szCs w:val="22"/>
        </w:rPr>
        <w:t>’</w:t>
      </w:r>
      <w:r>
        <w:rPr>
          <w:kern w:val="22"/>
          <w:szCs w:val="22"/>
        </w:rPr>
        <w:t xml:space="preserve">ici à 2015. </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Au tota</w:t>
      </w:r>
      <w:r w:rsidR="0023673B">
        <w:rPr>
          <w:kern w:val="22"/>
          <w:szCs w:val="22"/>
        </w:rPr>
        <w:t xml:space="preserve">l, 57 Parties </w:t>
      </w:r>
      <w:r w:rsidR="001A0E31" w:rsidRPr="001A0E31">
        <w:rPr>
          <w:kern w:val="22"/>
          <w:szCs w:val="22"/>
        </w:rPr>
        <w:t>ayant présenté un rapport</w:t>
      </w:r>
      <w:r>
        <w:rPr>
          <w:kern w:val="22"/>
          <w:szCs w:val="22"/>
        </w:rPr>
        <w:t xml:space="preserve"> (près de 56 %) ont indiqué leurs besoins de financement estimés (g</w:t>
      </w:r>
      <w:r w:rsidR="0023673B">
        <w:rPr>
          <w:kern w:val="22"/>
          <w:szCs w:val="22"/>
        </w:rPr>
        <w:t>énéralement sur la base de leur SPANB révisé</w:t>
      </w:r>
      <w:r>
        <w:rPr>
          <w:kern w:val="22"/>
          <w:szCs w:val="22"/>
        </w:rPr>
        <w:t>; voir ci-dessous), et la plupart d</w:t>
      </w:r>
      <w:r w:rsidR="00686044">
        <w:rPr>
          <w:kern w:val="22"/>
          <w:szCs w:val="22"/>
        </w:rPr>
        <w:t>’</w:t>
      </w:r>
      <w:r w:rsidR="001A0E31">
        <w:rPr>
          <w:kern w:val="22"/>
          <w:szCs w:val="22"/>
        </w:rPr>
        <w:t>entre elles ont estimé</w:t>
      </w:r>
      <w:r>
        <w:rPr>
          <w:kern w:val="22"/>
          <w:szCs w:val="22"/>
        </w:rPr>
        <w:t xml:space="preserve"> l</w:t>
      </w:r>
      <w:r w:rsidR="001A0E31">
        <w:rPr>
          <w:kern w:val="22"/>
          <w:szCs w:val="22"/>
        </w:rPr>
        <w:t xml:space="preserve">e déficit de financement </w:t>
      </w:r>
      <w:r>
        <w:rPr>
          <w:kern w:val="22"/>
          <w:szCs w:val="22"/>
        </w:rPr>
        <w:t xml:space="preserve">en soustrayant les ressources disponibles estimées. Au total, 35 pays, soit 43 %, ont également indiqué des mesures à financer en priorité. Les </w:t>
      </w:r>
      <w:r w:rsidR="0023673B">
        <w:rPr>
          <w:kern w:val="22"/>
          <w:szCs w:val="22"/>
        </w:rPr>
        <w:t xml:space="preserve">pays </w:t>
      </w:r>
      <w:r w:rsidR="001A0E31" w:rsidRPr="001A0E31">
        <w:rPr>
          <w:kern w:val="22"/>
          <w:szCs w:val="22"/>
        </w:rPr>
        <w:t>ayant présenté un rapport</w:t>
      </w:r>
      <w:r>
        <w:rPr>
          <w:kern w:val="22"/>
          <w:szCs w:val="22"/>
        </w:rPr>
        <w:t xml:space="preserve"> ont e</w:t>
      </w:r>
      <w:r w:rsidR="0023673B">
        <w:rPr>
          <w:kern w:val="22"/>
          <w:szCs w:val="22"/>
        </w:rPr>
        <w:t>n particulier évoqué leur SPANB</w:t>
      </w:r>
      <w:r>
        <w:rPr>
          <w:kern w:val="22"/>
          <w:szCs w:val="22"/>
        </w:rPr>
        <w:t xml:space="preserve"> révisé comme base de leur évaluation et, dans certains cas, </w:t>
      </w:r>
      <w:bookmarkStart w:id="5" w:name="_Ref443595809"/>
      <w:r>
        <w:rPr>
          <w:kern w:val="22"/>
          <w:szCs w:val="22"/>
        </w:rPr>
        <w:t>spécifiquement leur plan de mobilisation des ressources. Dans plusieurs cas, les pays ont indiqué qu</w:t>
      </w:r>
      <w:r w:rsidR="00686044">
        <w:rPr>
          <w:kern w:val="22"/>
          <w:szCs w:val="22"/>
        </w:rPr>
        <w:t>’</w:t>
      </w:r>
      <w:r>
        <w:rPr>
          <w:kern w:val="22"/>
          <w:szCs w:val="22"/>
        </w:rPr>
        <w:t>ils pours</w:t>
      </w:r>
      <w:r w:rsidR="0023673B">
        <w:rPr>
          <w:kern w:val="22"/>
          <w:szCs w:val="22"/>
        </w:rPr>
        <w:t xml:space="preserve">uivaient leurs travaux sur le SPANB révisé, </w:t>
      </w:r>
      <w:r w:rsidR="00E5540C">
        <w:rPr>
          <w:kern w:val="22"/>
          <w:szCs w:val="22"/>
        </w:rPr>
        <w:t>ou dans le cadre de</w:t>
      </w:r>
      <w:r>
        <w:rPr>
          <w:kern w:val="22"/>
          <w:szCs w:val="22"/>
        </w:rPr>
        <w:t xml:space="preserve"> BIOFIN.</w:t>
      </w:r>
      <w:bookmarkEnd w:id="5"/>
      <w:r>
        <w:rPr>
          <w:kern w:val="22"/>
          <w:szCs w:val="22"/>
        </w:rPr>
        <w:t xml:space="preserve"> Plusieurs Parties (Chine, Espagne, Lettonie, Royaume-Uni, </w:t>
      </w:r>
      <w:r w:rsidR="00E5540C">
        <w:rPr>
          <w:kern w:val="22"/>
          <w:szCs w:val="22"/>
        </w:rPr>
        <w:t>Soudan,</w:t>
      </w:r>
      <w:r>
        <w:rPr>
          <w:kern w:val="22"/>
          <w:szCs w:val="22"/>
        </w:rPr>
        <w:t xml:space="preserve"> Suisse</w:t>
      </w:r>
      <w:r w:rsidR="00E5540C">
        <w:rPr>
          <w:kern w:val="22"/>
          <w:szCs w:val="22"/>
        </w:rPr>
        <w:t xml:space="preserve"> et Union européenne</w:t>
      </w:r>
      <w:r>
        <w:rPr>
          <w:kern w:val="22"/>
          <w:szCs w:val="22"/>
        </w:rPr>
        <w:t>), bien qu</w:t>
      </w:r>
      <w:r w:rsidR="00686044">
        <w:rPr>
          <w:kern w:val="22"/>
          <w:szCs w:val="22"/>
        </w:rPr>
        <w:t>’</w:t>
      </w:r>
      <w:r>
        <w:rPr>
          <w:kern w:val="22"/>
          <w:szCs w:val="22"/>
        </w:rPr>
        <w:t>elles n</w:t>
      </w:r>
      <w:r w:rsidR="00686044">
        <w:rPr>
          <w:kern w:val="22"/>
          <w:szCs w:val="22"/>
        </w:rPr>
        <w:t>’</w:t>
      </w:r>
      <w:r>
        <w:rPr>
          <w:kern w:val="22"/>
          <w:szCs w:val="22"/>
        </w:rPr>
        <w:t xml:space="preserve">aient pas fourni de données dans le tableau, ont fourni des informations supplémentaires, </w:t>
      </w:r>
      <w:r w:rsidR="00E5540C">
        <w:rPr>
          <w:kern w:val="22"/>
          <w:szCs w:val="22"/>
        </w:rPr>
        <w:t>en notant, par exemple, d</w:t>
      </w:r>
      <w:r>
        <w:rPr>
          <w:kern w:val="22"/>
          <w:szCs w:val="22"/>
        </w:rPr>
        <w:t>es besoins spécifiques qui pourraient être identifiés.</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Une question récurrente dans la communication de ces éléments était de savoir comment déterminer précisément les besoins de financement et l</w:t>
      </w:r>
      <w:r w:rsidR="008B4461">
        <w:rPr>
          <w:kern w:val="22"/>
          <w:szCs w:val="22"/>
        </w:rPr>
        <w:t>e déficit de financement qui en résulte;</w:t>
      </w:r>
      <w:r>
        <w:rPr>
          <w:kern w:val="22"/>
          <w:szCs w:val="22"/>
        </w:rPr>
        <w:t xml:space="preserve"> à savoir</w:t>
      </w:r>
      <w:r w:rsidR="008B4461">
        <w:rPr>
          <w:kern w:val="22"/>
          <w:szCs w:val="22"/>
        </w:rPr>
        <w:t>,</w:t>
      </w:r>
      <w:r>
        <w:rPr>
          <w:kern w:val="22"/>
          <w:szCs w:val="22"/>
        </w:rPr>
        <w:t xml:space="preserve"> si le besoin de financement est exprimé en valeur « brute » ou en valeur « nette », c</w:t>
      </w:r>
      <w:r w:rsidR="00686044">
        <w:rPr>
          <w:kern w:val="22"/>
          <w:szCs w:val="22"/>
        </w:rPr>
        <w:t>’</w:t>
      </w:r>
      <w:r>
        <w:rPr>
          <w:kern w:val="22"/>
          <w:szCs w:val="22"/>
        </w:rPr>
        <w:t>est-à-dire</w:t>
      </w:r>
      <w:r w:rsidR="008B4461">
        <w:rPr>
          <w:kern w:val="22"/>
          <w:szCs w:val="22"/>
        </w:rPr>
        <w:t>,</w:t>
      </w:r>
      <w:r>
        <w:rPr>
          <w:kern w:val="22"/>
          <w:szCs w:val="22"/>
        </w:rPr>
        <w:t xml:space="preserve"> s</w:t>
      </w:r>
      <w:r w:rsidR="00686044">
        <w:rPr>
          <w:kern w:val="22"/>
          <w:szCs w:val="22"/>
        </w:rPr>
        <w:t>’</w:t>
      </w:r>
      <w:r w:rsidR="008B4461">
        <w:rPr>
          <w:kern w:val="22"/>
          <w:szCs w:val="22"/>
        </w:rPr>
        <w:t>il inclut</w:t>
      </w:r>
      <w:r>
        <w:rPr>
          <w:kern w:val="22"/>
          <w:szCs w:val="22"/>
        </w:rPr>
        <w:t xml:space="preserve"> ou exclut les activités existantes qui sont déjà financées par les dépenses courantes.</w:t>
      </w:r>
      <w:r w:rsidR="00AA249D" w:rsidRPr="00706DF5">
        <w:rPr>
          <w:rStyle w:val="FootnoteReference"/>
          <w:kern w:val="22"/>
          <w:szCs w:val="22"/>
        </w:rPr>
        <w:footnoteReference w:id="20"/>
      </w:r>
      <w:r>
        <w:rPr>
          <w:kern w:val="22"/>
          <w:szCs w:val="22"/>
        </w:rPr>
        <w:t xml:space="preserve"> La conception du cadre d</w:t>
      </w:r>
      <w:r w:rsidR="008B4461">
        <w:rPr>
          <w:kern w:val="22"/>
          <w:szCs w:val="22"/>
        </w:rPr>
        <w:t>e présentation des rapports financiers</w:t>
      </w:r>
      <w:r>
        <w:rPr>
          <w:kern w:val="22"/>
          <w:szCs w:val="22"/>
        </w:rPr>
        <w:t>, qui s</w:t>
      </w:r>
      <w:r w:rsidR="00686044">
        <w:rPr>
          <w:kern w:val="22"/>
          <w:szCs w:val="22"/>
        </w:rPr>
        <w:t>’</w:t>
      </w:r>
      <w:r>
        <w:rPr>
          <w:kern w:val="22"/>
          <w:szCs w:val="22"/>
        </w:rPr>
        <w:t>inspire de l</w:t>
      </w:r>
      <w:r w:rsidR="00686044">
        <w:rPr>
          <w:kern w:val="22"/>
          <w:szCs w:val="22"/>
        </w:rPr>
        <w:t>’</w:t>
      </w:r>
      <w:r>
        <w:rPr>
          <w:kern w:val="22"/>
          <w:szCs w:val="22"/>
        </w:rPr>
        <w:t xml:space="preserve">approche de base de la méthodologie BIOFIN, a été fondée sur le concept </w:t>
      </w:r>
      <w:r w:rsidR="008B4461">
        <w:rPr>
          <w:kern w:val="22"/>
          <w:szCs w:val="22"/>
        </w:rPr>
        <w:t>de valeur « </w:t>
      </w:r>
      <w:r>
        <w:rPr>
          <w:kern w:val="22"/>
          <w:szCs w:val="22"/>
        </w:rPr>
        <w:t>brut</w:t>
      </w:r>
      <w:r w:rsidR="008B4461">
        <w:rPr>
          <w:kern w:val="22"/>
          <w:szCs w:val="22"/>
        </w:rPr>
        <w:t>e »</w:t>
      </w:r>
      <w:r w:rsidR="00E5540C" w:rsidRPr="00706DF5">
        <w:rPr>
          <w:rStyle w:val="FootnoteReference"/>
          <w:kern w:val="22"/>
          <w:szCs w:val="22"/>
        </w:rPr>
        <w:footnoteReference w:id="21"/>
      </w:r>
      <w:r>
        <w:rPr>
          <w:kern w:val="22"/>
          <w:szCs w:val="22"/>
        </w:rPr>
        <w:t>; toutefois, un certain nombre de pays ont travaillé sur la base d</w:t>
      </w:r>
      <w:r w:rsidR="00686044">
        <w:rPr>
          <w:kern w:val="22"/>
          <w:szCs w:val="22"/>
        </w:rPr>
        <w:t>’</w:t>
      </w:r>
      <w:r>
        <w:rPr>
          <w:kern w:val="22"/>
          <w:szCs w:val="22"/>
        </w:rPr>
        <w:t>un concept</w:t>
      </w:r>
      <w:r w:rsidR="008B4461">
        <w:rPr>
          <w:kern w:val="22"/>
          <w:szCs w:val="22"/>
        </w:rPr>
        <w:t xml:space="preserve"> de valeur</w:t>
      </w:r>
      <w:r>
        <w:rPr>
          <w:kern w:val="22"/>
          <w:szCs w:val="22"/>
        </w:rPr>
        <w:t xml:space="preserve"> « net</w:t>
      </w:r>
      <w:r w:rsidR="008B4461">
        <w:rPr>
          <w:kern w:val="22"/>
          <w:szCs w:val="22"/>
        </w:rPr>
        <w:t>te</w:t>
      </w:r>
      <w:r>
        <w:rPr>
          <w:kern w:val="22"/>
          <w:szCs w:val="22"/>
        </w:rPr>
        <w:t xml:space="preserve"> », ce qui s</w:t>
      </w:r>
      <w:r w:rsidR="00686044">
        <w:rPr>
          <w:kern w:val="22"/>
          <w:szCs w:val="22"/>
        </w:rPr>
        <w:t>’</w:t>
      </w:r>
      <w:r>
        <w:rPr>
          <w:kern w:val="22"/>
          <w:szCs w:val="22"/>
        </w:rPr>
        <w:t>est traduit, dans quelques cas, par un déficit de financement négatif.</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lastRenderedPageBreak/>
        <w:t>À l</w:t>
      </w:r>
      <w:r w:rsidR="00686044">
        <w:rPr>
          <w:kern w:val="22"/>
          <w:szCs w:val="22"/>
        </w:rPr>
        <w:t>’</w:t>
      </w:r>
      <w:r>
        <w:rPr>
          <w:kern w:val="22"/>
          <w:szCs w:val="22"/>
        </w:rPr>
        <w:t>instar de l</w:t>
      </w:r>
      <w:r w:rsidR="00686044">
        <w:rPr>
          <w:kern w:val="22"/>
          <w:szCs w:val="22"/>
        </w:rPr>
        <w:t>’</w:t>
      </w:r>
      <w:r w:rsidR="00CF0B5D">
        <w:rPr>
          <w:kern w:val="22"/>
          <w:szCs w:val="22"/>
        </w:rPr>
        <w:t>examen des dépenses consacrées à</w:t>
      </w:r>
      <w:r>
        <w:rPr>
          <w:kern w:val="22"/>
          <w:szCs w:val="22"/>
        </w:rPr>
        <w:t xml:space="preserve"> la biodiversité, dont il a été question plus haut, la déterm</w:t>
      </w:r>
      <w:r w:rsidR="00931260">
        <w:rPr>
          <w:kern w:val="22"/>
          <w:szCs w:val="22"/>
        </w:rPr>
        <w:t>ination des besoins, des déficits</w:t>
      </w:r>
      <w:r>
        <w:rPr>
          <w:kern w:val="22"/>
          <w:szCs w:val="22"/>
        </w:rPr>
        <w:t xml:space="preserve"> et des priorités en matière de financement constit</w:t>
      </w:r>
      <w:r w:rsidR="00CF0B5D">
        <w:rPr>
          <w:kern w:val="22"/>
          <w:szCs w:val="22"/>
        </w:rPr>
        <w:t>ue une étape intermédiaire dans</w:t>
      </w:r>
      <w:r>
        <w:rPr>
          <w:kern w:val="22"/>
          <w:szCs w:val="22"/>
        </w:rPr>
        <w:t xml:space="preserve"> l</w:t>
      </w:r>
      <w:r w:rsidR="00686044">
        <w:rPr>
          <w:kern w:val="22"/>
          <w:szCs w:val="22"/>
        </w:rPr>
        <w:t>’</w:t>
      </w:r>
      <w:r>
        <w:rPr>
          <w:kern w:val="22"/>
          <w:szCs w:val="22"/>
        </w:rPr>
        <w:t>élaboration d</w:t>
      </w:r>
      <w:r w:rsidR="00686044">
        <w:rPr>
          <w:kern w:val="22"/>
          <w:szCs w:val="22"/>
        </w:rPr>
        <w:t>’</w:t>
      </w:r>
      <w:r w:rsidR="00CF0B5D">
        <w:rPr>
          <w:kern w:val="22"/>
          <w:szCs w:val="22"/>
        </w:rPr>
        <w:t xml:space="preserve">un plan </w:t>
      </w:r>
      <w:r>
        <w:rPr>
          <w:kern w:val="22"/>
          <w:szCs w:val="22"/>
        </w:rPr>
        <w:t>de financement</w:t>
      </w:r>
      <w:r w:rsidR="00CF0B5D">
        <w:rPr>
          <w:kern w:val="22"/>
          <w:szCs w:val="22"/>
        </w:rPr>
        <w:t xml:space="preserve"> national</w:t>
      </w:r>
      <w:r>
        <w:rPr>
          <w:kern w:val="22"/>
          <w:szCs w:val="22"/>
        </w:rPr>
        <w:t>. Toutefois, ce qui importe peut-être le plus</w:t>
      </w:r>
      <w:r w:rsidR="00CF0B5D">
        <w:rPr>
          <w:kern w:val="22"/>
          <w:szCs w:val="22"/>
        </w:rPr>
        <w:t>,</w:t>
      </w:r>
      <w:r>
        <w:rPr>
          <w:kern w:val="22"/>
          <w:szCs w:val="22"/>
        </w:rPr>
        <w:t xml:space="preserve"> du point de vue de la mobilisation des ressources, c</w:t>
      </w:r>
      <w:r w:rsidR="00686044">
        <w:rPr>
          <w:kern w:val="22"/>
          <w:szCs w:val="22"/>
        </w:rPr>
        <w:t>’</w:t>
      </w:r>
      <w:r>
        <w:rPr>
          <w:kern w:val="22"/>
          <w:szCs w:val="22"/>
        </w:rPr>
        <w:t>est l</w:t>
      </w:r>
      <w:r w:rsidR="00686044">
        <w:rPr>
          <w:kern w:val="22"/>
          <w:szCs w:val="22"/>
        </w:rPr>
        <w:t>’</w:t>
      </w:r>
      <w:r>
        <w:rPr>
          <w:kern w:val="22"/>
          <w:szCs w:val="22"/>
        </w:rPr>
        <w:t>existence d</w:t>
      </w:r>
      <w:r w:rsidR="00686044">
        <w:rPr>
          <w:kern w:val="22"/>
          <w:szCs w:val="22"/>
        </w:rPr>
        <w:t>’</w:t>
      </w:r>
      <w:r>
        <w:rPr>
          <w:kern w:val="22"/>
          <w:szCs w:val="22"/>
        </w:rPr>
        <w:t xml:space="preserve">un plan de financement </w:t>
      </w:r>
      <w:r w:rsidR="00CF0B5D">
        <w:rPr>
          <w:kern w:val="22"/>
          <w:szCs w:val="22"/>
        </w:rPr>
        <w:t xml:space="preserve">national </w:t>
      </w:r>
      <w:r>
        <w:rPr>
          <w:kern w:val="22"/>
          <w:szCs w:val="22"/>
        </w:rPr>
        <w:t xml:space="preserve">et sa mise en </w:t>
      </w:r>
      <w:r w:rsidR="00793472">
        <w:rPr>
          <w:kern w:val="22"/>
          <w:szCs w:val="22"/>
        </w:rPr>
        <w:t>œuvre</w:t>
      </w:r>
      <w:r>
        <w:rPr>
          <w:kern w:val="22"/>
          <w:szCs w:val="22"/>
        </w:rPr>
        <w:t xml:space="preserve"> effective, et pas tant que ses mesures intermédiaires soient prises selon une méthodologie commune. Ainsi, rétrospectivement, ces éléments du cadre de présentation des rapports</w:t>
      </w:r>
      <w:r w:rsidR="00CF0B5D">
        <w:rPr>
          <w:kern w:val="22"/>
          <w:szCs w:val="22"/>
        </w:rPr>
        <w:t xml:space="preserve"> financiers</w:t>
      </w:r>
      <w:r>
        <w:rPr>
          <w:kern w:val="22"/>
          <w:szCs w:val="22"/>
        </w:rPr>
        <w:t xml:space="preserve"> pourraient ne pas être essentiels et pourraient, à l</w:t>
      </w:r>
      <w:r w:rsidR="00686044">
        <w:rPr>
          <w:kern w:val="22"/>
          <w:szCs w:val="22"/>
        </w:rPr>
        <w:t>’</w:t>
      </w:r>
      <w:r>
        <w:rPr>
          <w:kern w:val="22"/>
          <w:szCs w:val="22"/>
        </w:rPr>
        <w:t>avenir, être rationalisés et assouplis.</w:t>
      </w:r>
    </w:p>
    <w:p w:rsidR="00AC7EA1" w:rsidRDefault="00793472">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Pr>
          <w:snapToGrid w:val="0"/>
          <w:kern w:val="22"/>
          <w:szCs w:val="22"/>
        </w:rPr>
        <w:t>VIII.</w:t>
      </w:r>
      <w:r>
        <w:rPr>
          <w:snapToGrid w:val="0"/>
          <w:kern w:val="22"/>
          <w:szCs w:val="22"/>
        </w:rPr>
        <w:tab/>
        <w:t>Plans de financement</w:t>
      </w:r>
      <w:r w:rsidR="00324D7C">
        <w:rPr>
          <w:snapToGrid w:val="0"/>
          <w:kern w:val="22"/>
          <w:szCs w:val="22"/>
        </w:rPr>
        <w:t xml:space="preserve"> nationaux</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L</w:t>
      </w:r>
      <w:r w:rsidR="00686044">
        <w:rPr>
          <w:kern w:val="22"/>
          <w:szCs w:val="22"/>
        </w:rPr>
        <w:t>’</w:t>
      </w:r>
      <w:r w:rsidR="00CF0B5D">
        <w:rPr>
          <w:kern w:val="22"/>
          <w:szCs w:val="22"/>
        </w:rPr>
        <w:t>objectif d) vise</w:t>
      </w:r>
      <w:r>
        <w:rPr>
          <w:kern w:val="22"/>
          <w:szCs w:val="22"/>
        </w:rPr>
        <w:t xml:space="preserve"> égal</w:t>
      </w:r>
      <w:r w:rsidR="00CF0B5D">
        <w:rPr>
          <w:kern w:val="22"/>
          <w:szCs w:val="22"/>
        </w:rPr>
        <w:t>ement à ce que 100 %</w:t>
      </w:r>
      <w:r>
        <w:rPr>
          <w:kern w:val="22"/>
          <w:szCs w:val="22"/>
        </w:rPr>
        <w:t xml:space="preserve">, mais au moins 75 %, </w:t>
      </w:r>
      <w:r w:rsidR="00CF0B5D">
        <w:rPr>
          <w:kern w:val="22"/>
          <w:szCs w:val="22"/>
        </w:rPr>
        <w:t xml:space="preserve">des Parties </w:t>
      </w:r>
      <w:r>
        <w:rPr>
          <w:kern w:val="22"/>
          <w:szCs w:val="22"/>
        </w:rPr>
        <w:t>disposent de ressources fina</w:t>
      </w:r>
      <w:r w:rsidR="00CF0B5D">
        <w:rPr>
          <w:kern w:val="22"/>
          <w:szCs w:val="22"/>
        </w:rPr>
        <w:t>ncières suffisantes pour mettre en place</w:t>
      </w:r>
      <w:r>
        <w:rPr>
          <w:kern w:val="22"/>
          <w:szCs w:val="22"/>
        </w:rPr>
        <w:t xml:space="preserve"> des plans</w:t>
      </w:r>
      <w:r w:rsidR="00CF0B5D">
        <w:rPr>
          <w:kern w:val="22"/>
          <w:szCs w:val="22"/>
        </w:rPr>
        <w:t xml:space="preserve"> de financement</w:t>
      </w:r>
      <w:r>
        <w:rPr>
          <w:kern w:val="22"/>
          <w:szCs w:val="22"/>
        </w:rPr>
        <w:t xml:space="preserve"> nationaux pour la biodiversité d</w:t>
      </w:r>
      <w:r w:rsidR="00686044">
        <w:rPr>
          <w:kern w:val="22"/>
          <w:szCs w:val="22"/>
        </w:rPr>
        <w:t>’</w:t>
      </w:r>
      <w:r>
        <w:rPr>
          <w:kern w:val="22"/>
          <w:szCs w:val="22"/>
        </w:rPr>
        <w:t xml:space="preserve">ici à 2015. </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Au total, 54 Parties, soit</w:t>
      </w:r>
      <w:r w:rsidR="00565E29">
        <w:rPr>
          <w:kern w:val="22"/>
          <w:szCs w:val="22"/>
        </w:rPr>
        <w:t xml:space="preserve"> 58 %, ont fourni des éléments concernant </w:t>
      </w:r>
      <w:r>
        <w:rPr>
          <w:kern w:val="22"/>
          <w:szCs w:val="22"/>
        </w:rPr>
        <w:t xml:space="preserve">un plan de financement </w:t>
      </w:r>
      <w:r w:rsidR="00565E29">
        <w:rPr>
          <w:kern w:val="22"/>
          <w:szCs w:val="22"/>
        </w:rPr>
        <w:t>dans le tableau concerné</w:t>
      </w:r>
      <w:r>
        <w:rPr>
          <w:kern w:val="22"/>
          <w:szCs w:val="22"/>
        </w:rPr>
        <w:t xml:space="preserve"> du </w:t>
      </w:r>
      <w:r w:rsidR="00686044">
        <w:rPr>
          <w:kern w:val="22"/>
          <w:szCs w:val="22"/>
        </w:rPr>
        <w:t>cadre de présentation des</w:t>
      </w:r>
      <w:r>
        <w:rPr>
          <w:kern w:val="22"/>
          <w:szCs w:val="22"/>
        </w:rPr>
        <w:t xml:space="preserve"> rapports financiers, en fournissant des chiffres agrégés sur le montant des ressources nationales et internationales qu</w:t>
      </w:r>
      <w:r w:rsidR="00686044">
        <w:rPr>
          <w:kern w:val="22"/>
          <w:szCs w:val="22"/>
        </w:rPr>
        <w:t>’</w:t>
      </w:r>
      <w:r>
        <w:rPr>
          <w:kern w:val="22"/>
          <w:szCs w:val="22"/>
        </w:rPr>
        <w:t>elles envisagent de mobiliser, complétés</w:t>
      </w:r>
      <w:r w:rsidR="00565E29">
        <w:rPr>
          <w:kern w:val="22"/>
          <w:szCs w:val="22"/>
        </w:rPr>
        <w:t>,</w:t>
      </w:r>
      <w:r>
        <w:rPr>
          <w:kern w:val="22"/>
          <w:szCs w:val="22"/>
        </w:rPr>
        <w:t xml:space="preserve"> dans un certain nombre de cas</w:t>
      </w:r>
      <w:r w:rsidR="00565E29">
        <w:rPr>
          <w:kern w:val="22"/>
          <w:szCs w:val="22"/>
        </w:rPr>
        <w:t>,</w:t>
      </w:r>
      <w:r>
        <w:rPr>
          <w:kern w:val="22"/>
          <w:szCs w:val="22"/>
        </w:rPr>
        <w:t xml:space="preserve"> par des sources de financement individuelles, nationales et internationales, qu</w:t>
      </w:r>
      <w:r w:rsidR="00686044">
        <w:rPr>
          <w:kern w:val="22"/>
          <w:szCs w:val="22"/>
        </w:rPr>
        <w:t>’</w:t>
      </w:r>
      <w:r>
        <w:rPr>
          <w:kern w:val="22"/>
          <w:szCs w:val="22"/>
        </w:rPr>
        <w:t>elles prévoient d</w:t>
      </w:r>
      <w:r w:rsidR="00686044">
        <w:rPr>
          <w:kern w:val="22"/>
          <w:szCs w:val="22"/>
        </w:rPr>
        <w:t>’</w:t>
      </w:r>
      <w:r>
        <w:rPr>
          <w:kern w:val="22"/>
          <w:szCs w:val="22"/>
        </w:rPr>
        <w:t>utiliser pour réduire leur déficit de financement dans les années à venir. Pour l</w:t>
      </w:r>
      <w:r w:rsidR="00686044">
        <w:rPr>
          <w:kern w:val="22"/>
          <w:szCs w:val="22"/>
        </w:rPr>
        <w:t>’</w:t>
      </w:r>
      <w:r>
        <w:rPr>
          <w:kern w:val="22"/>
          <w:szCs w:val="22"/>
        </w:rPr>
        <w:t>établissement des rapports de 2020, seu</w:t>
      </w:r>
      <w:r w:rsidR="00565E29">
        <w:rPr>
          <w:kern w:val="22"/>
          <w:szCs w:val="22"/>
        </w:rPr>
        <w:t>les 16 Parties ont fait état de</w:t>
      </w:r>
      <w:r>
        <w:rPr>
          <w:kern w:val="22"/>
          <w:szCs w:val="22"/>
        </w:rPr>
        <w:t xml:space="preserve"> progrès accomplis dans la mobilisation des ressources dans l</w:t>
      </w:r>
      <w:r w:rsidR="00686044">
        <w:rPr>
          <w:kern w:val="22"/>
          <w:szCs w:val="22"/>
        </w:rPr>
        <w:t>’</w:t>
      </w:r>
      <w:r>
        <w:rPr>
          <w:kern w:val="22"/>
          <w:szCs w:val="22"/>
        </w:rPr>
        <w:t xml:space="preserve">ensemble, et encore moins de pays ont fourni des informations sur des sources de financement spécifiques (12 </w:t>
      </w:r>
      <w:r w:rsidR="00565E29">
        <w:rPr>
          <w:kern w:val="22"/>
          <w:szCs w:val="22"/>
        </w:rPr>
        <w:t xml:space="preserve">Parties </w:t>
      </w:r>
      <w:r>
        <w:rPr>
          <w:kern w:val="22"/>
          <w:szCs w:val="22"/>
        </w:rPr>
        <w:t xml:space="preserve">pour les ressources nationales et 15 </w:t>
      </w:r>
      <w:r w:rsidR="00565E29">
        <w:rPr>
          <w:kern w:val="22"/>
          <w:szCs w:val="22"/>
        </w:rPr>
        <w:t xml:space="preserve">Parties </w:t>
      </w:r>
      <w:r>
        <w:rPr>
          <w:kern w:val="22"/>
          <w:szCs w:val="22"/>
        </w:rPr>
        <w:t>pour les ressources internationales), et ce, pour la plupart seulement</w:t>
      </w:r>
      <w:r w:rsidR="00565E29">
        <w:rPr>
          <w:kern w:val="22"/>
          <w:szCs w:val="22"/>
        </w:rPr>
        <w:t xml:space="preserve"> pour</w:t>
      </w:r>
      <w:r>
        <w:rPr>
          <w:kern w:val="22"/>
          <w:szCs w:val="22"/>
        </w:rPr>
        <w:t xml:space="preserve"> quelques années.</w:t>
      </w:r>
    </w:p>
    <w:p w:rsidR="00AC7EA1" w:rsidRDefault="00565E29">
      <w:pPr>
        <w:pStyle w:val="Para1"/>
        <w:numPr>
          <w:ilvl w:val="0"/>
          <w:numId w:val="25"/>
        </w:numPr>
        <w:tabs>
          <w:tab w:val="clear" w:pos="360"/>
        </w:tabs>
        <w:kinsoku w:val="0"/>
        <w:overflowPunct w:val="0"/>
        <w:autoSpaceDE w:val="0"/>
        <w:autoSpaceDN w:val="0"/>
        <w:snapToGrid w:val="0"/>
        <w:rPr>
          <w:kern w:val="22"/>
          <w:szCs w:val="22"/>
        </w:rPr>
      </w:pPr>
      <w:r>
        <w:rPr>
          <w:kern w:val="22"/>
          <w:szCs w:val="22"/>
        </w:rPr>
        <w:t xml:space="preserve"> Le deuxième cycle</w:t>
      </w:r>
      <w:r w:rsidR="00324D7C">
        <w:rPr>
          <w:kern w:val="22"/>
          <w:szCs w:val="22"/>
        </w:rPr>
        <w:t xml:space="preserve"> du </w:t>
      </w:r>
      <w:r w:rsidR="00686044">
        <w:rPr>
          <w:kern w:val="22"/>
          <w:szCs w:val="22"/>
        </w:rPr>
        <w:t>cadre de présentation des</w:t>
      </w:r>
      <w:r w:rsidR="00324D7C">
        <w:rPr>
          <w:kern w:val="22"/>
          <w:szCs w:val="22"/>
        </w:rPr>
        <w:t xml:space="preserve"> rapports financiers avait prévu que les progrès accomplis dans la mise en </w:t>
      </w:r>
      <w:r w:rsidR="00793472">
        <w:rPr>
          <w:kern w:val="22"/>
          <w:szCs w:val="22"/>
        </w:rPr>
        <w:t>œuvre</w:t>
      </w:r>
      <w:r w:rsidR="00324D7C">
        <w:rPr>
          <w:kern w:val="22"/>
          <w:szCs w:val="22"/>
        </w:rPr>
        <w:t xml:space="preserve"> des plans de financement nationaux serviraient de base pour évaluer les progrès accomplis par rapport à l</w:t>
      </w:r>
      <w:r w:rsidR="00686044">
        <w:rPr>
          <w:kern w:val="22"/>
          <w:szCs w:val="22"/>
        </w:rPr>
        <w:t>’</w:t>
      </w:r>
      <w:r w:rsidR="00324D7C">
        <w:rPr>
          <w:kern w:val="22"/>
          <w:szCs w:val="22"/>
        </w:rPr>
        <w:t>objectif e), à savoir la mobilisation des ressources intérieures. T</w:t>
      </w:r>
      <w:r>
        <w:rPr>
          <w:kern w:val="22"/>
          <w:szCs w:val="22"/>
        </w:rPr>
        <w:t>outefois, en raison du peu d’informations fournies, tel que décrit</w:t>
      </w:r>
      <w:r w:rsidR="00324D7C">
        <w:rPr>
          <w:kern w:val="22"/>
          <w:szCs w:val="22"/>
        </w:rPr>
        <w:t xml:space="preserve"> au paragraphe précédent, une telle évaluation n</w:t>
      </w:r>
      <w:r w:rsidR="00686044">
        <w:rPr>
          <w:kern w:val="22"/>
          <w:szCs w:val="22"/>
        </w:rPr>
        <w:t>’</w:t>
      </w:r>
      <w:r w:rsidR="00324D7C">
        <w:rPr>
          <w:kern w:val="22"/>
          <w:szCs w:val="22"/>
        </w:rPr>
        <w:t>est pas possible. Les rapports précédents s</w:t>
      </w:r>
      <w:r w:rsidR="00686044">
        <w:rPr>
          <w:kern w:val="22"/>
          <w:szCs w:val="22"/>
        </w:rPr>
        <w:t>’</w:t>
      </w:r>
      <w:r w:rsidR="00324D7C">
        <w:rPr>
          <w:kern w:val="22"/>
          <w:szCs w:val="22"/>
        </w:rPr>
        <w:t xml:space="preserve">appuyaient plutôt sur les informations relatives aux dépenses liées à la biodiversité dans </w:t>
      </w:r>
      <w:r>
        <w:rPr>
          <w:kern w:val="22"/>
          <w:szCs w:val="22"/>
        </w:rPr>
        <w:t>le cadre du premier cycle d’établissement des rapports, qui avait été conçu</w:t>
      </w:r>
      <w:r w:rsidR="00324D7C">
        <w:rPr>
          <w:kern w:val="22"/>
          <w:szCs w:val="22"/>
        </w:rPr>
        <w:t xml:space="preserve"> pour aider à définir une base de référence (c</w:t>
      </w:r>
      <w:r w:rsidR="00686044">
        <w:rPr>
          <w:kern w:val="22"/>
          <w:szCs w:val="22"/>
        </w:rPr>
        <w:t>’</w:t>
      </w:r>
      <w:r w:rsidR="00324D7C">
        <w:rPr>
          <w:kern w:val="22"/>
          <w:szCs w:val="22"/>
        </w:rPr>
        <w:t>est-à-dire un scénario de maintien du statu quo) pour le plan de financement nationa</w:t>
      </w:r>
      <w:r>
        <w:rPr>
          <w:kern w:val="22"/>
          <w:szCs w:val="22"/>
        </w:rPr>
        <w:t>l. Rétrospectivement, le cadre de présentation des rapports financiers</w:t>
      </w:r>
      <w:r w:rsidR="00324D7C">
        <w:rPr>
          <w:kern w:val="22"/>
          <w:szCs w:val="22"/>
        </w:rPr>
        <w:t xml:space="preserve"> était peut-être trop onéreux à cet égard - et il a été encore aggravé par les difficultés méthodologiques et de capacité que posait l</w:t>
      </w:r>
      <w:r w:rsidR="00686044">
        <w:rPr>
          <w:kern w:val="22"/>
          <w:szCs w:val="22"/>
        </w:rPr>
        <w:t>’</w:t>
      </w:r>
      <w:r w:rsidR="00324D7C">
        <w:rPr>
          <w:kern w:val="22"/>
          <w:szCs w:val="22"/>
        </w:rPr>
        <w:t>élaboration d</w:t>
      </w:r>
      <w:r w:rsidR="00686044">
        <w:rPr>
          <w:kern w:val="22"/>
          <w:szCs w:val="22"/>
        </w:rPr>
        <w:t>’</w:t>
      </w:r>
      <w:r>
        <w:rPr>
          <w:kern w:val="22"/>
          <w:szCs w:val="22"/>
        </w:rPr>
        <w:t xml:space="preserve">un plan </w:t>
      </w:r>
      <w:r w:rsidR="00324D7C">
        <w:rPr>
          <w:kern w:val="22"/>
          <w:szCs w:val="22"/>
        </w:rPr>
        <w:t xml:space="preserve">de financement </w:t>
      </w:r>
      <w:r>
        <w:rPr>
          <w:kern w:val="22"/>
          <w:szCs w:val="22"/>
        </w:rPr>
        <w:t xml:space="preserve">national </w:t>
      </w:r>
      <w:r w:rsidR="00324D7C">
        <w:rPr>
          <w:kern w:val="22"/>
          <w:szCs w:val="22"/>
        </w:rPr>
        <w:t>pour les pays, à la fois pour ceux soutenus par BIOFIN et sans doute même</w:t>
      </w:r>
      <w:r>
        <w:rPr>
          <w:kern w:val="22"/>
          <w:szCs w:val="22"/>
        </w:rPr>
        <w:t>,</w:t>
      </w:r>
      <w:r w:rsidR="00324D7C">
        <w:rPr>
          <w:kern w:val="22"/>
          <w:szCs w:val="22"/>
        </w:rPr>
        <w:t xml:space="preserve"> dans une plus large mesure</w:t>
      </w:r>
      <w:r>
        <w:rPr>
          <w:kern w:val="22"/>
          <w:szCs w:val="22"/>
        </w:rPr>
        <w:t>,</w:t>
      </w:r>
      <w:r w:rsidR="00324D7C">
        <w:rPr>
          <w:kern w:val="22"/>
          <w:szCs w:val="22"/>
        </w:rPr>
        <w:t xml:space="preserve"> pour ceux qui ne l</w:t>
      </w:r>
      <w:r w:rsidR="00686044">
        <w:rPr>
          <w:kern w:val="22"/>
          <w:szCs w:val="22"/>
        </w:rPr>
        <w:t>’</w:t>
      </w:r>
      <w:r w:rsidR="00324D7C">
        <w:rPr>
          <w:kern w:val="22"/>
          <w:szCs w:val="22"/>
        </w:rPr>
        <w:t xml:space="preserve">étaient pas. Il </w:t>
      </w:r>
      <w:r>
        <w:rPr>
          <w:kern w:val="22"/>
          <w:szCs w:val="22"/>
        </w:rPr>
        <w:t>semble donc souhaitable que</w:t>
      </w:r>
      <w:r w:rsidR="00324D7C">
        <w:rPr>
          <w:kern w:val="22"/>
          <w:szCs w:val="22"/>
        </w:rPr>
        <w:t xml:space="preserve"> toute évalua</w:t>
      </w:r>
      <w:r>
        <w:rPr>
          <w:kern w:val="22"/>
          <w:szCs w:val="22"/>
        </w:rPr>
        <w:t>tion future des progrès accomplis au regard d’</w:t>
      </w:r>
      <w:r w:rsidR="00324D7C">
        <w:rPr>
          <w:kern w:val="22"/>
          <w:szCs w:val="22"/>
        </w:rPr>
        <w:t>un éventuel objectif national futur sur la mo</w:t>
      </w:r>
      <w:r>
        <w:rPr>
          <w:kern w:val="22"/>
          <w:szCs w:val="22"/>
        </w:rPr>
        <w:t>bilisation des ressources soit basée simple</w:t>
      </w:r>
      <w:r w:rsidR="00E62933">
        <w:rPr>
          <w:kern w:val="22"/>
          <w:szCs w:val="22"/>
        </w:rPr>
        <w:t xml:space="preserve">ment sur la communication </w:t>
      </w:r>
      <w:r>
        <w:rPr>
          <w:kern w:val="22"/>
          <w:szCs w:val="22"/>
        </w:rPr>
        <w:t>d’informations</w:t>
      </w:r>
      <w:r w:rsidR="00E62933">
        <w:rPr>
          <w:kern w:val="22"/>
          <w:szCs w:val="22"/>
        </w:rPr>
        <w:t xml:space="preserve"> sur </w:t>
      </w:r>
      <w:r w:rsidR="00324D7C">
        <w:rPr>
          <w:kern w:val="22"/>
          <w:szCs w:val="22"/>
        </w:rPr>
        <w:t>les dépenses liées à la biodivers</w:t>
      </w:r>
      <w:r>
        <w:rPr>
          <w:kern w:val="22"/>
          <w:szCs w:val="22"/>
        </w:rPr>
        <w:t>ité, comme expliqué dans la partie</w:t>
      </w:r>
      <w:r w:rsidR="00324D7C">
        <w:rPr>
          <w:kern w:val="22"/>
          <w:szCs w:val="22"/>
        </w:rPr>
        <w:t xml:space="preserve"> V ci-dessus.</w:t>
      </w:r>
    </w:p>
    <w:p w:rsidR="00AC7EA1" w:rsidRDefault="00324D7C">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Pr>
          <w:snapToGrid w:val="0"/>
          <w:kern w:val="22"/>
          <w:szCs w:val="22"/>
        </w:rPr>
        <w:t>IX.</w:t>
      </w:r>
      <w:r>
        <w:rPr>
          <w:snapToGrid w:val="0"/>
          <w:kern w:val="22"/>
          <w:szCs w:val="22"/>
        </w:rPr>
        <w:tab/>
        <w:t>Conclusions</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kern w:val="22"/>
          <w:szCs w:val="22"/>
        </w:rPr>
        <w:t>Les rapports sur les objectifs de mobilisation des ressources ont encore progressé dans l</w:t>
      </w:r>
      <w:r w:rsidR="00686044">
        <w:rPr>
          <w:kern w:val="22"/>
          <w:szCs w:val="22"/>
        </w:rPr>
        <w:t>’</w:t>
      </w:r>
      <w:r>
        <w:rPr>
          <w:kern w:val="22"/>
          <w:szCs w:val="22"/>
        </w:rPr>
        <w:t>ensemble, mais avec seulement 97 Parties qui ont présenté des rapports, ce chiffre est nettement inférieur à celui de l</w:t>
      </w:r>
      <w:r w:rsidR="00686044">
        <w:rPr>
          <w:kern w:val="22"/>
          <w:szCs w:val="22"/>
        </w:rPr>
        <w:t>’</w:t>
      </w:r>
      <w:r>
        <w:rPr>
          <w:kern w:val="22"/>
          <w:szCs w:val="22"/>
        </w:rPr>
        <w:t>ensemble des rapports nationaux.</w:t>
      </w:r>
      <w:r w:rsidR="000E3841" w:rsidRPr="001F437D">
        <w:rPr>
          <w:rStyle w:val="FootnoteReference"/>
          <w:kern w:val="22"/>
          <w:szCs w:val="22"/>
        </w:rPr>
        <w:footnoteReference w:id="22"/>
      </w:r>
      <w:r>
        <w:rPr>
          <w:kern w:val="22"/>
          <w:szCs w:val="22"/>
        </w:rPr>
        <w:t xml:space="preserve"> Toutefois, l</w:t>
      </w:r>
      <w:r w:rsidR="00686044">
        <w:rPr>
          <w:kern w:val="22"/>
          <w:szCs w:val="22"/>
        </w:rPr>
        <w:t>’</w:t>
      </w:r>
      <w:r>
        <w:rPr>
          <w:kern w:val="22"/>
          <w:szCs w:val="22"/>
        </w:rPr>
        <w:t>inclusion d</w:t>
      </w:r>
      <w:r w:rsidR="00686044">
        <w:rPr>
          <w:kern w:val="22"/>
          <w:szCs w:val="22"/>
        </w:rPr>
        <w:t>’</w:t>
      </w:r>
      <w:r>
        <w:rPr>
          <w:kern w:val="22"/>
          <w:szCs w:val="22"/>
        </w:rPr>
        <w:t>indicateurs fina</w:t>
      </w:r>
      <w:r w:rsidR="00E62933">
        <w:rPr>
          <w:kern w:val="22"/>
          <w:szCs w:val="22"/>
        </w:rPr>
        <w:t>nciers dans le cadre de suivi du cadre mondial de</w:t>
      </w:r>
      <w:r>
        <w:rPr>
          <w:kern w:val="22"/>
          <w:szCs w:val="22"/>
        </w:rPr>
        <w:t xml:space="preserve"> la diversité biologique</w:t>
      </w:r>
      <w:r w:rsidR="00E62933">
        <w:rPr>
          <w:kern w:val="22"/>
          <w:szCs w:val="22"/>
        </w:rPr>
        <w:t xml:space="preserve"> pour l’après-2020</w:t>
      </w:r>
      <w:r>
        <w:rPr>
          <w:kern w:val="22"/>
          <w:szCs w:val="22"/>
        </w:rPr>
        <w:t>, et donc dans le modèle de rapport national pour la Conventio</w:t>
      </w:r>
      <w:r w:rsidR="00E62933">
        <w:rPr>
          <w:kern w:val="22"/>
          <w:szCs w:val="22"/>
        </w:rPr>
        <w:t>n, constituerait une acceptation de</w:t>
      </w:r>
      <w:r>
        <w:rPr>
          <w:kern w:val="22"/>
          <w:szCs w:val="22"/>
        </w:rPr>
        <w:t xml:space="preserve"> rendre compte de la mobilisation des ressources dans les rapports nationaux. Alors que la grande majorité des membres du CAD qui sont Pa</w:t>
      </w:r>
      <w:r w:rsidR="00E62933">
        <w:rPr>
          <w:kern w:val="22"/>
          <w:szCs w:val="22"/>
        </w:rPr>
        <w:t>rties à la Convention ont indiqu</w:t>
      </w:r>
      <w:r>
        <w:rPr>
          <w:kern w:val="22"/>
          <w:szCs w:val="22"/>
        </w:rPr>
        <w:t>é leurs f</w:t>
      </w:r>
      <w:r w:rsidR="00E62933">
        <w:rPr>
          <w:kern w:val="22"/>
          <w:szCs w:val="22"/>
        </w:rPr>
        <w:t>lux internationaux au regard de</w:t>
      </w:r>
      <w:r>
        <w:rPr>
          <w:kern w:val="22"/>
          <w:szCs w:val="22"/>
        </w:rPr>
        <w:t xml:space="preserve"> l</w:t>
      </w:r>
      <w:r w:rsidR="00686044">
        <w:rPr>
          <w:kern w:val="22"/>
          <w:szCs w:val="22"/>
        </w:rPr>
        <w:t>’</w:t>
      </w:r>
      <w:r w:rsidR="00E62933">
        <w:rPr>
          <w:kern w:val="22"/>
          <w:szCs w:val="22"/>
        </w:rPr>
        <w:t xml:space="preserve">objectif a), beaucoup ne l’ont pas encore fait pour </w:t>
      </w:r>
      <w:r>
        <w:rPr>
          <w:kern w:val="22"/>
          <w:szCs w:val="22"/>
        </w:rPr>
        <w:t>2019 et 2020. En outre, de nombreuses Parties n</w:t>
      </w:r>
      <w:r w:rsidR="00686044">
        <w:rPr>
          <w:kern w:val="22"/>
          <w:szCs w:val="22"/>
        </w:rPr>
        <w:t>’</w:t>
      </w:r>
      <w:r>
        <w:rPr>
          <w:kern w:val="22"/>
          <w:szCs w:val="22"/>
        </w:rPr>
        <w:t>ont pas répondu à toutes les questions du cadre</w:t>
      </w:r>
      <w:r w:rsidR="00E62933">
        <w:rPr>
          <w:kern w:val="22"/>
          <w:szCs w:val="22"/>
        </w:rPr>
        <w:t>. Une contrainte persistante semble être les difficultés permanentes liées à</w:t>
      </w:r>
      <w:r>
        <w:rPr>
          <w:kern w:val="22"/>
          <w:szCs w:val="22"/>
        </w:rPr>
        <w:t xml:space="preserve"> la mise en </w:t>
      </w:r>
      <w:r w:rsidR="00793472">
        <w:rPr>
          <w:kern w:val="22"/>
          <w:szCs w:val="22"/>
        </w:rPr>
        <w:t>œuvre</w:t>
      </w:r>
      <w:r>
        <w:rPr>
          <w:kern w:val="22"/>
          <w:szCs w:val="22"/>
        </w:rPr>
        <w:t xml:space="preserve"> de certains objectifs, en particulier l</w:t>
      </w:r>
      <w:r w:rsidR="00E62933">
        <w:rPr>
          <w:kern w:val="22"/>
          <w:szCs w:val="22"/>
        </w:rPr>
        <w:t>es objectifs c) et d), en raison d’</w:t>
      </w:r>
      <w:r>
        <w:rPr>
          <w:kern w:val="22"/>
          <w:szCs w:val="22"/>
        </w:rPr>
        <w:t>un manque général de capacités, en particulier dans les pays qui ne participent pas au BIOFIN.</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i/>
          <w:kern w:val="22"/>
          <w:szCs w:val="22"/>
        </w:rPr>
        <w:lastRenderedPageBreak/>
        <w:t>Objectif a) de la décision XII/3 (</w:t>
      </w:r>
      <w:r>
        <w:rPr>
          <w:i/>
          <w:iCs/>
          <w:kern w:val="22"/>
          <w:szCs w:val="22"/>
        </w:rPr>
        <w:t>doublement des flux internationaux d</w:t>
      </w:r>
      <w:r w:rsidR="00686044">
        <w:rPr>
          <w:i/>
          <w:iCs/>
          <w:kern w:val="22"/>
          <w:szCs w:val="22"/>
        </w:rPr>
        <w:t>’</w:t>
      </w:r>
      <w:r>
        <w:rPr>
          <w:i/>
          <w:iCs/>
          <w:kern w:val="22"/>
          <w:szCs w:val="22"/>
        </w:rPr>
        <w:t>ici à 2015 et maintien de ce niveau jusqu</w:t>
      </w:r>
      <w:r w:rsidR="00686044">
        <w:rPr>
          <w:i/>
          <w:iCs/>
          <w:kern w:val="22"/>
          <w:szCs w:val="22"/>
        </w:rPr>
        <w:t>’</w:t>
      </w:r>
      <w:r>
        <w:rPr>
          <w:i/>
          <w:iCs/>
          <w:kern w:val="22"/>
          <w:szCs w:val="22"/>
        </w:rPr>
        <w:t>en 2020)</w:t>
      </w:r>
      <w:r>
        <w:rPr>
          <w:kern w:val="22"/>
          <w:szCs w:val="22"/>
        </w:rPr>
        <w:t xml:space="preserve"> : Un certain nombre de Parties ont atteint l</w:t>
      </w:r>
      <w:r w:rsidR="00686044">
        <w:rPr>
          <w:kern w:val="22"/>
          <w:szCs w:val="22"/>
        </w:rPr>
        <w:t>’</w:t>
      </w:r>
      <w:r>
        <w:rPr>
          <w:kern w:val="22"/>
          <w:szCs w:val="22"/>
        </w:rPr>
        <w:t>objectif de doublement et certaines d</w:t>
      </w:r>
      <w:r w:rsidR="00686044">
        <w:rPr>
          <w:kern w:val="22"/>
          <w:szCs w:val="22"/>
        </w:rPr>
        <w:t>’</w:t>
      </w:r>
      <w:r>
        <w:rPr>
          <w:kern w:val="22"/>
          <w:szCs w:val="22"/>
        </w:rPr>
        <w:t>entre elles ont réussi à le maintenir ou même à l</w:t>
      </w:r>
      <w:r w:rsidR="00686044">
        <w:rPr>
          <w:kern w:val="22"/>
          <w:szCs w:val="22"/>
        </w:rPr>
        <w:t>’</w:t>
      </w:r>
      <w:r>
        <w:rPr>
          <w:kern w:val="22"/>
          <w:szCs w:val="22"/>
        </w:rPr>
        <w:t xml:space="preserve">augmenter, mais les chiffres fournis dans le </w:t>
      </w:r>
      <w:r w:rsidR="00686044">
        <w:rPr>
          <w:kern w:val="22"/>
          <w:szCs w:val="22"/>
        </w:rPr>
        <w:t>cadre de présentation des</w:t>
      </w:r>
      <w:r>
        <w:rPr>
          <w:kern w:val="22"/>
          <w:szCs w:val="22"/>
        </w:rPr>
        <w:t xml:space="preserve"> rapports financiers ne donnent pas à penser que cet objectif a été atteint au niveau mondial : par rapport au niveau de référence, une a</w:t>
      </w:r>
      <w:r w:rsidR="00E62933">
        <w:rPr>
          <w:kern w:val="22"/>
          <w:szCs w:val="22"/>
        </w:rPr>
        <w:t>ugmentation de 67 % a été mesur</w:t>
      </w:r>
      <w:r>
        <w:rPr>
          <w:kern w:val="22"/>
          <w:szCs w:val="22"/>
        </w:rPr>
        <w:t xml:space="preserve">ée pour 2015, </w:t>
      </w:r>
      <w:r w:rsidR="00E62933">
        <w:rPr>
          <w:kern w:val="22"/>
          <w:szCs w:val="22"/>
        </w:rPr>
        <w:t xml:space="preserve">et </w:t>
      </w:r>
      <w:r>
        <w:rPr>
          <w:kern w:val="22"/>
          <w:szCs w:val="22"/>
        </w:rPr>
        <w:t>une</w:t>
      </w:r>
      <w:r w:rsidR="00E62933">
        <w:rPr>
          <w:kern w:val="22"/>
          <w:szCs w:val="22"/>
        </w:rPr>
        <w:t xml:space="preserve"> augmentation de 39 % pour 2018</w:t>
      </w:r>
      <w:r w:rsidR="004B1341">
        <w:rPr>
          <w:kern w:val="22"/>
          <w:szCs w:val="22"/>
        </w:rPr>
        <w:t>; après cette date, le faible taux</w:t>
      </w:r>
      <w:r w:rsidR="00E62933">
        <w:rPr>
          <w:kern w:val="22"/>
          <w:szCs w:val="22"/>
        </w:rPr>
        <w:t xml:space="preserve"> de remise</w:t>
      </w:r>
      <w:r w:rsidR="004B1341">
        <w:rPr>
          <w:kern w:val="22"/>
          <w:szCs w:val="22"/>
        </w:rPr>
        <w:t xml:space="preserve"> des rapports </w:t>
      </w:r>
      <w:r>
        <w:rPr>
          <w:kern w:val="22"/>
          <w:szCs w:val="22"/>
        </w:rPr>
        <w:t>n</w:t>
      </w:r>
      <w:r w:rsidR="00686044">
        <w:rPr>
          <w:kern w:val="22"/>
          <w:szCs w:val="22"/>
        </w:rPr>
        <w:t>’</w:t>
      </w:r>
      <w:r>
        <w:rPr>
          <w:kern w:val="22"/>
          <w:szCs w:val="22"/>
        </w:rPr>
        <w:t>a pas été suffisant pour tirer de conclusions.</w:t>
      </w:r>
      <w:r w:rsidR="008C623A" w:rsidRPr="00F16759">
        <w:rPr>
          <w:rStyle w:val="FootnoteReference"/>
          <w:kern w:val="22"/>
          <w:szCs w:val="22"/>
        </w:rPr>
        <w:footnoteReference w:id="23"/>
      </w:r>
      <w:r>
        <w:rPr>
          <w:kern w:val="22"/>
          <w:szCs w:val="22"/>
        </w:rPr>
        <w:t xml:space="preserve"> Toutefois, en raison des différences expliquées ci-dessus, les donnée</w:t>
      </w:r>
      <w:r w:rsidR="00E62933">
        <w:rPr>
          <w:kern w:val="22"/>
          <w:szCs w:val="22"/>
        </w:rPr>
        <w:t xml:space="preserve">s du </w:t>
      </w:r>
      <w:r w:rsidR="006F561F" w:rsidRPr="006F561F">
        <w:rPr>
          <w:kern w:val="22"/>
          <w:szCs w:val="22"/>
        </w:rPr>
        <w:t>Système de notification des pays créanciers</w:t>
      </w:r>
      <w:r>
        <w:rPr>
          <w:kern w:val="22"/>
          <w:szCs w:val="22"/>
        </w:rPr>
        <w:t xml:space="preserve"> de l</w:t>
      </w:r>
      <w:r w:rsidR="00686044">
        <w:rPr>
          <w:kern w:val="22"/>
          <w:szCs w:val="22"/>
        </w:rPr>
        <w:t>’</w:t>
      </w:r>
      <w:r w:rsidR="00E62933">
        <w:rPr>
          <w:kern w:val="22"/>
          <w:szCs w:val="22"/>
        </w:rPr>
        <w:t>OCDE sur le marqueur</w:t>
      </w:r>
      <w:r>
        <w:rPr>
          <w:kern w:val="22"/>
          <w:szCs w:val="22"/>
        </w:rPr>
        <w:t xml:space="preserve"> de biodiversité présent</w:t>
      </w:r>
      <w:r w:rsidR="00E62933">
        <w:rPr>
          <w:kern w:val="22"/>
          <w:szCs w:val="22"/>
        </w:rPr>
        <w:t>ent une image plus positive, le flux « principal</w:t>
      </w:r>
      <w:r>
        <w:rPr>
          <w:kern w:val="22"/>
          <w:szCs w:val="22"/>
        </w:rPr>
        <w:t xml:space="preserve"> » et </w:t>
      </w:r>
      <w:r w:rsidR="00E62933">
        <w:rPr>
          <w:kern w:val="22"/>
          <w:szCs w:val="22"/>
        </w:rPr>
        <w:t xml:space="preserve">le flux </w:t>
      </w:r>
      <w:r w:rsidR="004B1341">
        <w:rPr>
          <w:kern w:val="22"/>
          <w:szCs w:val="22"/>
        </w:rPr>
        <w:t>« </w:t>
      </w:r>
      <w:r w:rsidR="00E62933">
        <w:rPr>
          <w:kern w:val="22"/>
          <w:szCs w:val="22"/>
        </w:rPr>
        <w:t>significatif</w:t>
      </w:r>
      <w:r w:rsidR="004B1341">
        <w:rPr>
          <w:kern w:val="22"/>
          <w:szCs w:val="22"/>
        </w:rPr>
        <w:t> </w:t>
      </w:r>
      <w:r>
        <w:rPr>
          <w:kern w:val="22"/>
          <w:szCs w:val="22"/>
        </w:rPr>
        <w:t>» ayant tous deux été doublés en 2015</w:t>
      </w:r>
      <w:r w:rsidR="00E62933">
        <w:rPr>
          <w:kern w:val="22"/>
          <w:szCs w:val="22"/>
        </w:rPr>
        <w:t>,</w:t>
      </w:r>
      <w:r w:rsidR="004B1341">
        <w:rPr>
          <w:kern w:val="22"/>
          <w:szCs w:val="22"/>
        </w:rPr>
        <w:t xml:space="preserve"> </w:t>
      </w:r>
      <w:r w:rsidR="00E62933">
        <w:rPr>
          <w:kern w:val="22"/>
          <w:szCs w:val="22"/>
        </w:rPr>
        <w:t>c</w:t>
      </w:r>
      <w:r w:rsidR="004B1341">
        <w:rPr>
          <w:kern w:val="22"/>
          <w:szCs w:val="22"/>
        </w:rPr>
        <w:t>e doublement ayant été maintenu pour le flux « </w:t>
      </w:r>
      <w:r>
        <w:rPr>
          <w:kern w:val="22"/>
          <w:szCs w:val="22"/>
        </w:rPr>
        <w:t>significatif » jusqu</w:t>
      </w:r>
      <w:r w:rsidR="00686044">
        <w:rPr>
          <w:kern w:val="22"/>
          <w:szCs w:val="22"/>
        </w:rPr>
        <w:t>’</w:t>
      </w:r>
      <w:r>
        <w:rPr>
          <w:kern w:val="22"/>
          <w:szCs w:val="22"/>
        </w:rPr>
        <w:t>en 2020.</w:t>
      </w:r>
    </w:p>
    <w:p w:rsidR="00AC7EA1" w:rsidRDefault="004B1341">
      <w:pPr>
        <w:pStyle w:val="Para1"/>
        <w:numPr>
          <w:ilvl w:val="0"/>
          <w:numId w:val="25"/>
        </w:numPr>
        <w:tabs>
          <w:tab w:val="clear" w:pos="360"/>
        </w:tabs>
        <w:kinsoku w:val="0"/>
        <w:overflowPunct w:val="0"/>
        <w:autoSpaceDE w:val="0"/>
        <w:autoSpaceDN w:val="0"/>
        <w:snapToGrid w:val="0"/>
        <w:rPr>
          <w:kern w:val="22"/>
          <w:szCs w:val="22"/>
        </w:rPr>
      </w:pPr>
      <w:r>
        <w:rPr>
          <w:i/>
          <w:kern w:val="22"/>
          <w:szCs w:val="22"/>
        </w:rPr>
        <w:t>Objectif</w:t>
      </w:r>
      <w:r w:rsidR="00324D7C">
        <w:rPr>
          <w:i/>
          <w:kern w:val="22"/>
          <w:szCs w:val="22"/>
        </w:rPr>
        <w:t xml:space="preserve"> b) de la décision XII/3 </w:t>
      </w:r>
      <w:r>
        <w:rPr>
          <w:i/>
          <w:iCs/>
          <w:kern w:val="22"/>
          <w:szCs w:val="22"/>
        </w:rPr>
        <w:t>(intégrati</w:t>
      </w:r>
      <w:r w:rsidR="00324D7C">
        <w:rPr>
          <w:i/>
          <w:iCs/>
          <w:kern w:val="22"/>
          <w:szCs w:val="22"/>
        </w:rPr>
        <w:t>on de la biodiversité d</w:t>
      </w:r>
      <w:r w:rsidR="00686044">
        <w:rPr>
          <w:i/>
          <w:iCs/>
          <w:kern w:val="22"/>
          <w:szCs w:val="22"/>
        </w:rPr>
        <w:t>’</w:t>
      </w:r>
      <w:r w:rsidR="00324D7C">
        <w:rPr>
          <w:i/>
          <w:iCs/>
          <w:kern w:val="22"/>
          <w:szCs w:val="22"/>
        </w:rPr>
        <w:t>ici à 2015)</w:t>
      </w:r>
      <w:r w:rsidR="00324D7C">
        <w:rPr>
          <w:i/>
          <w:kern w:val="22"/>
          <w:szCs w:val="22"/>
        </w:rPr>
        <w:t xml:space="preserve"> :</w:t>
      </w:r>
      <w:r w:rsidR="00324D7C">
        <w:rPr>
          <w:kern w:val="22"/>
          <w:szCs w:val="22"/>
        </w:rPr>
        <w:t xml:space="preserve"> Étant donné que seulement 50 % des Parties ont fa</w:t>
      </w:r>
      <w:r>
        <w:rPr>
          <w:kern w:val="22"/>
          <w:szCs w:val="22"/>
        </w:rPr>
        <w:t>it état de progrès accomplis au regard de</w:t>
      </w:r>
      <w:r w:rsidR="00324D7C">
        <w:rPr>
          <w:kern w:val="22"/>
          <w:szCs w:val="22"/>
        </w:rPr>
        <w:t xml:space="preserve"> cet objectif, celui-ci n</w:t>
      </w:r>
      <w:r w:rsidR="00686044">
        <w:rPr>
          <w:kern w:val="22"/>
          <w:szCs w:val="22"/>
        </w:rPr>
        <w:t>’</w:t>
      </w:r>
      <w:r w:rsidR="00324D7C">
        <w:rPr>
          <w:kern w:val="22"/>
          <w:szCs w:val="22"/>
        </w:rPr>
        <w:t>a pas été atteint techniquement. En revanche, t</w:t>
      </w:r>
      <w:r>
        <w:rPr>
          <w:kern w:val="22"/>
          <w:szCs w:val="22"/>
        </w:rPr>
        <w:t>outes les Parties qui ont remis un rapport ont fait état d’un certain nombre de</w:t>
      </w:r>
      <w:r w:rsidR="00324D7C">
        <w:rPr>
          <w:kern w:val="22"/>
          <w:szCs w:val="22"/>
        </w:rPr>
        <w:t xml:space="preserve"> progrès </w:t>
      </w:r>
      <w:r>
        <w:rPr>
          <w:kern w:val="22"/>
          <w:szCs w:val="22"/>
        </w:rPr>
        <w:t xml:space="preserve">accomplis </w:t>
      </w:r>
      <w:r w:rsidR="00324D7C">
        <w:rPr>
          <w:kern w:val="22"/>
          <w:szCs w:val="22"/>
        </w:rPr>
        <w:t>qui, malgré le nombre limité de rapports reçus, sont encourageants.</w:t>
      </w:r>
    </w:p>
    <w:p w:rsidR="00AC7EA1" w:rsidRDefault="004B1341">
      <w:pPr>
        <w:pStyle w:val="Para1"/>
        <w:numPr>
          <w:ilvl w:val="0"/>
          <w:numId w:val="25"/>
        </w:numPr>
        <w:tabs>
          <w:tab w:val="clear" w:pos="360"/>
        </w:tabs>
        <w:kinsoku w:val="0"/>
        <w:overflowPunct w:val="0"/>
        <w:autoSpaceDE w:val="0"/>
        <w:autoSpaceDN w:val="0"/>
        <w:snapToGrid w:val="0"/>
        <w:rPr>
          <w:kern w:val="22"/>
          <w:szCs w:val="22"/>
        </w:rPr>
      </w:pPr>
      <w:r>
        <w:rPr>
          <w:i/>
          <w:kern w:val="22"/>
          <w:szCs w:val="22"/>
        </w:rPr>
        <w:t>Objectif</w:t>
      </w:r>
      <w:r w:rsidR="00324D7C">
        <w:rPr>
          <w:i/>
          <w:kern w:val="22"/>
          <w:szCs w:val="22"/>
        </w:rPr>
        <w:t xml:space="preserve"> c) de la décision XII/3 </w:t>
      </w:r>
      <w:r w:rsidR="00324D7C">
        <w:rPr>
          <w:i/>
          <w:iCs/>
          <w:kern w:val="22"/>
          <w:szCs w:val="22"/>
        </w:rPr>
        <w:t>(communication d</w:t>
      </w:r>
      <w:r w:rsidR="00686044">
        <w:rPr>
          <w:i/>
          <w:iCs/>
          <w:kern w:val="22"/>
          <w:szCs w:val="22"/>
        </w:rPr>
        <w:t>’</w:t>
      </w:r>
      <w:r w:rsidR="00324D7C">
        <w:rPr>
          <w:i/>
          <w:iCs/>
          <w:kern w:val="22"/>
          <w:szCs w:val="22"/>
        </w:rPr>
        <w:t>ici à 2015</w:t>
      </w:r>
      <w:r w:rsidR="00F75E8D">
        <w:rPr>
          <w:i/>
          <w:iCs/>
          <w:kern w:val="22"/>
          <w:szCs w:val="22"/>
        </w:rPr>
        <w:t xml:space="preserve"> des dépenses intérieures lié</w:t>
      </w:r>
      <w:r w:rsidR="00324D7C">
        <w:rPr>
          <w:i/>
          <w:iCs/>
          <w:kern w:val="22"/>
          <w:szCs w:val="22"/>
        </w:rPr>
        <w:t xml:space="preserve">es à la </w:t>
      </w:r>
      <w:r w:rsidR="00F75E8D">
        <w:rPr>
          <w:i/>
          <w:iCs/>
          <w:kern w:val="22"/>
          <w:szCs w:val="22"/>
        </w:rPr>
        <w:t xml:space="preserve">biodiversité, </w:t>
      </w:r>
      <w:r w:rsidR="00324D7C">
        <w:rPr>
          <w:i/>
          <w:iCs/>
          <w:kern w:val="22"/>
          <w:szCs w:val="22"/>
        </w:rPr>
        <w:t>ainsi que des besoins</w:t>
      </w:r>
      <w:r w:rsidR="00324D7C" w:rsidRPr="00931260">
        <w:rPr>
          <w:i/>
          <w:iCs/>
          <w:kern w:val="22"/>
          <w:szCs w:val="22"/>
        </w:rPr>
        <w:t xml:space="preserve">, </w:t>
      </w:r>
      <w:r w:rsidR="00931260" w:rsidRPr="00931260">
        <w:rPr>
          <w:i/>
          <w:iCs/>
          <w:kern w:val="22"/>
          <w:szCs w:val="22"/>
        </w:rPr>
        <w:t>déficits</w:t>
      </w:r>
      <w:r w:rsidR="00324D7C">
        <w:rPr>
          <w:i/>
          <w:iCs/>
          <w:kern w:val="22"/>
          <w:szCs w:val="22"/>
        </w:rPr>
        <w:t xml:space="preserve"> et priorités en matière de financement)</w:t>
      </w:r>
      <w:r w:rsidR="00324D7C">
        <w:rPr>
          <w:i/>
          <w:kern w:val="22"/>
          <w:szCs w:val="22"/>
        </w:rPr>
        <w:t xml:space="preserve"> :</w:t>
      </w:r>
      <w:r w:rsidR="00324D7C">
        <w:rPr>
          <w:kern w:val="22"/>
          <w:szCs w:val="22"/>
        </w:rPr>
        <w:t xml:space="preserve"> Selon une </w:t>
      </w:r>
      <w:r>
        <w:rPr>
          <w:kern w:val="22"/>
          <w:szCs w:val="22"/>
        </w:rPr>
        <w:t>interprétation stricte, l’objectif</w:t>
      </w:r>
      <w:r w:rsidR="00324D7C">
        <w:rPr>
          <w:kern w:val="22"/>
          <w:szCs w:val="22"/>
        </w:rPr>
        <w:t xml:space="preserve"> n</w:t>
      </w:r>
      <w:r w:rsidR="00686044">
        <w:rPr>
          <w:kern w:val="22"/>
          <w:szCs w:val="22"/>
        </w:rPr>
        <w:t>’</w:t>
      </w:r>
      <w:r>
        <w:rPr>
          <w:kern w:val="22"/>
          <w:szCs w:val="22"/>
        </w:rPr>
        <w:t>a pas été atteint</w:t>
      </w:r>
      <w:r w:rsidR="00324D7C">
        <w:rPr>
          <w:kern w:val="22"/>
          <w:szCs w:val="22"/>
        </w:rPr>
        <w:t>, étant donné qu</w:t>
      </w:r>
      <w:r w:rsidR="00686044">
        <w:rPr>
          <w:kern w:val="22"/>
          <w:szCs w:val="22"/>
        </w:rPr>
        <w:t>’</w:t>
      </w:r>
      <w:r w:rsidR="00324D7C">
        <w:rPr>
          <w:kern w:val="22"/>
          <w:szCs w:val="22"/>
        </w:rPr>
        <w:t>en 2015</w:t>
      </w:r>
      <w:r>
        <w:rPr>
          <w:kern w:val="22"/>
          <w:szCs w:val="22"/>
        </w:rPr>
        <w:t>,</w:t>
      </w:r>
      <w:r w:rsidR="00324D7C">
        <w:rPr>
          <w:kern w:val="22"/>
          <w:szCs w:val="22"/>
        </w:rPr>
        <w:t xml:space="preserve"> moins de 75 % de</w:t>
      </w:r>
      <w:r>
        <w:rPr>
          <w:kern w:val="22"/>
          <w:szCs w:val="22"/>
        </w:rPr>
        <w:t>s Parties avaient indiqué leurs</w:t>
      </w:r>
      <w:r w:rsidR="00324D7C">
        <w:rPr>
          <w:iCs/>
          <w:kern w:val="22"/>
          <w:szCs w:val="22"/>
        </w:rPr>
        <w:t xml:space="preserve"> dépenses</w:t>
      </w:r>
      <w:r w:rsidR="00324D7C">
        <w:rPr>
          <w:kern w:val="22"/>
          <w:szCs w:val="22"/>
        </w:rPr>
        <w:t xml:space="preserve"> nationales</w:t>
      </w:r>
      <w:r w:rsidR="00324D7C">
        <w:rPr>
          <w:iCs/>
          <w:kern w:val="22"/>
          <w:szCs w:val="22"/>
        </w:rPr>
        <w:t xml:space="preserve"> relatives à la</w:t>
      </w:r>
      <w:r w:rsidR="00324D7C">
        <w:rPr>
          <w:kern w:val="22"/>
          <w:szCs w:val="22"/>
        </w:rPr>
        <w:t xml:space="preserve"> diversité biologique</w:t>
      </w:r>
      <w:r w:rsidR="00324D7C">
        <w:rPr>
          <w:iCs/>
          <w:kern w:val="22"/>
          <w:szCs w:val="22"/>
        </w:rPr>
        <w:t>, ainsi que</w:t>
      </w:r>
      <w:r>
        <w:rPr>
          <w:iCs/>
          <w:kern w:val="22"/>
          <w:szCs w:val="22"/>
        </w:rPr>
        <w:t xml:space="preserve"> leurs</w:t>
      </w:r>
      <w:r w:rsidR="00324D7C">
        <w:rPr>
          <w:iCs/>
          <w:kern w:val="22"/>
          <w:szCs w:val="22"/>
        </w:rPr>
        <w:t xml:space="preserve"> besoins, </w:t>
      </w:r>
      <w:r w:rsidR="00931260" w:rsidRPr="00931260">
        <w:rPr>
          <w:iCs/>
          <w:kern w:val="22"/>
          <w:szCs w:val="22"/>
        </w:rPr>
        <w:t>déficits</w:t>
      </w:r>
      <w:r w:rsidR="00324D7C">
        <w:rPr>
          <w:iCs/>
          <w:kern w:val="22"/>
          <w:szCs w:val="22"/>
        </w:rPr>
        <w:t xml:space="preserve"> et priorités en matière de financement</w:t>
      </w:r>
      <w:r w:rsidR="00324D7C">
        <w:rPr>
          <w:kern w:val="22"/>
          <w:szCs w:val="22"/>
        </w:rPr>
        <w:t>. Les progrès réalisés dans la communication des dépenses nationales liées à la biodiversité semblent encourageants, 88 pays ayant communiqué des données. Toutefois, il est toujours plus difficile de</w:t>
      </w:r>
      <w:r>
        <w:rPr>
          <w:kern w:val="22"/>
          <w:szCs w:val="22"/>
        </w:rPr>
        <w:t xml:space="preserve"> rendre compte des besoins, </w:t>
      </w:r>
      <w:r w:rsidR="00931260" w:rsidRPr="00931260">
        <w:rPr>
          <w:kern w:val="22"/>
          <w:szCs w:val="22"/>
        </w:rPr>
        <w:t>déficits</w:t>
      </w:r>
      <w:r>
        <w:rPr>
          <w:kern w:val="22"/>
          <w:szCs w:val="22"/>
        </w:rPr>
        <w:t xml:space="preserve"> et </w:t>
      </w:r>
      <w:r w:rsidR="00324D7C">
        <w:rPr>
          <w:kern w:val="22"/>
          <w:szCs w:val="22"/>
        </w:rPr>
        <w:t xml:space="preserve">priorités en matière de financement, </w:t>
      </w:r>
      <w:r>
        <w:rPr>
          <w:kern w:val="22"/>
          <w:szCs w:val="22"/>
        </w:rPr>
        <w:t>puisque 57 </w:t>
      </w:r>
      <w:r w:rsidR="00324D7C">
        <w:rPr>
          <w:kern w:val="22"/>
          <w:szCs w:val="22"/>
        </w:rPr>
        <w:t>Part</w:t>
      </w:r>
      <w:r>
        <w:rPr>
          <w:kern w:val="22"/>
          <w:szCs w:val="22"/>
        </w:rPr>
        <w:t>ies seulement ont remis un rapport</w:t>
      </w:r>
      <w:r w:rsidR="00324D7C">
        <w:rPr>
          <w:kern w:val="22"/>
          <w:szCs w:val="22"/>
        </w:rPr>
        <w:t>.</w:t>
      </w:r>
    </w:p>
    <w:p w:rsidR="00AC7EA1" w:rsidRDefault="00324D7C">
      <w:pPr>
        <w:pStyle w:val="Para1"/>
        <w:numPr>
          <w:ilvl w:val="0"/>
          <w:numId w:val="25"/>
        </w:numPr>
        <w:tabs>
          <w:tab w:val="clear" w:pos="360"/>
        </w:tabs>
        <w:kinsoku w:val="0"/>
        <w:overflowPunct w:val="0"/>
        <w:autoSpaceDE w:val="0"/>
        <w:autoSpaceDN w:val="0"/>
        <w:snapToGrid w:val="0"/>
        <w:rPr>
          <w:kern w:val="22"/>
          <w:szCs w:val="22"/>
        </w:rPr>
      </w:pPr>
      <w:r>
        <w:rPr>
          <w:i/>
          <w:kern w:val="22"/>
          <w:szCs w:val="22"/>
        </w:rPr>
        <w:t xml:space="preserve">Objectif d) de la décision XII/3 </w:t>
      </w:r>
      <w:r>
        <w:rPr>
          <w:i/>
          <w:iCs/>
          <w:kern w:val="22"/>
          <w:szCs w:val="22"/>
        </w:rPr>
        <w:t>(élaboration d</w:t>
      </w:r>
      <w:r w:rsidR="00686044">
        <w:rPr>
          <w:i/>
          <w:iCs/>
          <w:kern w:val="22"/>
          <w:szCs w:val="22"/>
        </w:rPr>
        <w:t>’</w:t>
      </w:r>
      <w:r>
        <w:rPr>
          <w:i/>
          <w:iCs/>
          <w:kern w:val="22"/>
          <w:szCs w:val="22"/>
        </w:rPr>
        <w:t>ici à 2015 de plans de</w:t>
      </w:r>
      <w:r w:rsidR="00F75E8D">
        <w:rPr>
          <w:i/>
          <w:iCs/>
          <w:kern w:val="22"/>
          <w:szCs w:val="22"/>
        </w:rPr>
        <w:t xml:space="preserve"> financement nationaux, et estima</w:t>
      </w:r>
      <w:r>
        <w:rPr>
          <w:i/>
          <w:iCs/>
          <w:kern w:val="22"/>
          <w:szCs w:val="22"/>
        </w:rPr>
        <w:t>tion des valeurs)</w:t>
      </w:r>
      <w:r>
        <w:rPr>
          <w:i/>
          <w:kern w:val="22"/>
          <w:szCs w:val="22"/>
        </w:rPr>
        <w:t xml:space="preserve"> :</w:t>
      </w:r>
      <w:r>
        <w:rPr>
          <w:kern w:val="22"/>
          <w:szCs w:val="22"/>
        </w:rPr>
        <w:t xml:space="preserve"> Au total, 90 % des </w:t>
      </w:r>
      <w:r w:rsidR="004B1341">
        <w:rPr>
          <w:kern w:val="22"/>
          <w:szCs w:val="22"/>
        </w:rPr>
        <w:t xml:space="preserve">pays </w:t>
      </w:r>
      <w:r w:rsidR="001A0E31" w:rsidRPr="001A0E31">
        <w:rPr>
          <w:kern w:val="22"/>
          <w:szCs w:val="22"/>
        </w:rPr>
        <w:t>ayant présenté un rapport</w:t>
      </w:r>
      <w:r>
        <w:rPr>
          <w:kern w:val="22"/>
          <w:szCs w:val="22"/>
        </w:rPr>
        <w:t>, soit un peu plus de 40 % de toutes les Parties, ont entrepris au moins c</w:t>
      </w:r>
      <w:r w:rsidR="004B1341">
        <w:rPr>
          <w:kern w:val="22"/>
          <w:szCs w:val="22"/>
        </w:rPr>
        <w:t>ertaines évaluations des différente</w:t>
      </w:r>
      <w:r>
        <w:rPr>
          <w:kern w:val="22"/>
          <w:szCs w:val="22"/>
        </w:rPr>
        <w:t>s valeurs de la biodiversité, ce qui est supérieur aux 30 % prévus dans l</w:t>
      </w:r>
      <w:r w:rsidR="00686044">
        <w:rPr>
          <w:kern w:val="22"/>
          <w:szCs w:val="22"/>
        </w:rPr>
        <w:t>’</w:t>
      </w:r>
      <w:r>
        <w:rPr>
          <w:kern w:val="22"/>
          <w:szCs w:val="22"/>
        </w:rPr>
        <w:t>objectif</w:t>
      </w:r>
      <w:r w:rsidR="004B1341">
        <w:rPr>
          <w:kern w:val="22"/>
          <w:szCs w:val="22"/>
        </w:rPr>
        <w:t>,</w:t>
      </w:r>
      <w:r>
        <w:rPr>
          <w:kern w:val="22"/>
          <w:szCs w:val="22"/>
        </w:rPr>
        <w:t xml:space="preserve"> et indique donc des progrès satisfaisants en ce qui concerne cet élément de l</w:t>
      </w:r>
      <w:r w:rsidR="00686044">
        <w:rPr>
          <w:kern w:val="22"/>
          <w:szCs w:val="22"/>
        </w:rPr>
        <w:t>’</w:t>
      </w:r>
      <w:r>
        <w:rPr>
          <w:kern w:val="22"/>
          <w:szCs w:val="22"/>
        </w:rPr>
        <w:t>objectif d). Toutefois, 54 Parties seu</w:t>
      </w:r>
      <w:r w:rsidR="004B1341">
        <w:rPr>
          <w:kern w:val="22"/>
          <w:szCs w:val="22"/>
        </w:rPr>
        <w:t xml:space="preserve">lement ont fourni des éléments concernant </w:t>
      </w:r>
      <w:r>
        <w:rPr>
          <w:kern w:val="22"/>
          <w:szCs w:val="22"/>
        </w:rPr>
        <w:t>un plan de financement dans</w:t>
      </w:r>
      <w:r w:rsidR="004B1341">
        <w:rPr>
          <w:kern w:val="22"/>
          <w:szCs w:val="22"/>
        </w:rPr>
        <w:t xml:space="preserve"> le tableau pertinent, et ont indiqué les difficultés persistantes rencontrées pour élaborer</w:t>
      </w:r>
      <w:r>
        <w:rPr>
          <w:kern w:val="22"/>
          <w:szCs w:val="22"/>
        </w:rPr>
        <w:t xml:space="preserve"> des plans de finance</w:t>
      </w:r>
      <w:r w:rsidR="004B1341">
        <w:rPr>
          <w:kern w:val="22"/>
          <w:szCs w:val="22"/>
        </w:rPr>
        <w:t xml:space="preserve">ment nationaux et </w:t>
      </w:r>
      <w:r w:rsidR="00A30350">
        <w:rPr>
          <w:kern w:val="22"/>
          <w:szCs w:val="22"/>
        </w:rPr>
        <w:t>en rendre compte. En lien avec cela</w:t>
      </w:r>
      <w:r>
        <w:rPr>
          <w:kern w:val="22"/>
          <w:szCs w:val="22"/>
        </w:rPr>
        <w:t xml:space="preserve">, 60 % </w:t>
      </w:r>
      <w:r w:rsidR="004B1341">
        <w:rPr>
          <w:kern w:val="22"/>
          <w:szCs w:val="22"/>
        </w:rPr>
        <w:t xml:space="preserve">des pays </w:t>
      </w:r>
      <w:r w:rsidR="001A0E31" w:rsidRPr="001A0E31">
        <w:rPr>
          <w:kern w:val="22"/>
          <w:szCs w:val="22"/>
        </w:rPr>
        <w:t>ayant présenté un rapport</w:t>
      </w:r>
      <w:r w:rsidR="004B1341">
        <w:rPr>
          <w:kern w:val="22"/>
          <w:szCs w:val="22"/>
        </w:rPr>
        <w:t xml:space="preserve"> </w:t>
      </w:r>
      <w:r>
        <w:rPr>
          <w:kern w:val="22"/>
          <w:szCs w:val="22"/>
        </w:rPr>
        <w:t>ont indiqué ne pas disposer de ressources financières suffisantes pour l</w:t>
      </w:r>
      <w:r w:rsidR="00686044">
        <w:rPr>
          <w:kern w:val="22"/>
          <w:szCs w:val="22"/>
        </w:rPr>
        <w:t>’</w:t>
      </w:r>
      <w:r>
        <w:rPr>
          <w:kern w:val="22"/>
          <w:szCs w:val="22"/>
        </w:rPr>
        <w:t>élaboration des plans de financement.</w:t>
      </w:r>
    </w:p>
    <w:p w:rsidR="00AC7EA1" w:rsidRDefault="004B1341">
      <w:pPr>
        <w:pStyle w:val="ListParagraph"/>
        <w:numPr>
          <w:ilvl w:val="0"/>
          <w:numId w:val="25"/>
        </w:numPr>
        <w:tabs>
          <w:tab w:val="clear" w:pos="360"/>
        </w:tabs>
        <w:snapToGrid w:val="0"/>
        <w:spacing w:before="120" w:after="120"/>
        <w:contextualSpacing w:val="0"/>
        <w:rPr>
          <w:kern w:val="22"/>
          <w:szCs w:val="22"/>
        </w:rPr>
      </w:pPr>
      <w:r>
        <w:rPr>
          <w:i/>
          <w:kern w:val="22"/>
          <w:szCs w:val="22"/>
        </w:rPr>
        <w:t>Objectif</w:t>
      </w:r>
      <w:r w:rsidR="00324D7C">
        <w:rPr>
          <w:i/>
          <w:kern w:val="22"/>
          <w:szCs w:val="22"/>
        </w:rPr>
        <w:t xml:space="preserve"> e) de la décision XII/3 </w:t>
      </w:r>
      <w:r w:rsidR="00324D7C">
        <w:rPr>
          <w:i/>
          <w:iCs/>
          <w:kern w:val="22"/>
          <w:szCs w:val="22"/>
        </w:rPr>
        <w:t>(mobilisation des r</w:t>
      </w:r>
      <w:r w:rsidR="00A30350">
        <w:rPr>
          <w:i/>
          <w:iCs/>
          <w:kern w:val="22"/>
          <w:szCs w:val="22"/>
        </w:rPr>
        <w:t>essources financières nationale</w:t>
      </w:r>
      <w:r w:rsidR="00324D7C">
        <w:rPr>
          <w:i/>
          <w:iCs/>
          <w:kern w:val="22"/>
          <w:szCs w:val="22"/>
        </w:rPr>
        <w:t>s)</w:t>
      </w:r>
      <w:r w:rsidR="00324D7C">
        <w:rPr>
          <w:i/>
          <w:kern w:val="22"/>
          <w:szCs w:val="22"/>
        </w:rPr>
        <w:t xml:space="preserve"> : </w:t>
      </w:r>
      <w:r w:rsidR="00324D7C">
        <w:rPr>
          <w:iCs/>
          <w:kern w:val="22"/>
          <w:szCs w:val="22"/>
        </w:rPr>
        <w:t>Une évaluation des dépens</w:t>
      </w:r>
      <w:r w:rsidR="00A30350">
        <w:rPr>
          <w:iCs/>
          <w:kern w:val="22"/>
          <w:szCs w:val="22"/>
        </w:rPr>
        <w:t>es nationales signalées consacrées à</w:t>
      </w:r>
      <w:r w:rsidR="00324D7C">
        <w:rPr>
          <w:iCs/>
          <w:kern w:val="22"/>
          <w:szCs w:val="22"/>
        </w:rPr>
        <w:t xml:space="preserve"> la biodiversité jusqu</w:t>
      </w:r>
      <w:r w:rsidR="00686044">
        <w:rPr>
          <w:iCs/>
          <w:kern w:val="22"/>
          <w:szCs w:val="22"/>
        </w:rPr>
        <w:t>’</w:t>
      </w:r>
      <w:r w:rsidR="00324D7C">
        <w:rPr>
          <w:iCs/>
          <w:kern w:val="22"/>
          <w:szCs w:val="22"/>
        </w:rPr>
        <w:t xml:space="preserve">en 2015 montre une </w:t>
      </w:r>
      <w:r w:rsidR="00324D7C">
        <w:rPr>
          <w:iCs/>
          <w:snapToGrid w:val="0"/>
          <w:kern w:val="22"/>
          <w:szCs w:val="22"/>
        </w:rPr>
        <w:t>tendance à la hausse dans environ l</w:t>
      </w:r>
      <w:r w:rsidR="00A30350">
        <w:rPr>
          <w:iCs/>
          <w:snapToGrid w:val="0"/>
          <w:kern w:val="22"/>
          <w:szCs w:val="22"/>
        </w:rPr>
        <w:t xml:space="preserve">a moitié des pays </w:t>
      </w:r>
      <w:r w:rsidR="001A0E31" w:rsidRPr="001A0E31">
        <w:rPr>
          <w:iCs/>
          <w:snapToGrid w:val="0"/>
          <w:kern w:val="22"/>
          <w:szCs w:val="22"/>
        </w:rPr>
        <w:t>ayant présenté un rapport</w:t>
      </w:r>
      <w:r w:rsidR="00324D7C">
        <w:rPr>
          <w:iCs/>
          <w:snapToGrid w:val="0"/>
          <w:kern w:val="22"/>
          <w:szCs w:val="22"/>
        </w:rPr>
        <w:t xml:space="preserve"> où une tendance peut être détectée, tandis que</w:t>
      </w:r>
      <w:r w:rsidR="00A30350">
        <w:rPr>
          <w:iCs/>
          <w:snapToGrid w:val="0"/>
          <w:kern w:val="22"/>
          <w:szCs w:val="22"/>
        </w:rPr>
        <w:t xml:space="preserve"> dans</w:t>
      </w:r>
      <w:r w:rsidR="00324D7C">
        <w:rPr>
          <w:iCs/>
          <w:snapToGrid w:val="0"/>
          <w:kern w:val="22"/>
          <w:szCs w:val="22"/>
        </w:rPr>
        <w:t xml:space="preserve"> l</w:t>
      </w:r>
      <w:r w:rsidR="00686044">
        <w:rPr>
          <w:iCs/>
          <w:snapToGrid w:val="0"/>
          <w:kern w:val="22"/>
          <w:szCs w:val="22"/>
        </w:rPr>
        <w:t>’</w:t>
      </w:r>
      <w:r w:rsidR="00324D7C">
        <w:rPr>
          <w:iCs/>
          <w:snapToGrid w:val="0"/>
          <w:kern w:val="22"/>
          <w:szCs w:val="22"/>
        </w:rPr>
        <w:t>autre moitié</w:t>
      </w:r>
      <w:r w:rsidR="00A30350">
        <w:rPr>
          <w:iCs/>
          <w:snapToGrid w:val="0"/>
          <w:kern w:val="22"/>
          <w:szCs w:val="22"/>
        </w:rPr>
        <w:t xml:space="preserve"> des pays, ces dépenses ont stagné ou ont diminué. En conséquence</w:t>
      </w:r>
      <w:r w:rsidR="00324D7C">
        <w:rPr>
          <w:iCs/>
          <w:snapToGrid w:val="0"/>
          <w:kern w:val="22"/>
          <w:szCs w:val="22"/>
        </w:rPr>
        <w:t>, si des progrès ont été accomplis par rapport à l</w:t>
      </w:r>
      <w:r w:rsidR="00686044">
        <w:rPr>
          <w:iCs/>
          <w:snapToGrid w:val="0"/>
          <w:kern w:val="22"/>
          <w:szCs w:val="22"/>
        </w:rPr>
        <w:t>’</w:t>
      </w:r>
      <w:r w:rsidR="00324D7C">
        <w:rPr>
          <w:iCs/>
          <w:snapToGrid w:val="0"/>
          <w:kern w:val="22"/>
          <w:szCs w:val="22"/>
        </w:rPr>
        <w:t>objectif e), ils ne sont pas globalement satisfaisants.</w:t>
      </w:r>
      <w:r w:rsidR="00324D7C">
        <w:rPr>
          <w:iCs/>
          <w:kern w:val="22"/>
          <w:szCs w:val="22"/>
        </w:rPr>
        <w:t xml:space="preserve"> </w:t>
      </w:r>
      <w:r w:rsidR="00324D7C">
        <w:rPr>
          <w:kern w:val="22"/>
          <w:szCs w:val="22"/>
        </w:rPr>
        <w:t>Cet objectif n</w:t>
      </w:r>
      <w:r w:rsidR="00A30350">
        <w:rPr>
          <w:kern w:val="22"/>
          <w:szCs w:val="22"/>
        </w:rPr>
        <w:t>e prévoit pas une date limite en</w:t>
      </w:r>
      <w:r w:rsidR="00324D7C">
        <w:rPr>
          <w:kern w:val="22"/>
          <w:szCs w:val="22"/>
        </w:rPr>
        <w:t xml:space="preserve"> 2015, et les nouveaux</w:t>
      </w:r>
      <w:r w:rsidR="00A30350">
        <w:rPr>
          <w:kern w:val="22"/>
          <w:szCs w:val="22"/>
        </w:rPr>
        <w:t xml:space="preserve"> progrès accomplis au regard de</w:t>
      </w:r>
      <w:r w:rsidR="00324D7C">
        <w:rPr>
          <w:kern w:val="22"/>
          <w:szCs w:val="22"/>
        </w:rPr>
        <w:t xml:space="preserve"> cet objectif (jusqu</w:t>
      </w:r>
      <w:r w:rsidR="00686044">
        <w:rPr>
          <w:kern w:val="22"/>
          <w:szCs w:val="22"/>
        </w:rPr>
        <w:t>’</w:t>
      </w:r>
      <w:r w:rsidR="00324D7C">
        <w:rPr>
          <w:kern w:val="22"/>
          <w:szCs w:val="22"/>
        </w:rPr>
        <w:t>en 2020) devaient être évalués au cours d</w:t>
      </w:r>
      <w:r w:rsidR="00A30350">
        <w:rPr>
          <w:kern w:val="22"/>
          <w:szCs w:val="22"/>
        </w:rPr>
        <w:t>u deuxième cycle d’établissement</w:t>
      </w:r>
      <w:r w:rsidR="00324D7C">
        <w:rPr>
          <w:kern w:val="22"/>
          <w:szCs w:val="22"/>
        </w:rPr>
        <w:t xml:space="preserve"> de</w:t>
      </w:r>
      <w:r w:rsidR="00A30350">
        <w:rPr>
          <w:kern w:val="22"/>
          <w:szCs w:val="22"/>
        </w:rPr>
        <w:t>s</w:t>
      </w:r>
      <w:r w:rsidR="00324D7C">
        <w:rPr>
          <w:kern w:val="22"/>
          <w:szCs w:val="22"/>
        </w:rPr>
        <w:t xml:space="preserve"> rapports, à l</w:t>
      </w:r>
      <w:r w:rsidR="00686044">
        <w:rPr>
          <w:kern w:val="22"/>
          <w:szCs w:val="22"/>
        </w:rPr>
        <w:t>’</w:t>
      </w:r>
      <w:r w:rsidR="00324D7C">
        <w:rPr>
          <w:kern w:val="22"/>
          <w:szCs w:val="22"/>
        </w:rPr>
        <w:t>aide des données tirées des rapports s</w:t>
      </w:r>
      <w:r w:rsidR="00793472">
        <w:rPr>
          <w:kern w:val="22"/>
          <w:szCs w:val="22"/>
        </w:rPr>
        <w:t xml:space="preserve">ur la mise en œuvre </w:t>
      </w:r>
      <w:r w:rsidR="00324D7C">
        <w:rPr>
          <w:kern w:val="22"/>
          <w:szCs w:val="22"/>
        </w:rPr>
        <w:t xml:space="preserve">des plans de financement nationaux. Bien que le faible taux de réponse ait rendu cette approche irréalisable, une analyse des dépenses publiques fonctionnelles dans les </w:t>
      </w:r>
      <w:r w:rsidR="00721806" w:rsidRPr="00721806">
        <w:rPr>
          <w:kern w:val="22"/>
          <w:szCs w:val="22"/>
        </w:rPr>
        <w:t>Statistiques de finances publiques</w:t>
      </w:r>
      <w:r w:rsidR="00324D7C">
        <w:rPr>
          <w:kern w:val="22"/>
          <w:szCs w:val="22"/>
        </w:rPr>
        <w:t xml:space="preserve"> du FMI, tenant compte des différences méthodologiques examinées ci - dessus, confirme essentiellement l</w:t>
      </w:r>
      <w:r w:rsidR="00686044">
        <w:rPr>
          <w:kern w:val="22"/>
          <w:szCs w:val="22"/>
        </w:rPr>
        <w:t>’</w:t>
      </w:r>
      <w:r w:rsidR="00324D7C">
        <w:rPr>
          <w:kern w:val="22"/>
          <w:szCs w:val="22"/>
        </w:rPr>
        <w:t>évaluation selon laquelle, dans l</w:t>
      </w:r>
      <w:r w:rsidR="00686044">
        <w:rPr>
          <w:kern w:val="22"/>
          <w:szCs w:val="22"/>
        </w:rPr>
        <w:t>’</w:t>
      </w:r>
      <w:r w:rsidR="00324D7C">
        <w:rPr>
          <w:kern w:val="22"/>
          <w:szCs w:val="22"/>
        </w:rPr>
        <w:t xml:space="preserve">ensemble, les </w:t>
      </w:r>
      <w:r w:rsidR="00A30350">
        <w:rPr>
          <w:kern w:val="22"/>
          <w:szCs w:val="22"/>
        </w:rPr>
        <w:t>progrès réalisés au regard de cet objectif</w:t>
      </w:r>
      <w:r w:rsidR="00324D7C">
        <w:rPr>
          <w:kern w:val="22"/>
          <w:szCs w:val="22"/>
        </w:rPr>
        <w:t xml:space="preserve"> n</w:t>
      </w:r>
      <w:r w:rsidR="00686044">
        <w:rPr>
          <w:kern w:val="22"/>
          <w:szCs w:val="22"/>
        </w:rPr>
        <w:t>’</w:t>
      </w:r>
      <w:r w:rsidR="00324D7C">
        <w:rPr>
          <w:kern w:val="22"/>
          <w:szCs w:val="22"/>
        </w:rPr>
        <w:t>ont pas été satisfaisants.</w:t>
      </w:r>
    </w:p>
    <w:p w:rsidR="00AC7EA1" w:rsidRDefault="00324D7C">
      <w:pPr>
        <w:pStyle w:val="ListParagraph"/>
        <w:numPr>
          <w:ilvl w:val="0"/>
          <w:numId w:val="25"/>
        </w:numPr>
        <w:tabs>
          <w:tab w:val="clear" w:pos="360"/>
        </w:tabs>
        <w:snapToGrid w:val="0"/>
        <w:spacing w:before="120" w:after="120"/>
        <w:contextualSpacing w:val="0"/>
        <w:rPr>
          <w:kern w:val="22"/>
          <w:szCs w:val="22"/>
        </w:rPr>
      </w:pPr>
      <w:r>
        <w:rPr>
          <w:i/>
          <w:iCs/>
          <w:kern w:val="22"/>
          <w:szCs w:val="22"/>
        </w:rPr>
        <w:t xml:space="preserve">Enseignements tirés </w:t>
      </w:r>
      <w:r w:rsidR="00F75E8D">
        <w:rPr>
          <w:i/>
          <w:iCs/>
          <w:kern w:val="22"/>
          <w:szCs w:val="22"/>
        </w:rPr>
        <w:t>et options pour la communication d’informations</w:t>
      </w:r>
      <w:r>
        <w:rPr>
          <w:i/>
          <w:iCs/>
          <w:kern w:val="22"/>
          <w:szCs w:val="22"/>
        </w:rPr>
        <w:t xml:space="preserve"> plus simple</w:t>
      </w:r>
      <w:r w:rsidR="00F75E8D">
        <w:rPr>
          <w:i/>
          <w:iCs/>
          <w:kern w:val="22"/>
          <w:szCs w:val="22"/>
        </w:rPr>
        <w:t>s</w:t>
      </w:r>
      <w:r>
        <w:rPr>
          <w:i/>
          <w:iCs/>
          <w:kern w:val="22"/>
          <w:szCs w:val="22"/>
        </w:rPr>
        <w:t xml:space="preserve"> et plus efficace</w:t>
      </w:r>
      <w:r w:rsidR="00F75E8D">
        <w:rPr>
          <w:i/>
          <w:iCs/>
          <w:kern w:val="22"/>
          <w:szCs w:val="22"/>
        </w:rPr>
        <w:t xml:space="preserve">s </w:t>
      </w:r>
      <w:r>
        <w:rPr>
          <w:i/>
          <w:iCs/>
          <w:kern w:val="22"/>
          <w:szCs w:val="22"/>
        </w:rPr>
        <w:t xml:space="preserve">sur la mobilisation des ressources. </w:t>
      </w:r>
      <w:r>
        <w:rPr>
          <w:kern w:val="22"/>
          <w:szCs w:val="22"/>
        </w:rPr>
        <w:t>L</w:t>
      </w:r>
      <w:r w:rsidR="00686044">
        <w:rPr>
          <w:kern w:val="22"/>
          <w:szCs w:val="22"/>
        </w:rPr>
        <w:t>’</w:t>
      </w:r>
      <w:r>
        <w:rPr>
          <w:kern w:val="22"/>
          <w:szCs w:val="22"/>
        </w:rPr>
        <w:t>analyse a identifié un certain nombre d</w:t>
      </w:r>
      <w:r w:rsidR="00686044">
        <w:rPr>
          <w:kern w:val="22"/>
          <w:szCs w:val="22"/>
        </w:rPr>
        <w:t>’</w:t>
      </w:r>
      <w:r>
        <w:rPr>
          <w:kern w:val="22"/>
          <w:szCs w:val="22"/>
        </w:rPr>
        <w:t>options à cet effet. Compte tenu du fait que les débats sur la mobilisation des ressources, y compris l</w:t>
      </w:r>
      <w:r w:rsidR="00686044">
        <w:rPr>
          <w:kern w:val="22"/>
          <w:szCs w:val="22"/>
        </w:rPr>
        <w:t>’</w:t>
      </w:r>
      <w:r>
        <w:rPr>
          <w:kern w:val="22"/>
          <w:szCs w:val="22"/>
        </w:rPr>
        <w:t>établissement d</w:t>
      </w:r>
      <w:r w:rsidR="00686044">
        <w:rPr>
          <w:kern w:val="22"/>
          <w:szCs w:val="22"/>
        </w:rPr>
        <w:t>’</w:t>
      </w:r>
      <w:r>
        <w:rPr>
          <w:kern w:val="22"/>
          <w:szCs w:val="22"/>
        </w:rPr>
        <w:t xml:space="preserve">un ou de plusieurs </w:t>
      </w:r>
      <w:r>
        <w:rPr>
          <w:kern w:val="22"/>
          <w:szCs w:val="22"/>
        </w:rPr>
        <w:lastRenderedPageBreak/>
        <w:t>objectifs pertinents et d</w:t>
      </w:r>
      <w:r w:rsidR="00686044">
        <w:rPr>
          <w:kern w:val="22"/>
          <w:szCs w:val="22"/>
        </w:rPr>
        <w:t>’</w:t>
      </w:r>
      <w:r>
        <w:rPr>
          <w:kern w:val="22"/>
          <w:szCs w:val="22"/>
        </w:rPr>
        <w:t>indicateurs connexes, sont en cours, les options ci-après ne devraient pas être interprétées comme préjugeant des résultats des débats en cours :</w:t>
      </w:r>
    </w:p>
    <w:p w:rsidR="00AC7EA1" w:rsidRDefault="00324D7C">
      <w:pPr>
        <w:pStyle w:val="aident"/>
        <w:numPr>
          <w:ilvl w:val="0"/>
          <w:numId w:val="2"/>
        </w:numPr>
        <w:suppressLineNumbers/>
        <w:tabs>
          <w:tab w:val="clear" w:pos="1080"/>
        </w:tabs>
        <w:suppressAutoHyphens/>
        <w:kinsoku w:val="0"/>
        <w:overflowPunct w:val="0"/>
        <w:adjustRightInd w:val="0"/>
        <w:snapToGrid w:val="0"/>
        <w:ind w:left="0" w:firstLine="709"/>
        <w:rPr>
          <w:kern w:val="22"/>
          <w:szCs w:val="22"/>
        </w:rPr>
      </w:pPr>
      <w:r>
        <w:rPr>
          <w:kern w:val="22"/>
          <w:szCs w:val="22"/>
        </w:rPr>
        <w:t>Sur l</w:t>
      </w:r>
      <w:r w:rsidR="00686044">
        <w:rPr>
          <w:kern w:val="22"/>
          <w:szCs w:val="22"/>
        </w:rPr>
        <w:t>’</w:t>
      </w:r>
      <w:r>
        <w:rPr>
          <w:kern w:val="22"/>
          <w:szCs w:val="22"/>
        </w:rPr>
        <w:t>éval</w:t>
      </w:r>
      <w:r w:rsidR="00A30350">
        <w:rPr>
          <w:kern w:val="22"/>
          <w:szCs w:val="22"/>
        </w:rPr>
        <w:t>uation des progrès accomplis au regard d’</w:t>
      </w:r>
      <w:r>
        <w:rPr>
          <w:kern w:val="22"/>
          <w:szCs w:val="22"/>
        </w:rPr>
        <w:t xml:space="preserve">un objectif concernant les </w:t>
      </w:r>
      <w:r>
        <w:rPr>
          <w:i/>
          <w:iCs/>
          <w:kern w:val="22"/>
          <w:szCs w:val="22"/>
        </w:rPr>
        <w:t>flux financiers internationaux à l</w:t>
      </w:r>
      <w:r w:rsidR="00686044">
        <w:rPr>
          <w:i/>
          <w:iCs/>
          <w:kern w:val="22"/>
          <w:szCs w:val="22"/>
        </w:rPr>
        <w:t>’</w:t>
      </w:r>
      <w:r>
        <w:rPr>
          <w:i/>
          <w:iCs/>
          <w:kern w:val="22"/>
          <w:szCs w:val="22"/>
        </w:rPr>
        <w:t>appui de la biodiversité</w:t>
      </w:r>
      <w:r>
        <w:rPr>
          <w:kern w:val="22"/>
          <w:szCs w:val="22"/>
        </w:rPr>
        <w:t xml:space="preserve"> : envisager d</w:t>
      </w:r>
      <w:r w:rsidR="00686044">
        <w:rPr>
          <w:kern w:val="22"/>
          <w:szCs w:val="22"/>
        </w:rPr>
        <w:t>’</w:t>
      </w:r>
      <w:r>
        <w:rPr>
          <w:kern w:val="22"/>
          <w:szCs w:val="22"/>
        </w:rPr>
        <w:t>utiliser principalement l</w:t>
      </w:r>
      <w:r w:rsidR="00686044">
        <w:rPr>
          <w:kern w:val="22"/>
          <w:szCs w:val="22"/>
        </w:rPr>
        <w:t>’</w:t>
      </w:r>
      <w:r>
        <w:rPr>
          <w:kern w:val="22"/>
          <w:szCs w:val="22"/>
        </w:rPr>
        <w:t>ensemble de données du Système de notification des pays créanciers de l</w:t>
      </w:r>
      <w:r w:rsidR="00686044">
        <w:rPr>
          <w:kern w:val="22"/>
          <w:szCs w:val="22"/>
        </w:rPr>
        <w:t>’</w:t>
      </w:r>
      <w:r>
        <w:rPr>
          <w:kern w:val="22"/>
          <w:szCs w:val="22"/>
        </w:rPr>
        <w:t>OCDE, y compris mais sans s</w:t>
      </w:r>
      <w:r w:rsidR="00686044">
        <w:rPr>
          <w:kern w:val="22"/>
          <w:szCs w:val="22"/>
        </w:rPr>
        <w:t>’</w:t>
      </w:r>
      <w:r>
        <w:rPr>
          <w:kern w:val="22"/>
          <w:szCs w:val="22"/>
        </w:rPr>
        <w:t>y limiter</w:t>
      </w:r>
      <w:r w:rsidR="00A30350">
        <w:rPr>
          <w:kern w:val="22"/>
          <w:szCs w:val="22"/>
        </w:rPr>
        <w:t>,</w:t>
      </w:r>
      <w:r>
        <w:rPr>
          <w:kern w:val="22"/>
          <w:szCs w:val="22"/>
        </w:rPr>
        <w:t xml:space="preserve"> les données du marqueur de</w:t>
      </w:r>
      <w:r w:rsidR="00A30350">
        <w:rPr>
          <w:kern w:val="22"/>
          <w:szCs w:val="22"/>
        </w:rPr>
        <w:t xml:space="preserve"> Rio pour la biodiversité. Cette méthod</w:t>
      </w:r>
      <w:r>
        <w:rPr>
          <w:kern w:val="22"/>
          <w:szCs w:val="22"/>
        </w:rPr>
        <w:t>e pourrait éventuellement être comp</w:t>
      </w:r>
      <w:r w:rsidR="00A30350">
        <w:rPr>
          <w:kern w:val="22"/>
          <w:szCs w:val="22"/>
        </w:rPr>
        <w:t>létée par des orientations fourni</w:t>
      </w:r>
      <w:r>
        <w:rPr>
          <w:kern w:val="22"/>
          <w:szCs w:val="22"/>
        </w:rPr>
        <w:t>es par les Parties à la Convention, collectivement et/ou individuellement, sur la manière d</w:t>
      </w:r>
      <w:r w:rsidR="00686044">
        <w:rPr>
          <w:kern w:val="22"/>
          <w:szCs w:val="22"/>
        </w:rPr>
        <w:t>’</w:t>
      </w:r>
      <w:r>
        <w:rPr>
          <w:kern w:val="22"/>
          <w:szCs w:val="22"/>
        </w:rPr>
        <w:t>analyser et/ou d</w:t>
      </w:r>
      <w:r w:rsidR="00686044">
        <w:rPr>
          <w:kern w:val="22"/>
          <w:szCs w:val="22"/>
        </w:rPr>
        <w:t>’</w:t>
      </w:r>
      <w:r w:rsidR="00A30350">
        <w:rPr>
          <w:kern w:val="22"/>
          <w:szCs w:val="22"/>
        </w:rPr>
        <w:t>agréger les données</w:t>
      </w:r>
      <w:r>
        <w:rPr>
          <w:kern w:val="22"/>
          <w:szCs w:val="22"/>
        </w:rPr>
        <w:t>;</w:t>
      </w:r>
    </w:p>
    <w:p w:rsidR="00AC7EA1" w:rsidRDefault="00324D7C">
      <w:pPr>
        <w:pStyle w:val="aident"/>
        <w:numPr>
          <w:ilvl w:val="0"/>
          <w:numId w:val="2"/>
        </w:numPr>
        <w:suppressLineNumbers/>
        <w:tabs>
          <w:tab w:val="clear" w:pos="1080"/>
        </w:tabs>
        <w:suppressAutoHyphens/>
        <w:kinsoku w:val="0"/>
        <w:overflowPunct w:val="0"/>
        <w:adjustRightInd w:val="0"/>
        <w:snapToGrid w:val="0"/>
        <w:ind w:left="0" w:firstLine="709"/>
        <w:rPr>
          <w:kern w:val="22"/>
          <w:szCs w:val="22"/>
        </w:rPr>
      </w:pPr>
      <w:r>
        <w:rPr>
          <w:kern w:val="22"/>
          <w:szCs w:val="22"/>
        </w:rPr>
        <w:t>Sur l</w:t>
      </w:r>
      <w:r w:rsidR="00686044">
        <w:rPr>
          <w:kern w:val="22"/>
          <w:szCs w:val="22"/>
        </w:rPr>
        <w:t>’</w:t>
      </w:r>
      <w:r>
        <w:rPr>
          <w:kern w:val="22"/>
          <w:szCs w:val="22"/>
        </w:rPr>
        <w:t>évalu</w:t>
      </w:r>
      <w:r w:rsidR="00A30350">
        <w:rPr>
          <w:kern w:val="22"/>
          <w:szCs w:val="22"/>
        </w:rPr>
        <w:t>ation des progrès accomplis au regard d’</w:t>
      </w:r>
      <w:r>
        <w:rPr>
          <w:kern w:val="22"/>
          <w:szCs w:val="22"/>
        </w:rPr>
        <w:t xml:space="preserve">un objectif de </w:t>
      </w:r>
      <w:r>
        <w:rPr>
          <w:i/>
          <w:iCs/>
          <w:kern w:val="22"/>
          <w:szCs w:val="22"/>
        </w:rPr>
        <w:t>mobili</w:t>
      </w:r>
      <w:r w:rsidR="00A05F81">
        <w:rPr>
          <w:i/>
          <w:iCs/>
          <w:kern w:val="22"/>
          <w:szCs w:val="22"/>
        </w:rPr>
        <w:t>sation des ressources nationale</w:t>
      </w:r>
      <w:r>
        <w:rPr>
          <w:i/>
          <w:iCs/>
          <w:kern w:val="22"/>
          <w:szCs w:val="22"/>
        </w:rPr>
        <w:t>s à l</w:t>
      </w:r>
      <w:r w:rsidR="00686044">
        <w:rPr>
          <w:i/>
          <w:iCs/>
          <w:kern w:val="22"/>
          <w:szCs w:val="22"/>
        </w:rPr>
        <w:t>’</w:t>
      </w:r>
      <w:r>
        <w:rPr>
          <w:i/>
          <w:iCs/>
          <w:kern w:val="22"/>
          <w:szCs w:val="22"/>
        </w:rPr>
        <w:t>appui de la biodiversité</w:t>
      </w:r>
      <w:r w:rsidR="00A05F81">
        <w:rPr>
          <w:kern w:val="22"/>
          <w:szCs w:val="22"/>
        </w:rPr>
        <w:t xml:space="preserve"> : envisager de continuer de fournir des informations </w:t>
      </w:r>
      <w:r>
        <w:rPr>
          <w:kern w:val="22"/>
          <w:szCs w:val="22"/>
        </w:rPr>
        <w:t>sur les dépenses</w:t>
      </w:r>
      <w:r w:rsidR="00A05F81">
        <w:rPr>
          <w:kern w:val="22"/>
          <w:szCs w:val="22"/>
        </w:rPr>
        <w:t xml:space="preserve"> liées à la biodiversité, mis en place dans le premier cycle</w:t>
      </w:r>
      <w:r>
        <w:rPr>
          <w:kern w:val="22"/>
          <w:szCs w:val="22"/>
        </w:rPr>
        <w:t xml:space="preserve"> du </w:t>
      </w:r>
      <w:r w:rsidR="00686044">
        <w:rPr>
          <w:kern w:val="22"/>
          <w:szCs w:val="22"/>
        </w:rPr>
        <w:t>cadre de présentation des</w:t>
      </w:r>
      <w:r>
        <w:rPr>
          <w:kern w:val="22"/>
          <w:szCs w:val="22"/>
        </w:rPr>
        <w:t xml:space="preserve"> rapports financiers. Ces données pourraient être complétées par des données provenant des Statistiques des finances publiques du FMI (c</w:t>
      </w:r>
      <w:r w:rsidR="00686044">
        <w:rPr>
          <w:kern w:val="22"/>
          <w:szCs w:val="22"/>
        </w:rPr>
        <w:t>’</w:t>
      </w:r>
      <w:r>
        <w:rPr>
          <w:kern w:val="22"/>
          <w:szCs w:val="22"/>
        </w:rPr>
        <w:t>est-à-dire des données f</w:t>
      </w:r>
      <w:r w:rsidR="00A05F81">
        <w:rPr>
          <w:kern w:val="22"/>
          <w:szCs w:val="22"/>
        </w:rPr>
        <w:t>onctionnelles sur la sous-catégorie</w:t>
      </w:r>
      <w:r>
        <w:rPr>
          <w:kern w:val="22"/>
          <w:szCs w:val="22"/>
        </w:rPr>
        <w:t xml:space="preserve"> </w:t>
      </w:r>
      <w:r w:rsidR="00A05F81">
        <w:rPr>
          <w:kern w:val="22"/>
          <w:szCs w:val="22"/>
        </w:rPr>
        <w:t xml:space="preserve">« biodiversité et </w:t>
      </w:r>
      <w:r>
        <w:rPr>
          <w:kern w:val="22"/>
          <w:szCs w:val="22"/>
        </w:rPr>
        <w:t>pr</w:t>
      </w:r>
      <w:r w:rsidR="00A05F81">
        <w:rPr>
          <w:kern w:val="22"/>
          <w:szCs w:val="22"/>
        </w:rPr>
        <w:t>otection des paysages » de COFOG</w:t>
      </w:r>
      <w:r>
        <w:rPr>
          <w:kern w:val="22"/>
          <w:szCs w:val="22"/>
        </w:rPr>
        <w:t>), en particulier pour les pays qui n</w:t>
      </w:r>
      <w:r w:rsidR="00686044">
        <w:rPr>
          <w:kern w:val="22"/>
          <w:szCs w:val="22"/>
        </w:rPr>
        <w:t>’</w:t>
      </w:r>
      <w:r>
        <w:rPr>
          <w:kern w:val="22"/>
          <w:szCs w:val="22"/>
        </w:rPr>
        <w:t>ont pas procédé à des examens des dépenses liées à la biodiversit</w:t>
      </w:r>
      <w:r w:rsidR="00A05F81">
        <w:rPr>
          <w:kern w:val="22"/>
          <w:szCs w:val="22"/>
        </w:rPr>
        <w:t>é ou à des exercices similaires</w:t>
      </w:r>
      <w:r>
        <w:rPr>
          <w:kern w:val="22"/>
          <w:szCs w:val="22"/>
        </w:rPr>
        <w:t>;</w:t>
      </w:r>
    </w:p>
    <w:p w:rsidR="00AC7EA1" w:rsidRDefault="00324D7C">
      <w:pPr>
        <w:pStyle w:val="aident"/>
        <w:numPr>
          <w:ilvl w:val="0"/>
          <w:numId w:val="2"/>
        </w:numPr>
        <w:suppressLineNumbers/>
        <w:tabs>
          <w:tab w:val="clear" w:pos="1080"/>
        </w:tabs>
        <w:suppressAutoHyphens/>
        <w:kinsoku w:val="0"/>
        <w:overflowPunct w:val="0"/>
        <w:adjustRightInd w:val="0"/>
        <w:snapToGrid w:val="0"/>
        <w:ind w:left="0" w:firstLine="709"/>
        <w:rPr>
          <w:kern w:val="22"/>
          <w:szCs w:val="22"/>
        </w:rPr>
      </w:pPr>
      <w:r>
        <w:rPr>
          <w:kern w:val="22"/>
          <w:szCs w:val="22"/>
        </w:rPr>
        <w:t xml:space="preserve">Sur le </w:t>
      </w:r>
      <w:r w:rsidR="00A05F81">
        <w:rPr>
          <w:i/>
          <w:iCs/>
          <w:kern w:val="22"/>
          <w:szCs w:val="22"/>
        </w:rPr>
        <w:t>rôle des mesure</w:t>
      </w:r>
      <w:r>
        <w:rPr>
          <w:i/>
          <w:iCs/>
          <w:kern w:val="22"/>
          <w:szCs w:val="22"/>
        </w:rPr>
        <w:t>s collectives des peuples autochtones et des communautés locales</w:t>
      </w:r>
      <w:r w:rsidR="00A05F81">
        <w:rPr>
          <w:kern w:val="22"/>
          <w:szCs w:val="22"/>
        </w:rPr>
        <w:t xml:space="preserve"> : envisager de continuer de fournir des informations à ce sujet,</w:t>
      </w:r>
      <w:r>
        <w:rPr>
          <w:kern w:val="22"/>
          <w:szCs w:val="22"/>
        </w:rPr>
        <w:t xml:space="preserve"> sur une base volontaire, pour les Parties concernées et intéressées. En fonction des approches méthodologiques utilisées et/ou des progrès méthodologiques accomplis, ce volet de communication pourrait faire partie des rapports sur la mobili</w:t>
      </w:r>
      <w:r w:rsidR="00A05F81">
        <w:rPr>
          <w:kern w:val="22"/>
          <w:szCs w:val="22"/>
        </w:rPr>
        <w:t>sation des ressources nationales, ou rester distinct</w:t>
      </w:r>
      <w:r>
        <w:rPr>
          <w:kern w:val="22"/>
          <w:szCs w:val="22"/>
        </w:rPr>
        <w:t>;</w:t>
      </w:r>
    </w:p>
    <w:p w:rsidR="00AC7EA1" w:rsidRDefault="00C851DF">
      <w:pPr>
        <w:pStyle w:val="aident"/>
        <w:numPr>
          <w:ilvl w:val="0"/>
          <w:numId w:val="2"/>
        </w:numPr>
        <w:suppressLineNumbers/>
        <w:tabs>
          <w:tab w:val="clear" w:pos="1080"/>
        </w:tabs>
        <w:suppressAutoHyphens/>
        <w:kinsoku w:val="0"/>
        <w:overflowPunct w:val="0"/>
        <w:adjustRightInd w:val="0"/>
        <w:snapToGrid w:val="0"/>
        <w:ind w:left="0" w:firstLine="709"/>
        <w:rPr>
          <w:kern w:val="22"/>
          <w:szCs w:val="22"/>
        </w:rPr>
      </w:pPr>
      <w:r>
        <w:rPr>
          <w:kern w:val="22"/>
          <w:szCs w:val="22"/>
        </w:rPr>
        <w:t>Sur l</w:t>
      </w:r>
      <w:r w:rsidR="00324D7C">
        <w:rPr>
          <w:kern w:val="22"/>
          <w:szCs w:val="22"/>
        </w:rPr>
        <w:t xml:space="preserve">es </w:t>
      </w:r>
      <w:r w:rsidR="00324D7C">
        <w:rPr>
          <w:i/>
          <w:iCs/>
          <w:kern w:val="22"/>
          <w:szCs w:val="22"/>
        </w:rPr>
        <w:t>plans de financement nationaux ou des outils similaires</w:t>
      </w:r>
      <w:r w:rsidR="00324D7C">
        <w:rPr>
          <w:kern w:val="22"/>
          <w:szCs w:val="22"/>
        </w:rPr>
        <w:t xml:space="preserve"> : envisager de rendre compte principalement de l</w:t>
      </w:r>
      <w:r w:rsidR="00686044">
        <w:rPr>
          <w:kern w:val="22"/>
          <w:szCs w:val="22"/>
        </w:rPr>
        <w:t>’</w:t>
      </w:r>
      <w:r w:rsidR="00324D7C">
        <w:rPr>
          <w:kern w:val="22"/>
          <w:szCs w:val="22"/>
        </w:rPr>
        <w:t>existence d</w:t>
      </w:r>
      <w:r w:rsidR="00686044">
        <w:rPr>
          <w:kern w:val="22"/>
          <w:szCs w:val="22"/>
        </w:rPr>
        <w:t>’</w:t>
      </w:r>
      <w:r w:rsidR="00324D7C">
        <w:rPr>
          <w:kern w:val="22"/>
          <w:szCs w:val="22"/>
        </w:rPr>
        <w:t xml:space="preserve">un plan de financement national ou des progrès généraux accomplis dans son élaboration, au lieu de suivre en détail les étapes intermédiaires. Ces informations pourraient être complétées par des informations de haut niveau sur le plan de financement national et les progrès accomplis dans sa mise en </w:t>
      </w:r>
      <w:r w:rsidR="00793472">
        <w:rPr>
          <w:kern w:val="22"/>
          <w:szCs w:val="22"/>
        </w:rPr>
        <w:t>œuvre</w:t>
      </w:r>
      <w:r w:rsidR="00324D7C">
        <w:rPr>
          <w:kern w:val="22"/>
          <w:szCs w:val="22"/>
        </w:rPr>
        <w:t xml:space="preserve">, </w:t>
      </w:r>
      <w:r w:rsidR="00A05F81">
        <w:rPr>
          <w:kern w:val="22"/>
          <w:szCs w:val="22"/>
        </w:rPr>
        <w:t xml:space="preserve">y compris, </w:t>
      </w:r>
      <w:r w:rsidR="00324D7C">
        <w:rPr>
          <w:kern w:val="22"/>
          <w:szCs w:val="22"/>
        </w:rPr>
        <w:t>par exemple</w:t>
      </w:r>
      <w:r w:rsidR="00A05F81">
        <w:rPr>
          <w:kern w:val="22"/>
          <w:szCs w:val="22"/>
        </w:rPr>
        <w:t>,</w:t>
      </w:r>
      <w:r w:rsidR="00324D7C">
        <w:rPr>
          <w:kern w:val="22"/>
          <w:szCs w:val="22"/>
        </w:rPr>
        <w:t xml:space="preserve"> les objectifs fixés par le plan et les progrès accomplis dans leur réalisation.</w:t>
      </w:r>
    </w:p>
    <w:p w:rsidR="00AC7EA1" w:rsidRDefault="00324D7C">
      <w:pPr>
        <w:pStyle w:val="ListParagraph"/>
        <w:numPr>
          <w:ilvl w:val="0"/>
          <w:numId w:val="25"/>
        </w:numPr>
        <w:tabs>
          <w:tab w:val="clear" w:pos="360"/>
        </w:tabs>
        <w:snapToGrid w:val="0"/>
        <w:spacing w:before="120" w:after="120"/>
        <w:contextualSpacing w:val="0"/>
        <w:rPr>
          <w:kern w:val="22"/>
          <w:szCs w:val="22"/>
        </w:rPr>
      </w:pPr>
      <w:r>
        <w:rPr>
          <w:kern w:val="22"/>
          <w:szCs w:val="22"/>
        </w:rPr>
        <w:t xml:space="preserve">Le projet de décision figurant dans la recommandation 3/6 de </w:t>
      </w:r>
      <w:r>
        <w:t>l</w:t>
      </w:r>
      <w:r w:rsidR="00686044">
        <w:t>’</w:t>
      </w:r>
      <w:r>
        <w:t xml:space="preserve">Organe </w:t>
      </w:r>
      <w:r w:rsidR="00686044">
        <w:t>subsidiaire chargé de l’application</w:t>
      </w:r>
      <w:r>
        <w:rPr>
          <w:kern w:val="22"/>
          <w:szCs w:val="22"/>
        </w:rPr>
        <w:t xml:space="preserve"> contient deux paragraphes (entre crochets) qui prévoient un processus intersessions après la quinzième réunion de la Conférence des Parties</w:t>
      </w:r>
      <w:r w:rsidR="00A05F81">
        <w:rPr>
          <w:kern w:val="22"/>
          <w:szCs w:val="22"/>
        </w:rPr>
        <w:t>,</w:t>
      </w:r>
      <w:r>
        <w:rPr>
          <w:kern w:val="22"/>
          <w:szCs w:val="22"/>
        </w:rPr>
        <w:t xml:space="preserve"> en vue d</w:t>
      </w:r>
      <w:r w:rsidR="00686044">
        <w:rPr>
          <w:kern w:val="22"/>
          <w:szCs w:val="22"/>
        </w:rPr>
        <w:t>’</w:t>
      </w:r>
      <w:r w:rsidR="00A05F81">
        <w:rPr>
          <w:kern w:val="22"/>
          <w:szCs w:val="22"/>
        </w:rPr>
        <w:t>élaborer un cadre de présentation des rapports financiers rationnalisé (paragraphes</w:t>
      </w:r>
      <w:r>
        <w:rPr>
          <w:kern w:val="22"/>
          <w:szCs w:val="22"/>
        </w:rPr>
        <w:t xml:space="preserve"> 30 et 31).</w:t>
      </w:r>
      <w:r w:rsidR="00456577" w:rsidRPr="00E86F4F">
        <w:rPr>
          <w:rStyle w:val="FootnoteReference"/>
          <w:kern w:val="22"/>
          <w:szCs w:val="22"/>
        </w:rPr>
        <w:footnoteReference w:id="24"/>
      </w:r>
      <w:r>
        <w:rPr>
          <w:kern w:val="22"/>
          <w:szCs w:val="22"/>
        </w:rPr>
        <w:t xml:space="preserve"> Si la Conférence des Parties décidait de poursuivre dans cette voie, les enseignements tirés et les options recensées ci-dessus, mis à jour selon qu</w:t>
      </w:r>
      <w:r w:rsidR="00686044">
        <w:rPr>
          <w:kern w:val="22"/>
          <w:szCs w:val="22"/>
        </w:rPr>
        <w:t>’</w:t>
      </w:r>
      <w:r>
        <w:rPr>
          <w:kern w:val="22"/>
          <w:szCs w:val="22"/>
        </w:rPr>
        <w:t>il conviendra, pourraient être fournis à un tel processus intersessions</w:t>
      </w:r>
      <w:r w:rsidR="00A05F81">
        <w:rPr>
          <w:kern w:val="22"/>
          <w:szCs w:val="22"/>
        </w:rPr>
        <w:t>, comme</w:t>
      </w:r>
      <w:r>
        <w:rPr>
          <w:kern w:val="22"/>
          <w:szCs w:val="22"/>
        </w:rPr>
        <w:t xml:space="preserve"> contribution et base pour de nouveaux travaux. Ce processus pourrait également s</w:t>
      </w:r>
      <w:r w:rsidR="00686044">
        <w:rPr>
          <w:kern w:val="22"/>
          <w:szCs w:val="22"/>
        </w:rPr>
        <w:t>’</w:t>
      </w:r>
      <w:r>
        <w:rPr>
          <w:kern w:val="22"/>
          <w:szCs w:val="22"/>
        </w:rPr>
        <w:t>appuyer sur les informations méthodologiques fournies ci-dessus et sur les évaluations pertinentes du groupe d</w:t>
      </w:r>
      <w:r w:rsidR="00686044">
        <w:rPr>
          <w:kern w:val="22"/>
          <w:szCs w:val="22"/>
        </w:rPr>
        <w:t>’</w:t>
      </w:r>
      <w:r>
        <w:rPr>
          <w:kern w:val="22"/>
          <w:szCs w:val="22"/>
        </w:rPr>
        <w:t>experts sur la mobilisation des ressources.</w:t>
      </w:r>
      <w:r w:rsidR="0054057E" w:rsidRPr="0086580C">
        <w:rPr>
          <w:rStyle w:val="FootnoteReference"/>
          <w:kern w:val="22"/>
          <w:szCs w:val="22"/>
        </w:rPr>
        <w:footnoteReference w:id="25"/>
      </w:r>
    </w:p>
    <w:p w:rsidR="00AC7EA1" w:rsidRDefault="00324D7C">
      <w:pPr>
        <w:jc w:val="left"/>
        <w:rPr>
          <w:i/>
          <w:iCs/>
        </w:rPr>
      </w:pPr>
      <w:r>
        <w:rPr>
          <w:i/>
          <w:iCs/>
        </w:rPr>
        <w:br w:type="page"/>
      </w:r>
    </w:p>
    <w:p w:rsidR="00AC7EA1" w:rsidRDefault="00324D7C">
      <w:pPr>
        <w:keepNext/>
        <w:spacing w:before="120" w:after="120"/>
        <w:jc w:val="center"/>
        <w:outlineLvl w:val="2"/>
        <w:rPr>
          <w:b/>
          <w:i/>
          <w:iCs/>
        </w:rPr>
      </w:pPr>
      <w:r>
        <w:rPr>
          <w:i/>
          <w:iCs/>
        </w:rPr>
        <w:lastRenderedPageBreak/>
        <w:t>Annexe I</w:t>
      </w:r>
    </w:p>
    <w:p w:rsidR="00AC7EA1" w:rsidRDefault="001138A8">
      <w:pPr>
        <w:pStyle w:val="Heading1"/>
        <w:suppressLineNumbers/>
        <w:suppressAutoHyphens/>
        <w:kinsoku w:val="0"/>
        <w:overflowPunct w:val="0"/>
        <w:autoSpaceDE w:val="0"/>
        <w:autoSpaceDN w:val="0"/>
        <w:adjustRightInd w:val="0"/>
        <w:snapToGrid w:val="0"/>
        <w:spacing w:before="120"/>
        <w:rPr>
          <w:snapToGrid w:val="0"/>
          <w:kern w:val="22"/>
          <w:szCs w:val="22"/>
        </w:rPr>
      </w:pPr>
      <w:r>
        <w:rPr>
          <w:snapToGrid w:val="0"/>
          <w:kern w:val="22"/>
          <w:szCs w:val="22"/>
        </w:rPr>
        <w:t>Objectifs de</w:t>
      </w:r>
      <w:r w:rsidR="00324D7C">
        <w:rPr>
          <w:snapToGrid w:val="0"/>
          <w:kern w:val="22"/>
          <w:szCs w:val="22"/>
        </w:rPr>
        <w:t xml:space="preserve"> mobilisation des ressources</w:t>
      </w:r>
    </w:p>
    <w:p w:rsidR="00AC7EA1" w:rsidRDefault="00324D7C">
      <w:pPr>
        <w:suppressLineNumber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1.</w:t>
      </w:r>
      <w:r>
        <w:rPr>
          <w:snapToGrid w:val="0"/>
          <w:kern w:val="22"/>
          <w:szCs w:val="22"/>
        </w:rPr>
        <w:tab/>
        <w:t xml:space="preserve">Au paragraphe 1 de la décision </w:t>
      </w:r>
      <w:hyperlink r:id="rId17" w:history="1">
        <w:r>
          <w:rPr>
            <w:rStyle w:val="Hyperlink"/>
            <w:snapToGrid w:val="0"/>
            <w:kern w:val="22"/>
            <w:sz w:val="22"/>
            <w:szCs w:val="22"/>
          </w:rPr>
          <w:t>XII/3</w:t>
        </w:r>
      </w:hyperlink>
      <w:r>
        <w:rPr>
          <w:snapToGrid w:val="0"/>
          <w:kern w:val="22"/>
          <w:szCs w:val="22"/>
        </w:rPr>
        <w:t>, la Conférence des Parties a réaffirmé son engagement en faveur d</w:t>
      </w:r>
      <w:r w:rsidR="00686044">
        <w:rPr>
          <w:snapToGrid w:val="0"/>
          <w:kern w:val="22"/>
          <w:szCs w:val="22"/>
        </w:rPr>
        <w:t>’</w:t>
      </w:r>
      <w:r>
        <w:rPr>
          <w:snapToGrid w:val="0"/>
          <w:kern w:val="22"/>
          <w:szCs w:val="22"/>
        </w:rPr>
        <w:t>une augmentation globale substa</w:t>
      </w:r>
      <w:r w:rsidR="00A05F81">
        <w:rPr>
          <w:snapToGrid w:val="0"/>
          <w:kern w:val="22"/>
          <w:szCs w:val="22"/>
        </w:rPr>
        <w:t>ntielle du financement total consacré</w:t>
      </w:r>
      <w:r>
        <w:rPr>
          <w:snapToGrid w:val="0"/>
          <w:kern w:val="22"/>
          <w:szCs w:val="22"/>
        </w:rPr>
        <w:t xml:space="preserve"> à la biodiversité pour la mise en </w:t>
      </w:r>
      <w:r w:rsidR="00793472">
        <w:rPr>
          <w:snapToGrid w:val="0"/>
          <w:kern w:val="22"/>
          <w:szCs w:val="22"/>
        </w:rPr>
        <w:t>œuvre</w:t>
      </w:r>
      <w:r>
        <w:rPr>
          <w:snapToGrid w:val="0"/>
          <w:kern w:val="22"/>
          <w:szCs w:val="22"/>
        </w:rPr>
        <w:t xml:space="preserve"> du Plan stratégique pour la biodiversité 2011-2020, provenant de diverses sources, et a adopté les objectifs suivants pour la mobilisation des ressources, au titre de l</w:t>
      </w:r>
      <w:r w:rsidR="00686044">
        <w:rPr>
          <w:snapToGrid w:val="0"/>
          <w:kern w:val="22"/>
          <w:szCs w:val="22"/>
        </w:rPr>
        <w:t>’</w:t>
      </w:r>
      <w:r w:rsidR="009E3594">
        <w:rPr>
          <w:snapToGrid w:val="0"/>
          <w:kern w:val="22"/>
          <w:szCs w:val="22"/>
        </w:rPr>
        <w:t>Objectif 20 d’Aichi pour la biodiversité du</w:t>
      </w:r>
      <w:r>
        <w:rPr>
          <w:snapToGrid w:val="0"/>
          <w:kern w:val="22"/>
          <w:szCs w:val="22"/>
        </w:rPr>
        <w:t xml:space="preserve"> Plan st</w:t>
      </w:r>
      <w:r w:rsidR="009E3594">
        <w:rPr>
          <w:snapToGrid w:val="0"/>
          <w:kern w:val="22"/>
          <w:szCs w:val="22"/>
        </w:rPr>
        <w:t>ratégique</w:t>
      </w:r>
      <w:r>
        <w:rPr>
          <w:snapToGrid w:val="0"/>
          <w:kern w:val="22"/>
          <w:szCs w:val="22"/>
        </w:rPr>
        <w:t>, comme suit :</w:t>
      </w:r>
    </w:p>
    <w:p w:rsidR="00AC7EA1" w:rsidRDefault="00324D7C">
      <w:pPr>
        <w:pStyle w:val="aident"/>
        <w:numPr>
          <w:ilvl w:val="0"/>
          <w:numId w:val="31"/>
        </w:numPr>
        <w:suppressLineNumbers/>
        <w:tabs>
          <w:tab w:val="clear" w:pos="1080"/>
        </w:tabs>
        <w:suppressAutoHyphens/>
        <w:kinsoku w:val="0"/>
        <w:overflowPunct w:val="0"/>
        <w:adjustRightInd w:val="0"/>
        <w:snapToGrid w:val="0"/>
        <w:ind w:left="0" w:firstLine="720"/>
        <w:rPr>
          <w:rFonts w:cs="Times New Roman"/>
          <w:kern w:val="22"/>
          <w:szCs w:val="22"/>
        </w:rPr>
      </w:pPr>
      <w:bookmarkStart w:id="6" w:name="_Hlk118113765"/>
      <w:r>
        <w:rPr>
          <w:rFonts w:cs="Times New Roman"/>
          <w:kern w:val="22"/>
          <w:szCs w:val="22"/>
        </w:rPr>
        <w:t>Doubler le total des flux internationau</w:t>
      </w:r>
      <w:r w:rsidR="009E3594">
        <w:rPr>
          <w:rFonts w:cs="Times New Roman"/>
          <w:kern w:val="22"/>
          <w:szCs w:val="22"/>
        </w:rPr>
        <w:t>x de ressources financières liées à la biodiversité consacrés aux</w:t>
      </w:r>
      <w:r>
        <w:rPr>
          <w:rFonts w:cs="Times New Roman"/>
          <w:kern w:val="22"/>
          <w:szCs w:val="22"/>
        </w:rPr>
        <w:t xml:space="preserve"> pays en développement, en particulier les pays les moins avancés et les petits États insulaires en développement, ainsi que les pays </w:t>
      </w:r>
      <w:r w:rsidR="009E3594">
        <w:rPr>
          <w:rFonts w:cs="Times New Roman"/>
          <w:kern w:val="22"/>
          <w:szCs w:val="22"/>
        </w:rPr>
        <w:t xml:space="preserve">à économie </w:t>
      </w:r>
      <w:r>
        <w:rPr>
          <w:rFonts w:cs="Times New Roman"/>
          <w:kern w:val="22"/>
          <w:szCs w:val="22"/>
        </w:rPr>
        <w:t>en transition, en utilisant comme référence le financement annuel moyen de la biodiversité pour la période 2006-2010, d</w:t>
      </w:r>
      <w:r w:rsidR="00686044">
        <w:rPr>
          <w:rFonts w:cs="Times New Roman"/>
          <w:kern w:val="22"/>
          <w:szCs w:val="22"/>
        </w:rPr>
        <w:t>’</w:t>
      </w:r>
      <w:r>
        <w:rPr>
          <w:rFonts w:cs="Times New Roman"/>
          <w:kern w:val="22"/>
          <w:szCs w:val="22"/>
        </w:rPr>
        <w:t>ici à 2015, et au moins maintenir ce niveau jusqu</w:t>
      </w:r>
      <w:r w:rsidR="00686044">
        <w:rPr>
          <w:rFonts w:cs="Times New Roman"/>
          <w:kern w:val="22"/>
          <w:szCs w:val="22"/>
        </w:rPr>
        <w:t>’</w:t>
      </w:r>
      <w:r>
        <w:rPr>
          <w:rFonts w:cs="Times New Roman"/>
          <w:kern w:val="22"/>
          <w:szCs w:val="22"/>
        </w:rPr>
        <w:t>en 2020</w:t>
      </w:r>
      <w:bookmarkEnd w:id="6"/>
      <w:r>
        <w:rPr>
          <w:rFonts w:cs="Times New Roman"/>
          <w:kern w:val="22"/>
          <w:szCs w:val="22"/>
        </w:rPr>
        <w:t>, conformément à l</w:t>
      </w:r>
      <w:r w:rsidR="00686044">
        <w:rPr>
          <w:rFonts w:cs="Times New Roman"/>
          <w:kern w:val="22"/>
          <w:szCs w:val="22"/>
        </w:rPr>
        <w:t>’</w:t>
      </w:r>
      <w:r>
        <w:rPr>
          <w:rFonts w:cs="Times New Roman"/>
          <w:kern w:val="22"/>
          <w:szCs w:val="22"/>
        </w:rPr>
        <w:t>article 20 de la Convention, afin de contribuer à la réalisation des trois objectifs de la Convention, notamment en accordant la priorité à la biodiversité dans les plans de dével</w:t>
      </w:r>
      <w:r w:rsidR="00793472">
        <w:rPr>
          <w:rFonts w:cs="Times New Roman"/>
          <w:kern w:val="22"/>
          <w:szCs w:val="22"/>
        </w:rPr>
        <w:t>oppement des pays bénéficiaires</w:t>
      </w:r>
      <w:r>
        <w:rPr>
          <w:rFonts w:cs="Times New Roman"/>
          <w:kern w:val="22"/>
          <w:szCs w:val="22"/>
        </w:rPr>
        <w:t>;</w:t>
      </w:r>
    </w:p>
    <w:p w:rsidR="00AC7EA1" w:rsidRDefault="00C851DF">
      <w:pPr>
        <w:pStyle w:val="aident"/>
        <w:numPr>
          <w:ilvl w:val="0"/>
          <w:numId w:val="31"/>
        </w:numPr>
        <w:suppressLineNumbers/>
        <w:tabs>
          <w:tab w:val="clear" w:pos="1080"/>
        </w:tabs>
        <w:suppressAutoHyphens/>
        <w:kinsoku w:val="0"/>
        <w:overflowPunct w:val="0"/>
        <w:adjustRightInd w:val="0"/>
        <w:snapToGrid w:val="0"/>
        <w:ind w:left="0" w:firstLine="709"/>
        <w:rPr>
          <w:rFonts w:cs="Times New Roman"/>
          <w:kern w:val="22"/>
          <w:szCs w:val="22"/>
        </w:rPr>
      </w:pPr>
      <w:r>
        <w:rPr>
          <w:rFonts w:cs="Times New Roman"/>
          <w:kern w:val="22"/>
          <w:szCs w:val="22"/>
        </w:rPr>
        <w:t>Faire au mieux pour</w:t>
      </w:r>
      <w:r w:rsidR="009E3594">
        <w:rPr>
          <w:rFonts w:cs="Times New Roman"/>
          <w:kern w:val="22"/>
          <w:szCs w:val="22"/>
        </w:rPr>
        <w:t xml:space="preserve"> que</w:t>
      </w:r>
      <w:r w:rsidR="00324D7C">
        <w:rPr>
          <w:rFonts w:cs="Times New Roman"/>
          <w:kern w:val="22"/>
          <w:szCs w:val="22"/>
        </w:rPr>
        <w:t xml:space="preserve"> 100 %, m</w:t>
      </w:r>
      <w:r w:rsidR="009E3594">
        <w:rPr>
          <w:rFonts w:cs="Times New Roman"/>
          <w:kern w:val="22"/>
          <w:szCs w:val="22"/>
        </w:rPr>
        <w:t>ais au moins 75 %</w:t>
      </w:r>
      <w:r>
        <w:rPr>
          <w:rFonts w:cs="Times New Roman"/>
          <w:kern w:val="22"/>
          <w:szCs w:val="22"/>
        </w:rPr>
        <w:t xml:space="preserve">, des Parties </w:t>
      </w:r>
      <w:r w:rsidR="00FE4A3A">
        <w:rPr>
          <w:rFonts w:cs="Times New Roman"/>
          <w:kern w:val="22"/>
          <w:szCs w:val="22"/>
        </w:rPr>
        <w:t>aient intégré</w:t>
      </w:r>
      <w:r w:rsidR="009E3594">
        <w:rPr>
          <w:rFonts w:cs="Times New Roman"/>
          <w:kern w:val="22"/>
          <w:szCs w:val="22"/>
        </w:rPr>
        <w:t xml:space="preserve"> </w:t>
      </w:r>
      <w:r w:rsidR="00324D7C">
        <w:rPr>
          <w:rFonts w:cs="Times New Roman"/>
          <w:kern w:val="22"/>
          <w:szCs w:val="22"/>
        </w:rPr>
        <w:t xml:space="preserve">la biodiversité dans leurs priorités </w:t>
      </w:r>
      <w:r w:rsidR="009E3594">
        <w:rPr>
          <w:rFonts w:cs="Times New Roman"/>
          <w:kern w:val="22"/>
          <w:szCs w:val="22"/>
        </w:rPr>
        <w:t xml:space="preserve">ou </w:t>
      </w:r>
      <w:r w:rsidR="00324D7C">
        <w:rPr>
          <w:rFonts w:cs="Times New Roman"/>
          <w:kern w:val="22"/>
          <w:szCs w:val="22"/>
        </w:rPr>
        <w:t xml:space="preserve">plans de développement </w:t>
      </w:r>
      <w:r w:rsidR="009E3594">
        <w:rPr>
          <w:rFonts w:cs="Times New Roman"/>
          <w:kern w:val="22"/>
          <w:szCs w:val="22"/>
        </w:rPr>
        <w:t xml:space="preserve">nationaux </w:t>
      </w:r>
      <w:r w:rsidR="00324D7C">
        <w:rPr>
          <w:rFonts w:cs="Times New Roman"/>
          <w:kern w:val="22"/>
          <w:szCs w:val="22"/>
        </w:rPr>
        <w:t>d</w:t>
      </w:r>
      <w:r w:rsidR="00686044">
        <w:rPr>
          <w:rFonts w:cs="Times New Roman"/>
          <w:kern w:val="22"/>
          <w:szCs w:val="22"/>
        </w:rPr>
        <w:t>’</w:t>
      </w:r>
      <w:r w:rsidR="009E3594">
        <w:rPr>
          <w:rFonts w:cs="Times New Roman"/>
          <w:kern w:val="22"/>
          <w:szCs w:val="22"/>
        </w:rPr>
        <w:t>ici à 2015, et aient</w:t>
      </w:r>
      <w:r w:rsidR="00324D7C">
        <w:rPr>
          <w:rFonts w:cs="Times New Roman"/>
          <w:kern w:val="22"/>
          <w:szCs w:val="22"/>
        </w:rPr>
        <w:t xml:space="preserve"> ainsi pris les dispositions fin</w:t>
      </w:r>
      <w:r w:rsidR="00793472">
        <w:rPr>
          <w:rFonts w:cs="Times New Roman"/>
          <w:kern w:val="22"/>
          <w:szCs w:val="22"/>
        </w:rPr>
        <w:t>ancières nationales appropriées</w:t>
      </w:r>
      <w:r w:rsidR="00324D7C">
        <w:rPr>
          <w:rFonts w:cs="Times New Roman"/>
          <w:kern w:val="22"/>
          <w:szCs w:val="22"/>
        </w:rPr>
        <w:t>;</w:t>
      </w:r>
    </w:p>
    <w:p w:rsidR="00AC7EA1" w:rsidRDefault="00C851DF">
      <w:pPr>
        <w:pStyle w:val="aident"/>
        <w:numPr>
          <w:ilvl w:val="0"/>
          <w:numId w:val="31"/>
        </w:numPr>
        <w:suppressLineNumbers/>
        <w:tabs>
          <w:tab w:val="clear" w:pos="1080"/>
        </w:tabs>
        <w:suppressAutoHyphens/>
        <w:kinsoku w:val="0"/>
        <w:overflowPunct w:val="0"/>
        <w:adjustRightInd w:val="0"/>
        <w:snapToGrid w:val="0"/>
        <w:ind w:left="0" w:firstLine="709"/>
        <w:rPr>
          <w:rFonts w:cs="Times New Roman"/>
          <w:kern w:val="22"/>
          <w:szCs w:val="22"/>
        </w:rPr>
      </w:pPr>
      <w:bookmarkStart w:id="7" w:name="_Hlk118114184"/>
      <w:r>
        <w:rPr>
          <w:rFonts w:cs="Times New Roman"/>
          <w:kern w:val="22"/>
          <w:szCs w:val="22"/>
        </w:rPr>
        <w:t>Faire au mieux pour que</w:t>
      </w:r>
      <w:r w:rsidR="00324D7C">
        <w:rPr>
          <w:rFonts w:cs="Times New Roman"/>
          <w:kern w:val="22"/>
          <w:szCs w:val="22"/>
        </w:rPr>
        <w:t xml:space="preserve"> 100 %, mais au moins 75 %, </w:t>
      </w:r>
      <w:r w:rsidR="009E3594">
        <w:rPr>
          <w:rFonts w:cs="Times New Roman"/>
          <w:kern w:val="22"/>
          <w:szCs w:val="22"/>
        </w:rPr>
        <w:t>des Parties</w:t>
      </w:r>
      <w:r>
        <w:rPr>
          <w:rFonts w:cs="Times New Roman"/>
          <w:kern w:val="22"/>
          <w:szCs w:val="22"/>
        </w:rPr>
        <w:t xml:space="preserve"> obtiennent</w:t>
      </w:r>
      <w:r w:rsidR="009E3594">
        <w:rPr>
          <w:rFonts w:cs="Times New Roman"/>
          <w:kern w:val="22"/>
          <w:szCs w:val="22"/>
        </w:rPr>
        <w:t xml:space="preserve"> </w:t>
      </w:r>
      <w:r w:rsidR="00324D7C">
        <w:rPr>
          <w:rFonts w:cs="Times New Roman"/>
          <w:kern w:val="22"/>
          <w:szCs w:val="22"/>
        </w:rPr>
        <w:t>des ressources fin</w:t>
      </w:r>
      <w:r w:rsidR="009E3594">
        <w:rPr>
          <w:rFonts w:cs="Times New Roman"/>
          <w:kern w:val="22"/>
          <w:szCs w:val="22"/>
        </w:rPr>
        <w:t>ancières suffisantes pour rendre</w:t>
      </w:r>
      <w:r w:rsidR="00324D7C">
        <w:rPr>
          <w:rFonts w:cs="Times New Roman"/>
          <w:kern w:val="22"/>
          <w:szCs w:val="22"/>
        </w:rPr>
        <w:t xml:space="preserve"> compte des dépenses nationales en matière de biodivers</w:t>
      </w:r>
      <w:r w:rsidR="009E3594">
        <w:rPr>
          <w:rFonts w:cs="Times New Roman"/>
          <w:kern w:val="22"/>
          <w:szCs w:val="22"/>
        </w:rPr>
        <w:t xml:space="preserve">ité, ainsi que des besoins, </w:t>
      </w:r>
      <w:r w:rsidR="00931260" w:rsidRPr="00931260">
        <w:rPr>
          <w:rFonts w:cs="Times New Roman"/>
          <w:kern w:val="22"/>
          <w:szCs w:val="22"/>
        </w:rPr>
        <w:t>déficits</w:t>
      </w:r>
      <w:r w:rsidR="009E3594">
        <w:rPr>
          <w:rFonts w:cs="Times New Roman"/>
          <w:kern w:val="22"/>
          <w:szCs w:val="22"/>
        </w:rPr>
        <w:t xml:space="preserve"> et </w:t>
      </w:r>
      <w:r w:rsidR="00324D7C">
        <w:rPr>
          <w:rFonts w:cs="Times New Roman"/>
          <w:kern w:val="22"/>
          <w:szCs w:val="22"/>
        </w:rPr>
        <w:t xml:space="preserve">priorités </w:t>
      </w:r>
      <w:r w:rsidR="00931260">
        <w:rPr>
          <w:rFonts w:cs="Times New Roman"/>
          <w:kern w:val="22"/>
          <w:szCs w:val="22"/>
        </w:rPr>
        <w:t xml:space="preserve">en matière </w:t>
      </w:r>
      <w:r w:rsidR="00324D7C">
        <w:rPr>
          <w:rFonts w:cs="Times New Roman"/>
          <w:kern w:val="22"/>
          <w:szCs w:val="22"/>
        </w:rPr>
        <w:t>de financement, d</w:t>
      </w:r>
      <w:r w:rsidR="00686044">
        <w:rPr>
          <w:rFonts w:cs="Times New Roman"/>
          <w:kern w:val="22"/>
          <w:szCs w:val="22"/>
        </w:rPr>
        <w:t>’</w:t>
      </w:r>
      <w:r w:rsidR="00324D7C">
        <w:rPr>
          <w:rFonts w:cs="Times New Roman"/>
          <w:kern w:val="22"/>
          <w:szCs w:val="22"/>
        </w:rPr>
        <w:t xml:space="preserve">ici à 2015, </w:t>
      </w:r>
      <w:bookmarkEnd w:id="7"/>
      <w:r w:rsidR="00324D7C">
        <w:rPr>
          <w:rFonts w:cs="Times New Roman"/>
          <w:kern w:val="22"/>
          <w:szCs w:val="22"/>
        </w:rPr>
        <w:t>en vue d</w:t>
      </w:r>
      <w:r w:rsidR="00686044">
        <w:rPr>
          <w:rFonts w:cs="Times New Roman"/>
          <w:kern w:val="22"/>
          <w:szCs w:val="22"/>
        </w:rPr>
        <w:t>’</w:t>
      </w:r>
      <w:r w:rsidR="00324D7C">
        <w:rPr>
          <w:rFonts w:cs="Times New Roman"/>
          <w:kern w:val="22"/>
          <w:szCs w:val="22"/>
        </w:rPr>
        <w:t>améliorer la solidité</w:t>
      </w:r>
      <w:r w:rsidR="00793472">
        <w:rPr>
          <w:rFonts w:cs="Times New Roman"/>
          <w:kern w:val="22"/>
          <w:szCs w:val="22"/>
        </w:rPr>
        <w:t xml:space="preserve"> du niveau de référence</w:t>
      </w:r>
      <w:r w:rsidR="00324D7C">
        <w:rPr>
          <w:rFonts w:cs="Times New Roman"/>
          <w:kern w:val="22"/>
          <w:szCs w:val="22"/>
        </w:rPr>
        <w:t>;</w:t>
      </w:r>
    </w:p>
    <w:p w:rsidR="00AC7EA1" w:rsidRDefault="00C851DF">
      <w:pPr>
        <w:pStyle w:val="aident"/>
        <w:numPr>
          <w:ilvl w:val="0"/>
          <w:numId w:val="31"/>
        </w:numPr>
        <w:suppressLineNumbers/>
        <w:tabs>
          <w:tab w:val="clear" w:pos="1080"/>
        </w:tabs>
        <w:suppressAutoHyphens/>
        <w:kinsoku w:val="0"/>
        <w:overflowPunct w:val="0"/>
        <w:adjustRightInd w:val="0"/>
        <w:snapToGrid w:val="0"/>
        <w:ind w:left="0" w:firstLine="709"/>
        <w:rPr>
          <w:rFonts w:cs="Times New Roman"/>
          <w:kern w:val="22"/>
          <w:szCs w:val="22"/>
        </w:rPr>
      </w:pPr>
      <w:r>
        <w:rPr>
          <w:rFonts w:cs="Times New Roman"/>
          <w:kern w:val="22"/>
          <w:szCs w:val="22"/>
        </w:rPr>
        <w:t xml:space="preserve">Faire au mieux pour que </w:t>
      </w:r>
      <w:r w:rsidR="00324D7C">
        <w:rPr>
          <w:rFonts w:cs="Times New Roman"/>
          <w:kern w:val="22"/>
          <w:szCs w:val="22"/>
        </w:rPr>
        <w:t>100 %, mais au</w:t>
      </w:r>
      <w:r w:rsidR="009E3594">
        <w:rPr>
          <w:rFonts w:cs="Times New Roman"/>
          <w:kern w:val="22"/>
          <w:szCs w:val="22"/>
        </w:rPr>
        <w:t xml:space="preserve"> moins 75 %, des Parties </w:t>
      </w:r>
      <w:r>
        <w:rPr>
          <w:rFonts w:cs="Times New Roman"/>
          <w:kern w:val="22"/>
          <w:szCs w:val="22"/>
        </w:rPr>
        <w:t xml:space="preserve">obtiennent </w:t>
      </w:r>
      <w:r w:rsidR="00324D7C">
        <w:rPr>
          <w:rFonts w:cs="Times New Roman"/>
          <w:kern w:val="22"/>
          <w:szCs w:val="22"/>
        </w:rPr>
        <w:t>de</w:t>
      </w:r>
      <w:r w:rsidR="009E3594">
        <w:rPr>
          <w:rFonts w:cs="Times New Roman"/>
          <w:kern w:val="22"/>
          <w:szCs w:val="22"/>
        </w:rPr>
        <w:t>s</w:t>
      </w:r>
      <w:r w:rsidR="00324D7C">
        <w:rPr>
          <w:rFonts w:cs="Times New Roman"/>
          <w:kern w:val="22"/>
          <w:szCs w:val="22"/>
        </w:rPr>
        <w:t xml:space="preserve"> ressources financières suffisantes pour élaborer des plans </w:t>
      </w:r>
      <w:r w:rsidR="009E3594">
        <w:rPr>
          <w:rFonts w:cs="Times New Roman"/>
          <w:kern w:val="22"/>
          <w:szCs w:val="22"/>
        </w:rPr>
        <w:t>de financement</w:t>
      </w:r>
      <w:r w:rsidR="00324D7C">
        <w:rPr>
          <w:rFonts w:cs="Times New Roman"/>
          <w:kern w:val="22"/>
          <w:szCs w:val="22"/>
        </w:rPr>
        <w:t xml:space="preserve"> nationaux pour la biodiversité d</w:t>
      </w:r>
      <w:r w:rsidR="00686044">
        <w:rPr>
          <w:rFonts w:cs="Times New Roman"/>
          <w:kern w:val="22"/>
          <w:szCs w:val="22"/>
        </w:rPr>
        <w:t>’</w:t>
      </w:r>
      <w:r w:rsidR="00324D7C">
        <w:rPr>
          <w:rFonts w:cs="Times New Roman"/>
          <w:kern w:val="22"/>
          <w:szCs w:val="22"/>
        </w:rPr>
        <w:t xml:space="preserve">ici à 2015, et </w:t>
      </w:r>
      <w:r w:rsidR="009E3594">
        <w:rPr>
          <w:rFonts w:cs="Times New Roman"/>
          <w:kern w:val="22"/>
          <w:szCs w:val="22"/>
        </w:rPr>
        <w:t xml:space="preserve">pour </w:t>
      </w:r>
      <w:r w:rsidR="00324D7C">
        <w:rPr>
          <w:rFonts w:cs="Times New Roman"/>
          <w:kern w:val="22"/>
          <w:szCs w:val="22"/>
        </w:rPr>
        <w:t>que 30 % de ces Parties aient évalué les valeurs intrinsèques, écologiques, génétiques, socio</w:t>
      </w:r>
      <w:r w:rsidR="00FE4A3A">
        <w:rPr>
          <w:rFonts w:cs="Times New Roman"/>
          <w:kern w:val="22"/>
          <w:szCs w:val="22"/>
        </w:rPr>
        <w:t>-</w:t>
      </w:r>
      <w:r w:rsidR="00324D7C">
        <w:rPr>
          <w:rFonts w:cs="Times New Roman"/>
          <w:kern w:val="22"/>
          <w:szCs w:val="22"/>
        </w:rPr>
        <w:t>économiques, scientifiques, éducatives, culturelles, récréatives et esthétiques de la diversité b</w:t>
      </w:r>
      <w:r w:rsidR="009E3594">
        <w:rPr>
          <w:rFonts w:cs="Times New Roman"/>
          <w:kern w:val="22"/>
          <w:szCs w:val="22"/>
        </w:rPr>
        <w:t>iologique et de ses éléments constitutif</w:t>
      </w:r>
      <w:r w:rsidR="00793472">
        <w:rPr>
          <w:rFonts w:cs="Times New Roman"/>
          <w:kern w:val="22"/>
          <w:szCs w:val="22"/>
        </w:rPr>
        <w:t>s</w:t>
      </w:r>
      <w:r w:rsidR="00324D7C">
        <w:rPr>
          <w:rFonts w:cs="Times New Roman"/>
          <w:kern w:val="22"/>
          <w:szCs w:val="22"/>
        </w:rPr>
        <w:t>;</w:t>
      </w:r>
    </w:p>
    <w:p w:rsidR="00AC7EA1" w:rsidRDefault="00324D7C">
      <w:pPr>
        <w:pStyle w:val="aident"/>
        <w:numPr>
          <w:ilvl w:val="0"/>
          <w:numId w:val="31"/>
        </w:numPr>
        <w:suppressLineNumbers/>
        <w:tabs>
          <w:tab w:val="clear" w:pos="1080"/>
        </w:tabs>
        <w:suppressAutoHyphens/>
        <w:kinsoku w:val="0"/>
        <w:overflowPunct w:val="0"/>
        <w:adjustRightInd w:val="0"/>
        <w:snapToGrid w:val="0"/>
        <w:ind w:left="0" w:firstLine="709"/>
        <w:rPr>
          <w:rFonts w:cs="Times New Roman"/>
          <w:kern w:val="22"/>
          <w:szCs w:val="22"/>
        </w:rPr>
      </w:pPr>
      <w:r>
        <w:rPr>
          <w:rFonts w:cs="Times New Roman"/>
          <w:kern w:val="22"/>
          <w:szCs w:val="22"/>
        </w:rPr>
        <w:t>Mobiliser des ressources financières nationales de toutes sources pour réduire l</w:t>
      </w:r>
      <w:r w:rsidR="00686044">
        <w:rPr>
          <w:rFonts w:cs="Times New Roman"/>
          <w:kern w:val="22"/>
          <w:szCs w:val="22"/>
        </w:rPr>
        <w:t>’</w:t>
      </w:r>
      <w:r>
        <w:rPr>
          <w:rFonts w:cs="Times New Roman"/>
          <w:kern w:val="22"/>
          <w:szCs w:val="22"/>
        </w:rPr>
        <w:t xml:space="preserve">écart entre les besoins identifiés et les ressources disponibles au niveau national, afin de mettre en </w:t>
      </w:r>
      <w:r w:rsidR="003D6A7A">
        <w:rPr>
          <w:rFonts w:cs="Times New Roman"/>
          <w:kern w:val="22"/>
          <w:szCs w:val="22"/>
        </w:rPr>
        <w:t>œuvre</w:t>
      </w:r>
      <w:r>
        <w:rPr>
          <w:rFonts w:cs="Times New Roman"/>
          <w:kern w:val="22"/>
          <w:szCs w:val="22"/>
        </w:rPr>
        <w:t xml:space="preserve"> efficacement, d</w:t>
      </w:r>
      <w:r w:rsidR="00686044">
        <w:rPr>
          <w:rFonts w:cs="Times New Roman"/>
          <w:kern w:val="22"/>
          <w:szCs w:val="22"/>
        </w:rPr>
        <w:t>’</w:t>
      </w:r>
      <w:r>
        <w:rPr>
          <w:rFonts w:cs="Times New Roman"/>
          <w:kern w:val="22"/>
          <w:szCs w:val="22"/>
        </w:rPr>
        <w:t>ici à 2020, les stratégies et plans d</w:t>
      </w:r>
      <w:r w:rsidR="00686044">
        <w:rPr>
          <w:rFonts w:cs="Times New Roman"/>
          <w:kern w:val="22"/>
          <w:szCs w:val="22"/>
        </w:rPr>
        <w:t>’</w:t>
      </w:r>
      <w:r>
        <w:rPr>
          <w:rFonts w:cs="Times New Roman"/>
          <w:kern w:val="22"/>
          <w:szCs w:val="22"/>
        </w:rPr>
        <w:t xml:space="preserve">action nationaux </w:t>
      </w:r>
      <w:r w:rsidR="004E211E">
        <w:rPr>
          <w:rFonts w:cs="Times New Roman"/>
          <w:kern w:val="22"/>
          <w:szCs w:val="22"/>
        </w:rPr>
        <w:t xml:space="preserve">pour la diversité biologique (SPANB) </w:t>
      </w:r>
      <w:r>
        <w:rPr>
          <w:rFonts w:cs="Times New Roman"/>
          <w:kern w:val="22"/>
          <w:szCs w:val="22"/>
        </w:rPr>
        <w:t>des Pa</w:t>
      </w:r>
      <w:r w:rsidR="004E211E">
        <w:rPr>
          <w:rFonts w:cs="Times New Roman"/>
          <w:kern w:val="22"/>
          <w:szCs w:val="22"/>
        </w:rPr>
        <w:t>rties</w:t>
      </w:r>
      <w:r>
        <w:rPr>
          <w:rFonts w:cs="Times New Roman"/>
          <w:kern w:val="22"/>
          <w:szCs w:val="22"/>
        </w:rPr>
        <w:t>, conformément à l</w:t>
      </w:r>
      <w:r w:rsidR="00686044">
        <w:rPr>
          <w:rFonts w:cs="Times New Roman"/>
          <w:kern w:val="22"/>
          <w:szCs w:val="22"/>
        </w:rPr>
        <w:t>’</w:t>
      </w:r>
      <w:r>
        <w:rPr>
          <w:rFonts w:cs="Times New Roman"/>
          <w:kern w:val="22"/>
          <w:szCs w:val="22"/>
        </w:rPr>
        <w:t xml:space="preserve">article </w:t>
      </w:r>
      <w:r w:rsidR="00793472">
        <w:rPr>
          <w:rFonts w:cs="Times New Roman"/>
          <w:kern w:val="22"/>
          <w:szCs w:val="22"/>
        </w:rPr>
        <w:t>20</w:t>
      </w:r>
      <w:r w:rsidR="004E211E">
        <w:rPr>
          <w:rFonts w:cs="Times New Roman"/>
          <w:kern w:val="22"/>
          <w:szCs w:val="22"/>
        </w:rPr>
        <w:t xml:space="preserve"> de la Convention.</w:t>
      </w:r>
    </w:p>
    <w:p w:rsidR="00AC7EA1" w:rsidRDefault="004E211E">
      <w:pPr>
        <w:suppressLineNumber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2.</w:t>
      </w:r>
      <w:r>
        <w:rPr>
          <w:snapToGrid w:val="0"/>
          <w:kern w:val="22"/>
          <w:szCs w:val="22"/>
        </w:rPr>
        <w:tab/>
        <w:t>Au paragraphe 2 de cette</w:t>
      </w:r>
      <w:r w:rsidR="00324D7C">
        <w:rPr>
          <w:snapToGrid w:val="0"/>
          <w:kern w:val="22"/>
          <w:szCs w:val="22"/>
        </w:rPr>
        <w:t xml:space="preserve"> même décision, la Conférence des Parties, rappelant l</w:t>
      </w:r>
      <w:r w:rsidR="00686044">
        <w:rPr>
          <w:snapToGrid w:val="0"/>
          <w:kern w:val="22"/>
          <w:szCs w:val="22"/>
        </w:rPr>
        <w:t>’</w:t>
      </w:r>
      <w:r w:rsidR="00324D7C">
        <w:rPr>
          <w:snapToGrid w:val="0"/>
          <w:kern w:val="22"/>
          <w:szCs w:val="22"/>
        </w:rPr>
        <w:t>article 20 de la Convention, a décidé que les objectifs énoncés aux alinéas a) à e) ci-dessus devaient être considérés comme complémentaires et, au paragraphe 4, elle a exhorté les Parties et les autres gouvernements, avec l</w:t>
      </w:r>
      <w:r w:rsidR="00686044">
        <w:rPr>
          <w:snapToGrid w:val="0"/>
          <w:kern w:val="22"/>
          <w:szCs w:val="22"/>
        </w:rPr>
        <w:t>’</w:t>
      </w:r>
      <w:r w:rsidR="00324D7C">
        <w:rPr>
          <w:snapToGrid w:val="0"/>
          <w:kern w:val="22"/>
          <w:szCs w:val="22"/>
        </w:rPr>
        <w:t>appui des organisations internationales et régionales</w:t>
      </w:r>
      <w:r>
        <w:rPr>
          <w:snapToGrid w:val="0"/>
          <w:kern w:val="22"/>
          <w:szCs w:val="22"/>
        </w:rPr>
        <w:t xml:space="preserve">, à élaborer leurs stratégies </w:t>
      </w:r>
      <w:r w:rsidR="00324D7C">
        <w:rPr>
          <w:snapToGrid w:val="0"/>
          <w:kern w:val="22"/>
          <w:szCs w:val="22"/>
        </w:rPr>
        <w:t>de mobi</w:t>
      </w:r>
      <w:r>
        <w:rPr>
          <w:snapToGrid w:val="0"/>
          <w:kern w:val="22"/>
          <w:szCs w:val="22"/>
        </w:rPr>
        <w:t>lisation des ressources ou</w:t>
      </w:r>
      <w:r w:rsidR="00324D7C">
        <w:rPr>
          <w:snapToGrid w:val="0"/>
          <w:kern w:val="22"/>
          <w:szCs w:val="22"/>
        </w:rPr>
        <w:t xml:space="preserve"> plans de financement </w:t>
      </w:r>
      <w:r>
        <w:rPr>
          <w:snapToGrid w:val="0"/>
          <w:kern w:val="22"/>
          <w:szCs w:val="22"/>
        </w:rPr>
        <w:t>nationaux conformément aux besoins et priorités recens</w:t>
      </w:r>
      <w:r w:rsidR="00324D7C">
        <w:rPr>
          <w:snapToGrid w:val="0"/>
          <w:kern w:val="22"/>
          <w:szCs w:val="22"/>
        </w:rPr>
        <w:t>és, en utilisant les objectifs de mobilisation des ressources ci-dessus comme cadre souple.</w:t>
      </w:r>
    </w:p>
    <w:p w:rsidR="00AC7EA1" w:rsidRDefault="00324D7C">
      <w:pPr>
        <w:jc w:val="left"/>
        <w:rPr>
          <w:snapToGrid w:val="0"/>
          <w:kern w:val="22"/>
          <w:szCs w:val="22"/>
        </w:rPr>
      </w:pPr>
      <w:r>
        <w:rPr>
          <w:snapToGrid w:val="0"/>
          <w:kern w:val="22"/>
          <w:szCs w:val="22"/>
        </w:rPr>
        <w:br w:type="page"/>
      </w:r>
    </w:p>
    <w:p w:rsidR="00AC7EA1" w:rsidRDefault="00324D7C">
      <w:pPr>
        <w:keepNext/>
        <w:spacing w:before="120" w:after="120"/>
        <w:jc w:val="center"/>
        <w:outlineLvl w:val="2"/>
        <w:rPr>
          <w:i/>
          <w:iCs/>
        </w:rPr>
      </w:pPr>
      <w:r>
        <w:rPr>
          <w:i/>
          <w:iCs/>
        </w:rPr>
        <w:lastRenderedPageBreak/>
        <w:t>Annexe II</w:t>
      </w:r>
    </w:p>
    <w:p w:rsidR="00AC7EA1" w:rsidRDefault="00324D7C">
      <w:pPr>
        <w:pStyle w:val="Heading1"/>
        <w:suppressLineNumbers/>
        <w:suppressAutoHyphens/>
        <w:kinsoku w:val="0"/>
        <w:overflowPunct w:val="0"/>
        <w:autoSpaceDE w:val="0"/>
        <w:autoSpaceDN w:val="0"/>
        <w:adjustRightInd w:val="0"/>
        <w:snapToGrid w:val="0"/>
        <w:spacing w:before="120"/>
        <w:rPr>
          <w:rFonts w:ascii="Times New Roman Bold" w:hAnsi="Times New Roman Bold"/>
          <w:b w:val="0"/>
          <w:snapToGrid w:val="0"/>
          <w:kern w:val="22"/>
          <w:szCs w:val="22"/>
        </w:rPr>
      </w:pPr>
      <w:r>
        <w:rPr>
          <w:rFonts w:ascii="Times New Roman Bold" w:hAnsi="Times New Roman Bold"/>
          <w:snapToGrid w:val="0"/>
          <w:kern w:val="22"/>
          <w:szCs w:val="22"/>
        </w:rPr>
        <w:t xml:space="preserve">Quotients par pays </w:t>
      </w:r>
      <w:r>
        <w:rPr>
          <w:rFonts w:ascii="Times New Roman Bold" w:hAnsi="Times New Roman Bold"/>
          <w:snapToGrid w:val="0"/>
          <w:kern w:val="22"/>
          <w:szCs w:val="22"/>
        </w:rPr>
        <w:br/>
        <w:t>(flux intern</w:t>
      </w:r>
      <w:r w:rsidR="00FE4A3A">
        <w:rPr>
          <w:rFonts w:ascii="Times New Roman Bold" w:hAnsi="Times New Roman Bold"/>
          <w:snapToGrid w:val="0"/>
          <w:kern w:val="22"/>
          <w:szCs w:val="22"/>
        </w:rPr>
        <w:t>ationaux annuels declare</w:t>
      </w:r>
      <w:r>
        <w:rPr>
          <w:rFonts w:ascii="Times New Roman Bold" w:hAnsi="Times New Roman Bold"/>
          <w:snapToGrid w:val="0"/>
          <w:kern w:val="22"/>
          <w:szCs w:val="22"/>
        </w:rPr>
        <w:t>s</w:t>
      </w:r>
      <w:r w:rsidR="00FE4A3A">
        <w:rPr>
          <w:rFonts w:ascii="Times New Roman Bold" w:hAnsi="Times New Roman Bold"/>
          <w:snapToGrid w:val="0"/>
          <w:kern w:val="22"/>
          <w:szCs w:val="22"/>
        </w:rPr>
        <w:t>,</w:t>
      </w:r>
      <w:r>
        <w:rPr>
          <w:rFonts w:ascii="Times New Roman Bold" w:hAnsi="Times New Roman Bold"/>
          <w:snapToGrid w:val="0"/>
          <w:kern w:val="22"/>
          <w:szCs w:val="22"/>
        </w:rPr>
        <w:t xml:space="preserve"> divisés p</w:t>
      </w:r>
      <w:r w:rsidR="00FE4A3A">
        <w:rPr>
          <w:rFonts w:ascii="Times New Roman Bold" w:hAnsi="Times New Roman Bold"/>
          <w:snapToGrid w:val="0"/>
          <w:kern w:val="22"/>
          <w:szCs w:val="22"/>
        </w:rPr>
        <w:t>ar le niveau de référence declar</w:t>
      </w:r>
      <w:r>
        <w:rPr>
          <w:rFonts w:ascii="Times New Roman Bold" w:hAnsi="Times New Roman Bold"/>
          <w:snapToGrid w:val="0"/>
          <w:kern w:val="22"/>
          <w:szCs w:val="22"/>
        </w:rPr>
        <w:t xml:space="preserve">é) </w:t>
      </w:r>
    </w:p>
    <w:tbl>
      <w:tblPr>
        <w:tblStyle w:val="TableGrid"/>
        <w:tblW w:w="0" w:type="auto"/>
        <w:tblLook w:val="04A0" w:firstRow="1" w:lastRow="0" w:firstColumn="1" w:lastColumn="0" w:noHBand="0" w:noVBand="1"/>
      </w:tblPr>
      <w:tblGrid>
        <w:gridCol w:w="1913"/>
        <w:gridCol w:w="1205"/>
        <w:gridCol w:w="740"/>
        <w:gridCol w:w="1109"/>
        <w:gridCol w:w="1109"/>
        <w:gridCol w:w="1109"/>
        <w:gridCol w:w="1109"/>
        <w:gridCol w:w="1172"/>
      </w:tblGrid>
      <w:tr w:rsidR="0013552A" w:rsidRPr="007D5A5B" w:rsidTr="00591133">
        <w:trPr>
          <w:trHeight w:val="290"/>
        </w:trPr>
        <w:tc>
          <w:tcPr>
            <w:tcW w:w="1913" w:type="dxa"/>
            <w:noWrap/>
            <w:hideMark/>
          </w:tcPr>
          <w:p w:rsidR="00AC7EA1" w:rsidRPr="004E211E" w:rsidRDefault="004E211E">
            <w:pPr>
              <w:jc w:val="left"/>
              <w:rPr>
                <w:rFonts w:asciiTheme="majorBidi" w:hAnsiTheme="majorBidi" w:cstheme="majorBidi"/>
                <w:sz w:val="20"/>
                <w:szCs w:val="20"/>
                <w:lang w:eastAsia="zh-CN"/>
              </w:rPr>
            </w:pPr>
            <w:r>
              <w:rPr>
                <w:rFonts w:asciiTheme="majorBidi" w:hAnsiTheme="majorBidi" w:cstheme="majorBidi"/>
                <w:sz w:val="20"/>
                <w:szCs w:val="20"/>
              </w:rPr>
              <w:t xml:space="preserve">Pays </w:t>
            </w:r>
            <w:r w:rsidR="001A0E31" w:rsidRPr="001A0E31">
              <w:rPr>
                <w:rFonts w:asciiTheme="majorBidi" w:hAnsiTheme="majorBidi" w:cstheme="majorBidi"/>
                <w:sz w:val="20"/>
                <w:szCs w:val="20"/>
              </w:rPr>
              <w:t>ayant présenté un rapport</w:t>
            </w:r>
          </w:p>
        </w:tc>
        <w:tc>
          <w:tcPr>
            <w:tcW w:w="1205" w:type="dxa"/>
            <w:noWrap/>
            <w:hideMark/>
          </w:tcPr>
          <w:p w:rsidR="00AC7EA1" w:rsidRPr="00DE607B" w:rsidRDefault="004E211E" w:rsidP="004E211E">
            <w:pPr>
              <w:jc w:val="right"/>
              <w:rPr>
                <w:rFonts w:asciiTheme="majorBidi" w:hAnsiTheme="majorBidi" w:cstheme="majorBidi"/>
                <w:color w:val="000000"/>
                <w:sz w:val="20"/>
                <w:szCs w:val="20"/>
                <w:lang w:eastAsia="zh-CN"/>
              </w:rPr>
            </w:pPr>
            <w:r>
              <w:rPr>
                <w:rFonts w:asciiTheme="majorBidi" w:hAnsiTheme="majorBidi" w:cstheme="majorBidi"/>
                <w:color w:val="000000"/>
                <w:sz w:val="20"/>
                <w:szCs w:val="20"/>
              </w:rPr>
              <w:t xml:space="preserve">Niveau de référence en milliers de </w:t>
            </w:r>
            <w:r w:rsidR="00905709" w:rsidRPr="00905709">
              <w:rPr>
                <w:rFonts w:asciiTheme="majorBidi" w:hAnsiTheme="majorBidi" w:cstheme="majorBidi"/>
                <w:color w:val="000000"/>
                <w:sz w:val="20"/>
                <w:szCs w:val="20"/>
              </w:rPr>
              <w:t>dollars des États-Unis</w:t>
            </w:r>
          </w:p>
        </w:tc>
        <w:tc>
          <w:tcPr>
            <w:tcW w:w="740" w:type="dxa"/>
            <w:noWrap/>
            <w:hideMark/>
          </w:tcPr>
          <w:p w:rsidR="00AC7EA1" w:rsidRDefault="00324D7C">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2015</w:t>
            </w:r>
          </w:p>
        </w:tc>
        <w:tc>
          <w:tcPr>
            <w:tcW w:w="1109" w:type="dxa"/>
            <w:noWrap/>
            <w:hideMark/>
          </w:tcPr>
          <w:p w:rsidR="00AC7EA1" w:rsidRDefault="00324D7C">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2016</w:t>
            </w:r>
          </w:p>
        </w:tc>
        <w:tc>
          <w:tcPr>
            <w:tcW w:w="1109" w:type="dxa"/>
            <w:noWrap/>
            <w:hideMark/>
          </w:tcPr>
          <w:p w:rsidR="00AC7EA1" w:rsidRDefault="00324D7C">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2017</w:t>
            </w:r>
          </w:p>
        </w:tc>
        <w:tc>
          <w:tcPr>
            <w:tcW w:w="1109" w:type="dxa"/>
            <w:noWrap/>
            <w:hideMark/>
          </w:tcPr>
          <w:p w:rsidR="00AC7EA1" w:rsidRDefault="00324D7C">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2018</w:t>
            </w:r>
          </w:p>
        </w:tc>
        <w:tc>
          <w:tcPr>
            <w:tcW w:w="1109" w:type="dxa"/>
            <w:noWrap/>
            <w:hideMark/>
          </w:tcPr>
          <w:p w:rsidR="00AC7EA1" w:rsidRDefault="00324D7C">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2019</w:t>
            </w:r>
          </w:p>
        </w:tc>
        <w:tc>
          <w:tcPr>
            <w:tcW w:w="1172" w:type="dxa"/>
            <w:noWrap/>
            <w:hideMark/>
          </w:tcPr>
          <w:p w:rsidR="00AC7EA1" w:rsidRDefault="00324D7C">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2020</w:t>
            </w: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Allemagne</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266 815</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2,24</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2,38</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2,27</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2,14</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3,29</w:t>
            </w:r>
          </w:p>
        </w:tc>
        <w:tc>
          <w:tcPr>
            <w:tcW w:w="1172"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3,48</w:t>
            </w: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Australie</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162 703</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1,93</w:t>
            </w:r>
          </w:p>
        </w:tc>
        <w:tc>
          <w:tcPr>
            <w:tcW w:w="1109" w:type="dxa"/>
            <w:noWrap/>
            <w:hideMark/>
          </w:tcPr>
          <w:p w:rsidR="00793472" w:rsidRPr="007D5A5B" w:rsidRDefault="00793472" w:rsidP="007D5A5B">
            <w:pPr>
              <w:jc w:val="right"/>
              <w:rPr>
                <w:rFonts w:asciiTheme="majorBidi" w:hAnsiTheme="majorBidi" w:cstheme="majorBidi"/>
                <w:color w:val="000000"/>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72" w:type="dxa"/>
            <w:noWrap/>
            <w:hideMark/>
          </w:tcPr>
          <w:p w:rsidR="00793472" w:rsidRPr="007D5A5B" w:rsidRDefault="00793472" w:rsidP="007D5A5B">
            <w:pPr>
              <w:jc w:val="left"/>
              <w:rPr>
                <w:rFonts w:asciiTheme="majorBidi" w:hAnsiTheme="majorBidi" w:cstheme="majorBidi"/>
                <w:sz w:val="20"/>
                <w:szCs w:val="20"/>
                <w:lang w:val="en-US" w:eastAsia="zh-CN"/>
              </w:rPr>
            </w:pP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Autriche</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18 040</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1,14</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1,15</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1,01</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1,38</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3,06</w:t>
            </w:r>
          </w:p>
        </w:tc>
        <w:tc>
          <w:tcPr>
            <w:tcW w:w="1172" w:type="dxa"/>
            <w:noWrap/>
            <w:hideMark/>
          </w:tcPr>
          <w:p w:rsidR="00793472" w:rsidRPr="007D5A5B" w:rsidRDefault="00793472" w:rsidP="007D5A5B">
            <w:pPr>
              <w:jc w:val="right"/>
              <w:rPr>
                <w:rFonts w:asciiTheme="majorBidi" w:hAnsiTheme="majorBidi" w:cstheme="majorBidi"/>
                <w:color w:val="000000"/>
                <w:sz w:val="20"/>
                <w:szCs w:val="20"/>
                <w:lang w:val="en-US" w:eastAsia="zh-CN"/>
              </w:rPr>
            </w:pP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Canada</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77 160</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1,00</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0,61</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0,60</w:t>
            </w:r>
          </w:p>
        </w:tc>
        <w:tc>
          <w:tcPr>
            <w:tcW w:w="1109" w:type="dxa"/>
            <w:noWrap/>
            <w:hideMark/>
          </w:tcPr>
          <w:p w:rsidR="00793472" w:rsidRPr="007D5A5B" w:rsidRDefault="00793472" w:rsidP="007D5A5B">
            <w:pPr>
              <w:jc w:val="right"/>
              <w:rPr>
                <w:rFonts w:asciiTheme="majorBidi" w:hAnsiTheme="majorBidi" w:cstheme="majorBidi"/>
                <w:color w:val="000000"/>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72" w:type="dxa"/>
            <w:noWrap/>
            <w:hideMark/>
          </w:tcPr>
          <w:p w:rsidR="00793472" w:rsidRPr="007D5A5B" w:rsidRDefault="00793472" w:rsidP="007D5A5B">
            <w:pPr>
              <w:jc w:val="left"/>
              <w:rPr>
                <w:rFonts w:asciiTheme="majorBidi" w:hAnsiTheme="majorBidi" w:cstheme="majorBidi"/>
                <w:sz w:val="20"/>
                <w:szCs w:val="20"/>
                <w:lang w:val="en-US" w:eastAsia="zh-CN"/>
              </w:rPr>
            </w:pP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Chine</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600</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10,83</w:t>
            </w:r>
          </w:p>
        </w:tc>
        <w:tc>
          <w:tcPr>
            <w:tcW w:w="1109" w:type="dxa"/>
            <w:noWrap/>
            <w:hideMark/>
          </w:tcPr>
          <w:p w:rsidR="00793472" w:rsidRPr="007D5A5B" w:rsidRDefault="00793472" w:rsidP="007D5A5B">
            <w:pPr>
              <w:jc w:val="right"/>
              <w:rPr>
                <w:rFonts w:asciiTheme="majorBidi" w:hAnsiTheme="majorBidi" w:cstheme="majorBidi"/>
                <w:color w:val="000000"/>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72" w:type="dxa"/>
            <w:noWrap/>
            <w:hideMark/>
          </w:tcPr>
          <w:p w:rsidR="00793472" w:rsidRPr="007D5A5B" w:rsidRDefault="00793472" w:rsidP="007D5A5B">
            <w:pPr>
              <w:jc w:val="left"/>
              <w:rPr>
                <w:rFonts w:asciiTheme="majorBidi" w:hAnsiTheme="majorBidi" w:cstheme="majorBidi"/>
                <w:sz w:val="20"/>
                <w:szCs w:val="20"/>
                <w:lang w:val="en-US" w:eastAsia="zh-CN"/>
              </w:rPr>
            </w:pP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Croatie</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21</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2,95</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3,81</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2,76</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2,43</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2,43</w:t>
            </w:r>
          </w:p>
        </w:tc>
        <w:tc>
          <w:tcPr>
            <w:tcW w:w="1172"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2,57</w:t>
            </w: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Danemark</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107 000</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0,91</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0,39</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0,56</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0,90</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0,11</w:t>
            </w:r>
          </w:p>
        </w:tc>
        <w:tc>
          <w:tcPr>
            <w:tcW w:w="1172" w:type="dxa"/>
            <w:noWrap/>
            <w:hideMark/>
          </w:tcPr>
          <w:p w:rsidR="00793472" w:rsidRPr="007D5A5B" w:rsidRDefault="00793472" w:rsidP="007D5A5B">
            <w:pPr>
              <w:jc w:val="right"/>
              <w:rPr>
                <w:rFonts w:asciiTheme="majorBidi" w:hAnsiTheme="majorBidi" w:cstheme="majorBidi"/>
                <w:color w:val="000000"/>
                <w:sz w:val="20"/>
                <w:szCs w:val="20"/>
                <w:lang w:val="en-US" w:eastAsia="zh-CN"/>
              </w:rPr>
            </w:pP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Espagne</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69 409</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0,40</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0,47</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0,46</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0,54</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1,27</w:t>
            </w:r>
          </w:p>
        </w:tc>
        <w:tc>
          <w:tcPr>
            <w:tcW w:w="1172" w:type="dxa"/>
            <w:noWrap/>
            <w:hideMark/>
          </w:tcPr>
          <w:p w:rsidR="00793472" w:rsidRPr="00591133" w:rsidRDefault="00793472" w:rsidP="007D5A5B">
            <w:pPr>
              <w:jc w:val="right"/>
              <w:rPr>
                <w:rFonts w:asciiTheme="majorBidi" w:hAnsiTheme="majorBidi" w:cstheme="majorBidi"/>
                <w:color w:val="000000"/>
                <w:sz w:val="20"/>
                <w:szCs w:val="20"/>
                <w:lang w:val="en-US" w:eastAsia="zh-CN"/>
              </w:rPr>
            </w:pP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Estonie</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19</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18,89</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16,16</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42,74</w:t>
            </w:r>
          </w:p>
        </w:tc>
        <w:tc>
          <w:tcPr>
            <w:tcW w:w="1109" w:type="dxa"/>
            <w:noWrap/>
            <w:hideMark/>
          </w:tcPr>
          <w:p w:rsidR="00793472" w:rsidRPr="007D5A5B" w:rsidRDefault="00793472" w:rsidP="007D5A5B">
            <w:pPr>
              <w:jc w:val="right"/>
              <w:rPr>
                <w:rFonts w:asciiTheme="majorBidi" w:hAnsiTheme="majorBidi" w:cstheme="majorBidi"/>
                <w:color w:val="000000"/>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72" w:type="dxa"/>
            <w:noWrap/>
            <w:hideMark/>
          </w:tcPr>
          <w:p w:rsidR="00793472" w:rsidRPr="007D5A5B" w:rsidRDefault="00793472" w:rsidP="007D5A5B">
            <w:pPr>
              <w:jc w:val="left"/>
              <w:rPr>
                <w:rFonts w:asciiTheme="majorBidi" w:hAnsiTheme="majorBidi" w:cstheme="majorBidi"/>
                <w:sz w:val="20"/>
                <w:szCs w:val="20"/>
                <w:lang w:val="en-US" w:eastAsia="zh-CN"/>
              </w:rPr>
            </w:pP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Finlande</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19 945</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1,31</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0,69</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0,46</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0,35</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0,24</w:t>
            </w:r>
          </w:p>
        </w:tc>
        <w:tc>
          <w:tcPr>
            <w:tcW w:w="1172"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0,33</w:t>
            </w: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France</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144 392</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2,31</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2,81</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2,66</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3,77</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3,83</w:t>
            </w:r>
          </w:p>
        </w:tc>
        <w:tc>
          <w:tcPr>
            <w:tcW w:w="1172"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4,80</w:t>
            </w: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Grèce</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3 839</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0,08</w:t>
            </w:r>
          </w:p>
        </w:tc>
        <w:tc>
          <w:tcPr>
            <w:tcW w:w="1109" w:type="dxa"/>
            <w:noWrap/>
            <w:hideMark/>
          </w:tcPr>
          <w:p w:rsidR="00793472" w:rsidRPr="007D5A5B" w:rsidRDefault="00793472" w:rsidP="007D5A5B">
            <w:pPr>
              <w:jc w:val="right"/>
              <w:rPr>
                <w:rFonts w:asciiTheme="majorBidi" w:hAnsiTheme="majorBidi" w:cstheme="majorBidi"/>
                <w:color w:val="000000"/>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72" w:type="dxa"/>
            <w:noWrap/>
            <w:hideMark/>
          </w:tcPr>
          <w:p w:rsidR="00793472" w:rsidRPr="007D5A5B" w:rsidRDefault="00793472" w:rsidP="007D5A5B">
            <w:pPr>
              <w:jc w:val="left"/>
              <w:rPr>
                <w:rFonts w:asciiTheme="majorBidi" w:hAnsiTheme="majorBidi" w:cstheme="majorBidi"/>
                <w:sz w:val="20"/>
                <w:szCs w:val="20"/>
                <w:lang w:val="en-US" w:eastAsia="zh-CN"/>
              </w:rPr>
            </w:pP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Hongrie</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31</w:t>
            </w:r>
          </w:p>
        </w:tc>
        <w:tc>
          <w:tcPr>
            <w:tcW w:w="740" w:type="dxa"/>
            <w:noWrap/>
            <w:hideMark/>
          </w:tcPr>
          <w:p w:rsidR="00793472" w:rsidRPr="007D5A5B" w:rsidRDefault="00793472" w:rsidP="00EE7E9E">
            <w:pPr>
              <w:ind w:right="1000"/>
              <w:rPr>
                <w:rFonts w:asciiTheme="majorBidi" w:hAnsiTheme="majorBidi" w:cstheme="majorBidi"/>
                <w:color w:val="000000"/>
                <w:sz w:val="20"/>
                <w:szCs w:val="20"/>
                <w:lang w:val="en-US" w:eastAsia="zh-CN"/>
              </w:rPr>
            </w:pPr>
          </w:p>
        </w:tc>
        <w:tc>
          <w:tcPr>
            <w:tcW w:w="1109" w:type="dxa"/>
            <w:noWrap/>
            <w:hideMark/>
          </w:tcPr>
          <w:p w:rsidR="00793472" w:rsidRPr="007D5A5B" w:rsidRDefault="00793472" w:rsidP="007D5A5B">
            <w:pPr>
              <w:jc w:val="right"/>
              <w:rPr>
                <w:rFonts w:asciiTheme="majorBidi" w:hAnsiTheme="majorBidi" w:cstheme="majorBidi"/>
                <w:color w:val="000000"/>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0,97</w:t>
            </w:r>
          </w:p>
        </w:tc>
        <w:tc>
          <w:tcPr>
            <w:tcW w:w="1172"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2,81</w:t>
            </w: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Italie</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27 314</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1,49</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1,61</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2,80</w:t>
            </w:r>
          </w:p>
        </w:tc>
        <w:tc>
          <w:tcPr>
            <w:tcW w:w="1109" w:type="dxa"/>
            <w:noWrap/>
            <w:hideMark/>
          </w:tcPr>
          <w:p w:rsidR="00793472" w:rsidRPr="007D5A5B" w:rsidRDefault="00793472" w:rsidP="007D5A5B">
            <w:pPr>
              <w:jc w:val="right"/>
              <w:rPr>
                <w:rFonts w:asciiTheme="majorBidi" w:hAnsiTheme="majorBidi" w:cstheme="majorBidi"/>
                <w:color w:val="000000"/>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72" w:type="dxa"/>
            <w:noWrap/>
            <w:hideMark/>
          </w:tcPr>
          <w:p w:rsidR="00793472" w:rsidRPr="007D5A5B" w:rsidRDefault="00793472" w:rsidP="007D5A5B">
            <w:pPr>
              <w:jc w:val="left"/>
              <w:rPr>
                <w:rFonts w:asciiTheme="majorBidi" w:hAnsiTheme="majorBidi" w:cstheme="majorBidi"/>
                <w:sz w:val="20"/>
                <w:szCs w:val="20"/>
                <w:lang w:val="en-US" w:eastAsia="zh-CN"/>
              </w:rPr>
            </w:pP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Japon</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1 239 208</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1,50</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0,56</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0,35</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0,50</w:t>
            </w:r>
          </w:p>
        </w:tc>
        <w:tc>
          <w:tcPr>
            <w:tcW w:w="1109" w:type="dxa"/>
            <w:noWrap/>
            <w:hideMark/>
          </w:tcPr>
          <w:p w:rsidR="00793472" w:rsidRPr="007D5A5B" w:rsidRDefault="00793472" w:rsidP="007D5A5B">
            <w:pPr>
              <w:jc w:val="right"/>
              <w:rPr>
                <w:rFonts w:asciiTheme="majorBidi" w:hAnsiTheme="majorBidi" w:cstheme="majorBidi"/>
                <w:color w:val="000000"/>
                <w:sz w:val="20"/>
                <w:szCs w:val="20"/>
                <w:lang w:val="en-US" w:eastAsia="zh-CN"/>
              </w:rPr>
            </w:pPr>
          </w:p>
        </w:tc>
        <w:tc>
          <w:tcPr>
            <w:tcW w:w="1172" w:type="dxa"/>
            <w:noWrap/>
            <w:hideMark/>
          </w:tcPr>
          <w:p w:rsidR="00793472" w:rsidRPr="007D5A5B" w:rsidRDefault="00793472" w:rsidP="007D5A5B">
            <w:pPr>
              <w:jc w:val="left"/>
              <w:rPr>
                <w:rFonts w:asciiTheme="majorBidi" w:hAnsiTheme="majorBidi" w:cstheme="majorBidi"/>
                <w:sz w:val="20"/>
                <w:szCs w:val="20"/>
                <w:lang w:val="en-US" w:eastAsia="zh-CN"/>
              </w:rPr>
            </w:pP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Lettonie</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54</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4,11</w:t>
            </w:r>
          </w:p>
        </w:tc>
        <w:tc>
          <w:tcPr>
            <w:tcW w:w="1109" w:type="dxa"/>
            <w:noWrap/>
            <w:hideMark/>
          </w:tcPr>
          <w:p w:rsidR="00793472" w:rsidRPr="007D5A5B" w:rsidRDefault="00793472" w:rsidP="007D5A5B">
            <w:pPr>
              <w:jc w:val="right"/>
              <w:rPr>
                <w:rFonts w:asciiTheme="majorBidi" w:hAnsiTheme="majorBidi" w:cstheme="majorBidi"/>
                <w:color w:val="000000"/>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72" w:type="dxa"/>
            <w:noWrap/>
            <w:hideMark/>
          </w:tcPr>
          <w:p w:rsidR="00793472" w:rsidRPr="007D5A5B" w:rsidRDefault="00793472" w:rsidP="007D5A5B">
            <w:pPr>
              <w:jc w:val="left"/>
              <w:rPr>
                <w:rFonts w:asciiTheme="majorBidi" w:hAnsiTheme="majorBidi" w:cstheme="majorBidi"/>
                <w:sz w:val="20"/>
                <w:szCs w:val="20"/>
                <w:lang w:val="en-US" w:eastAsia="zh-CN"/>
              </w:rPr>
            </w:pP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Liechtenstein</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22 038</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1,10</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1,15</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1,21</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1,26</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1,21</w:t>
            </w:r>
          </w:p>
        </w:tc>
        <w:tc>
          <w:tcPr>
            <w:tcW w:w="1172"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1,17</w:t>
            </w: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Luxembourg</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3 348</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2,90</w:t>
            </w:r>
          </w:p>
        </w:tc>
        <w:tc>
          <w:tcPr>
            <w:tcW w:w="1109" w:type="dxa"/>
            <w:noWrap/>
            <w:hideMark/>
          </w:tcPr>
          <w:p w:rsidR="00793472" w:rsidRPr="007D5A5B" w:rsidRDefault="00793472" w:rsidP="007D5A5B">
            <w:pPr>
              <w:jc w:val="right"/>
              <w:rPr>
                <w:rFonts w:asciiTheme="majorBidi" w:hAnsiTheme="majorBidi" w:cstheme="majorBidi"/>
                <w:color w:val="000000"/>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72" w:type="dxa"/>
            <w:noWrap/>
            <w:hideMark/>
          </w:tcPr>
          <w:p w:rsidR="00793472" w:rsidRPr="007D5A5B" w:rsidRDefault="00793472" w:rsidP="007D5A5B">
            <w:pPr>
              <w:jc w:val="left"/>
              <w:rPr>
                <w:rFonts w:asciiTheme="majorBidi" w:hAnsiTheme="majorBidi" w:cstheme="majorBidi"/>
                <w:sz w:val="20"/>
                <w:szCs w:val="20"/>
                <w:lang w:val="en-US" w:eastAsia="zh-CN"/>
              </w:rPr>
            </w:pP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Norvège</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117 863</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3,51</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3,32</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3,77</w:t>
            </w:r>
          </w:p>
        </w:tc>
        <w:tc>
          <w:tcPr>
            <w:tcW w:w="1109" w:type="dxa"/>
            <w:noWrap/>
            <w:hideMark/>
          </w:tcPr>
          <w:p w:rsidR="00793472" w:rsidRPr="007D5A5B" w:rsidRDefault="00793472" w:rsidP="007D5A5B">
            <w:pPr>
              <w:jc w:val="right"/>
              <w:rPr>
                <w:rFonts w:asciiTheme="majorBidi" w:hAnsiTheme="majorBidi" w:cstheme="majorBidi"/>
                <w:color w:val="000000"/>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72" w:type="dxa"/>
            <w:noWrap/>
            <w:hideMark/>
          </w:tcPr>
          <w:p w:rsidR="00793472" w:rsidRPr="007D5A5B" w:rsidRDefault="00793472" w:rsidP="007D5A5B">
            <w:pPr>
              <w:jc w:val="left"/>
              <w:rPr>
                <w:rFonts w:asciiTheme="majorBidi" w:hAnsiTheme="majorBidi" w:cstheme="majorBidi"/>
                <w:sz w:val="20"/>
                <w:szCs w:val="20"/>
                <w:lang w:val="en-US" w:eastAsia="zh-CN"/>
              </w:rPr>
            </w:pP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Nouvelle-Zélande</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16 838</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1,48</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1,24</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1,22</w:t>
            </w:r>
          </w:p>
        </w:tc>
        <w:tc>
          <w:tcPr>
            <w:tcW w:w="1109" w:type="dxa"/>
            <w:noWrap/>
            <w:hideMark/>
          </w:tcPr>
          <w:p w:rsidR="00793472" w:rsidRPr="007D5A5B" w:rsidRDefault="00793472" w:rsidP="007D5A5B">
            <w:pPr>
              <w:jc w:val="right"/>
              <w:rPr>
                <w:rFonts w:asciiTheme="majorBidi" w:hAnsiTheme="majorBidi" w:cstheme="majorBidi"/>
                <w:color w:val="000000"/>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72" w:type="dxa"/>
            <w:noWrap/>
            <w:hideMark/>
          </w:tcPr>
          <w:p w:rsidR="00793472" w:rsidRPr="007D5A5B" w:rsidRDefault="00793472" w:rsidP="007D5A5B">
            <w:pPr>
              <w:jc w:val="left"/>
              <w:rPr>
                <w:rFonts w:asciiTheme="majorBidi" w:hAnsiTheme="majorBidi" w:cstheme="majorBidi"/>
                <w:sz w:val="20"/>
                <w:szCs w:val="20"/>
                <w:lang w:val="en-US" w:eastAsia="zh-CN"/>
              </w:rPr>
            </w:pP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Pays-Bas</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143 445</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0,40</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0,69</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0,72</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0,93</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0,84</w:t>
            </w:r>
          </w:p>
        </w:tc>
        <w:tc>
          <w:tcPr>
            <w:tcW w:w="1172"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1,08</w:t>
            </w: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Pologne</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1 497</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1,60</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1,66</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1,73</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0,42</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0,86</w:t>
            </w:r>
          </w:p>
        </w:tc>
        <w:tc>
          <w:tcPr>
            <w:tcW w:w="1172" w:type="dxa"/>
            <w:noWrap/>
            <w:hideMark/>
          </w:tcPr>
          <w:p w:rsidR="00793472" w:rsidRPr="007D5A5B" w:rsidRDefault="00793472" w:rsidP="007D5A5B">
            <w:pPr>
              <w:jc w:val="right"/>
              <w:rPr>
                <w:rFonts w:asciiTheme="majorBidi" w:hAnsiTheme="majorBidi" w:cstheme="majorBidi"/>
                <w:color w:val="000000"/>
                <w:sz w:val="20"/>
                <w:szCs w:val="20"/>
                <w:lang w:val="en-US" w:eastAsia="zh-CN"/>
              </w:rPr>
            </w:pP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Portugal</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2 446</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0,49</w:t>
            </w:r>
          </w:p>
        </w:tc>
        <w:tc>
          <w:tcPr>
            <w:tcW w:w="1109" w:type="dxa"/>
            <w:noWrap/>
            <w:hideMark/>
          </w:tcPr>
          <w:p w:rsidR="00793472" w:rsidRPr="00591133" w:rsidRDefault="00793472" w:rsidP="007D5A5B">
            <w:pPr>
              <w:jc w:val="right"/>
              <w:rPr>
                <w:rFonts w:asciiTheme="majorBidi" w:hAnsiTheme="majorBidi" w:cstheme="majorBidi"/>
                <w:color w:val="000000"/>
                <w:sz w:val="20"/>
                <w:szCs w:val="20"/>
                <w:lang w:val="en-US" w:eastAsia="zh-CN"/>
              </w:rPr>
            </w:pPr>
          </w:p>
        </w:tc>
        <w:tc>
          <w:tcPr>
            <w:tcW w:w="1109" w:type="dxa"/>
            <w:noWrap/>
            <w:hideMark/>
          </w:tcPr>
          <w:p w:rsidR="00793472" w:rsidRPr="00591133" w:rsidRDefault="00793472" w:rsidP="007D5A5B">
            <w:pPr>
              <w:jc w:val="left"/>
              <w:rPr>
                <w:rFonts w:asciiTheme="majorBidi" w:hAnsiTheme="majorBidi" w:cstheme="majorBidi"/>
                <w:sz w:val="20"/>
                <w:szCs w:val="20"/>
                <w:lang w:val="en-US" w:eastAsia="zh-CN"/>
              </w:rPr>
            </w:pPr>
          </w:p>
        </w:tc>
        <w:tc>
          <w:tcPr>
            <w:tcW w:w="1109" w:type="dxa"/>
            <w:noWrap/>
            <w:hideMark/>
          </w:tcPr>
          <w:p w:rsidR="00793472" w:rsidRPr="00591133" w:rsidRDefault="00793472" w:rsidP="007D5A5B">
            <w:pPr>
              <w:jc w:val="left"/>
              <w:rPr>
                <w:rFonts w:asciiTheme="majorBidi" w:hAnsiTheme="majorBidi" w:cstheme="majorBidi"/>
                <w:sz w:val="20"/>
                <w:szCs w:val="20"/>
                <w:lang w:val="en-US" w:eastAsia="zh-CN"/>
              </w:rPr>
            </w:pPr>
          </w:p>
        </w:tc>
        <w:tc>
          <w:tcPr>
            <w:tcW w:w="1109" w:type="dxa"/>
            <w:noWrap/>
            <w:hideMark/>
          </w:tcPr>
          <w:p w:rsidR="00793472" w:rsidRPr="00591133" w:rsidRDefault="00793472" w:rsidP="007D5A5B">
            <w:pPr>
              <w:jc w:val="left"/>
              <w:rPr>
                <w:rFonts w:asciiTheme="majorBidi" w:hAnsiTheme="majorBidi" w:cstheme="majorBidi"/>
                <w:sz w:val="20"/>
                <w:szCs w:val="20"/>
                <w:lang w:val="en-US" w:eastAsia="zh-CN"/>
              </w:rPr>
            </w:pPr>
          </w:p>
        </w:tc>
        <w:tc>
          <w:tcPr>
            <w:tcW w:w="1172" w:type="dxa"/>
            <w:noWrap/>
            <w:hideMark/>
          </w:tcPr>
          <w:p w:rsidR="00793472" w:rsidRPr="00591133" w:rsidRDefault="00793472" w:rsidP="007D5A5B">
            <w:pPr>
              <w:jc w:val="left"/>
              <w:rPr>
                <w:rFonts w:asciiTheme="majorBidi" w:hAnsiTheme="majorBidi" w:cstheme="majorBidi"/>
                <w:sz w:val="20"/>
                <w:szCs w:val="20"/>
                <w:lang w:val="en-US" w:eastAsia="zh-CN"/>
              </w:rPr>
            </w:pP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République de Corée</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13 283</w:t>
            </w:r>
          </w:p>
        </w:tc>
        <w:tc>
          <w:tcPr>
            <w:tcW w:w="740" w:type="dxa"/>
            <w:noWrap/>
            <w:hideMark/>
          </w:tcPr>
          <w:p w:rsidR="00793472" w:rsidRPr="00591133" w:rsidRDefault="00793472" w:rsidP="007D5A5B">
            <w:pPr>
              <w:jc w:val="right"/>
              <w:rPr>
                <w:rFonts w:asciiTheme="majorBidi" w:hAnsiTheme="majorBidi" w:cstheme="majorBidi"/>
                <w:color w:val="000000"/>
                <w:sz w:val="20"/>
                <w:szCs w:val="20"/>
                <w:lang w:val="en-US" w:eastAsia="zh-CN"/>
              </w:rPr>
            </w:pP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2,36</w:t>
            </w:r>
          </w:p>
        </w:tc>
        <w:tc>
          <w:tcPr>
            <w:tcW w:w="1109" w:type="dxa"/>
            <w:noWrap/>
            <w:hideMark/>
          </w:tcPr>
          <w:p w:rsidR="00793472" w:rsidRPr="00591133" w:rsidRDefault="00793472" w:rsidP="007D5A5B">
            <w:pPr>
              <w:jc w:val="right"/>
              <w:rPr>
                <w:rFonts w:asciiTheme="majorBidi" w:hAnsiTheme="majorBidi" w:cstheme="majorBidi"/>
                <w:color w:val="000000"/>
                <w:sz w:val="20"/>
                <w:szCs w:val="20"/>
                <w:lang w:val="en-US" w:eastAsia="zh-CN"/>
              </w:rPr>
            </w:pPr>
          </w:p>
        </w:tc>
        <w:tc>
          <w:tcPr>
            <w:tcW w:w="1109" w:type="dxa"/>
            <w:noWrap/>
            <w:hideMark/>
          </w:tcPr>
          <w:p w:rsidR="00793472" w:rsidRPr="00591133" w:rsidRDefault="00793472" w:rsidP="007D5A5B">
            <w:pPr>
              <w:jc w:val="left"/>
              <w:rPr>
                <w:rFonts w:asciiTheme="majorBidi" w:hAnsiTheme="majorBidi" w:cstheme="majorBidi"/>
                <w:sz w:val="20"/>
                <w:szCs w:val="20"/>
                <w:lang w:val="en-US" w:eastAsia="zh-CN"/>
              </w:rPr>
            </w:pPr>
          </w:p>
        </w:tc>
        <w:tc>
          <w:tcPr>
            <w:tcW w:w="1109" w:type="dxa"/>
            <w:noWrap/>
            <w:hideMark/>
          </w:tcPr>
          <w:p w:rsidR="00793472" w:rsidRPr="00591133" w:rsidRDefault="00793472" w:rsidP="007D5A5B">
            <w:pPr>
              <w:jc w:val="left"/>
              <w:rPr>
                <w:rFonts w:asciiTheme="majorBidi" w:hAnsiTheme="majorBidi" w:cstheme="majorBidi"/>
                <w:sz w:val="20"/>
                <w:szCs w:val="20"/>
                <w:lang w:val="en-US" w:eastAsia="zh-CN"/>
              </w:rPr>
            </w:pPr>
          </w:p>
        </w:tc>
        <w:tc>
          <w:tcPr>
            <w:tcW w:w="1172" w:type="dxa"/>
            <w:noWrap/>
            <w:hideMark/>
          </w:tcPr>
          <w:p w:rsidR="00793472" w:rsidRPr="00591133" w:rsidRDefault="00793472" w:rsidP="007D5A5B">
            <w:pPr>
              <w:jc w:val="left"/>
              <w:rPr>
                <w:rFonts w:asciiTheme="majorBidi" w:hAnsiTheme="majorBidi" w:cstheme="majorBidi"/>
                <w:sz w:val="20"/>
                <w:szCs w:val="20"/>
                <w:lang w:val="en-US" w:eastAsia="zh-CN"/>
              </w:rPr>
            </w:pP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 xml:space="preserve">Royaume-Uni </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133 558</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2,09</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1,98</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2,47</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1,78</w:t>
            </w:r>
          </w:p>
        </w:tc>
        <w:tc>
          <w:tcPr>
            <w:tcW w:w="1109" w:type="dxa"/>
            <w:noWrap/>
            <w:hideMark/>
          </w:tcPr>
          <w:p w:rsidR="00793472" w:rsidRPr="00591133" w:rsidRDefault="00793472" w:rsidP="007D5A5B">
            <w:pPr>
              <w:jc w:val="right"/>
              <w:rPr>
                <w:rFonts w:asciiTheme="majorBidi" w:hAnsiTheme="majorBidi" w:cstheme="majorBidi"/>
                <w:color w:val="000000"/>
                <w:sz w:val="20"/>
                <w:szCs w:val="20"/>
                <w:lang w:val="en-US" w:eastAsia="zh-CN"/>
              </w:rPr>
            </w:pPr>
          </w:p>
        </w:tc>
        <w:tc>
          <w:tcPr>
            <w:tcW w:w="1172" w:type="dxa"/>
            <w:noWrap/>
            <w:hideMark/>
          </w:tcPr>
          <w:p w:rsidR="00793472" w:rsidRPr="00591133" w:rsidRDefault="00793472" w:rsidP="007D5A5B">
            <w:pPr>
              <w:jc w:val="left"/>
              <w:rPr>
                <w:rFonts w:asciiTheme="majorBidi" w:hAnsiTheme="majorBidi" w:cstheme="majorBidi"/>
                <w:sz w:val="20"/>
                <w:szCs w:val="20"/>
                <w:lang w:val="en-US" w:eastAsia="zh-CN"/>
              </w:rPr>
            </w:pP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Slovénie</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528</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0,56</w:t>
            </w:r>
          </w:p>
        </w:tc>
        <w:tc>
          <w:tcPr>
            <w:tcW w:w="1109" w:type="dxa"/>
            <w:noWrap/>
            <w:hideMark/>
          </w:tcPr>
          <w:p w:rsidR="00793472" w:rsidRPr="00591133" w:rsidRDefault="00793472" w:rsidP="007D5A5B">
            <w:pPr>
              <w:jc w:val="right"/>
              <w:rPr>
                <w:rFonts w:asciiTheme="majorBidi" w:hAnsiTheme="majorBidi" w:cstheme="majorBidi"/>
                <w:color w:val="000000"/>
                <w:sz w:val="20"/>
                <w:szCs w:val="20"/>
                <w:lang w:val="en-US" w:eastAsia="zh-CN"/>
              </w:rPr>
            </w:pPr>
          </w:p>
        </w:tc>
        <w:tc>
          <w:tcPr>
            <w:tcW w:w="1109" w:type="dxa"/>
            <w:noWrap/>
            <w:hideMark/>
          </w:tcPr>
          <w:p w:rsidR="00793472" w:rsidRPr="00591133" w:rsidRDefault="00793472" w:rsidP="007D5A5B">
            <w:pPr>
              <w:jc w:val="left"/>
              <w:rPr>
                <w:rFonts w:asciiTheme="majorBidi" w:hAnsiTheme="majorBidi" w:cstheme="majorBidi"/>
                <w:sz w:val="20"/>
                <w:szCs w:val="20"/>
                <w:lang w:val="en-US" w:eastAsia="zh-CN"/>
              </w:rPr>
            </w:pPr>
          </w:p>
        </w:tc>
        <w:tc>
          <w:tcPr>
            <w:tcW w:w="1109" w:type="dxa"/>
            <w:noWrap/>
            <w:hideMark/>
          </w:tcPr>
          <w:p w:rsidR="00793472" w:rsidRPr="00591133" w:rsidRDefault="00793472" w:rsidP="007D5A5B">
            <w:pPr>
              <w:jc w:val="left"/>
              <w:rPr>
                <w:rFonts w:asciiTheme="majorBidi" w:hAnsiTheme="majorBidi" w:cstheme="majorBidi"/>
                <w:sz w:val="20"/>
                <w:szCs w:val="20"/>
                <w:lang w:val="en-US" w:eastAsia="zh-CN"/>
              </w:rPr>
            </w:pPr>
          </w:p>
        </w:tc>
        <w:tc>
          <w:tcPr>
            <w:tcW w:w="1109" w:type="dxa"/>
            <w:noWrap/>
            <w:hideMark/>
          </w:tcPr>
          <w:p w:rsidR="00793472" w:rsidRPr="00591133" w:rsidRDefault="00793472" w:rsidP="007D5A5B">
            <w:pPr>
              <w:jc w:val="left"/>
              <w:rPr>
                <w:rFonts w:asciiTheme="majorBidi" w:hAnsiTheme="majorBidi" w:cstheme="majorBidi"/>
                <w:sz w:val="20"/>
                <w:szCs w:val="20"/>
                <w:lang w:val="en-US" w:eastAsia="zh-CN"/>
              </w:rPr>
            </w:pPr>
          </w:p>
        </w:tc>
        <w:tc>
          <w:tcPr>
            <w:tcW w:w="1172" w:type="dxa"/>
            <w:noWrap/>
            <w:hideMark/>
          </w:tcPr>
          <w:p w:rsidR="00793472" w:rsidRPr="00591133" w:rsidRDefault="00793472" w:rsidP="007D5A5B">
            <w:pPr>
              <w:jc w:val="left"/>
              <w:rPr>
                <w:rFonts w:asciiTheme="majorBidi" w:hAnsiTheme="majorBidi" w:cstheme="majorBidi"/>
                <w:sz w:val="20"/>
                <w:szCs w:val="20"/>
                <w:lang w:val="en-US" w:eastAsia="zh-CN"/>
              </w:rPr>
            </w:pP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Suède</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74 172</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1,48</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1,70</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1,91</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2,47</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2,96</w:t>
            </w:r>
          </w:p>
        </w:tc>
        <w:tc>
          <w:tcPr>
            <w:tcW w:w="1172"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2,85</w:t>
            </w: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Suisse</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49 315</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1,30</w:t>
            </w:r>
          </w:p>
        </w:tc>
        <w:tc>
          <w:tcPr>
            <w:tcW w:w="1109" w:type="dxa"/>
            <w:noWrap/>
            <w:hideMark/>
          </w:tcPr>
          <w:p w:rsidR="00793472" w:rsidRPr="00591133" w:rsidRDefault="00793472" w:rsidP="007D5A5B">
            <w:pPr>
              <w:jc w:val="right"/>
              <w:rPr>
                <w:rFonts w:asciiTheme="majorBidi" w:hAnsiTheme="majorBidi" w:cstheme="majorBidi"/>
                <w:color w:val="000000"/>
                <w:sz w:val="20"/>
                <w:szCs w:val="20"/>
                <w:lang w:val="en-US" w:eastAsia="zh-CN"/>
              </w:rPr>
            </w:pPr>
          </w:p>
        </w:tc>
        <w:tc>
          <w:tcPr>
            <w:tcW w:w="1109" w:type="dxa"/>
            <w:noWrap/>
            <w:hideMark/>
          </w:tcPr>
          <w:p w:rsidR="00793472" w:rsidRPr="00591133" w:rsidRDefault="00793472" w:rsidP="007D5A5B">
            <w:pPr>
              <w:jc w:val="left"/>
              <w:rPr>
                <w:rFonts w:asciiTheme="majorBidi" w:hAnsiTheme="majorBidi" w:cstheme="majorBidi"/>
                <w:sz w:val="20"/>
                <w:szCs w:val="20"/>
                <w:lang w:val="en-US" w:eastAsia="zh-CN"/>
              </w:rPr>
            </w:pP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2,62</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2,62</w:t>
            </w:r>
          </w:p>
        </w:tc>
        <w:tc>
          <w:tcPr>
            <w:tcW w:w="1172" w:type="dxa"/>
            <w:noWrap/>
            <w:hideMark/>
          </w:tcPr>
          <w:p w:rsidR="00793472" w:rsidRPr="00591133" w:rsidRDefault="00793472" w:rsidP="007D5A5B">
            <w:pPr>
              <w:jc w:val="right"/>
              <w:rPr>
                <w:rFonts w:asciiTheme="majorBidi" w:hAnsiTheme="majorBidi" w:cstheme="majorBidi"/>
                <w:color w:val="000000"/>
                <w:sz w:val="20"/>
                <w:szCs w:val="20"/>
                <w:lang w:val="en-US" w:eastAsia="zh-CN"/>
              </w:rPr>
            </w:pP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Tchéquie</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2 858</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0,82</w:t>
            </w:r>
          </w:p>
        </w:tc>
        <w:tc>
          <w:tcPr>
            <w:tcW w:w="1109" w:type="dxa"/>
            <w:noWrap/>
            <w:hideMark/>
          </w:tcPr>
          <w:p w:rsidR="00793472" w:rsidRPr="007D5A5B" w:rsidRDefault="00793472" w:rsidP="007D5A5B">
            <w:pPr>
              <w:jc w:val="right"/>
              <w:rPr>
                <w:rFonts w:asciiTheme="majorBidi" w:hAnsiTheme="majorBidi" w:cstheme="majorBidi"/>
                <w:color w:val="000000"/>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09" w:type="dxa"/>
            <w:noWrap/>
            <w:hideMark/>
          </w:tcPr>
          <w:p w:rsidR="00793472" w:rsidRPr="007D5A5B" w:rsidRDefault="00793472" w:rsidP="007D5A5B">
            <w:pPr>
              <w:jc w:val="left"/>
              <w:rPr>
                <w:rFonts w:asciiTheme="majorBidi" w:hAnsiTheme="majorBidi" w:cstheme="majorBidi"/>
                <w:sz w:val="20"/>
                <w:szCs w:val="20"/>
                <w:lang w:val="en-US" w:eastAsia="zh-CN"/>
              </w:rPr>
            </w:pPr>
          </w:p>
        </w:tc>
        <w:tc>
          <w:tcPr>
            <w:tcW w:w="1172" w:type="dxa"/>
            <w:noWrap/>
            <w:hideMark/>
          </w:tcPr>
          <w:p w:rsidR="00793472" w:rsidRPr="007D5A5B" w:rsidRDefault="00793472" w:rsidP="007D5A5B">
            <w:pPr>
              <w:jc w:val="left"/>
              <w:rPr>
                <w:rFonts w:asciiTheme="majorBidi" w:hAnsiTheme="majorBidi" w:cstheme="majorBidi"/>
                <w:sz w:val="20"/>
                <w:szCs w:val="20"/>
                <w:lang w:val="en-US" w:eastAsia="zh-CN"/>
              </w:rPr>
            </w:pPr>
          </w:p>
        </w:tc>
      </w:tr>
      <w:tr w:rsidR="00793472" w:rsidRPr="007D5A5B" w:rsidTr="00591133">
        <w:trPr>
          <w:trHeight w:val="290"/>
        </w:trPr>
        <w:tc>
          <w:tcPr>
            <w:tcW w:w="1913" w:type="dxa"/>
            <w:noWrap/>
            <w:hideMark/>
          </w:tcPr>
          <w:p w:rsidR="00793472" w:rsidRDefault="00793472">
            <w:pPr>
              <w:jc w:val="lef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Union Européenne</w:t>
            </w:r>
          </w:p>
        </w:tc>
        <w:tc>
          <w:tcPr>
            <w:tcW w:w="1205"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226 237</w:t>
            </w:r>
          </w:p>
        </w:tc>
        <w:tc>
          <w:tcPr>
            <w:tcW w:w="740"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1,64</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1,91</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3,90</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3,91</w:t>
            </w:r>
          </w:p>
        </w:tc>
        <w:tc>
          <w:tcPr>
            <w:tcW w:w="1109"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3,50</w:t>
            </w:r>
          </w:p>
        </w:tc>
        <w:tc>
          <w:tcPr>
            <w:tcW w:w="1172" w:type="dxa"/>
            <w:noWrap/>
            <w:hideMark/>
          </w:tcPr>
          <w:p w:rsidR="00793472" w:rsidRDefault="00793472">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2,29</w:t>
            </w:r>
          </w:p>
        </w:tc>
      </w:tr>
      <w:tr w:rsidR="0013552A" w:rsidRPr="007D5A5B" w:rsidTr="00591133">
        <w:trPr>
          <w:trHeight w:val="290"/>
        </w:trPr>
        <w:tc>
          <w:tcPr>
            <w:tcW w:w="1913" w:type="dxa"/>
            <w:noWrap/>
            <w:hideMark/>
          </w:tcPr>
          <w:p w:rsidR="00AC7EA1" w:rsidRDefault="00324D7C">
            <w:pPr>
              <w:jc w:val="left"/>
              <w:rPr>
                <w:rFonts w:asciiTheme="majorBidi" w:hAnsiTheme="majorBidi" w:cstheme="majorBidi"/>
                <w:b/>
                <w:bCs/>
                <w:color w:val="000000"/>
                <w:sz w:val="20"/>
                <w:szCs w:val="20"/>
                <w:lang w:val="en-US" w:eastAsia="zh-CN"/>
              </w:rPr>
            </w:pPr>
            <w:r>
              <w:rPr>
                <w:rFonts w:asciiTheme="majorBidi" w:hAnsiTheme="majorBidi" w:cstheme="majorBidi"/>
                <w:b/>
                <w:bCs/>
                <w:color w:val="000000"/>
                <w:sz w:val="20"/>
                <w:szCs w:val="20"/>
              </w:rPr>
              <w:t>Total</w:t>
            </w:r>
          </w:p>
        </w:tc>
        <w:tc>
          <w:tcPr>
            <w:tcW w:w="1205" w:type="dxa"/>
            <w:noWrap/>
            <w:hideMark/>
          </w:tcPr>
          <w:p w:rsidR="00AC7EA1" w:rsidRDefault="00324D7C">
            <w:pPr>
              <w:jc w:val="right"/>
              <w:rPr>
                <w:rFonts w:asciiTheme="majorBidi" w:hAnsiTheme="majorBidi" w:cstheme="majorBidi"/>
                <w:b/>
                <w:bCs/>
                <w:color w:val="000000"/>
                <w:sz w:val="20"/>
                <w:szCs w:val="20"/>
                <w:lang w:val="en-US" w:eastAsia="zh-CN"/>
              </w:rPr>
            </w:pPr>
            <w:r>
              <w:rPr>
                <w:rFonts w:asciiTheme="majorBidi" w:hAnsiTheme="majorBidi" w:cstheme="majorBidi"/>
                <w:b/>
                <w:bCs/>
                <w:color w:val="000000"/>
                <w:sz w:val="20"/>
                <w:szCs w:val="20"/>
              </w:rPr>
              <w:t>2 943 976</w:t>
            </w:r>
          </w:p>
        </w:tc>
        <w:tc>
          <w:tcPr>
            <w:tcW w:w="740" w:type="dxa"/>
            <w:noWrap/>
            <w:hideMark/>
          </w:tcPr>
          <w:p w:rsidR="00AC7EA1" w:rsidRDefault="00324D7C">
            <w:pPr>
              <w:jc w:val="right"/>
              <w:rPr>
                <w:rFonts w:asciiTheme="majorBidi" w:hAnsiTheme="majorBidi" w:cstheme="majorBidi"/>
                <w:b/>
                <w:bCs/>
                <w:color w:val="000000"/>
                <w:sz w:val="20"/>
                <w:szCs w:val="20"/>
                <w:lang w:val="en-US" w:eastAsia="zh-CN"/>
              </w:rPr>
            </w:pPr>
            <w:r>
              <w:rPr>
                <w:rFonts w:asciiTheme="majorBidi" w:hAnsiTheme="majorBidi" w:cstheme="majorBidi"/>
                <w:b/>
                <w:bCs/>
                <w:color w:val="000000"/>
                <w:sz w:val="20"/>
                <w:szCs w:val="20"/>
              </w:rPr>
              <w:t>1,66</w:t>
            </w:r>
          </w:p>
        </w:tc>
        <w:tc>
          <w:tcPr>
            <w:tcW w:w="1109" w:type="dxa"/>
            <w:noWrap/>
            <w:hideMark/>
          </w:tcPr>
          <w:p w:rsidR="00AC7EA1" w:rsidRDefault="00324D7C">
            <w:pPr>
              <w:jc w:val="right"/>
              <w:rPr>
                <w:rFonts w:asciiTheme="majorBidi" w:hAnsiTheme="majorBidi" w:cstheme="majorBidi"/>
                <w:b/>
                <w:bCs/>
                <w:color w:val="000000"/>
                <w:sz w:val="20"/>
                <w:szCs w:val="20"/>
                <w:lang w:val="en-US" w:eastAsia="zh-CN"/>
              </w:rPr>
            </w:pPr>
            <w:r>
              <w:rPr>
                <w:rFonts w:asciiTheme="majorBidi" w:hAnsiTheme="majorBidi" w:cstheme="majorBidi"/>
                <w:b/>
                <w:bCs/>
                <w:color w:val="000000"/>
                <w:sz w:val="20"/>
                <w:szCs w:val="20"/>
              </w:rPr>
              <w:t>1,23</w:t>
            </w:r>
          </w:p>
        </w:tc>
        <w:tc>
          <w:tcPr>
            <w:tcW w:w="1109" w:type="dxa"/>
            <w:noWrap/>
            <w:hideMark/>
          </w:tcPr>
          <w:p w:rsidR="00AC7EA1" w:rsidRDefault="00324D7C">
            <w:pPr>
              <w:jc w:val="right"/>
              <w:rPr>
                <w:rFonts w:asciiTheme="majorBidi" w:hAnsiTheme="majorBidi" w:cstheme="majorBidi"/>
                <w:b/>
                <w:bCs/>
                <w:color w:val="000000"/>
                <w:sz w:val="20"/>
                <w:szCs w:val="20"/>
                <w:lang w:val="en-US" w:eastAsia="zh-CN"/>
              </w:rPr>
            </w:pPr>
            <w:r>
              <w:rPr>
                <w:rFonts w:asciiTheme="majorBidi" w:hAnsiTheme="majorBidi" w:cstheme="majorBidi"/>
                <w:b/>
                <w:bCs/>
                <w:color w:val="000000"/>
                <w:sz w:val="20"/>
                <w:szCs w:val="20"/>
              </w:rPr>
              <w:t>1,34</w:t>
            </w:r>
          </w:p>
        </w:tc>
        <w:tc>
          <w:tcPr>
            <w:tcW w:w="1109" w:type="dxa"/>
            <w:noWrap/>
            <w:hideMark/>
          </w:tcPr>
          <w:p w:rsidR="00AC7EA1" w:rsidRDefault="00324D7C">
            <w:pPr>
              <w:jc w:val="right"/>
              <w:rPr>
                <w:rFonts w:asciiTheme="majorBidi" w:hAnsiTheme="majorBidi" w:cstheme="majorBidi"/>
                <w:b/>
                <w:bCs/>
                <w:color w:val="000000"/>
                <w:sz w:val="20"/>
                <w:szCs w:val="20"/>
                <w:lang w:val="en-US" w:eastAsia="zh-CN"/>
              </w:rPr>
            </w:pPr>
            <w:r>
              <w:rPr>
                <w:rFonts w:asciiTheme="majorBidi" w:hAnsiTheme="majorBidi" w:cstheme="majorBidi"/>
                <w:b/>
                <w:bCs/>
                <w:color w:val="000000"/>
                <w:sz w:val="20"/>
                <w:szCs w:val="20"/>
              </w:rPr>
              <w:t>1,39</w:t>
            </w:r>
          </w:p>
        </w:tc>
        <w:tc>
          <w:tcPr>
            <w:tcW w:w="1109" w:type="dxa"/>
            <w:noWrap/>
            <w:hideMark/>
          </w:tcPr>
          <w:p w:rsidR="00AC7EA1" w:rsidRDefault="00324D7C">
            <w:pPr>
              <w:jc w:val="right"/>
              <w:rPr>
                <w:rFonts w:asciiTheme="majorBidi" w:hAnsiTheme="majorBidi" w:cstheme="majorBidi"/>
                <w:b/>
                <w:bCs/>
                <w:color w:val="000000"/>
                <w:sz w:val="20"/>
                <w:szCs w:val="20"/>
                <w:lang w:val="en-US" w:eastAsia="zh-CN"/>
              </w:rPr>
            </w:pPr>
            <w:r>
              <w:rPr>
                <w:rFonts w:asciiTheme="majorBidi" w:hAnsiTheme="majorBidi" w:cstheme="majorBidi"/>
                <w:b/>
                <w:bCs/>
                <w:color w:val="000000"/>
                <w:sz w:val="20"/>
                <w:szCs w:val="20"/>
              </w:rPr>
              <w:t>2,52</w:t>
            </w:r>
          </w:p>
        </w:tc>
        <w:tc>
          <w:tcPr>
            <w:tcW w:w="1172" w:type="dxa"/>
            <w:noWrap/>
            <w:hideMark/>
          </w:tcPr>
          <w:p w:rsidR="00AC7EA1" w:rsidRDefault="00324D7C">
            <w:pPr>
              <w:jc w:val="right"/>
              <w:rPr>
                <w:rFonts w:asciiTheme="majorBidi" w:hAnsiTheme="majorBidi" w:cstheme="majorBidi"/>
                <w:b/>
                <w:bCs/>
                <w:color w:val="000000"/>
                <w:sz w:val="20"/>
                <w:szCs w:val="20"/>
                <w:lang w:val="en-US" w:eastAsia="zh-CN"/>
              </w:rPr>
            </w:pPr>
            <w:r>
              <w:rPr>
                <w:rFonts w:asciiTheme="majorBidi" w:hAnsiTheme="majorBidi" w:cstheme="majorBidi"/>
                <w:b/>
                <w:bCs/>
                <w:color w:val="000000"/>
                <w:sz w:val="20"/>
                <w:szCs w:val="20"/>
              </w:rPr>
              <w:t>2,83</w:t>
            </w:r>
          </w:p>
        </w:tc>
      </w:tr>
      <w:tr w:rsidR="0013552A" w:rsidRPr="007D5A5B" w:rsidTr="00591133">
        <w:trPr>
          <w:trHeight w:val="290"/>
        </w:trPr>
        <w:tc>
          <w:tcPr>
            <w:tcW w:w="1913" w:type="dxa"/>
            <w:noWrap/>
            <w:hideMark/>
          </w:tcPr>
          <w:p w:rsidR="00AC7EA1" w:rsidRPr="00DE607B" w:rsidRDefault="00324D7C">
            <w:pPr>
              <w:jc w:val="left"/>
              <w:rPr>
                <w:rFonts w:asciiTheme="majorBidi" w:hAnsiTheme="majorBidi" w:cstheme="majorBidi"/>
                <w:color w:val="000000"/>
                <w:sz w:val="20"/>
                <w:szCs w:val="20"/>
                <w:lang w:eastAsia="zh-CN"/>
              </w:rPr>
            </w:pPr>
            <w:r>
              <w:rPr>
                <w:rFonts w:asciiTheme="majorBidi" w:hAnsiTheme="majorBidi" w:cstheme="majorBidi"/>
                <w:color w:val="000000"/>
                <w:sz w:val="20"/>
                <w:szCs w:val="20"/>
              </w:rPr>
              <w:t>Nombre de pays ayant communiqué des données</w:t>
            </w:r>
          </w:p>
        </w:tc>
        <w:tc>
          <w:tcPr>
            <w:tcW w:w="1205" w:type="dxa"/>
            <w:noWrap/>
            <w:hideMark/>
          </w:tcPr>
          <w:p w:rsidR="007D5A5B" w:rsidRPr="00DE607B" w:rsidRDefault="007D5A5B" w:rsidP="007D5A5B">
            <w:pPr>
              <w:jc w:val="left"/>
              <w:rPr>
                <w:rFonts w:asciiTheme="majorBidi" w:hAnsiTheme="majorBidi" w:cstheme="majorBidi"/>
                <w:color w:val="000000"/>
                <w:sz w:val="20"/>
                <w:szCs w:val="20"/>
                <w:lang w:eastAsia="zh-CN"/>
              </w:rPr>
            </w:pPr>
          </w:p>
        </w:tc>
        <w:tc>
          <w:tcPr>
            <w:tcW w:w="740" w:type="dxa"/>
            <w:noWrap/>
            <w:hideMark/>
          </w:tcPr>
          <w:p w:rsidR="00AC7EA1" w:rsidRDefault="00324D7C">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28</w:t>
            </w:r>
          </w:p>
        </w:tc>
        <w:tc>
          <w:tcPr>
            <w:tcW w:w="1109" w:type="dxa"/>
            <w:noWrap/>
            <w:hideMark/>
          </w:tcPr>
          <w:p w:rsidR="00AC7EA1" w:rsidRDefault="00324D7C">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19</w:t>
            </w:r>
          </w:p>
        </w:tc>
        <w:tc>
          <w:tcPr>
            <w:tcW w:w="1109" w:type="dxa"/>
            <w:noWrap/>
            <w:hideMark/>
          </w:tcPr>
          <w:p w:rsidR="00AC7EA1" w:rsidRDefault="00324D7C">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19</w:t>
            </w:r>
          </w:p>
        </w:tc>
        <w:tc>
          <w:tcPr>
            <w:tcW w:w="1109" w:type="dxa"/>
            <w:noWrap/>
            <w:hideMark/>
          </w:tcPr>
          <w:p w:rsidR="00AC7EA1" w:rsidRDefault="00324D7C">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15</w:t>
            </w:r>
          </w:p>
        </w:tc>
        <w:tc>
          <w:tcPr>
            <w:tcW w:w="1109" w:type="dxa"/>
            <w:noWrap/>
            <w:hideMark/>
          </w:tcPr>
          <w:p w:rsidR="00AC7EA1" w:rsidRDefault="00324D7C">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14</w:t>
            </w:r>
          </w:p>
        </w:tc>
        <w:tc>
          <w:tcPr>
            <w:tcW w:w="1172" w:type="dxa"/>
            <w:noWrap/>
            <w:hideMark/>
          </w:tcPr>
          <w:p w:rsidR="00AC7EA1" w:rsidRDefault="00324D7C">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9</w:t>
            </w:r>
          </w:p>
        </w:tc>
      </w:tr>
      <w:tr w:rsidR="0013552A" w:rsidRPr="007D5A5B" w:rsidTr="00591133">
        <w:trPr>
          <w:trHeight w:val="290"/>
        </w:trPr>
        <w:tc>
          <w:tcPr>
            <w:tcW w:w="1913" w:type="dxa"/>
            <w:tcBorders>
              <w:bottom w:val="single" w:sz="4" w:space="0" w:color="auto"/>
            </w:tcBorders>
            <w:noWrap/>
            <w:hideMark/>
          </w:tcPr>
          <w:p w:rsidR="00AC7EA1" w:rsidRPr="00DE607B" w:rsidRDefault="00324D7C">
            <w:pPr>
              <w:keepNext/>
              <w:jc w:val="left"/>
              <w:rPr>
                <w:rFonts w:asciiTheme="majorBidi" w:hAnsiTheme="majorBidi" w:cstheme="majorBidi"/>
                <w:color w:val="000000"/>
                <w:sz w:val="20"/>
                <w:szCs w:val="20"/>
                <w:lang w:eastAsia="zh-CN"/>
              </w:rPr>
            </w:pPr>
            <w:r>
              <w:rPr>
                <w:rFonts w:asciiTheme="majorBidi" w:hAnsiTheme="majorBidi" w:cstheme="majorBidi"/>
                <w:color w:val="000000"/>
                <w:sz w:val="20"/>
                <w:szCs w:val="20"/>
              </w:rPr>
              <w:lastRenderedPageBreak/>
              <w:t>Part du niveau de référence</w:t>
            </w:r>
          </w:p>
        </w:tc>
        <w:tc>
          <w:tcPr>
            <w:tcW w:w="1205" w:type="dxa"/>
            <w:tcBorders>
              <w:bottom w:val="single" w:sz="4" w:space="0" w:color="auto"/>
            </w:tcBorders>
            <w:noWrap/>
            <w:hideMark/>
          </w:tcPr>
          <w:p w:rsidR="007D5A5B" w:rsidRPr="00DE607B" w:rsidRDefault="007D5A5B" w:rsidP="007D5A5B">
            <w:pPr>
              <w:jc w:val="left"/>
              <w:rPr>
                <w:rFonts w:asciiTheme="majorBidi" w:hAnsiTheme="majorBidi" w:cstheme="majorBidi"/>
                <w:color w:val="000000"/>
                <w:sz w:val="20"/>
                <w:szCs w:val="20"/>
                <w:lang w:eastAsia="zh-CN"/>
              </w:rPr>
            </w:pPr>
          </w:p>
        </w:tc>
        <w:tc>
          <w:tcPr>
            <w:tcW w:w="740" w:type="dxa"/>
            <w:tcBorders>
              <w:bottom w:val="single" w:sz="4" w:space="0" w:color="auto"/>
            </w:tcBorders>
            <w:noWrap/>
            <w:hideMark/>
          </w:tcPr>
          <w:p w:rsidR="00AC7EA1" w:rsidRDefault="00324D7C">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0,995</w:t>
            </w:r>
          </w:p>
        </w:tc>
        <w:tc>
          <w:tcPr>
            <w:tcW w:w="1109" w:type="dxa"/>
            <w:tcBorders>
              <w:bottom w:val="single" w:sz="4" w:space="0" w:color="auto"/>
            </w:tcBorders>
            <w:noWrap/>
            <w:hideMark/>
          </w:tcPr>
          <w:p w:rsidR="00AC7EA1" w:rsidRDefault="00324D7C">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0,923</w:t>
            </w:r>
          </w:p>
        </w:tc>
        <w:tc>
          <w:tcPr>
            <w:tcW w:w="1109" w:type="dxa"/>
            <w:tcBorders>
              <w:bottom w:val="single" w:sz="4" w:space="0" w:color="auto"/>
            </w:tcBorders>
            <w:noWrap/>
            <w:hideMark/>
          </w:tcPr>
          <w:p w:rsidR="00AC7EA1" w:rsidRDefault="00324D7C">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0,919</w:t>
            </w:r>
          </w:p>
        </w:tc>
        <w:tc>
          <w:tcPr>
            <w:tcW w:w="1109" w:type="dxa"/>
            <w:tcBorders>
              <w:bottom w:val="single" w:sz="4" w:space="0" w:color="auto"/>
            </w:tcBorders>
            <w:noWrap/>
            <w:hideMark/>
          </w:tcPr>
          <w:p w:rsidR="00AC7EA1" w:rsidRDefault="00324D7C">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0,854</w:t>
            </w:r>
          </w:p>
        </w:tc>
        <w:tc>
          <w:tcPr>
            <w:tcW w:w="1109" w:type="dxa"/>
            <w:tcBorders>
              <w:bottom w:val="single" w:sz="4" w:space="0" w:color="auto"/>
            </w:tcBorders>
            <w:noWrap/>
            <w:hideMark/>
          </w:tcPr>
          <w:p w:rsidR="00AC7EA1" w:rsidRDefault="00324D7C">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0,388</w:t>
            </w:r>
          </w:p>
        </w:tc>
        <w:tc>
          <w:tcPr>
            <w:tcW w:w="1172" w:type="dxa"/>
            <w:tcBorders>
              <w:bottom w:val="single" w:sz="4" w:space="0" w:color="auto"/>
            </w:tcBorders>
            <w:noWrap/>
            <w:hideMark/>
          </w:tcPr>
          <w:p w:rsidR="00AC7EA1" w:rsidRDefault="00324D7C">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rPr>
              <w:t>0,305</w:t>
            </w:r>
          </w:p>
        </w:tc>
      </w:tr>
      <w:tr w:rsidR="005A4D4B" w:rsidTr="00591133">
        <w:tc>
          <w:tcPr>
            <w:tcW w:w="9466" w:type="dxa"/>
            <w:gridSpan w:val="8"/>
            <w:tcBorders>
              <w:top w:val="single" w:sz="4" w:space="0" w:color="auto"/>
              <w:left w:val="nil"/>
              <w:bottom w:val="nil"/>
              <w:right w:val="nil"/>
            </w:tcBorders>
          </w:tcPr>
          <w:p w:rsidR="00AC7EA1" w:rsidRDefault="00324D7C">
            <w:pPr>
              <w:suppressLineNumbers/>
              <w:suppressAutoHyphens/>
              <w:kinsoku w:val="0"/>
              <w:overflowPunct w:val="0"/>
              <w:autoSpaceDE w:val="0"/>
              <w:autoSpaceDN w:val="0"/>
              <w:adjustRightInd w:val="0"/>
              <w:snapToGrid w:val="0"/>
              <w:jc w:val="left"/>
              <w:rPr>
                <w:rFonts w:asciiTheme="majorBidi" w:hAnsiTheme="majorBidi" w:cstheme="majorBidi"/>
                <w:bCs/>
                <w:snapToGrid w:val="0"/>
                <w:kern w:val="22"/>
                <w:sz w:val="20"/>
                <w:szCs w:val="20"/>
              </w:rPr>
            </w:pPr>
            <w:r>
              <w:rPr>
                <w:rFonts w:asciiTheme="majorBidi" w:hAnsiTheme="majorBidi" w:cstheme="majorBidi"/>
                <w:bCs/>
                <w:i/>
                <w:iCs/>
                <w:snapToGrid w:val="0"/>
                <w:kern w:val="22"/>
                <w:sz w:val="20"/>
                <w:szCs w:val="20"/>
              </w:rPr>
              <w:t>Source : C</w:t>
            </w:r>
            <w:r w:rsidR="00793472">
              <w:rPr>
                <w:rFonts w:asciiTheme="majorBidi" w:hAnsiTheme="majorBidi" w:cstheme="majorBidi"/>
                <w:bCs/>
                <w:i/>
                <w:iCs/>
                <w:snapToGrid w:val="0"/>
                <w:kern w:val="22"/>
                <w:sz w:val="20"/>
                <w:szCs w:val="20"/>
              </w:rPr>
              <w:t xml:space="preserve">alculé en </w:t>
            </w:r>
            <w:r w:rsidR="00905709" w:rsidRPr="001138A8">
              <w:rPr>
                <w:rFonts w:asciiTheme="majorBidi" w:hAnsiTheme="majorBidi" w:cstheme="majorBidi"/>
                <w:bCs/>
                <w:i/>
                <w:iCs/>
                <w:snapToGrid w:val="0"/>
                <w:kern w:val="22"/>
                <w:sz w:val="20"/>
                <w:szCs w:val="20"/>
              </w:rPr>
              <w:t>dollars des États-Unis</w:t>
            </w:r>
            <w:r w:rsidR="00793472" w:rsidRPr="001138A8">
              <w:rPr>
                <w:rFonts w:asciiTheme="majorBidi" w:hAnsiTheme="majorBidi" w:cstheme="majorBidi"/>
                <w:bCs/>
                <w:i/>
                <w:iCs/>
                <w:snapToGrid w:val="0"/>
                <w:kern w:val="22"/>
                <w:sz w:val="20"/>
                <w:szCs w:val="20"/>
              </w:rPr>
              <w:t xml:space="preserve"> </w:t>
            </w:r>
            <w:r w:rsidRPr="001138A8">
              <w:rPr>
                <w:rFonts w:asciiTheme="majorBidi" w:hAnsiTheme="majorBidi" w:cstheme="majorBidi"/>
                <w:bCs/>
                <w:i/>
                <w:iCs/>
                <w:snapToGrid w:val="0"/>
                <w:kern w:val="22"/>
                <w:sz w:val="20"/>
                <w:szCs w:val="20"/>
              </w:rPr>
              <w:t>sur</w:t>
            </w:r>
            <w:r>
              <w:rPr>
                <w:rFonts w:asciiTheme="majorBidi" w:hAnsiTheme="majorBidi" w:cstheme="majorBidi"/>
                <w:bCs/>
                <w:i/>
                <w:iCs/>
                <w:snapToGrid w:val="0"/>
                <w:kern w:val="22"/>
                <w:sz w:val="20"/>
                <w:szCs w:val="20"/>
              </w:rPr>
              <w:t xml:space="preserve"> la base des </w:t>
            </w:r>
            <w:r w:rsidR="004E211E">
              <w:rPr>
                <w:rFonts w:asciiTheme="majorBidi" w:hAnsiTheme="majorBidi" w:cstheme="majorBidi"/>
                <w:bCs/>
                <w:i/>
                <w:iCs/>
                <w:snapToGrid w:val="0"/>
                <w:kern w:val="22"/>
                <w:sz w:val="20"/>
                <w:szCs w:val="20"/>
              </w:rPr>
              <w:t>données fournies dans le cadre de présentation des rapports financiers</w:t>
            </w:r>
            <w:r>
              <w:rPr>
                <w:rFonts w:asciiTheme="majorBidi" w:hAnsiTheme="majorBidi" w:cstheme="majorBidi"/>
                <w:bCs/>
                <w:i/>
                <w:iCs/>
                <w:snapToGrid w:val="0"/>
                <w:kern w:val="22"/>
                <w:sz w:val="20"/>
                <w:szCs w:val="20"/>
              </w:rPr>
              <w:t>.</w:t>
            </w:r>
          </w:p>
        </w:tc>
      </w:tr>
    </w:tbl>
    <w:p w:rsidR="00AC7EA1" w:rsidRDefault="00324D7C">
      <w:pPr>
        <w:jc w:val="left"/>
        <w:rPr>
          <w:bCs/>
          <w:snapToGrid w:val="0"/>
          <w:kern w:val="22"/>
          <w:szCs w:val="22"/>
        </w:rPr>
      </w:pPr>
      <w:r>
        <w:rPr>
          <w:bCs/>
          <w:snapToGrid w:val="0"/>
          <w:kern w:val="22"/>
          <w:szCs w:val="22"/>
        </w:rPr>
        <w:br w:type="page"/>
      </w:r>
    </w:p>
    <w:p w:rsidR="00AC7EA1" w:rsidRDefault="00324D7C">
      <w:pPr>
        <w:keepNext/>
        <w:spacing w:before="120" w:after="120"/>
        <w:jc w:val="center"/>
        <w:outlineLvl w:val="2"/>
      </w:pPr>
      <w:r>
        <w:rPr>
          <w:i/>
          <w:iCs/>
        </w:rPr>
        <w:lastRenderedPageBreak/>
        <w:t>Annexe III</w:t>
      </w:r>
    </w:p>
    <w:p w:rsidR="00AC7EA1" w:rsidRDefault="00324D7C" w:rsidP="004E211E">
      <w:pPr>
        <w:pStyle w:val="Heading1longmultiline"/>
        <w:jc w:val="center"/>
        <w:rPr>
          <w:snapToGrid w:val="0"/>
        </w:rPr>
      </w:pPr>
      <w:r>
        <w:rPr>
          <w:snapToGrid w:val="0"/>
        </w:rPr>
        <w:t>Dé</w:t>
      </w:r>
      <w:r w:rsidR="001138A8">
        <w:rPr>
          <w:snapToGrid w:val="0"/>
        </w:rPr>
        <w:t>penses annuelles en matiere de biodiversité et de</w:t>
      </w:r>
      <w:r>
        <w:rPr>
          <w:snapToGrid w:val="0"/>
        </w:rPr>
        <w:t xml:space="preserve"> protection des paysages</w:t>
      </w:r>
      <w:r w:rsidR="001138A8">
        <w:rPr>
          <w:snapToGrid w:val="0"/>
        </w:rPr>
        <w:t>,</w:t>
      </w:r>
      <w:r>
        <w:rPr>
          <w:snapToGrid w:val="0"/>
        </w:rPr>
        <w:t xml:space="preserve"> en pourcentage du produit intérieur brut</w:t>
      </w:r>
      <w:r w:rsidR="00596110">
        <w:rPr>
          <w:rStyle w:val="FootnoteReference"/>
          <w:snapToGrid w:val="0"/>
        </w:rPr>
        <w:footnoteReference w:id="26"/>
      </w:r>
    </w:p>
    <w:tbl>
      <w:tblPr>
        <w:tblStyle w:val="TableGrid"/>
        <w:tblW w:w="0" w:type="auto"/>
        <w:tblLook w:val="04A0" w:firstRow="1" w:lastRow="0" w:firstColumn="1" w:lastColumn="0" w:noHBand="0" w:noVBand="1"/>
      </w:tblPr>
      <w:tblGrid>
        <w:gridCol w:w="1171"/>
        <w:gridCol w:w="1153"/>
        <w:gridCol w:w="1154"/>
        <w:gridCol w:w="1154"/>
        <w:gridCol w:w="1154"/>
        <w:gridCol w:w="1154"/>
        <w:gridCol w:w="1154"/>
        <w:gridCol w:w="1372"/>
      </w:tblGrid>
      <w:tr w:rsidR="00D46C5D" w:rsidRPr="00D46C5D" w:rsidTr="00F22800">
        <w:trPr>
          <w:cantSplit/>
          <w:tblHeader/>
        </w:trPr>
        <w:tc>
          <w:tcPr>
            <w:tcW w:w="1171" w:type="dxa"/>
            <w:hideMark/>
          </w:tcPr>
          <w:p w:rsidR="00D46C5D" w:rsidRPr="00DE607B" w:rsidRDefault="00D46C5D" w:rsidP="00D46C5D">
            <w:pPr>
              <w:jc w:val="left"/>
              <w:rPr>
                <w:rFonts w:asciiTheme="majorBidi" w:hAnsiTheme="majorBidi" w:cstheme="majorBidi"/>
                <w:sz w:val="20"/>
                <w:lang w:eastAsia="zh-CN"/>
              </w:rPr>
            </w:pPr>
          </w:p>
        </w:tc>
        <w:tc>
          <w:tcPr>
            <w:tcW w:w="1153" w:type="dxa"/>
            <w:hideMark/>
          </w:tcPr>
          <w:p w:rsidR="00AC7EA1" w:rsidRDefault="00324D7C">
            <w:pPr>
              <w:spacing w:before="60" w:after="60"/>
              <w:jc w:val="center"/>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2015</w:t>
            </w:r>
          </w:p>
        </w:tc>
        <w:tc>
          <w:tcPr>
            <w:tcW w:w="1154" w:type="dxa"/>
            <w:hideMark/>
          </w:tcPr>
          <w:p w:rsidR="00AC7EA1" w:rsidRDefault="00324D7C">
            <w:pPr>
              <w:spacing w:before="60" w:after="60"/>
              <w:jc w:val="center"/>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2016</w:t>
            </w:r>
          </w:p>
        </w:tc>
        <w:tc>
          <w:tcPr>
            <w:tcW w:w="1154" w:type="dxa"/>
            <w:hideMark/>
          </w:tcPr>
          <w:p w:rsidR="00AC7EA1" w:rsidRDefault="00324D7C">
            <w:pPr>
              <w:spacing w:before="60" w:after="60"/>
              <w:jc w:val="center"/>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2017</w:t>
            </w:r>
          </w:p>
        </w:tc>
        <w:tc>
          <w:tcPr>
            <w:tcW w:w="1154" w:type="dxa"/>
            <w:hideMark/>
          </w:tcPr>
          <w:p w:rsidR="00AC7EA1" w:rsidRDefault="00324D7C">
            <w:pPr>
              <w:spacing w:before="60" w:after="60"/>
              <w:jc w:val="center"/>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2018</w:t>
            </w:r>
          </w:p>
        </w:tc>
        <w:tc>
          <w:tcPr>
            <w:tcW w:w="1154" w:type="dxa"/>
            <w:hideMark/>
          </w:tcPr>
          <w:p w:rsidR="00AC7EA1" w:rsidRDefault="00324D7C">
            <w:pPr>
              <w:spacing w:before="60" w:after="60"/>
              <w:jc w:val="center"/>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2019</w:t>
            </w:r>
          </w:p>
        </w:tc>
        <w:tc>
          <w:tcPr>
            <w:tcW w:w="1154" w:type="dxa"/>
            <w:hideMark/>
          </w:tcPr>
          <w:p w:rsidR="00AC7EA1" w:rsidRDefault="00324D7C">
            <w:pPr>
              <w:spacing w:before="60" w:after="60"/>
              <w:jc w:val="center"/>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2020</w:t>
            </w:r>
          </w:p>
        </w:tc>
        <w:tc>
          <w:tcPr>
            <w:tcW w:w="1372" w:type="dxa"/>
            <w:hideMark/>
          </w:tcPr>
          <w:p w:rsidR="00AC7EA1" w:rsidRDefault="00324D7C">
            <w:pPr>
              <w:spacing w:before="60" w:after="60"/>
              <w:jc w:val="center"/>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2021</w:t>
            </w:r>
          </w:p>
        </w:tc>
      </w:tr>
      <w:tr w:rsidR="007F10B8" w:rsidRPr="00D850DD" w:rsidTr="00F22800">
        <w:trPr>
          <w:trHeight w:val="103"/>
        </w:trPr>
        <w:tc>
          <w:tcPr>
            <w:tcW w:w="9466" w:type="dxa"/>
            <w:gridSpan w:val="8"/>
            <w:tcBorders>
              <w:top w:val="single" w:sz="4" w:space="0" w:color="auto"/>
              <w:left w:val="nil"/>
              <w:bottom w:val="nil"/>
              <w:right w:val="nil"/>
            </w:tcBorders>
          </w:tcPr>
          <w:p w:rsidR="007F10B8" w:rsidRPr="00D850DD" w:rsidRDefault="007F10B8" w:rsidP="00B8593D">
            <w:pPr>
              <w:suppressLineNumbers/>
              <w:suppressAutoHyphens/>
              <w:kinsoku w:val="0"/>
              <w:overflowPunct w:val="0"/>
              <w:autoSpaceDE w:val="0"/>
              <w:autoSpaceDN w:val="0"/>
              <w:adjustRightInd w:val="0"/>
              <w:snapToGrid w:val="0"/>
              <w:jc w:val="left"/>
              <w:rPr>
                <w:bCs/>
                <w:i/>
                <w:iCs/>
                <w:snapToGrid w:val="0"/>
                <w:kern w:val="22"/>
                <w:sz w:val="18"/>
                <w:szCs w:val="18"/>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Afghanistan</w:t>
            </w:r>
          </w:p>
        </w:tc>
        <w:tc>
          <w:tcPr>
            <w:tcW w:w="1153" w:type="dxa"/>
            <w:hideMark/>
          </w:tcPr>
          <w:p w:rsidR="007F10B8" w:rsidRPr="00D850DD" w:rsidRDefault="007F10B8" w:rsidP="00410C38">
            <w:pPr>
              <w:jc w:val="left"/>
              <w:rPr>
                <w:rFonts w:asciiTheme="majorBidi" w:hAnsiTheme="majorBidi" w:cstheme="majorBidi"/>
                <w:color w:val="000000"/>
                <w:sz w:val="18"/>
                <w:szCs w:val="18"/>
                <w:lang w:val="en-US" w:eastAsia="zh-CN"/>
              </w:rPr>
            </w:pP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0,00943</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0,09134</w:t>
            </w:r>
          </w:p>
        </w:tc>
        <w:tc>
          <w:tcPr>
            <w:tcW w:w="1154" w:type="dxa"/>
            <w:hideMark/>
          </w:tcPr>
          <w:p w:rsidR="007F10B8" w:rsidRPr="00D850DD" w:rsidRDefault="007F10B8" w:rsidP="00410C38">
            <w:pPr>
              <w:jc w:val="right"/>
              <w:rPr>
                <w:rFonts w:asciiTheme="majorBidi" w:hAnsiTheme="majorBidi" w:cstheme="majorBidi"/>
                <w:color w:val="000000"/>
                <w:sz w:val="18"/>
                <w:szCs w:val="18"/>
                <w:lang w:val="en-US" w:eastAsia="zh-CN"/>
              </w:rPr>
            </w:pPr>
          </w:p>
        </w:tc>
        <w:tc>
          <w:tcPr>
            <w:tcW w:w="1154" w:type="dxa"/>
            <w:hideMark/>
          </w:tcPr>
          <w:p w:rsidR="007F10B8" w:rsidRPr="00D850DD" w:rsidRDefault="007F10B8" w:rsidP="00410C38">
            <w:pPr>
              <w:jc w:val="right"/>
              <w:rPr>
                <w:rFonts w:asciiTheme="majorBidi" w:hAnsiTheme="majorBidi" w:cstheme="majorBidi"/>
                <w:sz w:val="18"/>
                <w:szCs w:val="18"/>
                <w:lang w:val="en-US" w:eastAsia="zh-CN"/>
              </w:rPr>
            </w:pPr>
          </w:p>
        </w:tc>
        <w:tc>
          <w:tcPr>
            <w:tcW w:w="1154" w:type="dxa"/>
            <w:hideMark/>
          </w:tcPr>
          <w:p w:rsidR="007F10B8" w:rsidRPr="00D850DD" w:rsidRDefault="007F10B8" w:rsidP="00410C38">
            <w:pPr>
              <w:jc w:val="right"/>
              <w:rPr>
                <w:rFonts w:asciiTheme="majorBidi" w:hAnsiTheme="majorBidi" w:cstheme="majorBidi"/>
                <w:sz w:val="18"/>
                <w:szCs w:val="18"/>
                <w:lang w:val="en-US" w:eastAsia="zh-CN"/>
              </w:rPr>
            </w:pPr>
          </w:p>
        </w:tc>
        <w:tc>
          <w:tcPr>
            <w:tcW w:w="1372" w:type="dxa"/>
            <w:hideMark/>
          </w:tcPr>
          <w:p w:rsidR="007F10B8" w:rsidRPr="00410C38" w:rsidRDefault="007F10B8" w:rsidP="00410C38">
            <w:pPr>
              <w:jc w:val="right"/>
              <w:rPr>
                <w:rFonts w:asciiTheme="majorBidi" w:hAnsiTheme="majorBidi" w:cstheme="majorBidi"/>
                <w:sz w:val="18"/>
                <w:szCs w:val="18"/>
                <w:lang w:val="en-US" w:eastAsia="zh-CN"/>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Afrique du Sud</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0,24828</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0,21679</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0,25034</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0,21453</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0,21871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0,23148</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Albanie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0,00173</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0,00166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0,00161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0,00091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0,00080</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0,00075</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Allemagne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0,04778</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0,04760</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0,04937</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0,04763</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0,05142</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0,05764</w:t>
            </w:r>
          </w:p>
        </w:tc>
        <w:tc>
          <w:tcPr>
            <w:tcW w:w="1372" w:type="dxa"/>
            <w:hideMark/>
          </w:tcPr>
          <w:p w:rsidR="007F10B8" w:rsidRPr="00410C38" w:rsidRDefault="007F10B8" w:rsidP="00410C38">
            <w:pPr>
              <w:jc w:val="right"/>
              <w:rPr>
                <w:rFonts w:asciiTheme="majorBidi" w:hAnsiTheme="majorBidi" w:cstheme="majorBidi"/>
                <w:color w:val="000000"/>
                <w:sz w:val="18"/>
                <w:szCs w:val="18"/>
                <w:lang w:val="en-US" w:eastAsia="zh-CN"/>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Arménie</w:t>
            </w:r>
          </w:p>
        </w:tc>
        <w:tc>
          <w:tcPr>
            <w:tcW w:w="1153" w:type="dxa"/>
            <w:hideMark/>
          </w:tcPr>
          <w:p w:rsidR="007F10B8" w:rsidRPr="00D850DD" w:rsidRDefault="007F10B8" w:rsidP="00410C38">
            <w:pPr>
              <w:jc w:val="left"/>
              <w:rPr>
                <w:rFonts w:asciiTheme="majorBidi" w:hAnsiTheme="majorBidi" w:cstheme="majorBidi"/>
                <w:color w:val="000000"/>
                <w:sz w:val="18"/>
                <w:szCs w:val="18"/>
                <w:lang w:val="en-US" w:eastAsia="zh-CN"/>
              </w:rPr>
            </w:pPr>
          </w:p>
        </w:tc>
        <w:tc>
          <w:tcPr>
            <w:tcW w:w="1154" w:type="dxa"/>
            <w:hideMark/>
          </w:tcPr>
          <w:p w:rsidR="007F10B8" w:rsidRPr="00D850DD" w:rsidRDefault="007F10B8" w:rsidP="00410C38">
            <w:pPr>
              <w:jc w:val="right"/>
              <w:rPr>
                <w:rFonts w:asciiTheme="majorBidi" w:hAnsiTheme="majorBidi" w:cstheme="majorBidi"/>
                <w:sz w:val="18"/>
                <w:szCs w:val="18"/>
                <w:lang w:val="en-US" w:eastAsia="zh-CN"/>
              </w:rPr>
            </w:pP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0,05980</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0,07386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0,05371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0,02038</w:t>
            </w:r>
          </w:p>
        </w:tc>
        <w:tc>
          <w:tcPr>
            <w:tcW w:w="1372" w:type="dxa"/>
            <w:hideMark/>
          </w:tcPr>
          <w:p w:rsidR="007F10B8" w:rsidRPr="00410C38" w:rsidRDefault="007F10B8" w:rsidP="00410C38">
            <w:pPr>
              <w:jc w:val="right"/>
              <w:rPr>
                <w:rFonts w:asciiTheme="majorBidi" w:hAnsiTheme="majorBidi" w:cstheme="majorBidi"/>
                <w:color w:val="000000"/>
                <w:sz w:val="18"/>
                <w:szCs w:val="18"/>
                <w:lang w:val="en-US" w:eastAsia="zh-CN"/>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Australie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0,15091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0,15627</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0,15704</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0,16102</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0,16177</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0,13831</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Autriche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0,02104</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0,02288</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0,02021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0,02067</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0,02089</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0,02138</w:t>
            </w:r>
          </w:p>
        </w:tc>
        <w:tc>
          <w:tcPr>
            <w:tcW w:w="1372" w:type="dxa"/>
            <w:hideMark/>
          </w:tcPr>
          <w:p w:rsidR="007F10B8" w:rsidRPr="00410C38" w:rsidRDefault="007F10B8" w:rsidP="00410C38">
            <w:pPr>
              <w:jc w:val="right"/>
              <w:rPr>
                <w:rFonts w:asciiTheme="majorBidi" w:hAnsiTheme="majorBidi" w:cstheme="majorBidi"/>
                <w:color w:val="000000"/>
                <w:sz w:val="18"/>
                <w:szCs w:val="18"/>
                <w:lang w:val="en-US" w:eastAsia="zh-CN"/>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Azerbaïdjan</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0,00772</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0,03906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0,02116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0,02066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0,01709</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Belgique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0,05071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0,05871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0,05860</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0,04764</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0,05836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0,06505</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Bulgarie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0,00991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0,00156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0,01260</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0,00668</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0,00961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0,00522</w:t>
            </w:r>
          </w:p>
        </w:tc>
        <w:tc>
          <w:tcPr>
            <w:tcW w:w="1372" w:type="dxa"/>
            <w:hideMark/>
          </w:tcPr>
          <w:p w:rsidR="007F10B8" w:rsidRPr="00410C38" w:rsidRDefault="007F10B8" w:rsidP="00410C38">
            <w:pPr>
              <w:jc w:val="right"/>
              <w:rPr>
                <w:rFonts w:asciiTheme="majorBidi" w:hAnsiTheme="majorBidi" w:cstheme="majorBidi"/>
                <w:color w:val="000000"/>
                <w:sz w:val="18"/>
                <w:szCs w:val="18"/>
                <w:lang w:val="en-US" w:eastAsia="zh-CN"/>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Canada</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0,09420</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0,08057</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0,08633</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0,07613</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0,09268</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0,08750</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Chypre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0,00671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0,00581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0,00497</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0,00607</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0,00897</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0,02591</w:t>
            </w:r>
          </w:p>
        </w:tc>
        <w:tc>
          <w:tcPr>
            <w:tcW w:w="1372" w:type="dxa"/>
            <w:hideMark/>
          </w:tcPr>
          <w:p w:rsidR="007F10B8" w:rsidRPr="00410C38" w:rsidRDefault="007F10B8" w:rsidP="00410C38">
            <w:pPr>
              <w:jc w:val="right"/>
              <w:rPr>
                <w:rFonts w:asciiTheme="majorBidi" w:hAnsiTheme="majorBidi" w:cstheme="majorBidi"/>
                <w:color w:val="000000"/>
                <w:sz w:val="18"/>
                <w:szCs w:val="18"/>
                <w:lang w:val="en-US" w:eastAsia="zh-CN"/>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Croatie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0,15837</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0,16123</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0,14429</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0,13167</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0,13969</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0,17155</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Danemark</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0,19884</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0,19822</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0,18295</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0,18981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0,17454</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0,18755</w:t>
            </w:r>
          </w:p>
        </w:tc>
        <w:tc>
          <w:tcPr>
            <w:tcW w:w="1372" w:type="dxa"/>
            <w:hideMark/>
          </w:tcPr>
          <w:p w:rsidR="007F10B8" w:rsidRPr="00410C38" w:rsidRDefault="007F10B8" w:rsidP="00410C38">
            <w:pPr>
              <w:jc w:val="right"/>
              <w:rPr>
                <w:rFonts w:asciiTheme="majorBidi" w:hAnsiTheme="majorBidi" w:cstheme="majorBidi"/>
                <w:color w:val="000000"/>
                <w:sz w:val="18"/>
                <w:szCs w:val="18"/>
                <w:lang w:val="en-US" w:eastAsia="zh-CN"/>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El Salvador</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0,00811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0,00620</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0,00721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0,00269</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0,01376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0,01583</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Émirats arabes unis</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xml:space="preserve"> </w:t>
            </w:r>
          </w:p>
        </w:tc>
        <w:tc>
          <w:tcPr>
            <w:tcW w:w="1154" w:type="dxa"/>
            <w:hideMark/>
          </w:tcPr>
          <w:p w:rsidR="007F10B8" w:rsidRPr="00410C38" w:rsidRDefault="007F10B8" w:rsidP="009A6961">
            <w:pPr>
              <w:jc w:val="right"/>
              <w:rPr>
                <w:rFonts w:asciiTheme="majorBidi" w:hAnsiTheme="majorBidi" w:cstheme="majorBidi"/>
                <w:color w:val="000000"/>
                <w:sz w:val="18"/>
                <w:szCs w:val="18"/>
                <w:lang w:val="en-US" w:eastAsia="zh-CN"/>
              </w:rPr>
            </w:pPr>
          </w:p>
        </w:tc>
        <w:tc>
          <w:tcPr>
            <w:tcW w:w="1154" w:type="dxa"/>
            <w:hideMark/>
          </w:tcPr>
          <w:p w:rsidR="007F10B8" w:rsidRPr="00410C38" w:rsidRDefault="007F10B8" w:rsidP="009A6961">
            <w:pPr>
              <w:jc w:val="right"/>
              <w:rPr>
                <w:rFonts w:asciiTheme="majorBidi" w:hAnsiTheme="majorBidi" w:cstheme="majorBidi"/>
                <w:sz w:val="18"/>
                <w:szCs w:val="18"/>
                <w:lang w:val="en-US" w:eastAsia="zh-CN"/>
              </w:rPr>
            </w:pPr>
          </w:p>
        </w:tc>
        <w:tc>
          <w:tcPr>
            <w:tcW w:w="1154" w:type="dxa"/>
            <w:hideMark/>
          </w:tcPr>
          <w:p w:rsidR="007F10B8" w:rsidRPr="00410C38" w:rsidRDefault="007F10B8" w:rsidP="009A6961">
            <w:pPr>
              <w:jc w:val="right"/>
              <w:rPr>
                <w:rFonts w:asciiTheme="majorBidi" w:hAnsiTheme="majorBidi" w:cstheme="majorBidi"/>
                <w:sz w:val="18"/>
                <w:szCs w:val="18"/>
                <w:lang w:val="en-US" w:eastAsia="zh-CN"/>
              </w:rPr>
            </w:pPr>
          </w:p>
        </w:tc>
        <w:tc>
          <w:tcPr>
            <w:tcW w:w="1154" w:type="dxa"/>
            <w:hideMark/>
          </w:tcPr>
          <w:p w:rsidR="007F10B8" w:rsidRPr="00410C38" w:rsidRDefault="007F10B8" w:rsidP="009A6961">
            <w:pPr>
              <w:jc w:val="right"/>
              <w:rPr>
                <w:rFonts w:asciiTheme="majorBidi" w:hAnsiTheme="majorBidi" w:cstheme="majorBidi"/>
                <w:sz w:val="18"/>
                <w:szCs w:val="18"/>
                <w:lang w:val="en-US" w:eastAsia="zh-CN"/>
              </w:rPr>
            </w:pP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0,01477</w:t>
            </w:r>
          </w:p>
        </w:tc>
        <w:tc>
          <w:tcPr>
            <w:tcW w:w="1372" w:type="dxa"/>
            <w:hideMark/>
          </w:tcPr>
          <w:p w:rsidR="007F10B8" w:rsidRPr="00410C38" w:rsidRDefault="007F10B8" w:rsidP="009A6961">
            <w:pPr>
              <w:jc w:val="right"/>
              <w:rPr>
                <w:rFonts w:asciiTheme="majorBidi" w:hAnsiTheme="majorBidi" w:cstheme="majorBidi"/>
                <w:color w:val="000000"/>
                <w:sz w:val="18"/>
                <w:szCs w:val="18"/>
                <w:lang w:val="en-US" w:eastAsia="zh-CN"/>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Espagne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0,08278</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0,07155</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0,06825</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0,06499</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0,05810</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0,06622</w:t>
            </w:r>
          </w:p>
        </w:tc>
        <w:tc>
          <w:tcPr>
            <w:tcW w:w="1372" w:type="dxa"/>
            <w:hideMark/>
          </w:tcPr>
          <w:p w:rsidR="007F10B8" w:rsidRPr="0031413A" w:rsidRDefault="007F10B8" w:rsidP="009A6961">
            <w:pPr>
              <w:jc w:val="right"/>
              <w:rPr>
                <w:rFonts w:asciiTheme="majorBidi" w:hAnsiTheme="majorBidi" w:cstheme="majorBidi"/>
                <w:color w:val="000000"/>
                <w:sz w:val="18"/>
                <w:szCs w:val="18"/>
                <w:lang w:val="en-US" w:eastAsia="zh-CN"/>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Estonie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0,11875</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0,10668</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0,20014</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0,08870</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0,10601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0,09056</w:t>
            </w:r>
          </w:p>
        </w:tc>
        <w:tc>
          <w:tcPr>
            <w:tcW w:w="1372" w:type="dxa"/>
            <w:hideMark/>
          </w:tcPr>
          <w:p w:rsidR="007F10B8" w:rsidRPr="00410C38" w:rsidRDefault="007F10B8" w:rsidP="00410C38">
            <w:pPr>
              <w:jc w:val="right"/>
              <w:rPr>
                <w:rFonts w:asciiTheme="majorBidi" w:hAnsiTheme="majorBidi" w:cstheme="majorBidi"/>
                <w:color w:val="000000"/>
                <w:sz w:val="18"/>
                <w:szCs w:val="18"/>
                <w:lang w:val="en-US" w:eastAsia="zh-CN"/>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Fédération de Russie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0,00871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0,02765</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0,02306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0,02282</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0,02352</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0,02576</w:t>
            </w:r>
          </w:p>
        </w:tc>
        <w:tc>
          <w:tcPr>
            <w:tcW w:w="1372" w:type="dxa"/>
            <w:hideMark/>
          </w:tcPr>
          <w:p w:rsidR="007F10B8" w:rsidRPr="0031413A" w:rsidRDefault="007F10B8" w:rsidP="009A6961">
            <w:pPr>
              <w:jc w:val="right"/>
              <w:rPr>
                <w:rFonts w:asciiTheme="majorBidi" w:hAnsiTheme="majorBidi" w:cstheme="majorBidi"/>
                <w:color w:val="000000"/>
                <w:sz w:val="18"/>
                <w:szCs w:val="18"/>
                <w:lang w:val="en-US" w:eastAsia="zh-CN"/>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Finlande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0,03832</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0,03218</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0,02961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0,03170</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0,03332</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0,05843</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France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0,08579</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0,07663</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0,07483</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0,07925</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0,08045</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0,08607</w:t>
            </w:r>
          </w:p>
        </w:tc>
        <w:tc>
          <w:tcPr>
            <w:tcW w:w="1372" w:type="dxa"/>
            <w:hideMark/>
          </w:tcPr>
          <w:p w:rsidR="007F10B8" w:rsidRPr="00410C38" w:rsidRDefault="007F10B8" w:rsidP="00410C38">
            <w:pPr>
              <w:jc w:val="right"/>
              <w:rPr>
                <w:rFonts w:asciiTheme="majorBidi" w:hAnsiTheme="majorBidi" w:cstheme="majorBidi"/>
                <w:color w:val="000000"/>
                <w:sz w:val="18"/>
                <w:szCs w:val="18"/>
                <w:lang w:val="en-US" w:eastAsia="zh-CN"/>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Géorgie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0,16031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0,17245</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0,15529</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0,12242</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0,17156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0,21089</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0,24854</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Grèce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0,00227</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0,00230</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0,00226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0,00223</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0,00218</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0,00181</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Guatemala</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0,09150</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0,09825</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0,06112</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0,09993</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0,10179</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0,11316</w:t>
            </w:r>
          </w:p>
        </w:tc>
        <w:tc>
          <w:tcPr>
            <w:tcW w:w="1372" w:type="dxa"/>
            <w:hideMark/>
          </w:tcPr>
          <w:p w:rsidR="007F10B8" w:rsidRPr="00410C38" w:rsidRDefault="007F10B8" w:rsidP="00410C38">
            <w:pPr>
              <w:jc w:val="right"/>
              <w:rPr>
                <w:rFonts w:asciiTheme="majorBidi" w:hAnsiTheme="majorBidi" w:cstheme="majorBidi"/>
                <w:color w:val="000000"/>
                <w:sz w:val="18"/>
                <w:szCs w:val="18"/>
                <w:lang w:val="en-US" w:eastAsia="zh-CN"/>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Hongrie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0,07368</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0,05320</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0,05198</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0,05197</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0,06348</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0,05908</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Irlande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0,10942</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0,10164</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0,09008</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0,08985</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0,07647</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0,07480</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Islande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0,16448</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0,16321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0,20405</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0,21024</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0,18342</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0,22610</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0,20635</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Israël</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0,00469</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0,00730</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0,00551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0,00774</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0,01297</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0,00977</w:t>
            </w:r>
          </w:p>
        </w:tc>
        <w:tc>
          <w:tcPr>
            <w:tcW w:w="1372" w:type="dxa"/>
            <w:hideMark/>
          </w:tcPr>
          <w:p w:rsidR="007F10B8" w:rsidRPr="00410C38" w:rsidRDefault="007F10B8" w:rsidP="00410C38">
            <w:pPr>
              <w:jc w:val="right"/>
              <w:rPr>
                <w:rFonts w:asciiTheme="majorBidi" w:hAnsiTheme="majorBidi" w:cstheme="majorBidi"/>
                <w:color w:val="000000"/>
                <w:sz w:val="18"/>
                <w:szCs w:val="18"/>
                <w:lang w:val="en-US" w:eastAsia="zh-CN"/>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Italie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0,13834</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0,12507</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0,11390</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0,11098</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0,12368</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0,13720</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Japon</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0,01909</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0,02094</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0,01982</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0,01976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0,02031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0,01528</w:t>
            </w:r>
          </w:p>
        </w:tc>
        <w:tc>
          <w:tcPr>
            <w:tcW w:w="1372" w:type="dxa"/>
            <w:hideMark/>
          </w:tcPr>
          <w:p w:rsidR="007F10B8" w:rsidRPr="00410C38" w:rsidRDefault="007F10B8" w:rsidP="00410C38">
            <w:pPr>
              <w:jc w:val="right"/>
              <w:rPr>
                <w:rFonts w:asciiTheme="majorBidi" w:hAnsiTheme="majorBidi" w:cstheme="majorBidi"/>
                <w:color w:val="000000"/>
                <w:sz w:val="18"/>
                <w:szCs w:val="18"/>
                <w:lang w:val="en-US" w:eastAsia="zh-CN"/>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Kazakhstan</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0,00000</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0,05284</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0,03145</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0,08603</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0,03636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0,07798</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lastRenderedPageBreak/>
              <w:t>Kenya</w:t>
            </w:r>
          </w:p>
        </w:tc>
        <w:tc>
          <w:tcPr>
            <w:tcW w:w="1153" w:type="dxa"/>
            <w:hideMark/>
          </w:tcPr>
          <w:p w:rsidR="007F10B8" w:rsidRPr="00410C38" w:rsidRDefault="007F10B8" w:rsidP="00410C38">
            <w:pPr>
              <w:jc w:val="left"/>
              <w:rPr>
                <w:rFonts w:asciiTheme="majorBidi" w:hAnsiTheme="majorBidi" w:cstheme="majorBidi"/>
                <w:color w:val="000000"/>
                <w:sz w:val="18"/>
                <w:szCs w:val="18"/>
                <w:lang w:val="en-US" w:eastAsia="zh-CN"/>
              </w:rPr>
            </w:pPr>
          </w:p>
        </w:tc>
        <w:tc>
          <w:tcPr>
            <w:tcW w:w="1154" w:type="dxa"/>
            <w:hideMark/>
          </w:tcPr>
          <w:p w:rsidR="007F10B8" w:rsidRPr="00410C38" w:rsidRDefault="007F10B8" w:rsidP="00410C38">
            <w:pPr>
              <w:jc w:val="right"/>
              <w:rPr>
                <w:rFonts w:asciiTheme="majorBidi" w:hAnsiTheme="majorBidi" w:cstheme="majorBidi"/>
                <w:sz w:val="18"/>
                <w:szCs w:val="18"/>
                <w:lang w:val="en-US" w:eastAsia="zh-CN"/>
              </w:rPr>
            </w:pPr>
          </w:p>
        </w:tc>
        <w:tc>
          <w:tcPr>
            <w:tcW w:w="1154" w:type="dxa"/>
            <w:hideMark/>
          </w:tcPr>
          <w:p w:rsidR="007F10B8" w:rsidRPr="00410C38" w:rsidRDefault="007F10B8" w:rsidP="00410C38">
            <w:pPr>
              <w:jc w:val="right"/>
              <w:rPr>
                <w:rFonts w:asciiTheme="majorBidi" w:hAnsiTheme="majorBidi" w:cstheme="majorBidi"/>
                <w:sz w:val="18"/>
                <w:szCs w:val="18"/>
                <w:lang w:val="en-US" w:eastAsia="zh-CN"/>
              </w:rPr>
            </w:pPr>
          </w:p>
        </w:tc>
        <w:tc>
          <w:tcPr>
            <w:tcW w:w="1154" w:type="dxa"/>
            <w:hideMark/>
          </w:tcPr>
          <w:p w:rsidR="007F10B8" w:rsidRPr="00410C38" w:rsidRDefault="007F10B8" w:rsidP="00410C38">
            <w:pPr>
              <w:jc w:val="right"/>
              <w:rPr>
                <w:rFonts w:asciiTheme="majorBidi" w:hAnsiTheme="majorBidi" w:cstheme="majorBidi"/>
                <w:sz w:val="18"/>
                <w:szCs w:val="18"/>
                <w:lang w:val="en-US" w:eastAsia="zh-CN"/>
              </w:rPr>
            </w:pPr>
          </w:p>
        </w:tc>
        <w:tc>
          <w:tcPr>
            <w:tcW w:w="1154" w:type="dxa"/>
            <w:hideMark/>
          </w:tcPr>
          <w:p w:rsidR="007F10B8" w:rsidRPr="00410C38" w:rsidRDefault="007F10B8" w:rsidP="00410C38">
            <w:pPr>
              <w:jc w:val="right"/>
              <w:rPr>
                <w:rFonts w:asciiTheme="majorBidi" w:hAnsiTheme="majorBidi" w:cstheme="majorBidi"/>
                <w:sz w:val="18"/>
                <w:szCs w:val="18"/>
                <w:lang w:val="en-US" w:eastAsia="zh-CN"/>
              </w:rPr>
            </w:pP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0,15314</w:t>
            </w:r>
          </w:p>
        </w:tc>
        <w:tc>
          <w:tcPr>
            <w:tcW w:w="1372" w:type="dxa"/>
            <w:hideMark/>
          </w:tcPr>
          <w:p w:rsidR="007F10B8" w:rsidRPr="00410C38" w:rsidRDefault="007F10B8" w:rsidP="00410C38">
            <w:pPr>
              <w:jc w:val="right"/>
              <w:rPr>
                <w:rFonts w:asciiTheme="majorBidi" w:hAnsiTheme="majorBidi" w:cstheme="majorBidi"/>
                <w:color w:val="000000"/>
                <w:sz w:val="18"/>
                <w:szCs w:val="18"/>
                <w:lang w:val="en-US" w:eastAsia="zh-CN"/>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Kirghizistan</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0,16992</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0,18164</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0,13169</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0,15641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0,11507</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0,09501</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0,08051</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Lettonie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0,02547</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0,02448</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0,03144</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0,03616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0,02511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0,02788</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Lituanie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0,04008</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0,02069</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0,03472</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0,05396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0,04779</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0,03652</w:t>
            </w:r>
          </w:p>
        </w:tc>
        <w:tc>
          <w:tcPr>
            <w:tcW w:w="1372" w:type="dxa"/>
            <w:hideMark/>
          </w:tcPr>
          <w:p w:rsidR="007F10B8" w:rsidRPr="00410C38" w:rsidRDefault="007F10B8" w:rsidP="00410C38">
            <w:pPr>
              <w:jc w:val="right"/>
              <w:rPr>
                <w:rFonts w:asciiTheme="majorBidi" w:hAnsiTheme="majorBidi" w:cstheme="majorBidi"/>
                <w:color w:val="000000"/>
                <w:sz w:val="18"/>
                <w:szCs w:val="18"/>
                <w:lang w:val="en-US" w:eastAsia="zh-CN"/>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Luxembourg</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0,09786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0,09768</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0,09706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0,09631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0,10530</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0,10740</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Malte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0,18215</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0,18076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0,18978</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0,21864</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0,29799</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0,27696</w:t>
            </w:r>
          </w:p>
        </w:tc>
        <w:tc>
          <w:tcPr>
            <w:tcW w:w="1372" w:type="dxa"/>
            <w:hideMark/>
          </w:tcPr>
          <w:p w:rsidR="007F10B8" w:rsidRPr="00410C38" w:rsidRDefault="007F10B8" w:rsidP="00410C38">
            <w:pPr>
              <w:jc w:val="right"/>
              <w:rPr>
                <w:rFonts w:asciiTheme="majorBidi" w:hAnsiTheme="majorBidi" w:cstheme="majorBidi"/>
                <w:color w:val="000000"/>
                <w:sz w:val="18"/>
                <w:szCs w:val="18"/>
                <w:lang w:val="en-US" w:eastAsia="zh-CN"/>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Maurice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0,07187</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0,06264</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0,06122</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Mongolie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0,02317</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0,04204</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0,03925</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0,04194</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0,00766</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Népal</w:t>
            </w:r>
          </w:p>
        </w:tc>
        <w:tc>
          <w:tcPr>
            <w:tcW w:w="1153" w:type="dxa"/>
            <w:hideMark/>
          </w:tcPr>
          <w:p w:rsidR="007F10B8" w:rsidRPr="0031413A" w:rsidRDefault="007F10B8" w:rsidP="00410C38">
            <w:pPr>
              <w:jc w:val="left"/>
              <w:rPr>
                <w:rFonts w:asciiTheme="majorBidi" w:hAnsiTheme="majorBidi" w:cstheme="majorBidi"/>
                <w:color w:val="000000"/>
                <w:sz w:val="18"/>
                <w:szCs w:val="18"/>
                <w:lang w:val="en-US" w:eastAsia="zh-CN"/>
              </w:rPr>
            </w:pPr>
          </w:p>
        </w:tc>
        <w:tc>
          <w:tcPr>
            <w:tcW w:w="1154" w:type="dxa"/>
            <w:hideMark/>
          </w:tcPr>
          <w:p w:rsidR="007F10B8" w:rsidRPr="0031413A" w:rsidRDefault="007F10B8" w:rsidP="00410C38">
            <w:pPr>
              <w:jc w:val="right"/>
              <w:rPr>
                <w:rFonts w:asciiTheme="majorBidi" w:hAnsiTheme="majorBidi" w:cstheme="majorBidi"/>
                <w:sz w:val="18"/>
                <w:szCs w:val="18"/>
                <w:lang w:val="en-US" w:eastAsia="zh-CN"/>
              </w:rPr>
            </w:pPr>
          </w:p>
        </w:tc>
        <w:tc>
          <w:tcPr>
            <w:tcW w:w="1154" w:type="dxa"/>
            <w:hideMark/>
          </w:tcPr>
          <w:p w:rsidR="007F10B8" w:rsidRPr="0031413A" w:rsidRDefault="007F10B8" w:rsidP="00410C38">
            <w:pPr>
              <w:jc w:val="right"/>
              <w:rPr>
                <w:rFonts w:asciiTheme="majorBidi" w:hAnsiTheme="majorBidi" w:cstheme="majorBidi"/>
                <w:sz w:val="18"/>
                <w:szCs w:val="18"/>
                <w:lang w:val="en-US" w:eastAsia="zh-CN"/>
              </w:rPr>
            </w:pPr>
          </w:p>
        </w:tc>
        <w:tc>
          <w:tcPr>
            <w:tcW w:w="1154" w:type="dxa"/>
            <w:hideMark/>
          </w:tcPr>
          <w:p w:rsidR="007F10B8" w:rsidRPr="0031413A" w:rsidRDefault="007F10B8" w:rsidP="00410C38">
            <w:pPr>
              <w:jc w:val="right"/>
              <w:rPr>
                <w:rFonts w:asciiTheme="majorBidi" w:hAnsiTheme="majorBidi" w:cstheme="majorBidi"/>
                <w:sz w:val="18"/>
                <w:szCs w:val="18"/>
                <w:lang w:val="en-US" w:eastAsia="zh-CN"/>
              </w:rPr>
            </w:pPr>
          </w:p>
        </w:tc>
        <w:tc>
          <w:tcPr>
            <w:tcW w:w="1154" w:type="dxa"/>
            <w:hideMark/>
          </w:tcPr>
          <w:p w:rsidR="007F10B8" w:rsidRPr="0031413A" w:rsidRDefault="007F10B8" w:rsidP="00410C38">
            <w:pPr>
              <w:jc w:val="right"/>
              <w:rPr>
                <w:rFonts w:asciiTheme="majorBidi" w:hAnsiTheme="majorBidi" w:cstheme="majorBidi"/>
                <w:sz w:val="18"/>
                <w:szCs w:val="18"/>
                <w:lang w:val="en-US" w:eastAsia="zh-CN"/>
              </w:rPr>
            </w:pP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0,07701</w:t>
            </w:r>
          </w:p>
        </w:tc>
        <w:tc>
          <w:tcPr>
            <w:tcW w:w="1372" w:type="dxa"/>
            <w:hideMark/>
          </w:tcPr>
          <w:p w:rsidR="007F10B8" w:rsidRPr="0031413A" w:rsidRDefault="007F10B8" w:rsidP="00410C38">
            <w:pPr>
              <w:jc w:val="right"/>
              <w:rPr>
                <w:rFonts w:asciiTheme="majorBidi" w:hAnsiTheme="majorBidi" w:cstheme="majorBidi"/>
                <w:color w:val="000000"/>
                <w:sz w:val="18"/>
                <w:szCs w:val="18"/>
                <w:lang w:val="en-US" w:eastAsia="zh-CN"/>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Norvège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0,04117</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0,04751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0,05071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0,04665</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0,05204</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0,05713</w:t>
            </w:r>
          </w:p>
        </w:tc>
        <w:tc>
          <w:tcPr>
            <w:tcW w:w="1372" w:type="dxa"/>
            <w:hideMark/>
          </w:tcPr>
          <w:p w:rsidR="007F10B8" w:rsidRPr="0031413A" w:rsidRDefault="007F10B8" w:rsidP="00410C38">
            <w:pPr>
              <w:jc w:val="right"/>
              <w:rPr>
                <w:rFonts w:asciiTheme="majorBidi" w:hAnsiTheme="majorBidi" w:cstheme="majorBidi"/>
                <w:color w:val="000000"/>
                <w:sz w:val="18"/>
                <w:szCs w:val="18"/>
                <w:lang w:val="en-US" w:eastAsia="zh-CN"/>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Pays-Bas</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0,09623</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0,11929</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0,11285</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0,13062</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0,13406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0,13611</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Pologne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0,02216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0,02353</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0,02461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0,02028</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0,02164</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0,02737</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Portugal</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0,09171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0,07408</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0,08663</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0,07882</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0,07972</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0,09025</w:t>
            </w:r>
          </w:p>
        </w:tc>
        <w:tc>
          <w:tcPr>
            <w:tcW w:w="1372" w:type="dxa"/>
            <w:hideMark/>
          </w:tcPr>
          <w:p w:rsidR="007F10B8" w:rsidRPr="0031413A" w:rsidRDefault="007F10B8" w:rsidP="00410C38">
            <w:pPr>
              <w:jc w:val="right"/>
              <w:rPr>
                <w:rFonts w:asciiTheme="majorBidi" w:hAnsiTheme="majorBidi" w:cstheme="majorBidi"/>
                <w:color w:val="000000"/>
                <w:sz w:val="18"/>
                <w:szCs w:val="18"/>
                <w:lang w:val="en-US" w:eastAsia="zh-CN"/>
              </w:rPr>
            </w:pPr>
          </w:p>
        </w:tc>
      </w:tr>
      <w:tr w:rsidR="007F10B8" w:rsidRPr="0031413A" w:rsidTr="00F22800">
        <w:trPr>
          <w:trHeight w:val="330"/>
        </w:trPr>
        <w:tc>
          <w:tcPr>
            <w:tcW w:w="1171" w:type="dxa"/>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Républi</w:t>
            </w:r>
            <w:r w:rsidR="001138A8">
              <w:rPr>
                <w:rFonts w:asciiTheme="majorBidi" w:hAnsiTheme="majorBidi" w:cstheme="majorBidi"/>
                <w:color w:val="000000"/>
                <w:sz w:val="18"/>
                <w:szCs w:val="18"/>
              </w:rPr>
              <w:t>que de Moldavie</w:t>
            </w:r>
          </w:p>
        </w:tc>
        <w:tc>
          <w:tcPr>
            <w:tcW w:w="1153" w:type="dxa"/>
          </w:tcPr>
          <w:p w:rsidR="007F10B8" w:rsidRPr="0031413A" w:rsidRDefault="007F10B8" w:rsidP="009A6961">
            <w:pPr>
              <w:jc w:val="right"/>
              <w:rPr>
                <w:rFonts w:asciiTheme="majorBidi" w:hAnsiTheme="majorBidi" w:cstheme="majorBidi"/>
                <w:color w:val="000000"/>
                <w:sz w:val="18"/>
                <w:szCs w:val="18"/>
                <w:lang w:val="en-US" w:eastAsia="zh-CN"/>
              </w:rPr>
            </w:pPr>
          </w:p>
        </w:tc>
        <w:tc>
          <w:tcPr>
            <w:tcW w:w="1154" w:type="dxa"/>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0,00081</w:t>
            </w:r>
          </w:p>
        </w:tc>
        <w:tc>
          <w:tcPr>
            <w:tcW w:w="1154" w:type="dxa"/>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0,00011</w:t>
            </w:r>
          </w:p>
        </w:tc>
        <w:tc>
          <w:tcPr>
            <w:tcW w:w="1154" w:type="dxa"/>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xml:space="preserve"> </w:t>
            </w:r>
          </w:p>
        </w:tc>
        <w:tc>
          <w:tcPr>
            <w:tcW w:w="1154" w:type="dxa"/>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xml:space="preserve"> </w:t>
            </w:r>
          </w:p>
        </w:tc>
        <w:tc>
          <w:tcPr>
            <w:tcW w:w="1154" w:type="dxa"/>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0,00035</w:t>
            </w:r>
          </w:p>
        </w:tc>
        <w:tc>
          <w:tcPr>
            <w:tcW w:w="1372" w:type="dxa"/>
          </w:tcPr>
          <w:p w:rsidR="007F10B8" w:rsidRPr="0031413A" w:rsidRDefault="007F10B8" w:rsidP="009A6961">
            <w:pPr>
              <w:jc w:val="right"/>
              <w:rPr>
                <w:rFonts w:asciiTheme="majorBidi" w:hAnsiTheme="majorBidi" w:cstheme="majorBidi"/>
                <w:color w:val="000000"/>
                <w:sz w:val="18"/>
                <w:szCs w:val="18"/>
                <w:lang w:val="en-US" w:eastAsia="zh-CN"/>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Roumanie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0,00289</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0,00348</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0,00019</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0,00022</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0,00021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0,00020</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D850DD" w:rsidTr="00F22800">
        <w:trPr>
          <w:trHeight w:val="330"/>
        </w:trPr>
        <w:tc>
          <w:tcPr>
            <w:tcW w:w="1171" w:type="dxa"/>
            <w:tcBorders>
              <w:bottom w:val="single" w:sz="4" w:space="0" w:color="auto"/>
            </w:tcBorders>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Royaume-Uni</w:t>
            </w:r>
          </w:p>
        </w:tc>
        <w:tc>
          <w:tcPr>
            <w:tcW w:w="1153" w:type="dxa"/>
            <w:tcBorders>
              <w:bottom w:val="single" w:sz="4" w:space="0" w:color="auto"/>
            </w:tcBorders>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0,02920</w:t>
            </w:r>
          </w:p>
        </w:tc>
        <w:tc>
          <w:tcPr>
            <w:tcW w:w="1154" w:type="dxa"/>
            <w:tcBorders>
              <w:bottom w:val="single" w:sz="4" w:space="0" w:color="auto"/>
            </w:tcBorders>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0,02911</w:t>
            </w:r>
          </w:p>
        </w:tc>
        <w:tc>
          <w:tcPr>
            <w:tcW w:w="1154" w:type="dxa"/>
            <w:tcBorders>
              <w:bottom w:val="single" w:sz="4" w:space="0" w:color="auto"/>
            </w:tcBorders>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0,02661</w:t>
            </w:r>
          </w:p>
        </w:tc>
        <w:tc>
          <w:tcPr>
            <w:tcW w:w="1154" w:type="dxa"/>
            <w:tcBorders>
              <w:bottom w:val="single" w:sz="4" w:space="0" w:color="auto"/>
            </w:tcBorders>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0,02171</w:t>
            </w:r>
          </w:p>
        </w:tc>
        <w:tc>
          <w:tcPr>
            <w:tcW w:w="1154" w:type="dxa"/>
            <w:tcBorders>
              <w:bottom w:val="single" w:sz="4" w:space="0" w:color="auto"/>
            </w:tcBorders>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0,01929</w:t>
            </w:r>
          </w:p>
        </w:tc>
        <w:tc>
          <w:tcPr>
            <w:tcW w:w="1154" w:type="dxa"/>
            <w:tcBorders>
              <w:bottom w:val="single" w:sz="4" w:space="0" w:color="auto"/>
            </w:tcBorders>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0,01814</w:t>
            </w:r>
          </w:p>
        </w:tc>
        <w:tc>
          <w:tcPr>
            <w:tcW w:w="1372" w:type="dxa"/>
            <w:tcBorders>
              <w:bottom w:val="single" w:sz="4" w:space="0" w:color="auto"/>
            </w:tcBorders>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Saint-Marin</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xml:space="preserve"> </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0,00118</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Seychelles</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0,63917</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0,65883</w:t>
            </w:r>
          </w:p>
        </w:tc>
        <w:tc>
          <w:tcPr>
            <w:tcW w:w="1154" w:type="dxa"/>
            <w:hideMark/>
          </w:tcPr>
          <w:p w:rsidR="007F10B8" w:rsidRPr="0031413A" w:rsidRDefault="007F10B8" w:rsidP="009A6961">
            <w:pPr>
              <w:jc w:val="right"/>
              <w:rPr>
                <w:rFonts w:asciiTheme="majorBidi" w:hAnsiTheme="majorBidi" w:cstheme="majorBidi"/>
                <w:color w:val="000000"/>
                <w:sz w:val="18"/>
                <w:szCs w:val="18"/>
                <w:lang w:val="en-US" w:eastAsia="zh-CN"/>
              </w:rPr>
            </w:pPr>
          </w:p>
        </w:tc>
        <w:tc>
          <w:tcPr>
            <w:tcW w:w="1154" w:type="dxa"/>
            <w:hideMark/>
          </w:tcPr>
          <w:p w:rsidR="007F10B8" w:rsidRPr="0031413A" w:rsidRDefault="007F10B8" w:rsidP="009A6961">
            <w:pPr>
              <w:jc w:val="right"/>
              <w:rPr>
                <w:rFonts w:asciiTheme="majorBidi" w:hAnsiTheme="majorBidi" w:cstheme="majorBidi"/>
                <w:sz w:val="18"/>
                <w:szCs w:val="18"/>
                <w:lang w:val="en-US" w:eastAsia="zh-CN"/>
              </w:rPr>
            </w:pPr>
          </w:p>
        </w:tc>
        <w:tc>
          <w:tcPr>
            <w:tcW w:w="1154" w:type="dxa"/>
            <w:hideMark/>
          </w:tcPr>
          <w:p w:rsidR="007F10B8" w:rsidRPr="0031413A" w:rsidRDefault="007F10B8" w:rsidP="009A6961">
            <w:pPr>
              <w:jc w:val="right"/>
              <w:rPr>
                <w:rFonts w:asciiTheme="majorBidi" w:hAnsiTheme="majorBidi" w:cstheme="majorBidi"/>
                <w:sz w:val="18"/>
                <w:szCs w:val="18"/>
                <w:lang w:val="en-US" w:eastAsia="zh-CN"/>
              </w:rPr>
            </w:pPr>
          </w:p>
        </w:tc>
        <w:tc>
          <w:tcPr>
            <w:tcW w:w="1154" w:type="dxa"/>
            <w:hideMark/>
          </w:tcPr>
          <w:p w:rsidR="007F10B8" w:rsidRPr="0031413A" w:rsidRDefault="007F10B8" w:rsidP="009A6961">
            <w:pPr>
              <w:jc w:val="right"/>
              <w:rPr>
                <w:rFonts w:asciiTheme="majorBidi" w:hAnsiTheme="majorBidi" w:cstheme="majorBidi"/>
                <w:sz w:val="18"/>
                <w:szCs w:val="18"/>
                <w:lang w:val="en-US" w:eastAsia="zh-CN"/>
              </w:rPr>
            </w:pPr>
          </w:p>
        </w:tc>
        <w:tc>
          <w:tcPr>
            <w:tcW w:w="1372" w:type="dxa"/>
            <w:hideMark/>
          </w:tcPr>
          <w:p w:rsidR="007F10B8" w:rsidRPr="0031413A" w:rsidRDefault="007F10B8" w:rsidP="009A6961">
            <w:pPr>
              <w:jc w:val="right"/>
              <w:rPr>
                <w:rFonts w:asciiTheme="majorBidi" w:hAnsiTheme="majorBidi" w:cstheme="majorBidi"/>
                <w:sz w:val="18"/>
                <w:szCs w:val="18"/>
                <w:lang w:val="en-US" w:eastAsia="zh-CN"/>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Singapour</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0,08662</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0,09016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0,09249</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0,08904</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Slovaquie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0,09341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0,04836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0,03753</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0,04545</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0,05971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0,06917</w:t>
            </w:r>
          </w:p>
        </w:tc>
        <w:tc>
          <w:tcPr>
            <w:tcW w:w="1372" w:type="dxa"/>
            <w:hideMark/>
          </w:tcPr>
          <w:p w:rsidR="007F10B8" w:rsidRPr="0031413A" w:rsidRDefault="007F10B8" w:rsidP="009A6961">
            <w:pPr>
              <w:jc w:val="right"/>
              <w:rPr>
                <w:rFonts w:asciiTheme="majorBidi" w:hAnsiTheme="majorBidi" w:cstheme="majorBidi"/>
                <w:color w:val="000000"/>
                <w:sz w:val="18"/>
                <w:szCs w:val="18"/>
                <w:lang w:val="en-US" w:eastAsia="zh-CN"/>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Slovénie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0,06155</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0,05996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0,06439</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0,08197</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0,04380</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0,04955</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Suède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0,03232</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0,04369</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0,04043</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0,04726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0,03481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0,03309</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Suisse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0,04260</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0,04376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0,04145</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0,04371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0,04802</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0,05279</w:t>
            </w:r>
          </w:p>
        </w:tc>
        <w:tc>
          <w:tcPr>
            <w:tcW w:w="1372" w:type="dxa"/>
            <w:hideMark/>
          </w:tcPr>
          <w:p w:rsidR="007F10B8" w:rsidRPr="0031413A" w:rsidRDefault="007F10B8" w:rsidP="009A6961">
            <w:pPr>
              <w:jc w:val="right"/>
              <w:rPr>
                <w:rFonts w:asciiTheme="majorBidi" w:hAnsiTheme="majorBidi" w:cstheme="majorBidi"/>
                <w:color w:val="000000"/>
                <w:sz w:val="18"/>
                <w:szCs w:val="18"/>
                <w:lang w:val="en-US" w:eastAsia="zh-CN"/>
              </w:rPr>
            </w:pP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Tchéquie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0,23064</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0,19771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0,20739</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0,23380</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0,21600</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0,23238</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Thaïlande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xml:space="preserve"> </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xml:space="preserve"> </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0,00166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0,00834</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0,00773</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0,00892</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r w:rsidR="007F10B8" w:rsidRPr="00410C38" w:rsidTr="00F22800">
        <w:trPr>
          <w:trHeight w:val="330"/>
        </w:trPr>
        <w:tc>
          <w:tcPr>
            <w:tcW w:w="1171" w:type="dxa"/>
            <w:hideMark/>
          </w:tcPr>
          <w:p w:rsidR="007F10B8" w:rsidRDefault="0002487E">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Türkiye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0,04732</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0,05781</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0,06773</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0,05728</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0,03383</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0,03006</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0,04335</w:t>
            </w:r>
          </w:p>
        </w:tc>
      </w:tr>
      <w:tr w:rsidR="007F10B8" w:rsidRPr="00410C38" w:rsidTr="00F22800">
        <w:trPr>
          <w:trHeight w:val="330"/>
        </w:trPr>
        <w:tc>
          <w:tcPr>
            <w:tcW w:w="1171" w:type="dxa"/>
            <w:hideMark/>
          </w:tcPr>
          <w:p w:rsidR="007F10B8" w:rsidRDefault="007F10B8">
            <w:pPr>
              <w:jc w:val="lef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Ukraine</w:t>
            </w:r>
          </w:p>
        </w:tc>
        <w:tc>
          <w:tcPr>
            <w:tcW w:w="1153"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0,00570</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0,01087</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0,01436</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0,01290</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0,01393</w:t>
            </w:r>
          </w:p>
        </w:tc>
        <w:tc>
          <w:tcPr>
            <w:tcW w:w="1154"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0,01466</w:t>
            </w:r>
          </w:p>
        </w:tc>
        <w:tc>
          <w:tcPr>
            <w:tcW w:w="1372" w:type="dxa"/>
            <w:hideMark/>
          </w:tcPr>
          <w:p w:rsidR="007F10B8" w:rsidRDefault="007F10B8">
            <w:pPr>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rPr>
              <w:t> </w:t>
            </w:r>
          </w:p>
        </w:tc>
      </w:tr>
    </w:tbl>
    <w:p w:rsidR="00AC7EA1" w:rsidRDefault="00324D7C">
      <w:pPr>
        <w:suppressLineNumbers/>
        <w:suppressAutoHyphens/>
        <w:kinsoku w:val="0"/>
        <w:overflowPunct w:val="0"/>
        <w:autoSpaceDE w:val="0"/>
        <w:autoSpaceDN w:val="0"/>
        <w:adjustRightInd w:val="0"/>
        <w:snapToGrid w:val="0"/>
        <w:spacing w:before="120"/>
        <w:jc w:val="center"/>
        <w:rPr>
          <w:bCs/>
          <w:kern w:val="22"/>
          <w:szCs w:val="22"/>
        </w:rPr>
      </w:pPr>
      <w:r>
        <w:rPr>
          <w:bCs/>
          <w:snapToGrid w:val="0"/>
          <w:kern w:val="22"/>
          <w:szCs w:val="22"/>
        </w:rPr>
        <w:t>_________</w:t>
      </w:r>
    </w:p>
    <w:sectPr w:rsidR="00AC7EA1" w:rsidSect="00C264EE">
      <w:headerReference w:type="even" r:id="rId18"/>
      <w:headerReference w:type="default" r:id="rId19"/>
      <w:footerReference w:type="even" r:id="rId20"/>
      <w:pgSz w:w="12240" w:h="15840" w:code="1"/>
      <w:pgMar w:top="562" w:right="1382" w:bottom="1080" w:left="1382"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2556" w:rsidRDefault="009C2556">
      <w:r>
        <w:separator/>
      </w:r>
    </w:p>
  </w:endnote>
  <w:endnote w:type="continuationSeparator" w:id="0">
    <w:p w:rsidR="009C2556" w:rsidRDefault="009C2556">
      <w:r>
        <w:continuationSeparator/>
      </w:r>
    </w:p>
  </w:endnote>
  <w:endnote w:type="continuationNotice" w:id="1">
    <w:p w:rsidR="009C2556" w:rsidRDefault="009C25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61F" w:rsidRDefault="006F561F" w:rsidP="006E604B">
    <w:pPr>
      <w:pStyle w:val="Footer"/>
      <w:tabs>
        <w:tab w:val="clear" w:pos="4320"/>
        <w:tab w:val="clear" w:pos="864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2556" w:rsidRDefault="009C2556">
      <w:r>
        <w:separator/>
      </w:r>
    </w:p>
  </w:footnote>
  <w:footnote w:type="continuationSeparator" w:id="0">
    <w:p w:rsidR="009C2556" w:rsidRDefault="009C2556">
      <w:r>
        <w:continuationSeparator/>
      </w:r>
    </w:p>
  </w:footnote>
  <w:footnote w:type="continuationNotice" w:id="1">
    <w:p w:rsidR="009C2556" w:rsidRDefault="009C2556"/>
  </w:footnote>
  <w:footnote w:id="2">
    <w:p w:rsidR="006F561F" w:rsidRDefault="006F561F">
      <w:pPr>
        <w:pStyle w:val="FootnoteText"/>
        <w:ind w:firstLine="0"/>
        <w:rPr>
          <w:szCs w:val="18"/>
        </w:rPr>
      </w:pPr>
      <w:r w:rsidRPr="00C264EE">
        <w:rPr>
          <w:rStyle w:val="FootnoteReference"/>
          <w:sz w:val="18"/>
          <w:szCs w:val="18"/>
        </w:rPr>
        <w:footnoteRef/>
      </w:r>
      <w:r>
        <w:rPr>
          <w:szCs w:val="18"/>
        </w:rPr>
        <w:t xml:space="preserve"> Voir les documents UNEP/CBD/SBI/1/7/Add.1, UNEP/CBD/COP/13/11/Rev.1, UNEP/CBD/SBI/2/7/Add.1 et CBD/COP/14/6. </w:t>
      </w:r>
    </w:p>
  </w:footnote>
  <w:footnote w:id="3">
    <w:p w:rsidR="006F561F" w:rsidRPr="00DE607B" w:rsidRDefault="006F561F">
      <w:pPr>
        <w:pStyle w:val="FootnoteText"/>
        <w:ind w:firstLine="0"/>
        <w:rPr>
          <w:szCs w:val="18"/>
        </w:rPr>
      </w:pPr>
      <w:r w:rsidRPr="00C264EE">
        <w:rPr>
          <w:rStyle w:val="FootnoteReference"/>
          <w:sz w:val="18"/>
          <w:szCs w:val="18"/>
        </w:rPr>
        <w:footnoteRef/>
      </w:r>
      <w:r>
        <w:rPr>
          <w:szCs w:val="18"/>
        </w:rPr>
        <w:t xml:space="preserve"> </w:t>
      </w:r>
      <w:r>
        <w:rPr>
          <w:kern w:val="22"/>
          <w:szCs w:val="18"/>
        </w:rPr>
        <w:t>Établi conformément à la recommandation 3/6 de l’Organe subsidiaire (CBD/SBI/REC/3/6, note de bas de page 4).</w:t>
      </w:r>
    </w:p>
  </w:footnote>
  <w:footnote w:id="4">
    <w:p w:rsidR="006F561F" w:rsidRDefault="006F561F">
      <w:pPr>
        <w:pStyle w:val="FootnoteText"/>
        <w:ind w:firstLine="0"/>
      </w:pPr>
      <w:r w:rsidRPr="00C264EE">
        <w:rPr>
          <w:rStyle w:val="FootnoteReference"/>
          <w:sz w:val="18"/>
          <w:szCs w:val="18"/>
        </w:rPr>
        <w:footnoteRef/>
      </w:r>
      <w:r>
        <w:rPr>
          <w:szCs w:val="18"/>
        </w:rPr>
        <w:t xml:space="preserve"> En réponse à la notification 2021-034 du 14 mai 2021.</w:t>
      </w:r>
    </w:p>
  </w:footnote>
  <w:footnote w:id="5">
    <w:p w:rsidR="006F561F" w:rsidRDefault="006F561F">
      <w:pPr>
        <w:pStyle w:val="FootnoteText"/>
        <w:ind w:firstLine="0"/>
      </w:pPr>
      <w:r>
        <w:rPr>
          <w:rStyle w:val="FootnoteReference"/>
        </w:rPr>
        <w:footnoteRef/>
      </w:r>
      <w:r>
        <w:t xml:space="preserve"> </w:t>
      </w:r>
      <w:hyperlink r:id="rId1" w:history="1">
        <w:r>
          <w:rPr>
            <w:rStyle w:val="Hyperlink"/>
          </w:rPr>
          <w:t>https://chm.cbd.int/search/financial-analyzer</w:t>
        </w:r>
      </w:hyperlink>
      <w:r>
        <w:t>.</w:t>
      </w:r>
    </w:p>
  </w:footnote>
  <w:footnote w:id="6">
    <w:p w:rsidR="006F561F" w:rsidRDefault="006F561F">
      <w:pPr>
        <w:pStyle w:val="FootnoteText"/>
        <w:ind w:firstLine="0"/>
      </w:pPr>
      <w:r>
        <w:rPr>
          <w:rStyle w:val="FootnoteReference"/>
        </w:rPr>
        <w:footnoteRef/>
      </w:r>
      <w:r>
        <w:t xml:space="preserve"> Voir CBD/SBI/2/7Add.1.</w:t>
      </w:r>
    </w:p>
  </w:footnote>
  <w:footnote w:id="7">
    <w:p w:rsidR="006F561F" w:rsidRDefault="006F561F" w:rsidP="00A61A9C">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613C7">
        <w:rPr>
          <w:rStyle w:val="FootnoteReference"/>
          <w:snapToGrid w:val="0"/>
          <w:kern w:val="18"/>
          <w:sz w:val="18"/>
          <w:szCs w:val="18"/>
        </w:rPr>
        <w:footnoteRef/>
      </w:r>
      <w:r>
        <w:rPr>
          <w:snapToGrid w:val="0"/>
          <w:kern w:val="18"/>
          <w:szCs w:val="18"/>
        </w:rPr>
        <w:t xml:space="preserve"> Les promesses d’aide bilatérale sont marquées comme « principale » dans le cadre du système de référence de Rio du CAD de l’OCDE. </w:t>
      </w:r>
    </w:p>
  </w:footnote>
  <w:footnote w:id="8">
    <w:p w:rsidR="006F561F" w:rsidRPr="00DE607B" w:rsidRDefault="006F561F" w:rsidP="00847864">
      <w:pPr>
        <w:pStyle w:val="FootnoteText"/>
        <w:ind w:firstLine="0"/>
      </w:pPr>
      <w:r>
        <w:rPr>
          <w:rStyle w:val="FootnoteReference"/>
        </w:rPr>
        <w:footnoteRef/>
      </w:r>
      <w:r>
        <w:t xml:space="preserve"> </w:t>
      </w:r>
      <w:r>
        <w:rPr>
          <w:i/>
          <w:iCs/>
        </w:rPr>
        <w:t>Communication de l’Union européenne et de ses États membres à la notification 2021-034 de la CDB. Informations concernant les cadres d’information financière de l’Union européenne et de ses États membres (22 juillet 2021)</w:t>
      </w:r>
      <w:r>
        <w:t>, annexées au cadre d’information financière 2020 de l’Union européenne et de ses États membres (tableaux 1a et 1b).</w:t>
      </w:r>
    </w:p>
  </w:footnote>
  <w:footnote w:id="9">
    <w:p w:rsidR="006F561F" w:rsidRPr="00DE607B" w:rsidRDefault="006F561F">
      <w:pPr>
        <w:pStyle w:val="FootnoteText"/>
        <w:ind w:firstLine="0"/>
        <w:rPr>
          <w:szCs w:val="18"/>
        </w:rPr>
      </w:pPr>
      <w:r w:rsidRPr="00C264EE">
        <w:rPr>
          <w:rStyle w:val="FootnoteReference"/>
          <w:sz w:val="18"/>
          <w:szCs w:val="18"/>
        </w:rPr>
        <w:footnoteRef/>
      </w:r>
      <w:r>
        <w:rPr>
          <w:szCs w:val="18"/>
        </w:rPr>
        <w:t xml:space="preserve"> Voir </w:t>
      </w:r>
      <w:hyperlink r:id="rId2" w:history="1">
        <w:r>
          <w:rPr>
            <w:rStyle w:val="Hyperlink"/>
            <w:szCs w:val="18"/>
          </w:rPr>
          <w:t>https://chm.cbd.int/search/financial-analyzer</w:t>
        </w:r>
      </w:hyperlink>
      <w:r>
        <w:rPr>
          <w:szCs w:val="18"/>
        </w:rPr>
        <w:t>.</w:t>
      </w:r>
    </w:p>
  </w:footnote>
  <w:footnote w:id="10">
    <w:p w:rsidR="006F561F" w:rsidRPr="00DE607B" w:rsidRDefault="006F561F">
      <w:pPr>
        <w:pStyle w:val="FootnoteText"/>
        <w:ind w:firstLine="0"/>
        <w:jc w:val="left"/>
        <w:rPr>
          <w:szCs w:val="18"/>
        </w:rPr>
      </w:pPr>
      <w:r w:rsidRPr="00C264EE">
        <w:rPr>
          <w:rStyle w:val="FootnoteReference"/>
          <w:sz w:val="18"/>
          <w:szCs w:val="18"/>
        </w:rPr>
        <w:footnoteRef/>
      </w:r>
      <w:r>
        <w:rPr>
          <w:szCs w:val="18"/>
        </w:rPr>
        <w:t xml:space="preserve"> Voir CBD/COP/14/6 pour plus de détails. </w:t>
      </w:r>
    </w:p>
  </w:footnote>
  <w:footnote w:id="11">
    <w:p w:rsidR="006F561F" w:rsidRPr="00DE607B" w:rsidRDefault="006F561F">
      <w:pPr>
        <w:pStyle w:val="FootnoteText"/>
        <w:ind w:firstLine="0"/>
        <w:rPr>
          <w:szCs w:val="18"/>
        </w:rPr>
      </w:pPr>
      <w:r w:rsidRPr="00A031F9">
        <w:rPr>
          <w:rStyle w:val="FootnoteReference"/>
          <w:sz w:val="18"/>
          <w:szCs w:val="18"/>
        </w:rPr>
        <w:footnoteRef/>
      </w:r>
      <w:r>
        <w:rPr>
          <w:szCs w:val="18"/>
        </w:rPr>
        <w:t xml:space="preserve"> Sur la base des informations alors disponibles, la cinquième édition des </w:t>
      </w:r>
      <w:r w:rsidRPr="00E33A0D">
        <w:rPr>
          <w:i/>
          <w:szCs w:val="18"/>
        </w:rPr>
        <w:t>Perspectives mondiales de la diversité biologique</w:t>
      </w:r>
      <w:r>
        <w:rPr>
          <w:szCs w:val="18"/>
        </w:rPr>
        <w:t xml:space="preserve"> a suggéré que cet objectif serait atteint, la moyenne étant de 1,9 pour 2015-2019.</w:t>
      </w:r>
    </w:p>
  </w:footnote>
  <w:footnote w:id="12">
    <w:p w:rsidR="006F561F" w:rsidRPr="00DE607B" w:rsidRDefault="006F561F">
      <w:pPr>
        <w:pStyle w:val="FootnoteText"/>
        <w:ind w:firstLine="0"/>
        <w:jc w:val="left"/>
        <w:rPr>
          <w:szCs w:val="18"/>
        </w:rPr>
      </w:pPr>
      <w:r w:rsidRPr="00C264EE">
        <w:rPr>
          <w:rStyle w:val="FootnoteReference"/>
          <w:sz w:val="18"/>
          <w:szCs w:val="18"/>
        </w:rPr>
        <w:footnoteRef/>
      </w:r>
      <w:r>
        <w:rPr>
          <w:szCs w:val="18"/>
        </w:rPr>
        <w:t xml:space="preserve"> En 2020, les Parties non membres du CAD ci-après ont communiqué des informations sur au moins un de ces codes sectoriels : Arabie saoudite, Azerbaïdjan, Chypre, Croatie, Émirats arabes unis, Estonie, Kazakhstan, Lettonie, Lituanie, Roumanie, Türkiye.</w:t>
      </w:r>
    </w:p>
  </w:footnote>
  <w:footnote w:id="13">
    <w:p w:rsidR="006F561F" w:rsidRPr="00DE607B" w:rsidRDefault="006F561F" w:rsidP="009C547F">
      <w:pPr>
        <w:pStyle w:val="FootnoteText"/>
        <w:ind w:firstLine="0"/>
        <w:rPr>
          <w:szCs w:val="18"/>
        </w:rPr>
      </w:pPr>
      <w:r w:rsidRPr="00ED036F">
        <w:rPr>
          <w:rStyle w:val="FootnoteReference"/>
          <w:sz w:val="18"/>
          <w:szCs w:val="18"/>
        </w:rPr>
        <w:footnoteRef/>
      </w:r>
      <w:r>
        <w:rPr>
          <w:szCs w:val="18"/>
        </w:rPr>
        <w:t xml:space="preserve"> Par exemple, s’il existe une volonté collective de regrouper les données du marqueur de Rio en un seul chiffre, la </w:t>
      </w:r>
      <w:r>
        <w:rPr>
          <w:kern w:val="22"/>
          <w:szCs w:val="18"/>
        </w:rPr>
        <w:t>Conférence des Parties</w:t>
      </w:r>
      <w:r>
        <w:rPr>
          <w:szCs w:val="18"/>
        </w:rPr>
        <w:t xml:space="preserve"> pourrait décider d’un coefficient par défaut (par exemple 40 %), assorti d’une option de non-participation pour chaque Partie. Ainsi, si une Partie conclut que le coefficient par défaut ne reflète pas la réalité de son propre portefeuille de projets de coopération pour le développement, elle pourrait choisir de ne pas l’utiliser, en indiquant au Secrétariat son coefficient préféré ou, plus généralement, sa méthode d’agrégation préférée. Par souci de transparence, ces informations pourraient ensuite être communiquées en même temps que les chiffres agrégés dans les futurs rapports d’activité liés à la mise en œuvre du cadre de suivi. </w:t>
      </w:r>
    </w:p>
  </w:footnote>
  <w:footnote w:id="14">
    <w:p w:rsidR="006F561F" w:rsidRPr="00DE607B" w:rsidRDefault="006F561F">
      <w:pPr>
        <w:pStyle w:val="FootnoteText"/>
        <w:ind w:firstLine="0"/>
      </w:pPr>
      <w:r>
        <w:rPr>
          <w:rStyle w:val="FootnoteReference"/>
        </w:rPr>
        <w:footnoteRef/>
      </w:r>
      <w:r>
        <w:t xml:space="preserve"> Voir </w:t>
      </w:r>
      <w:hyperlink r:id="rId3" w:history="1">
        <w:r>
          <w:rPr>
            <w:rStyle w:val="Hyperlink"/>
          </w:rPr>
          <w:t>https://chm.cbd.int/search/financial-analyzer</w:t>
        </w:r>
      </w:hyperlink>
      <w:r>
        <w:t xml:space="preserve"> pour les représentations graphiques.</w:t>
      </w:r>
    </w:p>
  </w:footnote>
  <w:footnote w:id="15">
    <w:p w:rsidR="006F561F" w:rsidRDefault="006F561F">
      <w:pPr>
        <w:pStyle w:val="FootnoteText"/>
        <w:ind w:firstLine="0"/>
      </w:pPr>
      <w:r>
        <w:rPr>
          <w:rStyle w:val="FootnoteReference"/>
        </w:rPr>
        <w:footnoteRef/>
      </w:r>
      <w:r>
        <w:t xml:space="preserve"> En vertu de la NACE Rév. 2, il s’agit de la nomenclature statistique des activités économiques menées dans la Communauté européenne et les déclarations correspondantes à Eurostat.</w:t>
      </w:r>
    </w:p>
  </w:footnote>
  <w:footnote w:id="16">
    <w:p w:rsidR="006F561F" w:rsidRPr="00DE607B" w:rsidRDefault="006F561F">
      <w:pPr>
        <w:pStyle w:val="FootnoteText"/>
        <w:ind w:firstLine="0"/>
      </w:pPr>
      <w:r>
        <w:rPr>
          <w:rStyle w:val="FootnoteReference"/>
        </w:rPr>
        <w:footnoteRef/>
      </w:r>
      <w:r>
        <w:t xml:space="preserve"> </w:t>
      </w:r>
      <w:hyperlink r:id="rId4" w:history="1">
        <w:r>
          <w:rPr>
            <w:rStyle w:val="Hyperlink"/>
          </w:rPr>
          <w:t>https://data.imf.org/?sk=5804C5E1-0502-4672-BDCD-671BCDC565A9</w:t>
        </w:r>
      </w:hyperlink>
      <w:r>
        <w:t xml:space="preserve">. </w:t>
      </w:r>
    </w:p>
  </w:footnote>
  <w:footnote w:id="17">
    <w:p w:rsidR="006F561F" w:rsidRPr="00DE607B" w:rsidRDefault="006F561F">
      <w:pPr>
        <w:pStyle w:val="FootnoteText"/>
        <w:ind w:firstLine="0"/>
      </w:pPr>
      <w:r w:rsidRPr="00C30A53">
        <w:rPr>
          <w:rStyle w:val="FootnoteReference"/>
        </w:rPr>
        <w:footnoteRef/>
      </w:r>
      <w:r>
        <w:t xml:space="preserve"> Les données de 2020 n’ont pas été incluses dans l’analyse des tendances, en raison des circonstances uniques liées à la pandémie de COVID-19. </w:t>
      </w:r>
    </w:p>
  </w:footnote>
  <w:footnote w:id="18">
    <w:p w:rsidR="006F561F" w:rsidRDefault="006F561F">
      <w:pPr>
        <w:pStyle w:val="FootnoteText"/>
        <w:ind w:firstLine="0"/>
      </w:pPr>
      <w:r>
        <w:rPr>
          <w:rStyle w:val="FootnoteReference"/>
        </w:rPr>
        <w:footnoteRef/>
      </w:r>
      <w:r>
        <w:t xml:space="preserve"> Voir UNEP/CBD/SBI/1/7/Add.1, paragraphes 55 à 57, UNEP/CBD/SBI/1/7/Add.2 et UNEP/CBD/SBI/1/INF/6.</w:t>
      </w:r>
    </w:p>
  </w:footnote>
  <w:footnote w:id="19">
    <w:p w:rsidR="006F561F" w:rsidRDefault="006F561F">
      <w:pPr>
        <w:pStyle w:val="FootnoteText"/>
        <w:ind w:firstLine="0"/>
      </w:pPr>
      <w:r>
        <w:rPr>
          <w:rStyle w:val="FootnoteReference"/>
        </w:rPr>
        <w:footnoteRef/>
      </w:r>
      <w:r>
        <w:t xml:space="preserve"> Décision 14/16, alinéa 2 du préambule.</w:t>
      </w:r>
    </w:p>
  </w:footnote>
  <w:footnote w:id="20">
    <w:p w:rsidR="006F561F" w:rsidRDefault="006F561F">
      <w:pPr>
        <w:pStyle w:val="FootnoteText"/>
        <w:ind w:firstLine="0"/>
        <w:jc w:val="left"/>
      </w:pPr>
      <w:r>
        <w:rPr>
          <w:rStyle w:val="FootnoteReference"/>
        </w:rPr>
        <w:footnoteRef/>
      </w:r>
      <w:r>
        <w:t xml:space="preserve"> Voir également le débat connexe dans le document CBD/SBI/3/5/Add.2/Rev.1, aux paragraphes 58 et 61, sur ce qui est exactement repris dans les SPANB (révisés).</w:t>
      </w:r>
    </w:p>
  </w:footnote>
  <w:footnote w:id="21">
    <w:p w:rsidR="006F561F" w:rsidRPr="00DE607B" w:rsidRDefault="006F561F" w:rsidP="00E5540C">
      <w:pPr>
        <w:pStyle w:val="FootnoteText"/>
        <w:ind w:firstLine="0"/>
      </w:pPr>
      <w:r w:rsidRPr="00531CB2">
        <w:rPr>
          <w:rStyle w:val="FootnoteReference"/>
        </w:rPr>
        <w:footnoteRef/>
      </w:r>
      <w:r>
        <w:t xml:space="preserve"> Où le déficit de financement = besoins de financement - dépenses existantes.</w:t>
      </w:r>
    </w:p>
  </w:footnote>
  <w:footnote w:id="22">
    <w:p w:rsidR="006F561F" w:rsidRPr="00DE607B" w:rsidRDefault="006F561F">
      <w:pPr>
        <w:pStyle w:val="FootnoteText"/>
        <w:ind w:firstLine="0"/>
      </w:pPr>
      <w:r w:rsidRPr="00531CB2">
        <w:rPr>
          <w:rStyle w:val="FootnoteReference"/>
        </w:rPr>
        <w:footnoteRef/>
      </w:r>
      <w:r>
        <w:t xml:space="preserve"> Avec 192 cinquièmes rapports nationaux et 189 sixièmes rapports nationaux reçus à ce jour.</w:t>
      </w:r>
    </w:p>
  </w:footnote>
  <w:footnote w:id="23">
    <w:p w:rsidR="006F561F" w:rsidRPr="00DE607B" w:rsidRDefault="006F561F">
      <w:pPr>
        <w:pStyle w:val="FootnoteText"/>
        <w:ind w:firstLine="0"/>
        <w:jc w:val="left"/>
      </w:pPr>
      <w:r w:rsidRPr="004B0D0B">
        <w:rPr>
          <w:rStyle w:val="FootnoteReference"/>
        </w:rPr>
        <w:footnoteRef/>
      </w:r>
      <w:r>
        <w:t xml:space="preserve"> Compte tenu de l’influence des fluctuations des taux de change, comme expliqué dans le document CBD/COP/14/6, et du fait qu’un certain nombre de Parties n’ont pas encore communiqué de données pour 2020.</w:t>
      </w:r>
    </w:p>
  </w:footnote>
  <w:footnote w:id="24">
    <w:p w:rsidR="006F561F" w:rsidRPr="00DE607B" w:rsidRDefault="006F561F">
      <w:pPr>
        <w:pStyle w:val="FootnoteText"/>
        <w:ind w:firstLine="0"/>
        <w:jc w:val="left"/>
      </w:pPr>
      <w:r w:rsidRPr="0086580C">
        <w:rPr>
          <w:rStyle w:val="FootnoteReference"/>
        </w:rPr>
        <w:footnoteRef/>
      </w:r>
      <w:r>
        <w:t xml:space="preserve"> Le mandat de ce processus, sous la forme d’un groupe d’experts, a été établi par la Secrétaire exécutive et communiqué à la troisième réunion de l’Organe subsidiaire chargé de l’application dans le document CBD/SBI/3/5/Add.4. </w:t>
      </w:r>
    </w:p>
  </w:footnote>
  <w:footnote w:id="25">
    <w:p w:rsidR="006F561F" w:rsidRDefault="006F561F">
      <w:pPr>
        <w:pStyle w:val="FootnoteText"/>
        <w:ind w:firstLine="0"/>
        <w:rPr>
          <w:lang w:val="es-ES"/>
        </w:rPr>
      </w:pPr>
      <w:r w:rsidRPr="0086580C">
        <w:rPr>
          <w:rStyle w:val="FootnoteReference"/>
        </w:rPr>
        <w:footnoteRef/>
      </w:r>
      <w:r>
        <w:t xml:space="preserve"> Par exemple, CBD/SBI/3/5/Add.1.</w:t>
      </w:r>
    </w:p>
  </w:footnote>
  <w:footnote w:id="26">
    <w:p w:rsidR="006F561F" w:rsidRDefault="006F561F">
      <w:pPr>
        <w:suppressLineNumbers/>
        <w:suppressAutoHyphens/>
        <w:kinsoku w:val="0"/>
        <w:overflowPunct w:val="0"/>
        <w:autoSpaceDE w:val="0"/>
        <w:autoSpaceDN w:val="0"/>
        <w:adjustRightInd w:val="0"/>
        <w:snapToGrid w:val="0"/>
        <w:spacing w:after="60"/>
        <w:rPr>
          <w:bCs/>
          <w:i/>
          <w:iCs/>
          <w:snapToGrid w:val="0"/>
          <w:kern w:val="22"/>
          <w:sz w:val="18"/>
          <w:szCs w:val="18"/>
        </w:rPr>
      </w:pPr>
      <w:r w:rsidRPr="00F22800">
        <w:rPr>
          <w:rStyle w:val="FootnoteReference"/>
          <w:sz w:val="18"/>
          <w:szCs w:val="18"/>
        </w:rPr>
        <w:footnoteRef/>
      </w:r>
      <w:r>
        <w:rPr>
          <w:sz w:val="18"/>
          <w:szCs w:val="18"/>
        </w:rPr>
        <w:t xml:space="preserve"> </w:t>
      </w:r>
      <w:r>
        <w:rPr>
          <w:bCs/>
          <w:i/>
          <w:iCs/>
          <w:snapToGrid w:val="0"/>
          <w:kern w:val="22"/>
          <w:sz w:val="18"/>
          <w:szCs w:val="18"/>
        </w:rPr>
        <w:t xml:space="preserve">Source des données : Statistiques des finances publiques du FMI; Dépenses par fonction publique (COFOG); consulté le 31 octobre 2022 à l’adresse </w:t>
      </w:r>
      <w:hyperlink r:id="rId5" w:history="1">
        <w:r>
          <w:rPr>
            <w:rStyle w:val="Hyperlink"/>
            <w:bCs/>
            <w:i/>
            <w:iCs/>
            <w:snapToGrid w:val="0"/>
            <w:kern w:val="22"/>
            <w:szCs w:val="18"/>
          </w:rPr>
          <w:t>https://data.imf.org/?sk=5804C5E1-0502-4672-BDCD-671BCDC565A9</w:t>
        </w:r>
      </w:hyperlink>
      <w:r>
        <w:rPr>
          <w:rStyle w:val="Hyperlink"/>
          <w:bCs/>
          <w:i/>
          <w:iCs/>
          <w:snapToGrid w:val="0"/>
          <w:kern w:val="22"/>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Subject"/>
      <w:tag w:val=""/>
      <w:id w:val="-255138167"/>
      <w:placeholder>
        <w:docPart w:val="B3D8104214564783AE3253AD62ABBD48"/>
      </w:placeholder>
      <w:dataBinding w:prefixMappings="xmlns:ns0='http://purl.org/dc/elements/1.1/' xmlns:ns1='http://schemas.openxmlformats.org/package/2006/metadata/core-properties' " w:xpath="/ns1:coreProperties[1]/ns0:subject[1]" w:storeItemID="{6C3C8BC8-F283-45AE-878A-BAB7291924A1}"/>
      <w:text/>
    </w:sdtPr>
    <w:sdtContent>
      <w:p w:rsidR="006F561F" w:rsidRDefault="006F561F">
        <w:pPr>
          <w:pStyle w:val="Header"/>
        </w:pPr>
        <w:r>
          <w:t>CBD/COP/15/11</w:t>
        </w:r>
      </w:p>
    </w:sdtContent>
  </w:sdt>
  <w:p w:rsidR="006F561F" w:rsidRDefault="006F561F">
    <w:pPr>
      <w:pStyle w:val="Header"/>
      <w:rPr>
        <w:noProof/>
      </w:rPr>
    </w:pPr>
    <w:r>
      <w:t xml:space="preserve">Page </w:t>
    </w:r>
    <w:r>
      <w:fldChar w:fldCharType="begin"/>
    </w:r>
    <w:r>
      <w:instrText xml:space="preserve"> PAGE   \* MERGEFORMAT </w:instrText>
    </w:r>
    <w:r>
      <w:fldChar w:fldCharType="separate"/>
    </w:r>
    <w:r w:rsidR="00714083">
      <w:rPr>
        <w:noProof/>
      </w:rPr>
      <w:t>18</w:t>
    </w:r>
    <w:r>
      <w:rPr>
        <w:noProof/>
      </w:rPr>
      <w:fldChar w:fldCharType="end"/>
    </w:r>
  </w:p>
  <w:p w:rsidR="006F561F" w:rsidRDefault="006F561F" w:rsidP="00F228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Subject"/>
      <w:tag w:val=""/>
      <w:id w:val="-514763021"/>
      <w:placeholder>
        <w:docPart w:val="4CC2342768D949928F63CBF6A4B22D30"/>
      </w:placeholder>
      <w:dataBinding w:prefixMappings="xmlns:ns0='http://purl.org/dc/elements/1.1/' xmlns:ns1='http://schemas.openxmlformats.org/package/2006/metadata/core-properties' " w:xpath="/ns1:coreProperties[1]/ns0:subject[1]" w:storeItemID="{6C3C8BC8-F283-45AE-878A-BAB7291924A1}"/>
      <w:text/>
    </w:sdtPr>
    <w:sdtContent>
      <w:p w:rsidR="006F561F" w:rsidRDefault="006F561F">
        <w:pPr>
          <w:pStyle w:val="Header"/>
          <w:jc w:val="right"/>
        </w:pPr>
        <w:r>
          <w:t>CBD/COP/15/11</w:t>
        </w:r>
      </w:p>
    </w:sdtContent>
  </w:sdt>
  <w:p w:rsidR="006F561F" w:rsidRDefault="006F561F">
    <w:pPr>
      <w:pStyle w:val="Header"/>
      <w:jc w:val="right"/>
      <w:rPr>
        <w:noProof/>
      </w:rPr>
    </w:pPr>
    <w:r>
      <w:t xml:space="preserve">Page </w:t>
    </w:r>
    <w:r>
      <w:fldChar w:fldCharType="begin"/>
    </w:r>
    <w:r>
      <w:instrText xml:space="preserve"> PAGE   \* MERGEFORMAT </w:instrText>
    </w:r>
    <w:r>
      <w:fldChar w:fldCharType="separate"/>
    </w:r>
    <w:r w:rsidR="00714083">
      <w:rPr>
        <w:noProof/>
      </w:rPr>
      <w:t>17</w:t>
    </w:r>
    <w:r>
      <w:rPr>
        <w:noProof/>
      </w:rPr>
      <w:fldChar w:fldCharType="end"/>
    </w:r>
  </w:p>
  <w:p w:rsidR="006F561F" w:rsidRPr="0097545A" w:rsidRDefault="006F561F" w:rsidP="00794EF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A0D40"/>
    <w:multiLevelType w:val="hybridMultilevel"/>
    <w:tmpl w:val="DF58ADB0"/>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0BD490A"/>
    <w:multiLevelType w:val="hybridMultilevel"/>
    <w:tmpl w:val="7E3C250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15:restartNumberingAfterBreak="0">
    <w:nsid w:val="13C053DC"/>
    <w:multiLevelType w:val="hybridMultilevel"/>
    <w:tmpl w:val="DC7CF964"/>
    <w:lvl w:ilvl="0" w:tplc="4BFC5A3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1A4338"/>
    <w:multiLevelType w:val="hybridMultilevel"/>
    <w:tmpl w:val="5B2073E8"/>
    <w:lvl w:ilvl="0" w:tplc="0C090017">
      <w:start w:val="1"/>
      <w:numFmt w:val="lowerLetter"/>
      <w:lvlText w:val="%1)"/>
      <w:lvlJc w:val="left"/>
      <w:pPr>
        <w:tabs>
          <w:tab w:val="num" w:pos="1080"/>
        </w:tabs>
        <w:ind w:left="1080" w:hanging="360"/>
      </w:pPr>
      <w:rPr>
        <w:rFonts w:hint="default"/>
        <w:b w:val="0"/>
        <w:i w:val="0"/>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5" w15:restartNumberingAfterBreak="0">
    <w:nsid w:val="25E503D2"/>
    <w:multiLevelType w:val="hybridMultilevel"/>
    <w:tmpl w:val="92D22E2A"/>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C45020C"/>
    <w:multiLevelType w:val="hybridMultilevel"/>
    <w:tmpl w:val="16844BD2"/>
    <w:lvl w:ilvl="0" w:tplc="0409000F">
      <w:start w:val="1"/>
      <w:numFmt w:val="decimal"/>
      <w:lvlText w:val="%1."/>
      <w:lvlJc w:val="left"/>
      <w:pPr>
        <w:ind w:left="720" w:hanging="360"/>
      </w:pPr>
    </w:lvl>
    <w:lvl w:ilvl="1" w:tplc="0C09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2" w15:restartNumberingAfterBreak="0">
    <w:nsid w:val="3EF63425"/>
    <w:multiLevelType w:val="hybridMultilevel"/>
    <w:tmpl w:val="399ECE22"/>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CC7FBB"/>
    <w:multiLevelType w:val="hybridMultilevel"/>
    <w:tmpl w:val="F080DDEE"/>
    <w:lvl w:ilvl="0" w:tplc="0C090017">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9E0F1A"/>
    <w:multiLevelType w:val="hybridMultilevel"/>
    <w:tmpl w:val="AC4EB7FA"/>
    <w:lvl w:ilvl="0" w:tplc="A5C4C142">
      <w:start w:val="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D5371F"/>
    <w:multiLevelType w:val="hybridMultilevel"/>
    <w:tmpl w:val="AF968C62"/>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4AC1F28"/>
    <w:multiLevelType w:val="hybridMultilevel"/>
    <w:tmpl w:val="D916BFA2"/>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5B0A4687"/>
    <w:multiLevelType w:val="hybridMultilevel"/>
    <w:tmpl w:val="EB560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5" w15:restartNumberingAfterBreak="0">
    <w:nsid w:val="69F77946"/>
    <w:multiLevelType w:val="hybridMultilevel"/>
    <w:tmpl w:val="909E7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03D20EE"/>
    <w:multiLevelType w:val="hybridMultilevel"/>
    <w:tmpl w:val="F7AAF246"/>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0860CE6"/>
    <w:multiLevelType w:val="hybridMultilevel"/>
    <w:tmpl w:val="141CE188"/>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3"/>
  </w:num>
  <w:num w:numId="3">
    <w:abstractNumId w:val="18"/>
  </w:num>
  <w:num w:numId="4">
    <w:abstractNumId w:val="15"/>
  </w:num>
  <w:num w:numId="5">
    <w:abstractNumId w:val="26"/>
  </w:num>
  <w:num w:numId="6">
    <w:abstractNumId w:val="8"/>
  </w:num>
  <w:num w:numId="7">
    <w:abstractNumId w:val="17"/>
  </w:num>
  <w:num w:numId="8">
    <w:abstractNumId w:val="1"/>
  </w:num>
  <w:num w:numId="9">
    <w:abstractNumId w:val="24"/>
  </w:num>
  <w:num w:numId="10">
    <w:abstractNumId w:val="19"/>
  </w:num>
  <w:num w:numId="11">
    <w:abstractNumId w:val="10"/>
  </w:num>
  <w:num w:numId="12">
    <w:abstractNumId w:val="11"/>
  </w:num>
  <w:num w:numId="13">
    <w:abstractNumId w:val="21"/>
  </w:num>
  <w:num w:numId="14">
    <w:abstractNumId w:val="6"/>
  </w:num>
  <w:num w:numId="15">
    <w:abstractNumId w:val="22"/>
  </w:num>
  <w:num w:numId="16">
    <w:abstractNumId w:val="20"/>
  </w:num>
  <w:num w:numId="17">
    <w:abstractNumId w:val="12"/>
  </w:num>
  <w:num w:numId="18">
    <w:abstractNumId w:val="5"/>
  </w:num>
  <w:num w:numId="19">
    <w:abstractNumId w:val="7"/>
  </w:num>
  <w:num w:numId="20">
    <w:abstractNumId w:val="28"/>
  </w:num>
  <w:num w:numId="21">
    <w:abstractNumId w:val="27"/>
  </w:num>
  <w:num w:numId="22">
    <w:abstractNumId w:val="3"/>
  </w:num>
  <w:num w:numId="23">
    <w:abstractNumId w:val="0"/>
  </w:num>
  <w:num w:numId="24">
    <w:abstractNumId w:val="16"/>
  </w:num>
  <w:num w:numId="25">
    <w:abstractNumId w:val="23"/>
  </w:num>
  <w:num w:numId="26">
    <w:abstractNumId w:val="2"/>
  </w:num>
  <w:num w:numId="27">
    <w:abstractNumId w:val="25"/>
  </w:num>
  <w:num w:numId="28">
    <w:abstractNumId w:val="14"/>
  </w:num>
  <w:num w:numId="29">
    <w:abstractNumId w:val="18"/>
  </w:num>
  <w:num w:numId="30">
    <w:abstractNumId w:val="18"/>
  </w:num>
  <w:num w:numId="31">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405"/>
    <w:rsid w:val="00000601"/>
    <w:rsid w:val="00000DA0"/>
    <w:rsid w:val="0000120B"/>
    <w:rsid w:val="00001585"/>
    <w:rsid w:val="00003411"/>
    <w:rsid w:val="0000387B"/>
    <w:rsid w:val="00004713"/>
    <w:rsid w:val="00004A25"/>
    <w:rsid w:val="00005051"/>
    <w:rsid w:val="00006DD8"/>
    <w:rsid w:val="00006F45"/>
    <w:rsid w:val="00010F84"/>
    <w:rsid w:val="0001184C"/>
    <w:rsid w:val="000123F0"/>
    <w:rsid w:val="000125FD"/>
    <w:rsid w:val="000126D4"/>
    <w:rsid w:val="0001272E"/>
    <w:rsid w:val="000129CD"/>
    <w:rsid w:val="0001444F"/>
    <w:rsid w:val="00014986"/>
    <w:rsid w:val="000151E4"/>
    <w:rsid w:val="00015B1D"/>
    <w:rsid w:val="0001672C"/>
    <w:rsid w:val="00016992"/>
    <w:rsid w:val="0001788B"/>
    <w:rsid w:val="00017B04"/>
    <w:rsid w:val="00017F9D"/>
    <w:rsid w:val="00021A91"/>
    <w:rsid w:val="00024086"/>
    <w:rsid w:val="0002456B"/>
    <w:rsid w:val="0002487E"/>
    <w:rsid w:val="0002562C"/>
    <w:rsid w:val="00025E31"/>
    <w:rsid w:val="00025FA9"/>
    <w:rsid w:val="00026150"/>
    <w:rsid w:val="0002739A"/>
    <w:rsid w:val="00027CF4"/>
    <w:rsid w:val="0003023D"/>
    <w:rsid w:val="0003116C"/>
    <w:rsid w:val="0003164B"/>
    <w:rsid w:val="0003279A"/>
    <w:rsid w:val="00034490"/>
    <w:rsid w:val="000362E7"/>
    <w:rsid w:val="00037216"/>
    <w:rsid w:val="00040067"/>
    <w:rsid w:val="00041066"/>
    <w:rsid w:val="000412F5"/>
    <w:rsid w:val="00041831"/>
    <w:rsid w:val="00042607"/>
    <w:rsid w:val="00043BB9"/>
    <w:rsid w:val="0004496E"/>
    <w:rsid w:val="000477D0"/>
    <w:rsid w:val="00047F7F"/>
    <w:rsid w:val="0005032F"/>
    <w:rsid w:val="0005057A"/>
    <w:rsid w:val="000527F2"/>
    <w:rsid w:val="000531B1"/>
    <w:rsid w:val="0005360B"/>
    <w:rsid w:val="00053743"/>
    <w:rsid w:val="00053768"/>
    <w:rsid w:val="0005446A"/>
    <w:rsid w:val="0005617D"/>
    <w:rsid w:val="000605DE"/>
    <w:rsid w:val="0006093A"/>
    <w:rsid w:val="000613C7"/>
    <w:rsid w:val="000614D4"/>
    <w:rsid w:val="00061CD2"/>
    <w:rsid w:val="0006220C"/>
    <w:rsid w:val="000627A9"/>
    <w:rsid w:val="00062AF8"/>
    <w:rsid w:val="00063AF1"/>
    <w:rsid w:val="00064635"/>
    <w:rsid w:val="00064ACC"/>
    <w:rsid w:val="000652DC"/>
    <w:rsid w:val="00065C5B"/>
    <w:rsid w:val="00066A54"/>
    <w:rsid w:val="00067F19"/>
    <w:rsid w:val="00070203"/>
    <w:rsid w:val="00071B85"/>
    <w:rsid w:val="00071ECB"/>
    <w:rsid w:val="00072011"/>
    <w:rsid w:val="00073086"/>
    <w:rsid w:val="000768EE"/>
    <w:rsid w:val="00077034"/>
    <w:rsid w:val="00077D46"/>
    <w:rsid w:val="000801AA"/>
    <w:rsid w:val="000823D4"/>
    <w:rsid w:val="00084A0A"/>
    <w:rsid w:val="000855A9"/>
    <w:rsid w:val="00086211"/>
    <w:rsid w:val="000866BF"/>
    <w:rsid w:val="00086EB2"/>
    <w:rsid w:val="00090901"/>
    <w:rsid w:val="00091725"/>
    <w:rsid w:val="00091EAA"/>
    <w:rsid w:val="000937F8"/>
    <w:rsid w:val="000946F0"/>
    <w:rsid w:val="00095ED9"/>
    <w:rsid w:val="000961C9"/>
    <w:rsid w:val="00096C68"/>
    <w:rsid w:val="000A245D"/>
    <w:rsid w:val="000A3018"/>
    <w:rsid w:val="000A3426"/>
    <w:rsid w:val="000A4852"/>
    <w:rsid w:val="000A4B0D"/>
    <w:rsid w:val="000A4B1B"/>
    <w:rsid w:val="000A7E6F"/>
    <w:rsid w:val="000B19B8"/>
    <w:rsid w:val="000B2CC8"/>
    <w:rsid w:val="000B37D5"/>
    <w:rsid w:val="000B4844"/>
    <w:rsid w:val="000B53EF"/>
    <w:rsid w:val="000B59AE"/>
    <w:rsid w:val="000B70B3"/>
    <w:rsid w:val="000C1FBE"/>
    <w:rsid w:val="000C2103"/>
    <w:rsid w:val="000C38FB"/>
    <w:rsid w:val="000C3A66"/>
    <w:rsid w:val="000C3FD8"/>
    <w:rsid w:val="000C4600"/>
    <w:rsid w:val="000C4D67"/>
    <w:rsid w:val="000C5E77"/>
    <w:rsid w:val="000C7574"/>
    <w:rsid w:val="000C7B66"/>
    <w:rsid w:val="000C7C88"/>
    <w:rsid w:val="000D1B29"/>
    <w:rsid w:val="000D243D"/>
    <w:rsid w:val="000D2785"/>
    <w:rsid w:val="000D27B1"/>
    <w:rsid w:val="000D2895"/>
    <w:rsid w:val="000D2A11"/>
    <w:rsid w:val="000D30CD"/>
    <w:rsid w:val="000D582A"/>
    <w:rsid w:val="000D61C3"/>
    <w:rsid w:val="000D6439"/>
    <w:rsid w:val="000D7BEF"/>
    <w:rsid w:val="000E1EBB"/>
    <w:rsid w:val="000E240C"/>
    <w:rsid w:val="000E3730"/>
    <w:rsid w:val="000E3841"/>
    <w:rsid w:val="000E39D7"/>
    <w:rsid w:val="000E4FE9"/>
    <w:rsid w:val="000E5152"/>
    <w:rsid w:val="000E62CE"/>
    <w:rsid w:val="000E673A"/>
    <w:rsid w:val="000E6C2F"/>
    <w:rsid w:val="000E762D"/>
    <w:rsid w:val="000F1714"/>
    <w:rsid w:val="000F1E64"/>
    <w:rsid w:val="000F246D"/>
    <w:rsid w:val="000F4D4C"/>
    <w:rsid w:val="000F6586"/>
    <w:rsid w:val="000F696F"/>
    <w:rsid w:val="000F74F5"/>
    <w:rsid w:val="000F790D"/>
    <w:rsid w:val="00100343"/>
    <w:rsid w:val="0010075E"/>
    <w:rsid w:val="00101AA6"/>
    <w:rsid w:val="0010226A"/>
    <w:rsid w:val="00102622"/>
    <w:rsid w:val="00103031"/>
    <w:rsid w:val="00103C10"/>
    <w:rsid w:val="001052A4"/>
    <w:rsid w:val="00105372"/>
    <w:rsid w:val="00106499"/>
    <w:rsid w:val="001075F8"/>
    <w:rsid w:val="0011051A"/>
    <w:rsid w:val="001126E8"/>
    <w:rsid w:val="0011287B"/>
    <w:rsid w:val="00112AF9"/>
    <w:rsid w:val="00113127"/>
    <w:rsid w:val="001138A8"/>
    <w:rsid w:val="001144CA"/>
    <w:rsid w:val="0011526C"/>
    <w:rsid w:val="00115CB5"/>
    <w:rsid w:val="00116477"/>
    <w:rsid w:val="0011685F"/>
    <w:rsid w:val="00116F51"/>
    <w:rsid w:val="001206E2"/>
    <w:rsid w:val="0012070F"/>
    <w:rsid w:val="0012110F"/>
    <w:rsid w:val="00124237"/>
    <w:rsid w:val="001246E7"/>
    <w:rsid w:val="00126094"/>
    <w:rsid w:val="001262BC"/>
    <w:rsid w:val="00126DAD"/>
    <w:rsid w:val="00127213"/>
    <w:rsid w:val="00130A21"/>
    <w:rsid w:val="001310F7"/>
    <w:rsid w:val="00131E7A"/>
    <w:rsid w:val="001323C1"/>
    <w:rsid w:val="001327A9"/>
    <w:rsid w:val="001338AF"/>
    <w:rsid w:val="0013552A"/>
    <w:rsid w:val="00135A63"/>
    <w:rsid w:val="00135B8A"/>
    <w:rsid w:val="00136F73"/>
    <w:rsid w:val="001378FB"/>
    <w:rsid w:val="00137EBE"/>
    <w:rsid w:val="0014055B"/>
    <w:rsid w:val="00140710"/>
    <w:rsid w:val="00140E3C"/>
    <w:rsid w:val="00141390"/>
    <w:rsid w:val="001415F3"/>
    <w:rsid w:val="001418F6"/>
    <w:rsid w:val="001422EB"/>
    <w:rsid w:val="001424DD"/>
    <w:rsid w:val="001437E8"/>
    <w:rsid w:val="0014384C"/>
    <w:rsid w:val="0014446D"/>
    <w:rsid w:val="001447FA"/>
    <w:rsid w:val="00145F1C"/>
    <w:rsid w:val="00146F8D"/>
    <w:rsid w:val="0014747D"/>
    <w:rsid w:val="00147974"/>
    <w:rsid w:val="00147C82"/>
    <w:rsid w:val="001509C2"/>
    <w:rsid w:val="00150EA7"/>
    <w:rsid w:val="001513BD"/>
    <w:rsid w:val="001528D5"/>
    <w:rsid w:val="00152D00"/>
    <w:rsid w:val="0015355E"/>
    <w:rsid w:val="00154A43"/>
    <w:rsid w:val="001550A5"/>
    <w:rsid w:val="0015592C"/>
    <w:rsid w:val="001559EE"/>
    <w:rsid w:val="00157178"/>
    <w:rsid w:val="0016142F"/>
    <w:rsid w:val="00162CE2"/>
    <w:rsid w:val="00163190"/>
    <w:rsid w:val="00163A7B"/>
    <w:rsid w:val="0016457A"/>
    <w:rsid w:val="00165458"/>
    <w:rsid w:val="00165FAE"/>
    <w:rsid w:val="00166184"/>
    <w:rsid w:val="001662BD"/>
    <w:rsid w:val="00167961"/>
    <w:rsid w:val="00167E13"/>
    <w:rsid w:val="00172399"/>
    <w:rsid w:val="00172AF6"/>
    <w:rsid w:val="00172E99"/>
    <w:rsid w:val="00172FCA"/>
    <w:rsid w:val="0017521F"/>
    <w:rsid w:val="001753C4"/>
    <w:rsid w:val="00176CEE"/>
    <w:rsid w:val="0017727B"/>
    <w:rsid w:val="00177EAC"/>
    <w:rsid w:val="00180C4D"/>
    <w:rsid w:val="001823FA"/>
    <w:rsid w:val="00183204"/>
    <w:rsid w:val="00185839"/>
    <w:rsid w:val="00185E56"/>
    <w:rsid w:val="00186574"/>
    <w:rsid w:val="00186DBE"/>
    <w:rsid w:val="00186DD8"/>
    <w:rsid w:val="00186E0D"/>
    <w:rsid w:val="00187174"/>
    <w:rsid w:val="00187899"/>
    <w:rsid w:val="00187B6C"/>
    <w:rsid w:val="00187C8C"/>
    <w:rsid w:val="00190FD1"/>
    <w:rsid w:val="0019107F"/>
    <w:rsid w:val="00192587"/>
    <w:rsid w:val="00192D2D"/>
    <w:rsid w:val="00193823"/>
    <w:rsid w:val="00193999"/>
    <w:rsid w:val="00194041"/>
    <w:rsid w:val="0019510E"/>
    <w:rsid w:val="00195505"/>
    <w:rsid w:val="0019555B"/>
    <w:rsid w:val="00195630"/>
    <w:rsid w:val="00195A0C"/>
    <w:rsid w:val="001A0606"/>
    <w:rsid w:val="001A0787"/>
    <w:rsid w:val="001A0B39"/>
    <w:rsid w:val="001A0E31"/>
    <w:rsid w:val="001A1954"/>
    <w:rsid w:val="001A2300"/>
    <w:rsid w:val="001A256D"/>
    <w:rsid w:val="001A28EE"/>
    <w:rsid w:val="001A2B25"/>
    <w:rsid w:val="001A3C49"/>
    <w:rsid w:val="001A40F5"/>
    <w:rsid w:val="001A43BE"/>
    <w:rsid w:val="001A5323"/>
    <w:rsid w:val="001A63E9"/>
    <w:rsid w:val="001A70E3"/>
    <w:rsid w:val="001B0B43"/>
    <w:rsid w:val="001B1D16"/>
    <w:rsid w:val="001B2370"/>
    <w:rsid w:val="001B27F3"/>
    <w:rsid w:val="001B2B02"/>
    <w:rsid w:val="001B3275"/>
    <w:rsid w:val="001B4025"/>
    <w:rsid w:val="001B41E7"/>
    <w:rsid w:val="001B4915"/>
    <w:rsid w:val="001B4F57"/>
    <w:rsid w:val="001B55A2"/>
    <w:rsid w:val="001B6223"/>
    <w:rsid w:val="001B6E1F"/>
    <w:rsid w:val="001B7CD7"/>
    <w:rsid w:val="001C01BF"/>
    <w:rsid w:val="001C1AF2"/>
    <w:rsid w:val="001C1D61"/>
    <w:rsid w:val="001C2F9C"/>
    <w:rsid w:val="001C2FE9"/>
    <w:rsid w:val="001C3702"/>
    <w:rsid w:val="001C3E43"/>
    <w:rsid w:val="001C4432"/>
    <w:rsid w:val="001C5053"/>
    <w:rsid w:val="001C5673"/>
    <w:rsid w:val="001C5997"/>
    <w:rsid w:val="001C5A67"/>
    <w:rsid w:val="001C687B"/>
    <w:rsid w:val="001C6E66"/>
    <w:rsid w:val="001C7EAA"/>
    <w:rsid w:val="001D0112"/>
    <w:rsid w:val="001D0157"/>
    <w:rsid w:val="001D05B2"/>
    <w:rsid w:val="001D12C1"/>
    <w:rsid w:val="001D2D69"/>
    <w:rsid w:val="001D449D"/>
    <w:rsid w:val="001D466B"/>
    <w:rsid w:val="001D471C"/>
    <w:rsid w:val="001D4E96"/>
    <w:rsid w:val="001D5AC9"/>
    <w:rsid w:val="001D5C8D"/>
    <w:rsid w:val="001D690A"/>
    <w:rsid w:val="001E0A4A"/>
    <w:rsid w:val="001E0BDA"/>
    <w:rsid w:val="001E0FD0"/>
    <w:rsid w:val="001E1C69"/>
    <w:rsid w:val="001E2439"/>
    <w:rsid w:val="001E2746"/>
    <w:rsid w:val="001E2A15"/>
    <w:rsid w:val="001E3076"/>
    <w:rsid w:val="001E319A"/>
    <w:rsid w:val="001E38E8"/>
    <w:rsid w:val="001E3AFB"/>
    <w:rsid w:val="001E3EEF"/>
    <w:rsid w:val="001E41E5"/>
    <w:rsid w:val="001E44D7"/>
    <w:rsid w:val="001E4C79"/>
    <w:rsid w:val="001E4E67"/>
    <w:rsid w:val="001E4EA7"/>
    <w:rsid w:val="001E6A53"/>
    <w:rsid w:val="001E6B3D"/>
    <w:rsid w:val="001F203C"/>
    <w:rsid w:val="001F22E9"/>
    <w:rsid w:val="001F437D"/>
    <w:rsid w:val="001F4A9E"/>
    <w:rsid w:val="001F4E39"/>
    <w:rsid w:val="001F6F61"/>
    <w:rsid w:val="001F6FF5"/>
    <w:rsid w:val="001F71ED"/>
    <w:rsid w:val="001F748A"/>
    <w:rsid w:val="001F7FCD"/>
    <w:rsid w:val="002002D6"/>
    <w:rsid w:val="00200A3B"/>
    <w:rsid w:val="002013B1"/>
    <w:rsid w:val="00202616"/>
    <w:rsid w:val="00202E2B"/>
    <w:rsid w:val="00203E63"/>
    <w:rsid w:val="00204AC6"/>
    <w:rsid w:val="00204D62"/>
    <w:rsid w:val="0020545A"/>
    <w:rsid w:val="002056F9"/>
    <w:rsid w:val="00206E54"/>
    <w:rsid w:val="00206FC7"/>
    <w:rsid w:val="00210361"/>
    <w:rsid w:val="002108AE"/>
    <w:rsid w:val="00211BCD"/>
    <w:rsid w:val="002120C6"/>
    <w:rsid w:val="00212214"/>
    <w:rsid w:val="0021335D"/>
    <w:rsid w:val="002134CE"/>
    <w:rsid w:val="002141E3"/>
    <w:rsid w:val="00216AB0"/>
    <w:rsid w:val="00216F84"/>
    <w:rsid w:val="0021711D"/>
    <w:rsid w:val="0021789E"/>
    <w:rsid w:val="002201A4"/>
    <w:rsid w:val="0022089C"/>
    <w:rsid w:val="002215B6"/>
    <w:rsid w:val="002217FB"/>
    <w:rsid w:val="002234D9"/>
    <w:rsid w:val="00223737"/>
    <w:rsid w:val="00224BBA"/>
    <w:rsid w:val="00224C88"/>
    <w:rsid w:val="002254D0"/>
    <w:rsid w:val="00225671"/>
    <w:rsid w:val="00225EFC"/>
    <w:rsid w:val="00226A8A"/>
    <w:rsid w:val="0022796E"/>
    <w:rsid w:val="00227B47"/>
    <w:rsid w:val="00230CF7"/>
    <w:rsid w:val="0023197B"/>
    <w:rsid w:val="00231D01"/>
    <w:rsid w:val="002334D4"/>
    <w:rsid w:val="002337E0"/>
    <w:rsid w:val="002341ED"/>
    <w:rsid w:val="00234653"/>
    <w:rsid w:val="00235937"/>
    <w:rsid w:val="0023673B"/>
    <w:rsid w:val="0023690E"/>
    <w:rsid w:val="00236D3B"/>
    <w:rsid w:val="0024005A"/>
    <w:rsid w:val="002410FB"/>
    <w:rsid w:val="00243415"/>
    <w:rsid w:val="002435B7"/>
    <w:rsid w:val="00245F27"/>
    <w:rsid w:val="00246158"/>
    <w:rsid w:val="00246469"/>
    <w:rsid w:val="00246882"/>
    <w:rsid w:val="00246C90"/>
    <w:rsid w:val="00246CA2"/>
    <w:rsid w:val="00250BA1"/>
    <w:rsid w:val="00250DC6"/>
    <w:rsid w:val="00250E83"/>
    <w:rsid w:val="00251A2C"/>
    <w:rsid w:val="00251B32"/>
    <w:rsid w:val="0025201D"/>
    <w:rsid w:val="00252908"/>
    <w:rsid w:val="00252BFA"/>
    <w:rsid w:val="00252D8F"/>
    <w:rsid w:val="00253192"/>
    <w:rsid w:val="0025560D"/>
    <w:rsid w:val="00255DAC"/>
    <w:rsid w:val="00255ED3"/>
    <w:rsid w:val="00256AF4"/>
    <w:rsid w:val="0025738C"/>
    <w:rsid w:val="002604ED"/>
    <w:rsid w:val="00260929"/>
    <w:rsid w:val="0026119B"/>
    <w:rsid w:val="00261255"/>
    <w:rsid w:val="002626FE"/>
    <w:rsid w:val="00264438"/>
    <w:rsid w:val="00264B51"/>
    <w:rsid w:val="00265E50"/>
    <w:rsid w:val="00265F67"/>
    <w:rsid w:val="00265FAA"/>
    <w:rsid w:val="00266523"/>
    <w:rsid w:val="00267803"/>
    <w:rsid w:val="00267A55"/>
    <w:rsid w:val="00270E58"/>
    <w:rsid w:val="00271C12"/>
    <w:rsid w:val="002728B7"/>
    <w:rsid w:val="00273163"/>
    <w:rsid w:val="002740D7"/>
    <w:rsid w:val="00274945"/>
    <w:rsid w:val="00274A57"/>
    <w:rsid w:val="0027772E"/>
    <w:rsid w:val="00277A1F"/>
    <w:rsid w:val="00277D3F"/>
    <w:rsid w:val="00277FDD"/>
    <w:rsid w:val="00280AF2"/>
    <w:rsid w:val="00280BF7"/>
    <w:rsid w:val="00280FA3"/>
    <w:rsid w:val="00281026"/>
    <w:rsid w:val="002817AB"/>
    <w:rsid w:val="00283324"/>
    <w:rsid w:val="00286244"/>
    <w:rsid w:val="0029080E"/>
    <w:rsid w:val="00290868"/>
    <w:rsid w:val="00290D02"/>
    <w:rsid w:val="00291CC6"/>
    <w:rsid w:val="002926BD"/>
    <w:rsid w:val="00292BCE"/>
    <w:rsid w:val="00293506"/>
    <w:rsid w:val="0029438A"/>
    <w:rsid w:val="00294B91"/>
    <w:rsid w:val="00295949"/>
    <w:rsid w:val="00295986"/>
    <w:rsid w:val="00295EC7"/>
    <w:rsid w:val="002962EF"/>
    <w:rsid w:val="00297D50"/>
    <w:rsid w:val="002A0D00"/>
    <w:rsid w:val="002A10CE"/>
    <w:rsid w:val="002A4306"/>
    <w:rsid w:val="002A472F"/>
    <w:rsid w:val="002A54AC"/>
    <w:rsid w:val="002A643E"/>
    <w:rsid w:val="002A7046"/>
    <w:rsid w:val="002A75CE"/>
    <w:rsid w:val="002A775D"/>
    <w:rsid w:val="002B0949"/>
    <w:rsid w:val="002B0DD5"/>
    <w:rsid w:val="002B18BF"/>
    <w:rsid w:val="002B1B60"/>
    <w:rsid w:val="002B1CF1"/>
    <w:rsid w:val="002B2CEE"/>
    <w:rsid w:val="002B3F5A"/>
    <w:rsid w:val="002B4235"/>
    <w:rsid w:val="002B438B"/>
    <w:rsid w:val="002B5156"/>
    <w:rsid w:val="002B6299"/>
    <w:rsid w:val="002B6EDE"/>
    <w:rsid w:val="002B7ED7"/>
    <w:rsid w:val="002C07FF"/>
    <w:rsid w:val="002C0843"/>
    <w:rsid w:val="002C15B2"/>
    <w:rsid w:val="002C1976"/>
    <w:rsid w:val="002C279B"/>
    <w:rsid w:val="002C27E7"/>
    <w:rsid w:val="002C3551"/>
    <w:rsid w:val="002C3AD0"/>
    <w:rsid w:val="002C4715"/>
    <w:rsid w:val="002C48CC"/>
    <w:rsid w:val="002C4F73"/>
    <w:rsid w:val="002C50B2"/>
    <w:rsid w:val="002C55B7"/>
    <w:rsid w:val="002D0D80"/>
    <w:rsid w:val="002D118F"/>
    <w:rsid w:val="002D42F2"/>
    <w:rsid w:val="002D4FF5"/>
    <w:rsid w:val="002D556E"/>
    <w:rsid w:val="002D6187"/>
    <w:rsid w:val="002D6670"/>
    <w:rsid w:val="002D6759"/>
    <w:rsid w:val="002D7B0E"/>
    <w:rsid w:val="002E07ED"/>
    <w:rsid w:val="002E1395"/>
    <w:rsid w:val="002E1BB7"/>
    <w:rsid w:val="002E2341"/>
    <w:rsid w:val="002E2850"/>
    <w:rsid w:val="002E29D2"/>
    <w:rsid w:val="002E2B34"/>
    <w:rsid w:val="002E313E"/>
    <w:rsid w:val="002E32D8"/>
    <w:rsid w:val="002E4550"/>
    <w:rsid w:val="002E4748"/>
    <w:rsid w:val="002E759D"/>
    <w:rsid w:val="002F0D43"/>
    <w:rsid w:val="002F2F43"/>
    <w:rsid w:val="002F40D9"/>
    <w:rsid w:val="002F5064"/>
    <w:rsid w:val="002F55BD"/>
    <w:rsid w:val="002F717F"/>
    <w:rsid w:val="002F759E"/>
    <w:rsid w:val="002F7FCD"/>
    <w:rsid w:val="00300280"/>
    <w:rsid w:val="003006EC"/>
    <w:rsid w:val="00300832"/>
    <w:rsid w:val="00301110"/>
    <w:rsid w:val="003011F7"/>
    <w:rsid w:val="003013A3"/>
    <w:rsid w:val="003032CD"/>
    <w:rsid w:val="00303E45"/>
    <w:rsid w:val="0030446D"/>
    <w:rsid w:val="00304A23"/>
    <w:rsid w:val="003058A2"/>
    <w:rsid w:val="00307782"/>
    <w:rsid w:val="00307A83"/>
    <w:rsid w:val="00307B9B"/>
    <w:rsid w:val="00307CC3"/>
    <w:rsid w:val="00307D1C"/>
    <w:rsid w:val="00311861"/>
    <w:rsid w:val="00311C50"/>
    <w:rsid w:val="0031264A"/>
    <w:rsid w:val="003126EF"/>
    <w:rsid w:val="00312AE6"/>
    <w:rsid w:val="003134BB"/>
    <w:rsid w:val="0031413A"/>
    <w:rsid w:val="00314F1A"/>
    <w:rsid w:val="0031546A"/>
    <w:rsid w:val="003162D0"/>
    <w:rsid w:val="0031780F"/>
    <w:rsid w:val="00317AAD"/>
    <w:rsid w:val="00320A22"/>
    <w:rsid w:val="00320CE2"/>
    <w:rsid w:val="00321AA5"/>
    <w:rsid w:val="00321E9C"/>
    <w:rsid w:val="00321EAB"/>
    <w:rsid w:val="003221AC"/>
    <w:rsid w:val="00322C3C"/>
    <w:rsid w:val="00322C3E"/>
    <w:rsid w:val="00323776"/>
    <w:rsid w:val="00324C4D"/>
    <w:rsid w:val="00324CE6"/>
    <w:rsid w:val="00324D7C"/>
    <w:rsid w:val="003256A2"/>
    <w:rsid w:val="003264DE"/>
    <w:rsid w:val="00331A02"/>
    <w:rsid w:val="00331D52"/>
    <w:rsid w:val="00332099"/>
    <w:rsid w:val="003326FA"/>
    <w:rsid w:val="00333136"/>
    <w:rsid w:val="00334AA5"/>
    <w:rsid w:val="00334AD6"/>
    <w:rsid w:val="003353FA"/>
    <w:rsid w:val="00336BDD"/>
    <w:rsid w:val="003402E2"/>
    <w:rsid w:val="00342348"/>
    <w:rsid w:val="003424C1"/>
    <w:rsid w:val="00342911"/>
    <w:rsid w:val="00343AA0"/>
    <w:rsid w:val="00343BB6"/>
    <w:rsid w:val="00344702"/>
    <w:rsid w:val="00344B1C"/>
    <w:rsid w:val="00345FFA"/>
    <w:rsid w:val="00346EC1"/>
    <w:rsid w:val="00347B22"/>
    <w:rsid w:val="00350B39"/>
    <w:rsid w:val="00350FA0"/>
    <w:rsid w:val="003514E4"/>
    <w:rsid w:val="003520C6"/>
    <w:rsid w:val="00352B0D"/>
    <w:rsid w:val="0035308A"/>
    <w:rsid w:val="00353B05"/>
    <w:rsid w:val="00355902"/>
    <w:rsid w:val="00356D67"/>
    <w:rsid w:val="00357280"/>
    <w:rsid w:val="00357F0A"/>
    <w:rsid w:val="00362238"/>
    <w:rsid w:val="00364138"/>
    <w:rsid w:val="003645C3"/>
    <w:rsid w:val="003646FD"/>
    <w:rsid w:val="00364731"/>
    <w:rsid w:val="0036594C"/>
    <w:rsid w:val="00370037"/>
    <w:rsid w:val="00371399"/>
    <w:rsid w:val="00371D08"/>
    <w:rsid w:val="00372B16"/>
    <w:rsid w:val="00372F74"/>
    <w:rsid w:val="00374970"/>
    <w:rsid w:val="0037498D"/>
    <w:rsid w:val="00375846"/>
    <w:rsid w:val="00376D7B"/>
    <w:rsid w:val="00380B58"/>
    <w:rsid w:val="00381175"/>
    <w:rsid w:val="00381888"/>
    <w:rsid w:val="00381C91"/>
    <w:rsid w:val="003833CE"/>
    <w:rsid w:val="00384F6F"/>
    <w:rsid w:val="00385D14"/>
    <w:rsid w:val="00386024"/>
    <w:rsid w:val="0038666F"/>
    <w:rsid w:val="00386C03"/>
    <w:rsid w:val="00386EB6"/>
    <w:rsid w:val="00387DA6"/>
    <w:rsid w:val="0039408A"/>
    <w:rsid w:val="00394BF3"/>
    <w:rsid w:val="0039710C"/>
    <w:rsid w:val="003978C2"/>
    <w:rsid w:val="003A1BE0"/>
    <w:rsid w:val="003A3814"/>
    <w:rsid w:val="003A3A7B"/>
    <w:rsid w:val="003A47D3"/>
    <w:rsid w:val="003A5184"/>
    <w:rsid w:val="003A529A"/>
    <w:rsid w:val="003A6B1E"/>
    <w:rsid w:val="003A730D"/>
    <w:rsid w:val="003A741E"/>
    <w:rsid w:val="003A75F7"/>
    <w:rsid w:val="003A7B20"/>
    <w:rsid w:val="003B0028"/>
    <w:rsid w:val="003B0DD6"/>
    <w:rsid w:val="003B0E4D"/>
    <w:rsid w:val="003B212D"/>
    <w:rsid w:val="003B2B90"/>
    <w:rsid w:val="003B4ECE"/>
    <w:rsid w:val="003B50B8"/>
    <w:rsid w:val="003B5F57"/>
    <w:rsid w:val="003B694D"/>
    <w:rsid w:val="003C04CF"/>
    <w:rsid w:val="003C092C"/>
    <w:rsid w:val="003C42C8"/>
    <w:rsid w:val="003C45FC"/>
    <w:rsid w:val="003C561A"/>
    <w:rsid w:val="003C60A4"/>
    <w:rsid w:val="003C61A2"/>
    <w:rsid w:val="003C637D"/>
    <w:rsid w:val="003C69DB"/>
    <w:rsid w:val="003D0CFD"/>
    <w:rsid w:val="003D272A"/>
    <w:rsid w:val="003D2F82"/>
    <w:rsid w:val="003D3B9F"/>
    <w:rsid w:val="003D5DF3"/>
    <w:rsid w:val="003D6A7A"/>
    <w:rsid w:val="003D75E3"/>
    <w:rsid w:val="003E0D77"/>
    <w:rsid w:val="003E10E8"/>
    <w:rsid w:val="003E117F"/>
    <w:rsid w:val="003E18E1"/>
    <w:rsid w:val="003E29B7"/>
    <w:rsid w:val="003E2F73"/>
    <w:rsid w:val="003E36B8"/>
    <w:rsid w:val="003E4442"/>
    <w:rsid w:val="003E65D0"/>
    <w:rsid w:val="003E6ED5"/>
    <w:rsid w:val="003E71BA"/>
    <w:rsid w:val="003F000C"/>
    <w:rsid w:val="003F0AB6"/>
    <w:rsid w:val="003F1317"/>
    <w:rsid w:val="003F13FA"/>
    <w:rsid w:val="003F1FB0"/>
    <w:rsid w:val="003F3796"/>
    <w:rsid w:val="003F3DA7"/>
    <w:rsid w:val="003F4A94"/>
    <w:rsid w:val="003F4CDF"/>
    <w:rsid w:val="003F5E49"/>
    <w:rsid w:val="003F632F"/>
    <w:rsid w:val="003F6BDB"/>
    <w:rsid w:val="003F7224"/>
    <w:rsid w:val="004001DA"/>
    <w:rsid w:val="00401592"/>
    <w:rsid w:val="00401861"/>
    <w:rsid w:val="00401B15"/>
    <w:rsid w:val="0040452E"/>
    <w:rsid w:val="0040596D"/>
    <w:rsid w:val="0040663C"/>
    <w:rsid w:val="0041054D"/>
    <w:rsid w:val="00410C38"/>
    <w:rsid w:val="00410D1F"/>
    <w:rsid w:val="004110CF"/>
    <w:rsid w:val="004111F7"/>
    <w:rsid w:val="00411CED"/>
    <w:rsid w:val="00411D0D"/>
    <w:rsid w:val="00413650"/>
    <w:rsid w:val="0041388E"/>
    <w:rsid w:val="00413A3A"/>
    <w:rsid w:val="00414A18"/>
    <w:rsid w:val="0041532F"/>
    <w:rsid w:val="0041561E"/>
    <w:rsid w:val="004170ED"/>
    <w:rsid w:val="00420A96"/>
    <w:rsid w:val="004212BC"/>
    <w:rsid w:val="00421394"/>
    <w:rsid w:val="0042296A"/>
    <w:rsid w:val="00422E82"/>
    <w:rsid w:val="00424B65"/>
    <w:rsid w:val="00425B80"/>
    <w:rsid w:val="00425C34"/>
    <w:rsid w:val="00425C76"/>
    <w:rsid w:val="00426A6B"/>
    <w:rsid w:val="00427D21"/>
    <w:rsid w:val="00427F01"/>
    <w:rsid w:val="00431AC4"/>
    <w:rsid w:val="00431D52"/>
    <w:rsid w:val="00431DAA"/>
    <w:rsid w:val="00432071"/>
    <w:rsid w:val="0043301F"/>
    <w:rsid w:val="004331AB"/>
    <w:rsid w:val="00434BFA"/>
    <w:rsid w:val="0043546B"/>
    <w:rsid w:val="004355E7"/>
    <w:rsid w:val="00436205"/>
    <w:rsid w:val="00436267"/>
    <w:rsid w:val="004366D9"/>
    <w:rsid w:val="0043744C"/>
    <w:rsid w:val="00437831"/>
    <w:rsid w:val="00441225"/>
    <w:rsid w:val="00441657"/>
    <w:rsid w:val="004426F1"/>
    <w:rsid w:val="004429D7"/>
    <w:rsid w:val="00442A17"/>
    <w:rsid w:val="00442D50"/>
    <w:rsid w:val="00443066"/>
    <w:rsid w:val="004436F3"/>
    <w:rsid w:val="00445B1B"/>
    <w:rsid w:val="00445C76"/>
    <w:rsid w:val="00446337"/>
    <w:rsid w:val="00446EE2"/>
    <w:rsid w:val="00447D7C"/>
    <w:rsid w:val="004505C4"/>
    <w:rsid w:val="00450E69"/>
    <w:rsid w:val="004510D5"/>
    <w:rsid w:val="00451DA9"/>
    <w:rsid w:val="00452382"/>
    <w:rsid w:val="004526BA"/>
    <w:rsid w:val="004528DF"/>
    <w:rsid w:val="0045382F"/>
    <w:rsid w:val="00453A29"/>
    <w:rsid w:val="00453B41"/>
    <w:rsid w:val="00454523"/>
    <w:rsid w:val="00456577"/>
    <w:rsid w:val="0045694C"/>
    <w:rsid w:val="00457284"/>
    <w:rsid w:val="00457CAA"/>
    <w:rsid w:val="0046108E"/>
    <w:rsid w:val="004616D0"/>
    <w:rsid w:val="00461AC3"/>
    <w:rsid w:val="00462B6C"/>
    <w:rsid w:val="00462DF2"/>
    <w:rsid w:val="00462FAC"/>
    <w:rsid w:val="00463C8D"/>
    <w:rsid w:val="00463F0F"/>
    <w:rsid w:val="004644C2"/>
    <w:rsid w:val="0046482F"/>
    <w:rsid w:val="004669C8"/>
    <w:rsid w:val="0046798A"/>
    <w:rsid w:val="00467EA9"/>
    <w:rsid w:val="00467F9C"/>
    <w:rsid w:val="00471098"/>
    <w:rsid w:val="004718E4"/>
    <w:rsid w:val="00471BF8"/>
    <w:rsid w:val="00471C1C"/>
    <w:rsid w:val="004720D2"/>
    <w:rsid w:val="0047341C"/>
    <w:rsid w:val="00473686"/>
    <w:rsid w:val="00473859"/>
    <w:rsid w:val="004740C4"/>
    <w:rsid w:val="00474875"/>
    <w:rsid w:val="00474928"/>
    <w:rsid w:val="00474F59"/>
    <w:rsid w:val="00475CF8"/>
    <w:rsid w:val="00476D70"/>
    <w:rsid w:val="0047701A"/>
    <w:rsid w:val="004772D4"/>
    <w:rsid w:val="00477A49"/>
    <w:rsid w:val="00477ACB"/>
    <w:rsid w:val="00480A68"/>
    <w:rsid w:val="0048242A"/>
    <w:rsid w:val="00482BD1"/>
    <w:rsid w:val="00483340"/>
    <w:rsid w:val="004848D1"/>
    <w:rsid w:val="00484CE5"/>
    <w:rsid w:val="00485C36"/>
    <w:rsid w:val="00485E90"/>
    <w:rsid w:val="00487C91"/>
    <w:rsid w:val="0049008A"/>
    <w:rsid w:val="0049012C"/>
    <w:rsid w:val="00490717"/>
    <w:rsid w:val="00490BF5"/>
    <w:rsid w:val="0049129E"/>
    <w:rsid w:val="00491C5A"/>
    <w:rsid w:val="00492238"/>
    <w:rsid w:val="00492A31"/>
    <w:rsid w:val="00492AEB"/>
    <w:rsid w:val="00493263"/>
    <w:rsid w:val="00493CDA"/>
    <w:rsid w:val="00493EBA"/>
    <w:rsid w:val="00494C28"/>
    <w:rsid w:val="004953FB"/>
    <w:rsid w:val="00495B52"/>
    <w:rsid w:val="00496C69"/>
    <w:rsid w:val="0049724E"/>
    <w:rsid w:val="004A1AC3"/>
    <w:rsid w:val="004A2D2F"/>
    <w:rsid w:val="004A2E71"/>
    <w:rsid w:val="004A39BD"/>
    <w:rsid w:val="004A58D4"/>
    <w:rsid w:val="004A5D06"/>
    <w:rsid w:val="004A6E51"/>
    <w:rsid w:val="004A73D6"/>
    <w:rsid w:val="004B0C1C"/>
    <w:rsid w:val="004B0D0B"/>
    <w:rsid w:val="004B1341"/>
    <w:rsid w:val="004B19FD"/>
    <w:rsid w:val="004B2076"/>
    <w:rsid w:val="004B26D1"/>
    <w:rsid w:val="004B34A0"/>
    <w:rsid w:val="004B7656"/>
    <w:rsid w:val="004C0256"/>
    <w:rsid w:val="004C0D74"/>
    <w:rsid w:val="004C3055"/>
    <w:rsid w:val="004C31F4"/>
    <w:rsid w:val="004C3384"/>
    <w:rsid w:val="004C3EA9"/>
    <w:rsid w:val="004C40F6"/>
    <w:rsid w:val="004C489A"/>
    <w:rsid w:val="004C4DF9"/>
    <w:rsid w:val="004C5813"/>
    <w:rsid w:val="004C5A1E"/>
    <w:rsid w:val="004C5DEE"/>
    <w:rsid w:val="004C63E5"/>
    <w:rsid w:val="004C65AC"/>
    <w:rsid w:val="004C70C3"/>
    <w:rsid w:val="004C73E1"/>
    <w:rsid w:val="004D0057"/>
    <w:rsid w:val="004D0673"/>
    <w:rsid w:val="004D0C91"/>
    <w:rsid w:val="004D16B1"/>
    <w:rsid w:val="004D1F05"/>
    <w:rsid w:val="004D2B14"/>
    <w:rsid w:val="004D4662"/>
    <w:rsid w:val="004D579A"/>
    <w:rsid w:val="004D61AB"/>
    <w:rsid w:val="004D7699"/>
    <w:rsid w:val="004D78BC"/>
    <w:rsid w:val="004E05E7"/>
    <w:rsid w:val="004E06D7"/>
    <w:rsid w:val="004E0E01"/>
    <w:rsid w:val="004E1742"/>
    <w:rsid w:val="004E211E"/>
    <w:rsid w:val="004E4158"/>
    <w:rsid w:val="004E48B4"/>
    <w:rsid w:val="004E48ED"/>
    <w:rsid w:val="004E5184"/>
    <w:rsid w:val="004E6102"/>
    <w:rsid w:val="004E6B24"/>
    <w:rsid w:val="004F0161"/>
    <w:rsid w:val="004F031B"/>
    <w:rsid w:val="004F047A"/>
    <w:rsid w:val="004F29F3"/>
    <w:rsid w:val="004F3C24"/>
    <w:rsid w:val="004F3F83"/>
    <w:rsid w:val="004F477F"/>
    <w:rsid w:val="004F764E"/>
    <w:rsid w:val="0050146D"/>
    <w:rsid w:val="00501810"/>
    <w:rsid w:val="00502BDD"/>
    <w:rsid w:val="00504253"/>
    <w:rsid w:val="005047CA"/>
    <w:rsid w:val="005052F5"/>
    <w:rsid w:val="00505A22"/>
    <w:rsid w:val="005071E5"/>
    <w:rsid w:val="005077EF"/>
    <w:rsid w:val="00507B62"/>
    <w:rsid w:val="00507E01"/>
    <w:rsid w:val="00507EAA"/>
    <w:rsid w:val="0051073B"/>
    <w:rsid w:val="00511AFF"/>
    <w:rsid w:val="00511C60"/>
    <w:rsid w:val="00512B70"/>
    <w:rsid w:val="00512CC3"/>
    <w:rsid w:val="005138F3"/>
    <w:rsid w:val="00513A01"/>
    <w:rsid w:val="00513D3D"/>
    <w:rsid w:val="00514497"/>
    <w:rsid w:val="0051476B"/>
    <w:rsid w:val="00514BB3"/>
    <w:rsid w:val="0051512B"/>
    <w:rsid w:val="00516104"/>
    <w:rsid w:val="005175B0"/>
    <w:rsid w:val="00517629"/>
    <w:rsid w:val="00517676"/>
    <w:rsid w:val="00517AEF"/>
    <w:rsid w:val="00520C14"/>
    <w:rsid w:val="00520E61"/>
    <w:rsid w:val="00521607"/>
    <w:rsid w:val="00521AEF"/>
    <w:rsid w:val="00522F58"/>
    <w:rsid w:val="00523A7D"/>
    <w:rsid w:val="00524686"/>
    <w:rsid w:val="00524CE1"/>
    <w:rsid w:val="00526A3E"/>
    <w:rsid w:val="00527B6D"/>
    <w:rsid w:val="00527C37"/>
    <w:rsid w:val="00531309"/>
    <w:rsid w:val="00531BDC"/>
    <w:rsid w:val="00531CB2"/>
    <w:rsid w:val="00531ECC"/>
    <w:rsid w:val="005322FD"/>
    <w:rsid w:val="005337DA"/>
    <w:rsid w:val="00533E0D"/>
    <w:rsid w:val="00534681"/>
    <w:rsid w:val="005347E2"/>
    <w:rsid w:val="00536735"/>
    <w:rsid w:val="005369EE"/>
    <w:rsid w:val="0053706D"/>
    <w:rsid w:val="00537549"/>
    <w:rsid w:val="00537678"/>
    <w:rsid w:val="00537D1A"/>
    <w:rsid w:val="0054057E"/>
    <w:rsid w:val="00540EA5"/>
    <w:rsid w:val="00541B75"/>
    <w:rsid w:val="00542383"/>
    <w:rsid w:val="0054275A"/>
    <w:rsid w:val="00544FEC"/>
    <w:rsid w:val="00545D3C"/>
    <w:rsid w:val="005463B9"/>
    <w:rsid w:val="005464AC"/>
    <w:rsid w:val="00547039"/>
    <w:rsid w:val="00547466"/>
    <w:rsid w:val="005479BB"/>
    <w:rsid w:val="005504DD"/>
    <w:rsid w:val="00550E27"/>
    <w:rsid w:val="00551166"/>
    <w:rsid w:val="00551A78"/>
    <w:rsid w:val="00552246"/>
    <w:rsid w:val="005529DF"/>
    <w:rsid w:val="005538BC"/>
    <w:rsid w:val="005546FC"/>
    <w:rsid w:val="00555B30"/>
    <w:rsid w:val="005566B7"/>
    <w:rsid w:val="005601B2"/>
    <w:rsid w:val="005601D4"/>
    <w:rsid w:val="00562633"/>
    <w:rsid w:val="00563F7C"/>
    <w:rsid w:val="005640D3"/>
    <w:rsid w:val="0056424A"/>
    <w:rsid w:val="005646AE"/>
    <w:rsid w:val="00564B4B"/>
    <w:rsid w:val="00565E29"/>
    <w:rsid w:val="00565FDE"/>
    <w:rsid w:val="005662C9"/>
    <w:rsid w:val="005666C8"/>
    <w:rsid w:val="00566928"/>
    <w:rsid w:val="00566F6D"/>
    <w:rsid w:val="00567022"/>
    <w:rsid w:val="005673DB"/>
    <w:rsid w:val="00570CEC"/>
    <w:rsid w:val="0057125B"/>
    <w:rsid w:val="00572A3D"/>
    <w:rsid w:val="00573F6D"/>
    <w:rsid w:val="00574B76"/>
    <w:rsid w:val="00574C67"/>
    <w:rsid w:val="005752ED"/>
    <w:rsid w:val="00576BB1"/>
    <w:rsid w:val="00576D2A"/>
    <w:rsid w:val="00580620"/>
    <w:rsid w:val="00580902"/>
    <w:rsid w:val="005813D1"/>
    <w:rsid w:val="00581D98"/>
    <w:rsid w:val="0058203C"/>
    <w:rsid w:val="005825A1"/>
    <w:rsid w:val="00583A6B"/>
    <w:rsid w:val="00585436"/>
    <w:rsid w:val="0058544D"/>
    <w:rsid w:val="005854A2"/>
    <w:rsid w:val="00586880"/>
    <w:rsid w:val="00586C22"/>
    <w:rsid w:val="0058750A"/>
    <w:rsid w:val="0059064E"/>
    <w:rsid w:val="00590DFC"/>
    <w:rsid w:val="00590E95"/>
    <w:rsid w:val="00591133"/>
    <w:rsid w:val="00591151"/>
    <w:rsid w:val="00592D83"/>
    <w:rsid w:val="005930B3"/>
    <w:rsid w:val="005931BF"/>
    <w:rsid w:val="0059490C"/>
    <w:rsid w:val="0059554F"/>
    <w:rsid w:val="0059573F"/>
    <w:rsid w:val="005958D8"/>
    <w:rsid w:val="00595E41"/>
    <w:rsid w:val="00596110"/>
    <w:rsid w:val="005974B8"/>
    <w:rsid w:val="005A1703"/>
    <w:rsid w:val="005A30CA"/>
    <w:rsid w:val="005A33FB"/>
    <w:rsid w:val="005A4452"/>
    <w:rsid w:val="005A4D4B"/>
    <w:rsid w:val="005A60EC"/>
    <w:rsid w:val="005B219B"/>
    <w:rsid w:val="005B2A53"/>
    <w:rsid w:val="005B5422"/>
    <w:rsid w:val="005B77D0"/>
    <w:rsid w:val="005C0442"/>
    <w:rsid w:val="005C0A9F"/>
    <w:rsid w:val="005C369C"/>
    <w:rsid w:val="005C36DC"/>
    <w:rsid w:val="005C41E1"/>
    <w:rsid w:val="005C5F1C"/>
    <w:rsid w:val="005C6198"/>
    <w:rsid w:val="005C650A"/>
    <w:rsid w:val="005C70F5"/>
    <w:rsid w:val="005C7579"/>
    <w:rsid w:val="005C777C"/>
    <w:rsid w:val="005D01B3"/>
    <w:rsid w:val="005D0528"/>
    <w:rsid w:val="005D0C6E"/>
    <w:rsid w:val="005D0C81"/>
    <w:rsid w:val="005D0DDC"/>
    <w:rsid w:val="005D211B"/>
    <w:rsid w:val="005D2203"/>
    <w:rsid w:val="005D2299"/>
    <w:rsid w:val="005D254D"/>
    <w:rsid w:val="005D3407"/>
    <w:rsid w:val="005D3914"/>
    <w:rsid w:val="005D59F3"/>
    <w:rsid w:val="005D606A"/>
    <w:rsid w:val="005D60AB"/>
    <w:rsid w:val="005D623C"/>
    <w:rsid w:val="005D6E06"/>
    <w:rsid w:val="005D777B"/>
    <w:rsid w:val="005E0339"/>
    <w:rsid w:val="005E28C3"/>
    <w:rsid w:val="005E2960"/>
    <w:rsid w:val="005E3E01"/>
    <w:rsid w:val="005E488A"/>
    <w:rsid w:val="005E6E29"/>
    <w:rsid w:val="005E78D8"/>
    <w:rsid w:val="005E7CD0"/>
    <w:rsid w:val="005F01DF"/>
    <w:rsid w:val="005F0330"/>
    <w:rsid w:val="005F085A"/>
    <w:rsid w:val="005F10C5"/>
    <w:rsid w:val="005F123F"/>
    <w:rsid w:val="005F1577"/>
    <w:rsid w:val="005F1580"/>
    <w:rsid w:val="005F220C"/>
    <w:rsid w:val="005F2DB0"/>
    <w:rsid w:val="005F319A"/>
    <w:rsid w:val="005F5861"/>
    <w:rsid w:val="005F73BD"/>
    <w:rsid w:val="00600A59"/>
    <w:rsid w:val="0060112D"/>
    <w:rsid w:val="0060297F"/>
    <w:rsid w:val="00602F63"/>
    <w:rsid w:val="00603C91"/>
    <w:rsid w:val="00604101"/>
    <w:rsid w:val="00604571"/>
    <w:rsid w:val="00604E52"/>
    <w:rsid w:val="00604EC1"/>
    <w:rsid w:val="00605169"/>
    <w:rsid w:val="00605348"/>
    <w:rsid w:val="00605B5A"/>
    <w:rsid w:val="006064F3"/>
    <w:rsid w:val="00607AAE"/>
    <w:rsid w:val="00610489"/>
    <w:rsid w:val="00611B43"/>
    <w:rsid w:val="00611C60"/>
    <w:rsid w:val="006122BA"/>
    <w:rsid w:val="00613B82"/>
    <w:rsid w:val="006151A2"/>
    <w:rsid w:val="00615539"/>
    <w:rsid w:val="00616006"/>
    <w:rsid w:val="00616E9B"/>
    <w:rsid w:val="0061713C"/>
    <w:rsid w:val="006171DA"/>
    <w:rsid w:val="006223AE"/>
    <w:rsid w:val="0062362A"/>
    <w:rsid w:val="0062708E"/>
    <w:rsid w:val="006278ED"/>
    <w:rsid w:val="00632AC0"/>
    <w:rsid w:val="0063355B"/>
    <w:rsid w:val="006336B6"/>
    <w:rsid w:val="00633818"/>
    <w:rsid w:val="00633939"/>
    <w:rsid w:val="00633E73"/>
    <w:rsid w:val="0063592E"/>
    <w:rsid w:val="006369F9"/>
    <w:rsid w:val="00637276"/>
    <w:rsid w:val="006376FF"/>
    <w:rsid w:val="006435D2"/>
    <w:rsid w:val="00643B72"/>
    <w:rsid w:val="00643B9C"/>
    <w:rsid w:val="0064495A"/>
    <w:rsid w:val="00646DC9"/>
    <w:rsid w:val="00651201"/>
    <w:rsid w:val="0065153E"/>
    <w:rsid w:val="00652BF3"/>
    <w:rsid w:val="00652F5A"/>
    <w:rsid w:val="006533B6"/>
    <w:rsid w:val="006537AE"/>
    <w:rsid w:val="0065502A"/>
    <w:rsid w:val="0065555D"/>
    <w:rsid w:val="00655D53"/>
    <w:rsid w:val="00655E6F"/>
    <w:rsid w:val="00660805"/>
    <w:rsid w:val="00661463"/>
    <w:rsid w:val="00663946"/>
    <w:rsid w:val="00664424"/>
    <w:rsid w:val="00666174"/>
    <w:rsid w:val="00666F07"/>
    <w:rsid w:val="0066775D"/>
    <w:rsid w:val="00667840"/>
    <w:rsid w:val="00667FF2"/>
    <w:rsid w:val="0067018B"/>
    <w:rsid w:val="006718D5"/>
    <w:rsid w:val="00671C60"/>
    <w:rsid w:val="00672459"/>
    <w:rsid w:val="00672E99"/>
    <w:rsid w:val="006730CB"/>
    <w:rsid w:val="00673701"/>
    <w:rsid w:val="0067370D"/>
    <w:rsid w:val="00674327"/>
    <w:rsid w:val="00677B61"/>
    <w:rsid w:val="00680D27"/>
    <w:rsid w:val="00681A57"/>
    <w:rsid w:val="00682094"/>
    <w:rsid w:val="0068317F"/>
    <w:rsid w:val="00684503"/>
    <w:rsid w:val="0068477B"/>
    <w:rsid w:val="006853B4"/>
    <w:rsid w:val="00685D99"/>
    <w:rsid w:val="00686044"/>
    <w:rsid w:val="006864A5"/>
    <w:rsid w:val="006868B3"/>
    <w:rsid w:val="00686EA3"/>
    <w:rsid w:val="0068721B"/>
    <w:rsid w:val="006875CE"/>
    <w:rsid w:val="00687ABB"/>
    <w:rsid w:val="0069030E"/>
    <w:rsid w:val="0069084C"/>
    <w:rsid w:val="00692A1B"/>
    <w:rsid w:val="00693339"/>
    <w:rsid w:val="006937E1"/>
    <w:rsid w:val="006946A6"/>
    <w:rsid w:val="0069495B"/>
    <w:rsid w:val="00695779"/>
    <w:rsid w:val="00696637"/>
    <w:rsid w:val="00696B9C"/>
    <w:rsid w:val="0069776E"/>
    <w:rsid w:val="00697CFA"/>
    <w:rsid w:val="006A00FD"/>
    <w:rsid w:val="006A0651"/>
    <w:rsid w:val="006A2E7A"/>
    <w:rsid w:val="006A3B68"/>
    <w:rsid w:val="006A4DEB"/>
    <w:rsid w:val="006A525A"/>
    <w:rsid w:val="006A6C89"/>
    <w:rsid w:val="006A7E14"/>
    <w:rsid w:val="006B2290"/>
    <w:rsid w:val="006B316A"/>
    <w:rsid w:val="006B3587"/>
    <w:rsid w:val="006B3867"/>
    <w:rsid w:val="006B3BDB"/>
    <w:rsid w:val="006B4F09"/>
    <w:rsid w:val="006B5E28"/>
    <w:rsid w:val="006C0504"/>
    <w:rsid w:val="006C195B"/>
    <w:rsid w:val="006C3C9D"/>
    <w:rsid w:val="006C4B24"/>
    <w:rsid w:val="006C526F"/>
    <w:rsid w:val="006C56ED"/>
    <w:rsid w:val="006C5E8D"/>
    <w:rsid w:val="006C5F4A"/>
    <w:rsid w:val="006C6F1B"/>
    <w:rsid w:val="006C7543"/>
    <w:rsid w:val="006C78B7"/>
    <w:rsid w:val="006C7A96"/>
    <w:rsid w:val="006C7B61"/>
    <w:rsid w:val="006C7C2C"/>
    <w:rsid w:val="006D0039"/>
    <w:rsid w:val="006D0BD3"/>
    <w:rsid w:val="006D0CD1"/>
    <w:rsid w:val="006D1B77"/>
    <w:rsid w:val="006D2756"/>
    <w:rsid w:val="006D34DD"/>
    <w:rsid w:val="006D3616"/>
    <w:rsid w:val="006D3D80"/>
    <w:rsid w:val="006D421E"/>
    <w:rsid w:val="006D5E93"/>
    <w:rsid w:val="006D6BB3"/>
    <w:rsid w:val="006D7A09"/>
    <w:rsid w:val="006E1BAA"/>
    <w:rsid w:val="006E1F37"/>
    <w:rsid w:val="006E231C"/>
    <w:rsid w:val="006E604B"/>
    <w:rsid w:val="006F0052"/>
    <w:rsid w:val="006F08DF"/>
    <w:rsid w:val="006F233A"/>
    <w:rsid w:val="006F286B"/>
    <w:rsid w:val="006F3E4D"/>
    <w:rsid w:val="006F561F"/>
    <w:rsid w:val="006F59D4"/>
    <w:rsid w:val="006F601C"/>
    <w:rsid w:val="00701216"/>
    <w:rsid w:val="0070147E"/>
    <w:rsid w:val="007018DD"/>
    <w:rsid w:val="00701A00"/>
    <w:rsid w:val="00702583"/>
    <w:rsid w:val="0070275B"/>
    <w:rsid w:val="00703B65"/>
    <w:rsid w:val="00705FC5"/>
    <w:rsid w:val="00706DF5"/>
    <w:rsid w:val="007070D8"/>
    <w:rsid w:val="007106D7"/>
    <w:rsid w:val="007108BE"/>
    <w:rsid w:val="00710AC5"/>
    <w:rsid w:val="007110E3"/>
    <w:rsid w:val="00711882"/>
    <w:rsid w:val="0071217A"/>
    <w:rsid w:val="00712D4A"/>
    <w:rsid w:val="00714083"/>
    <w:rsid w:val="007165EF"/>
    <w:rsid w:val="0071715D"/>
    <w:rsid w:val="007171DB"/>
    <w:rsid w:val="00717D88"/>
    <w:rsid w:val="007201FF"/>
    <w:rsid w:val="00720442"/>
    <w:rsid w:val="00721232"/>
    <w:rsid w:val="007213C1"/>
    <w:rsid w:val="007214CE"/>
    <w:rsid w:val="00721806"/>
    <w:rsid w:val="007220C0"/>
    <w:rsid w:val="0072509B"/>
    <w:rsid w:val="007256DC"/>
    <w:rsid w:val="007256E1"/>
    <w:rsid w:val="007262C1"/>
    <w:rsid w:val="00726738"/>
    <w:rsid w:val="00727B5F"/>
    <w:rsid w:val="00730617"/>
    <w:rsid w:val="00731262"/>
    <w:rsid w:val="00731522"/>
    <w:rsid w:val="00732464"/>
    <w:rsid w:val="00732969"/>
    <w:rsid w:val="00732A65"/>
    <w:rsid w:val="00733C17"/>
    <w:rsid w:val="00734B7E"/>
    <w:rsid w:val="00735BCB"/>
    <w:rsid w:val="00736A9E"/>
    <w:rsid w:val="00737496"/>
    <w:rsid w:val="0073790D"/>
    <w:rsid w:val="00742E33"/>
    <w:rsid w:val="007447F4"/>
    <w:rsid w:val="00744D53"/>
    <w:rsid w:val="00745512"/>
    <w:rsid w:val="00745B85"/>
    <w:rsid w:val="007461F5"/>
    <w:rsid w:val="00746486"/>
    <w:rsid w:val="007464CC"/>
    <w:rsid w:val="00746C06"/>
    <w:rsid w:val="00747080"/>
    <w:rsid w:val="00750312"/>
    <w:rsid w:val="007503E5"/>
    <w:rsid w:val="00750F88"/>
    <w:rsid w:val="00751A2A"/>
    <w:rsid w:val="00751CA0"/>
    <w:rsid w:val="00752167"/>
    <w:rsid w:val="007528D9"/>
    <w:rsid w:val="00754240"/>
    <w:rsid w:val="00754B57"/>
    <w:rsid w:val="00754E15"/>
    <w:rsid w:val="00755D67"/>
    <w:rsid w:val="00755E77"/>
    <w:rsid w:val="00756C7C"/>
    <w:rsid w:val="007572AA"/>
    <w:rsid w:val="007572D1"/>
    <w:rsid w:val="00757E70"/>
    <w:rsid w:val="00760D17"/>
    <w:rsid w:val="00761493"/>
    <w:rsid w:val="00761566"/>
    <w:rsid w:val="0076230D"/>
    <w:rsid w:val="007623B1"/>
    <w:rsid w:val="00762CF1"/>
    <w:rsid w:val="007637FC"/>
    <w:rsid w:val="007638CE"/>
    <w:rsid w:val="00763F1A"/>
    <w:rsid w:val="00764D7A"/>
    <w:rsid w:val="0076619D"/>
    <w:rsid w:val="00766E83"/>
    <w:rsid w:val="007715AD"/>
    <w:rsid w:val="0077208B"/>
    <w:rsid w:val="0077353F"/>
    <w:rsid w:val="007737B7"/>
    <w:rsid w:val="00773AD6"/>
    <w:rsid w:val="00781894"/>
    <w:rsid w:val="00781E8F"/>
    <w:rsid w:val="0078243E"/>
    <w:rsid w:val="007830A4"/>
    <w:rsid w:val="007833C8"/>
    <w:rsid w:val="00783D3C"/>
    <w:rsid w:val="00784108"/>
    <w:rsid w:val="00784AFD"/>
    <w:rsid w:val="00784CDA"/>
    <w:rsid w:val="007851B5"/>
    <w:rsid w:val="00785769"/>
    <w:rsid w:val="007862C1"/>
    <w:rsid w:val="00786392"/>
    <w:rsid w:val="00786DCD"/>
    <w:rsid w:val="00787320"/>
    <w:rsid w:val="007902A2"/>
    <w:rsid w:val="007923FE"/>
    <w:rsid w:val="0079269C"/>
    <w:rsid w:val="00793472"/>
    <w:rsid w:val="007942D3"/>
    <w:rsid w:val="0079495A"/>
    <w:rsid w:val="00794EF4"/>
    <w:rsid w:val="00795A20"/>
    <w:rsid w:val="00795DD1"/>
    <w:rsid w:val="00796636"/>
    <w:rsid w:val="00796D47"/>
    <w:rsid w:val="00797595"/>
    <w:rsid w:val="00797A3D"/>
    <w:rsid w:val="007A015D"/>
    <w:rsid w:val="007A05EB"/>
    <w:rsid w:val="007A06A1"/>
    <w:rsid w:val="007A082D"/>
    <w:rsid w:val="007A0CBF"/>
    <w:rsid w:val="007A0DCF"/>
    <w:rsid w:val="007A1840"/>
    <w:rsid w:val="007A290D"/>
    <w:rsid w:val="007A2943"/>
    <w:rsid w:val="007A3053"/>
    <w:rsid w:val="007A308A"/>
    <w:rsid w:val="007A30A8"/>
    <w:rsid w:val="007A4D94"/>
    <w:rsid w:val="007A599D"/>
    <w:rsid w:val="007A5A69"/>
    <w:rsid w:val="007A6F71"/>
    <w:rsid w:val="007A6F8B"/>
    <w:rsid w:val="007A7B1E"/>
    <w:rsid w:val="007B0052"/>
    <w:rsid w:val="007B0C7D"/>
    <w:rsid w:val="007B1AE0"/>
    <w:rsid w:val="007B248C"/>
    <w:rsid w:val="007B2793"/>
    <w:rsid w:val="007B459E"/>
    <w:rsid w:val="007B47F8"/>
    <w:rsid w:val="007B564E"/>
    <w:rsid w:val="007B62F3"/>
    <w:rsid w:val="007B6C09"/>
    <w:rsid w:val="007B70DC"/>
    <w:rsid w:val="007B7265"/>
    <w:rsid w:val="007B7A6F"/>
    <w:rsid w:val="007C05EC"/>
    <w:rsid w:val="007C0DA9"/>
    <w:rsid w:val="007C1AA2"/>
    <w:rsid w:val="007C1AC4"/>
    <w:rsid w:val="007C1D09"/>
    <w:rsid w:val="007C2167"/>
    <w:rsid w:val="007C423F"/>
    <w:rsid w:val="007C4C53"/>
    <w:rsid w:val="007C6316"/>
    <w:rsid w:val="007C6D8A"/>
    <w:rsid w:val="007C7E91"/>
    <w:rsid w:val="007C7EF4"/>
    <w:rsid w:val="007D0817"/>
    <w:rsid w:val="007D0E4E"/>
    <w:rsid w:val="007D1E21"/>
    <w:rsid w:val="007D204D"/>
    <w:rsid w:val="007D3D6D"/>
    <w:rsid w:val="007D4455"/>
    <w:rsid w:val="007D552D"/>
    <w:rsid w:val="007D5A5B"/>
    <w:rsid w:val="007D5F0B"/>
    <w:rsid w:val="007D6465"/>
    <w:rsid w:val="007D69AF"/>
    <w:rsid w:val="007E00B5"/>
    <w:rsid w:val="007E085A"/>
    <w:rsid w:val="007E09DA"/>
    <w:rsid w:val="007E0E81"/>
    <w:rsid w:val="007E29CD"/>
    <w:rsid w:val="007E2C19"/>
    <w:rsid w:val="007E2E8B"/>
    <w:rsid w:val="007E4664"/>
    <w:rsid w:val="007E48D9"/>
    <w:rsid w:val="007E4E9C"/>
    <w:rsid w:val="007E4FFF"/>
    <w:rsid w:val="007E581B"/>
    <w:rsid w:val="007F10B8"/>
    <w:rsid w:val="007F1166"/>
    <w:rsid w:val="007F13CF"/>
    <w:rsid w:val="007F2CA7"/>
    <w:rsid w:val="007F3671"/>
    <w:rsid w:val="007F3AB8"/>
    <w:rsid w:val="007F406B"/>
    <w:rsid w:val="007F5078"/>
    <w:rsid w:val="007F6125"/>
    <w:rsid w:val="007F65B6"/>
    <w:rsid w:val="007F6712"/>
    <w:rsid w:val="007F6A0D"/>
    <w:rsid w:val="007F70E1"/>
    <w:rsid w:val="007F76A5"/>
    <w:rsid w:val="007F7954"/>
    <w:rsid w:val="00800F42"/>
    <w:rsid w:val="00801ACC"/>
    <w:rsid w:val="00802D41"/>
    <w:rsid w:val="00804E59"/>
    <w:rsid w:val="0080642F"/>
    <w:rsid w:val="00810AC2"/>
    <w:rsid w:val="00810C1C"/>
    <w:rsid w:val="00810F1C"/>
    <w:rsid w:val="00811BB9"/>
    <w:rsid w:val="0081202B"/>
    <w:rsid w:val="0081227C"/>
    <w:rsid w:val="00812473"/>
    <w:rsid w:val="008129CB"/>
    <w:rsid w:val="0081301C"/>
    <w:rsid w:val="0081312F"/>
    <w:rsid w:val="0081330E"/>
    <w:rsid w:val="008154AF"/>
    <w:rsid w:val="0081614E"/>
    <w:rsid w:val="00816B29"/>
    <w:rsid w:val="00817834"/>
    <w:rsid w:val="008178B6"/>
    <w:rsid w:val="00817DBF"/>
    <w:rsid w:val="00820C3A"/>
    <w:rsid w:val="00820EEB"/>
    <w:rsid w:val="00821309"/>
    <w:rsid w:val="00821DFA"/>
    <w:rsid w:val="00822AC6"/>
    <w:rsid w:val="00824992"/>
    <w:rsid w:val="008256D9"/>
    <w:rsid w:val="00825783"/>
    <w:rsid w:val="00825C28"/>
    <w:rsid w:val="0082741A"/>
    <w:rsid w:val="00827FE8"/>
    <w:rsid w:val="00830110"/>
    <w:rsid w:val="00830C92"/>
    <w:rsid w:val="00831A43"/>
    <w:rsid w:val="008324CB"/>
    <w:rsid w:val="008331BC"/>
    <w:rsid w:val="00833E3C"/>
    <w:rsid w:val="00834028"/>
    <w:rsid w:val="008357F6"/>
    <w:rsid w:val="00835F65"/>
    <w:rsid w:val="008364C1"/>
    <w:rsid w:val="00836DC3"/>
    <w:rsid w:val="00837DEB"/>
    <w:rsid w:val="0084047E"/>
    <w:rsid w:val="008419B0"/>
    <w:rsid w:val="0084250B"/>
    <w:rsid w:val="00842A0A"/>
    <w:rsid w:val="00842E81"/>
    <w:rsid w:val="0084360C"/>
    <w:rsid w:val="008440FB"/>
    <w:rsid w:val="0084461A"/>
    <w:rsid w:val="00845178"/>
    <w:rsid w:val="008453F7"/>
    <w:rsid w:val="00845698"/>
    <w:rsid w:val="008463ED"/>
    <w:rsid w:val="00846C94"/>
    <w:rsid w:val="00847864"/>
    <w:rsid w:val="008500A0"/>
    <w:rsid w:val="00850B7D"/>
    <w:rsid w:val="00852052"/>
    <w:rsid w:val="008524D8"/>
    <w:rsid w:val="00852BE5"/>
    <w:rsid w:val="008535E7"/>
    <w:rsid w:val="0085398A"/>
    <w:rsid w:val="00853F20"/>
    <w:rsid w:val="008540AE"/>
    <w:rsid w:val="00855A78"/>
    <w:rsid w:val="00856752"/>
    <w:rsid w:val="00857385"/>
    <w:rsid w:val="0085743F"/>
    <w:rsid w:val="00857853"/>
    <w:rsid w:val="008600B6"/>
    <w:rsid w:val="008605C9"/>
    <w:rsid w:val="0086104A"/>
    <w:rsid w:val="00861B8B"/>
    <w:rsid w:val="00862276"/>
    <w:rsid w:val="008633CF"/>
    <w:rsid w:val="0086442C"/>
    <w:rsid w:val="008644E7"/>
    <w:rsid w:val="00865330"/>
    <w:rsid w:val="0086580C"/>
    <w:rsid w:val="00865B74"/>
    <w:rsid w:val="008669FD"/>
    <w:rsid w:val="00867675"/>
    <w:rsid w:val="00867A07"/>
    <w:rsid w:val="00872392"/>
    <w:rsid w:val="00872673"/>
    <w:rsid w:val="00873972"/>
    <w:rsid w:val="00873BBB"/>
    <w:rsid w:val="00874F2A"/>
    <w:rsid w:val="00875DF6"/>
    <w:rsid w:val="0087612F"/>
    <w:rsid w:val="00876B5E"/>
    <w:rsid w:val="00876FB9"/>
    <w:rsid w:val="00877521"/>
    <w:rsid w:val="00877C62"/>
    <w:rsid w:val="0088085D"/>
    <w:rsid w:val="00881404"/>
    <w:rsid w:val="00881828"/>
    <w:rsid w:val="00881CE0"/>
    <w:rsid w:val="00882BC1"/>
    <w:rsid w:val="00883290"/>
    <w:rsid w:val="0088402A"/>
    <w:rsid w:val="00884BDF"/>
    <w:rsid w:val="00884C9A"/>
    <w:rsid w:val="00885C50"/>
    <w:rsid w:val="00886931"/>
    <w:rsid w:val="00887DDC"/>
    <w:rsid w:val="008925D3"/>
    <w:rsid w:val="00893DBE"/>
    <w:rsid w:val="00894567"/>
    <w:rsid w:val="0089521A"/>
    <w:rsid w:val="00895313"/>
    <w:rsid w:val="00895B81"/>
    <w:rsid w:val="00895E41"/>
    <w:rsid w:val="00896948"/>
    <w:rsid w:val="008973D5"/>
    <w:rsid w:val="008A03E1"/>
    <w:rsid w:val="008A03E5"/>
    <w:rsid w:val="008A0EB2"/>
    <w:rsid w:val="008A2BA3"/>
    <w:rsid w:val="008A31B4"/>
    <w:rsid w:val="008A361D"/>
    <w:rsid w:val="008A429F"/>
    <w:rsid w:val="008A4397"/>
    <w:rsid w:val="008A455F"/>
    <w:rsid w:val="008A4820"/>
    <w:rsid w:val="008A5A0B"/>
    <w:rsid w:val="008A6381"/>
    <w:rsid w:val="008A7935"/>
    <w:rsid w:val="008B03EE"/>
    <w:rsid w:val="008B12F1"/>
    <w:rsid w:val="008B21EE"/>
    <w:rsid w:val="008B4006"/>
    <w:rsid w:val="008B4461"/>
    <w:rsid w:val="008B4A9B"/>
    <w:rsid w:val="008B4E5F"/>
    <w:rsid w:val="008B5097"/>
    <w:rsid w:val="008B5496"/>
    <w:rsid w:val="008B69C4"/>
    <w:rsid w:val="008C06A6"/>
    <w:rsid w:val="008C0E8C"/>
    <w:rsid w:val="008C10E0"/>
    <w:rsid w:val="008C20AD"/>
    <w:rsid w:val="008C2B5A"/>
    <w:rsid w:val="008C39AB"/>
    <w:rsid w:val="008C3C9A"/>
    <w:rsid w:val="008C438C"/>
    <w:rsid w:val="008C623A"/>
    <w:rsid w:val="008C6B01"/>
    <w:rsid w:val="008C753F"/>
    <w:rsid w:val="008C757F"/>
    <w:rsid w:val="008C793F"/>
    <w:rsid w:val="008D1DCC"/>
    <w:rsid w:val="008D250A"/>
    <w:rsid w:val="008D2E28"/>
    <w:rsid w:val="008D308F"/>
    <w:rsid w:val="008D3231"/>
    <w:rsid w:val="008D41FF"/>
    <w:rsid w:val="008D520E"/>
    <w:rsid w:val="008D537A"/>
    <w:rsid w:val="008D5ABB"/>
    <w:rsid w:val="008D5DE0"/>
    <w:rsid w:val="008D65AE"/>
    <w:rsid w:val="008D6D70"/>
    <w:rsid w:val="008D74BC"/>
    <w:rsid w:val="008D7D92"/>
    <w:rsid w:val="008E17FE"/>
    <w:rsid w:val="008E1928"/>
    <w:rsid w:val="008E206C"/>
    <w:rsid w:val="008E241F"/>
    <w:rsid w:val="008E32D2"/>
    <w:rsid w:val="008E333B"/>
    <w:rsid w:val="008E3C96"/>
    <w:rsid w:val="008E5152"/>
    <w:rsid w:val="008E555D"/>
    <w:rsid w:val="008E68A5"/>
    <w:rsid w:val="008E69C4"/>
    <w:rsid w:val="008E71E2"/>
    <w:rsid w:val="008E7A88"/>
    <w:rsid w:val="008F0955"/>
    <w:rsid w:val="008F0C8A"/>
    <w:rsid w:val="008F0DA6"/>
    <w:rsid w:val="008F23EF"/>
    <w:rsid w:val="008F2D6F"/>
    <w:rsid w:val="008F3FC1"/>
    <w:rsid w:val="008F58E5"/>
    <w:rsid w:val="008F5BAD"/>
    <w:rsid w:val="008F6446"/>
    <w:rsid w:val="008F7B47"/>
    <w:rsid w:val="00901529"/>
    <w:rsid w:val="00902968"/>
    <w:rsid w:val="00902EEC"/>
    <w:rsid w:val="00903321"/>
    <w:rsid w:val="00905502"/>
    <w:rsid w:val="00905709"/>
    <w:rsid w:val="00905D3B"/>
    <w:rsid w:val="00906843"/>
    <w:rsid w:val="00906AB6"/>
    <w:rsid w:val="00907C99"/>
    <w:rsid w:val="00907ED7"/>
    <w:rsid w:val="00907EEB"/>
    <w:rsid w:val="00910FB6"/>
    <w:rsid w:val="00911692"/>
    <w:rsid w:val="0091188F"/>
    <w:rsid w:val="00914FE2"/>
    <w:rsid w:val="00915542"/>
    <w:rsid w:val="00915D1F"/>
    <w:rsid w:val="00915F09"/>
    <w:rsid w:val="00916D08"/>
    <w:rsid w:val="0091716B"/>
    <w:rsid w:val="00917A90"/>
    <w:rsid w:val="009205CE"/>
    <w:rsid w:val="00921B38"/>
    <w:rsid w:val="00924618"/>
    <w:rsid w:val="0092484B"/>
    <w:rsid w:val="00927063"/>
    <w:rsid w:val="00927631"/>
    <w:rsid w:val="00927E4F"/>
    <w:rsid w:val="0093066F"/>
    <w:rsid w:val="00930B2E"/>
    <w:rsid w:val="00930BA1"/>
    <w:rsid w:val="00931228"/>
    <w:rsid w:val="00931260"/>
    <w:rsid w:val="0093169E"/>
    <w:rsid w:val="00931FB4"/>
    <w:rsid w:val="0093378B"/>
    <w:rsid w:val="00934B2A"/>
    <w:rsid w:val="00934DF9"/>
    <w:rsid w:val="00935985"/>
    <w:rsid w:val="00935ACC"/>
    <w:rsid w:val="00935CC3"/>
    <w:rsid w:val="0093677E"/>
    <w:rsid w:val="009367B0"/>
    <w:rsid w:val="00936E9E"/>
    <w:rsid w:val="00937D7A"/>
    <w:rsid w:val="00937F36"/>
    <w:rsid w:val="009400A3"/>
    <w:rsid w:val="00940E53"/>
    <w:rsid w:val="009412E1"/>
    <w:rsid w:val="00941364"/>
    <w:rsid w:val="009416AE"/>
    <w:rsid w:val="0094183D"/>
    <w:rsid w:val="0094249D"/>
    <w:rsid w:val="00944850"/>
    <w:rsid w:val="00944F2C"/>
    <w:rsid w:val="0094537B"/>
    <w:rsid w:val="0094570D"/>
    <w:rsid w:val="00947872"/>
    <w:rsid w:val="009505C9"/>
    <w:rsid w:val="009510E8"/>
    <w:rsid w:val="00951A79"/>
    <w:rsid w:val="009525B9"/>
    <w:rsid w:val="00952D69"/>
    <w:rsid w:val="00953218"/>
    <w:rsid w:val="00953D10"/>
    <w:rsid w:val="00954320"/>
    <w:rsid w:val="009546CD"/>
    <w:rsid w:val="00954E13"/>
    <w:rsid w:val="00955CA3"/>
    <w:rsid w:val="009565EA"/>
    <w:rsid w:val="009569B5"/>
    <w:rsid w:val="00956E89"/>
    <w:rsid w:val="00957182"/>
    <w:rsid w:val="00957514"/>
    <w:rsid w:val="0095770A"/>
    <w:rsid w:val="0095780F"/>
    <w:rsid w:val="0096010B"/>
    <w:rsid w:val="0096258D"/>
    <w:rsid w:val="009636C5"/>
    <w:rsid w:val="009638F9"/>
    <w:rsid w:val="00965CBE"/>
    <w:rsid w:val="0096788E"/>
    <w:rsid w:val="0097292C"/>
    <w:rsid w:val="00972C4C"/>
    <w:rsid w:val="00973309"/>
    <w:rsid w:val="00973F0B"/>
    <w:rsid w:val="00974F45"/>
    <w:rsid w:val="0097692E"/>
    <w:rsid w:val="00976A79"/>
    <w:rsid w:val="00976CFD"/>
    <w:rsid w:val="009804C8"/>
    <w:rsid w:val="0098055F"/>
    <w:rsid w:val="009808D1"/>
    <w:rsid w:val="00980EF7"/>
    <w:rsid w:val="00981E09"/>
    <w:rsid w:val="00982E7C"/>
    <w:rsid w:val="00983DC5"/>
    <w:rsid w:val="00984662"/>
    <w:rsid w:val="0098644E"/>
    <w:rsid w:val="00986C40"/>
    <w:rsid w:val="009878A1"/>
    <w:rsid w:val="009879B1"/>
    <w:rsid w:val="00990192"/>
    <w:rsid w:val="0099026A"/>
    <w:rsid w:val="009917DD"/>
    <w:rsid w:val="0099233A"/>
    <w:rsid w:val="00993942"/>
    <w:rsid w:val="00993D3C"/>
    <w:rsid w:val="00995BE0"/>
    <w:rsid w:val="00995D65"/>
    <w:rsid w:val="0099620B"/>
    <w:rsid w:val="009965FF"/>
    <w:rsid w:val="00997599"/>
    <w:rsid w:val="00997739"/>
    <w:rsid w:val="00997DD0"/>
    <w:rsid w:val="009A040E"/>
    <w:rsid w:val="009A0F34"/>
    <w:rsid w:val="009A1231"/>
    <w:rsid w:val="009A168C"/>
    <w:rsid w:val="009A1B5E"/>
    <w:rsid w:val="009A24BB"/>
    <w:rsid w:val="009A2788"/>
    <w:rsid w:val="009A32E3"/>
    <w:rsid w:val="009A361D"/>
    <w:rsid w:val="009A3701"/>
    <w:rsid w:val="009A44DE"/>
    <w:rsid w:val="009A492C"/>
    <w:rsid w:val="009A6961"/>
    <w:rsid w:val="009A77BA"/>
    <w:rsid w:val="009A7A31"/>
    <w:rsid w:val="009B00D2"/>
    <w:rsid w:val="009B05D6"/>
    <w:rsid w:val="009B2FF6"/>
    <w:rsid w:val="009B3328"/>
    <w:rsid w:val="009B504A"/>
    <w:rsid w:val="009B68F1"/>
    <w:rsid w:val="009B71B1"/>
    <w:rsid w:val="009B7C8C"/>
    <w:rsid w:val="009C0950"/>
    <w:rsid w:val="009C0A8F"/>
    <w:rsid w:val="009C2556"/>
    <w:rsid w:val="009C3109"/>
    <w:rsid w:val="009C3E67"/>
    <w:rsid w:val="009C4306"/>
    <w:rsid w:val="009C547F"/>
    <w:rsid w:val="009C5649"/>
    <w:rsid w:val="009C5B90"/>
    <w:rsid w:val="009C7256"/>
    <w:rsid w:val="009C777B"/>
    <w:rsid w:val="009D1D40"/>
    <w:rsid w:val="009D1DB1"/>
    <w:rsid w:val="009D2536"/>
    <w:rsid w:val="009D31B9"/>
    <w:rsid w:val="009D3890"/>
    <w:rsid w:val="009D3912"/>
    <w:rsid w:val="009D3DBE"/>
    <w:rsid w:val="009D61D9"/>
    <w:rsid w:val="009D680F"/>
    <w:rsid w:val="009D724D"/>
    <w:rsid w:val="009D7ADF"/>
    <w:rsid w:val="009E03A9"/>
    <w:rsid w:val="009E0E92"/>
    <w:rsid w:val="009E1162"/>
    <w:rsid w:val="009E32BE"/>
    <w:rsid w:val="009E3594"/>
    <w:rsid w:val="009E4253"/>
    <w:rsid w:val="009E52FF"/>
    <w:rsid w:val="009E53CA"/>
    <w:rsid w:val="009E5DA6"/>
    <w:rsid w:val="009E7073"/>
    <w:rsid w:val="009E769B"/>
    <w:rsid w:val="009F453C"/>
    <w:rsid w:val="009F5107"/>
    <w:rsid w:val="009F556C"/>
    <w:rsid w:val="009F5C54"/>
    <w:rsid w:val="009F654B"/>
    <w:rsid w:val="009F6D20"/>
    <w:rsid w:val="00A00B84"/>
    <w:rsid w:val="00A01088"/>
    <w:rsid w:val="00A011A0"/>
    <w:rsid w:val="00A0188A"/>
    <w:rsid w:val="00A01EC3"/>
    <w:rsid w:val="00A022AF"/>
    <w:rsid w:val="00A02E05"/>
    <w:rsid w:val="00A031F9"/>
    <w:rsid w:val="00A036A8"/>
    <w:rsid w:val="00A03D76"/>
    <w:rsid w:val="00A04501"/>
    <w:rsid w:val="00A058C4"/>
    <w:rsid w:val="00A05F81"/>
    <w:rsid w:val="00A06AB2"/>
    <w:rsid w:val="00A06B26"/>
    <w:rsid w:val="00A1390B"/>
    <w:rsid w:val="00A1401A"/>
    <w:rsid w:val="00A145C5"/>
    <w:rsid w:val="00A14D7D"/>
    <w:rsid w:val="00A161C5"/>
    <w:rsid w:val="00A16E5D"/>
    <w:rsid w:val="00A17258"/>
    <w:rsid w:val="00A21F60"/>
    <w:rsid w:val="00A22F2E"/>
    <w:rsid w:val="00A249FC"/>
    <w:rsid w:val="00A2598F"/>
    <w:rsid w:val="00A26847"/>
    <w:rsid w:val="00A27AB9"/>
    <w:rsid w:val="00A27B00"/>
    <w:rsid w:val="00A27BAB"/>
    <w:rsid w:val="00A30350"/>
    <w:rsid w:val="00A312B6"/>
    <w:rsid w:val="00A31DA9"/>
    <w:rsid w:val="00A321ED"/>
    <w:rsid w:val="00A32E61"/>
    <w:rsid w:val="00A355DF"/>
    <w:rsid w:val="00A3686B"/>
    <w:rsid w:val="00A36D47"/>
    <w:rsid w:val="00A36E1F"/>
    <w:rsid w:val="00A37174"/>
    <w:rsid w:val="00A3727A"/>
    <w:rsid w:val="00A401D1"/>
    <w:rsid w:val="00A407FA"/>
    <w:rsid w:val="00A40AEC"/>
    <w:rsid w:val="00A41C31"/>
    <w:rsid w:val="00A41CC6"/>
    <w:rsid w:val="00A443B9"/>
    <w:rsid w:val="00A44543"/>
    <w:rsid w:val="00A4466B"/>
    <w:rsid w:val="00A44BC3"/>
    <w:rsid w:val="00A453F6"/>
    <w:rsid w:val="00A47014"/>
    <w:rsid w:val="00A50897"/>
    <w:rsid w:val="00A50F39"/>
    <w:rsid w:val="00A5190D"/>
    <w:rsid w:val="00A519CE"/>
    <w:rsid w:val="00A52A95"/>
    <w:rsid w:val="00A532A5"/>
    <w:rsid w:val="00A540B8"/>
    <w:rsid w:val="00A5733C"/>
    <w:rsid w:val="00A60B69"/>
    <w:rsid w:val="00A61A9C"/>
    <w:rsid w:val="00A61DB7"/>
    <w:rsid w:val="00A631E2"/>
    <w:rsid w:val="00A6379F"/>
    <w:rsid w:val="00A6475A"/>
    <w:rsid w:val="00A671C8"/>
    <w:rsid w:val="00A6736F"/>
    <w:rsid w:val="00A67673"/>
    <w:rsid w:val="00A70A01"/>
    <w:rsid w:val="00A7178E"/>
    <w:rsid w:val="00A72140"/>
    <w:rsid w:val="00A73574"/>
    <w:rsid w:val="00A736E5"/>
    <w:rsid w:val="00A736FB"/>
    <w:rsid w:val="00A73A31"/>
    <w:rsid w:val="00A743DE"/>
    <w:rsid w:val="00A747DA"/>
    <w:rsid w:val="00A75675"/>
    <w:rsid w:val="00A766BC"/>
    <w:rsid w:val="00A76EE0"/>
    <w:rsid w:val="00A771E6"/>
    <w:rsid w:val="00A77AED"/>
    <w:rsid w:val="00A77C40"/>
    <w:rsid w:val="00A77D0E"/>
    <w:rsid w:val="00A80D08"/>
    <w:rsid w:val="00A81036"/>
    <w:rsid w:val="00A811C4"/>
    <w:rsid w:val="00A8161D"/>
    <w:rsid w:val="00A81E27"/>
    <w:rsid w:val="00A8368A"/>
    <w:rsid w:val="00A838B7"/>
    <w:rsid w:val="00A83BE2"/>
    <w:rsid w:val="00A84349"/>
    <w:rsid w:val="00A8573B"/>
    <w:rsid w:val="00A87ABE"/>
    <w:rsid w:val="00A87D93"/>
    <w:rsid w:val="00A90A8F"/>
    <w:rsid w:val="00A91127"/>
    <w:rsid w:val="00A91FDA"/>
    <w:rsid w:val="00A94C20"/>
    <w:rsid w:val="00A954CA"/>
    <w:rsid w:val="00A954EA"/>
    <w:rsid w:val="00A95D08"/>
    <w:rsid w:val="00A9780D"/>
    <w:rsid w:val="00AA0CFD"/>
    <w:rsid w:val="00AA168C"/>
    <w:rsid w:val="00AA1B26"/>
    <w:rsid w:val="00AA249D"/>
    <w:rsid w:val="00AA2830"/>
    <w:rsid w:val="00AA2833"/>
    <w:rsid w:val="00AA43F1"/>
    <w:rsid w:val="00AA4D9B"/>
    <w:rsid w:val="00AA52B6"/>
    <w:rsid w:val="00AA6916"/>
    <w:rsid w:val="00AA6F45"/>
    <w:rsid w:val="00AB1824"/>
    <w:rsid w:val="00AB18CD"/>
    <w:rsid w:val="00AB1CEB"/>
    <w:rsid w:val="00AB2491"/>
    <w:rsid w:val="00AB3696"/>
    <w:rsid w:val="00AB465C"/>
    <w:rsid w:val="00AB471B"/>
    <w:rsid w:val="00AB4A1B"/>
    <w:rsid w:val="00AB6A44"/>
    <w:rsid w:val="00AB730A"/>
    <w:rsid w:val="00AC0AA0"/>
    <w:rsid w:val="00AC0B52"/>
    <w:rsid w:val="00AC0BD2"/>
    <w:rsid w:val="00AC14A0"/>
    <w:rsid w:val="00AC14FF"/>
    <w:rsid w:val="00AC27A6"/>
    <w:rsid w:val="00AC3CEA"/>
    <w:rsid w:val="00AC41A4"/>
    <w:rsid w:val="00AC46E3"/>
    <w:rsid w:val="00AC4CE2"/>
    <w:rsid w:val="00AC7EA1"/>
    <w:rsid w:val="00AC7EA2"/>
    <w:rsid w:val="00AD066C"/>
    <w:rsid w:val="00AD3F09"/>
    <w:rsid w:val="00AD4231"/>
    <w:rsid w:val="00AD4775"/>
    <w:rsid w:val="00AD627A"/>
    <w:rsid w:val="00AD73B3"/>
    <w:rsid w:val="00AD7A12"/>
    <w:rsid w:val="00AD7DD3"/>
    <w:rsid w:val="00AD7FE5"/>
    <w:rsid w:val="00AE0278"/>
    <w:rsid w:val="00AE066A"/>
    <w:rsid w:val="00AE0C7A"/>
    <w:rsid w:val="00AE0E35"/>
    <w:rsid w:val="00AE23C4"/>
    <w:rsid w:val="00AE2BC4"/>
    <w:rsid w:val="00AE2F5E"/>
    <w:rsid w:val="00AE4C83"/>
    <w:rsid w:val="00AE5D3C"/>
    <w:rsid w:val="00AE5DC4"/>
    <w:rsid w:val="00AE7B46"/>
    <w:rsid w:val="00AF0908"/>
    <w:rsid w:val="00AF1065"/>
    <w:rsid w:val="00AF1737"/>
    <w:rsid w:val="00AF33FE"/>
    <w:rsid w:val="00AF3613"/>
    <w:rsid w:val="00AF4D43"/>
    <w:rsid w:val="00AF5B4A"/>
    <w:rsid w:val="00AF5D11"/>
    <w:rsid w:val="00AF6C20"/>
    <w:rsid w:val="00AF7541"/>
    <w:rsid w:val="00AF76D2"/>
    <w:rsid w:val="00AF7E4A"/>
    <w:rsid w:val="00B0002C"/>
    <w:rsid w:val="00B006DA"/>
    <w:rsid w:val="00B00B87"/>
    <w:rsid w:val="00B01839"/>
    <w:rsid w:val="00B01C09"/>
    <w:rsid w:val="00B020C9"/>
    <w:rsid w:val="00B025FE"/>
    <w:rsid w:val="00B026E6"/>
    <w:rsid w:val="00B034B9"/>
    <w:rsid w:val="00B0379B"/>
    <w:rsid w:val="00B03CED"/>
    <w:rsid w:val="00B03F19"/>
    <w:rsid w:val="00B04164"/>
    <w:rsid w:val="00B0580E"/>
    <w:rsid w:val="00B066A8"/>
    <w:rsid w:val="00B07F0E"/>
    <w:rsid w:val="00B101CE"/>
    <w:rsid w:val="00B10382"/>
    <w:rsid w:val="00B10A41"/>
    <w:rsid w:val="00B114CD"/>
    <w:rsid w:val="00B11AFF"/>
    <w:rsid w:val="00B133CA"/>
    <w:rsid w:val="00B1378A"/>
    <w:rsid w:val="00B13C80"/>
    <w:rsid w:val="00B147FF"/>
    <w:rsid w:val="00B14BE3"/>
    <w:rsid w:val="00B14DFE"/>
    <w:rsid w:val="00B14EC1"/>
    <w:rsid w:val="00B1517E"/>
    <w:rsid w:val="00B1626A"/>
    <w:rsid w:val="00B1674E"/>
    <w:rsid w:val="00B1683C"/>
    <w:rsid w:val="00B1698C"/>
    <w:rsid w:val="00B17DEB"/>
    <w:rsid w:val="00B2166C"/>
    <w:rsid w:val="00B21CBD"/>
    <w:rsid w:val="00B24E31"/>
    <w:rsid w:val="00B253F8"/>
    <w:rsid w:val="00B25BC0"/>
    <w:rsid w:val="00B26027"/>
    <w:rsid w:val="00B26126"/>
    <w:rsid w:val="00B2614A"/>
    <w:rsid w:val="00B2693B"/>
    <w:rsid w:val="00B27A20"/>
    <w:rsid w:val="00B30986"/>
    <w:rsid w:val="00B32950"/>
    <w:rsid w:val="00B32DCD"/>
    <w:rsid w:val="00B3369F"/>
    <w:rsid w:val="00B34BC8"/>
    <w:rsid w:val="00B34D80"/>
    <w:rsid w:val="00B35127"/>
    <w:rsid w:val="00B35254"/>
    <w:rsid w:val="00B35538"/>
    <w:rsid w:val="00B35D62"/>
    <w:rsid w:val="00B36BD1"/>
    <w:rsid w:val="00B37672"/>
    <w:rsid w:val="00B37B84"/>
    <w:rsid w:val="00B37F1F"/>
    <w:rsid w:val="00B4013E"/>
    <w:rsid w:val="00B406D0"/>
    <w:rsid w:val="00B41CCC"/>
    <w:rsid w:val="00B431D3"/>
    <w:rsid w:val="00B44A81"/>
    <w:rsid w:val="00B4555E"/>
    <w:rsid w:val="00B45E7C"/>
    <w:rsid w:val="00B46B38"/>
    <w:rsid w:val="00B46D13"/>
    <w:rsid w:val="00B46D45"/>
    <w:rsid w:val="00B46D8A"/>
    <w:rsid w:val="00B47645"/>
    <w:rsid w:val="00B478E6"/>
    <w:rsid w:val="00B4793F"/>
    <w:rsid w:val="00B50072"/>
    <w:rsid w:val="00B51C7D"/>
    <w:rsid w:val="00B52A26"/>
    <w:rsid w:val="00B52D39"/>
    <w:rsid w:val="00B539C5"/>
    <w:rsid w:val="00B53C89"/>
    <w:rsid w:val="00B53DE8"/>
    <w:rsid w:val="00B5445F"/>
    <w:rsid w:val="00B54F05"/>
    <w:rsid w:val="00B55311"/>
    <w:rsid w:val="00B561C8"/>
    <w:rsid w:val="00B5727E"/>
    <w:rsid w:val="00B5773D"/>
    <w:rsid w:val="00B60D68"/>
    <w:rsid w:val="00B60E69"/>
    <w:rsid w:val="00B612ED"/>
    <w:rsid w:val="00B61D0F"/>
    <w:rsid w:val="00B61E10"/>
    <w:rsid w:val="00B61F63"/>
    <w:rsid w:val="00B62048"/>
    <w:rsid w:val="00B62E10"/>
    <w:rsid w:val="00B63225"/>
    <w:rsid w:val="00B6433F"/>
    <w:rsid w:val="00B65B4D"/>
    <w:rsid w:val="00B66007"/>
    <w:rsid w:val="00B6627E"/>
    <w:rsid w:val="00B66899"/>
    <w:rsid w:val="00B66E65"/>
    <w:rsid w:val="00B7000F"/>
    <w:rsid w:val="00B705D4"/>
    <w:rsid w:val="00B70744"/>
    <w:rsid w:val="00B7298C"/>
    <w:rsid w:val="00B732A7"/>
    <w:rsid w:val="00B735C6"/>
    <w:rsid w:val="00B73A58"/>
    <w:rsid w:val="00B73B45"/>
    <w:rsid w:val="00B74F15"/>
    <w:rsid w:val="00B75451"/>
    <w:rsid w:val="00B764CC"/>
    <w:rsid w:val="00B76588"/>
    <w:rsid w:val="00B766D0"/>
    <w:rsid w:val="00B76739"/>
    <w:rsid w:val="00B76A6E"/>
    <w:rsid w:val="00B77606"/>
    <w:rsid w:val="00B8053E"/>
    <w:rsid w:val="00B80D42"/>
    <w:rsid w:val="00B82746"/>
    <w:rsid w:val="00B84963"/>
    <w:rsid w:val="00B84B9A"/>
    <w:rsid w:val="00B8583B"/>
    <w:rsid w:val="00B8593D"/>
    <w:rsid w:val="00B85C8A"/>
    <w:rsid w:val="00B8600A"/>
    <w:rsid w:val="00B8666F"/>
    <w:rsid w:val="00B87D49"/>
    <w:rsid w:val="00B9065B"/>
    <w:rsid w:val="00B91757"/>
    <w:rsid w:val="00B91C4F"/>
    <w:rsid w:val="00B924F5"/>
    <w:rsid w:val="00B92AFA"/>
    <w:rsid w:val="00B92D15"/>
    <w:rsid w:val="00B9325D"/>
    <w:rsid w:val="00B93B61"/>
    <w:rsid w:val="00B949ED"/>
    <w:rsid w:val="00B96299"/>
    <w:rsid w:val="00B96543"/>
    <w:rsid w:val="00B96BA1"/>
    <w:rsid w:val="00B97247"/>
    <w:rsid w:val="00B9773C"/>
    <w:rsid w:val="00BA1282"/>
    <w:rsid w:val="00BA1E17"/>
    <w:rsid w:val="00BA2125"/>
    <w:rsid w:val="00BA49A8"/>
    <w:rsid w:val="00BA4C04"/>
    <w:rsid w:val="00BA5606"/>
    <w:rsid w:val="00BA69AB"/>
    <w:rsid w:val="00BA7132"/>
    <w:rsid w:val="00BA7836"/>
    <w:rsid w:val="00BB1124"/>
    <w:rsid w:val="00BB1D6F"/>
    <w:rsid w:val="00BB1ECF"/>
    <w:rsid w:val="00BB2C85"/>
    <w:rsid w:val="00BB325F"/>
    <w:rsid w:val="00BB4C32"/>
    <w:rsid w:val="00BB4FA0"/>
    <w:rsid w:val="00BB5088"/>
    <w:rsid w:val="00BB58B7"/>
    <w:rsid w:val="00BB6710"/>
    <w:rsid w:val="00BC041B"/>
    <w:rsid w:val="00BC0795"/>
    <w:rsid w:val="00BC1733"/>
    <w:rsid w:val="00BC19B4"/>
    <w:rsid w:val="00BC1A97"/>
    <w:rsid w:val="00BC1B22"/>
    <w:rsid w:val="00BC26EE"/>
    <w:rsid w:val="00BC290F"/>
    <w:rsid w:val="00BC3168"/>
    <w:rsid w:val="00BC35E7"/>
    <w:rsid w:val="00BC35F1"/>
    <w:rsid w:val="00BC50B6"/>
    <w:rsid w:val="00BC5814"/>
    <w:rsid w:val="00BC5F1E"/>
    <w:rsid w:val="00BC690F"/>
    <w:rsid w:val="00BC74A8"/>
    <w:rsid w:val="00BC7802"/>
    <w:rsid w:val="00BC792D"/>
    <w:rsid w:val="00BD09CC"/>
    <w:rsid w:val="00BD1046"/>
    <w:rsid w:val="00BD18FB"/>
    <w:rsid w:val="00BD20CD"/>
    <w:rsid w:val="00BD2759"/>
    <w:rsid w:val="00BD3002"/>
    <w:rsid w:val="00BD3C5C"/>
    <w:rsid w:val="00BD4113"/>
    <w:rsid w:val="00BD4162"/>
    <w:rsid w:val="00BD6514"/>
    <w:rsid w:val="00BD65BF"/>
    <w:rsid w:val="00BD7DC6"/>
    <w:rsid w:val="00BE0B0E"/>
    <w:rsid w:val="00BE103C"/>
    <w:rsid w:val="00BE15D3"/>
    <w:rsid w:val="00BE2955"/>
    <w:rsid w:val="00BE31DA"/>
    <w:rsid w:val="00BE4076"/>
    <w:rsid w:val="00BE436D"/>
    <w:rsid w:val="00BE5D4C"/>
    <w:rsid w:val="00BE62AB"/>
    <w:rsid w:val="00BE64B4"/>
    <w:rsid w:val="00BE7A7D"/>
    <w:rsid w:val="00BE7CFD"/>
    <w:rsid w:val="00BF0D3E"/>
    <w:rsid w:val="00BF0D6D"/>
    <w:rsid w:val="00BF0F8E"/>
    <w:rsid w:val="00BF182B"/>
    <w:rsid w:val="00BF1CC5"/>
    <w:rsid w:val="00BF3B5F"/>
    <w:rsid w:val="00BF3EB6"/>
    <w:rsid w:val="00BF3EF6"/>
    <w:rsid w:val="00BF4519"/>
    <w:rsid w:val="00BF4795"/>
    <w:rsid w:val="00BF5686"/>
    <w:rsid w:val="00BF575A"/>
    <w:rsid w:val="00BF665D"/>
    <w:rsid w:val="00BF76FC"/>
    <w:rsid w:val="00BF7FDD"/>
    <w:rsid w:val="00BF7FF7"/>
    <w:rsid w:val="00C0144C"/>
    <w:rsid w:val="00C01A30"/>
    <w:rsid w:val="00C0348D"/>
    <w:rsid w:val="00C034C1"/>
    <w:rsid w:val="00C034F3"/>
    <w:rsid w:val="00C03B52"/>
    <w:rsid w:val="00C07A90"/>
    <w:rsid w:val="00C1054E"/>
    <w:rsid w:val="00C1121D"/>
    <w:rsid w:val="00C11B1F"/>
    <w:rsid w:val="00C136CF"/>
    <w:rsid w:val="00C13977"/>
    <w:rsid w:val="00C14048"/>
    <w:rsid w:val="00C14651"/>
    <w:rsid w:val="00C14A91"/>
    <w:rsid w:val="00C150A2"/>
    <w:rsid w:val="00C20072"/>
    <w:rsid w:val="00C207E1"/>
    <w:rsid w:val="00C2442F"/>
    <w:rsid w:val="00C24472"/>
    <w:rsid w:val="00C24486"/>
    <w:rsid w:val="00C24591"/>
    <w:rsid w:val="00C24807"/>
    <w:rsid w:val="00C25938"/>
    <w:rsid w:val="00C262C0"/>
    <w:rsid w:val="00C264EE"/>
    <w:rsid w:val="00C307EE"/>
    <w:rsid w:val="00C30A2E"/>
    <w:rsid w:val="00C30A53"/>
    <w:rsid w:val="00C30BA3"/>
    <w:rsid w:val="00C316CB"/>
    <w:rsid w:val="00C32285"/>
    <w:rsid w:val="00C32D24"/>
    <w:rsid w:val="00C357C1"/>
    <w:rsid w:val="00C364D4"/>
    <w:rsid w:val="00C36A98"/>
    <w:rsid w:val="00C36DF7"/>
    <w:rsid w:val="00C37B7F"/>
    <w:rsid w:val="00C37EE0"/>
    <w:rsid w:val="00C417BE"/>
    <w:rsid w:val="00C420BD"/>
    <w:rsid w:val="00C42931"/>
    <w:rsid w:val="00C42ADB"/>
    <w:rsid w:val="00C435E4"/>
    <w:rsid w:val="00C443BD"/>
    <w:rsid w:val="00C45897"/>
    <w:rsid w:val="00C462FF"/>
    <w:rsid w:val="00C4721C"/>
    <w:rsid w:val="00C50348"/>
    <w:rsid w:val="00C50B5A"/>
    <w:rsid w:val="00C50BA5"/>
    <w:rsid w:val="00C52568"/>
    <w:rsid w:val="00C52B13"/>
    <w:rsid w:val="00C52B18"/>
    <w:rsid w:val="00C52E97"/>
    <w:rsid w:val="00C544B8"/>
    <w:rsid w:val="00C544BB"/>
    <w:rsid w:val="00C551B6"/>
    <w:rsid w:val="00C554E9"/>
    <w:rsid w:val="00C60300"/>
    <w:rsid w:val="00C60ED0"/>
    <w:rsid w:val="00C6104B"/>
    <w:rsid w:val="00C616B7"/>
    <w:rsid w:val="00C62FDB"/>
    <w:rsid w:val="00C64883"/>
    <w:rsid w:val="00C64FBF"/>
    <w:rsid w:val="00C65164"/>
    <w:rsid w:val="00C65553"/>
    <w:rsid w:val="00C6594E"/>
    <w:rsid w:val="00C66BC0"/>
    <w:rsid w:val="00C672AA"/>
    <w:rsid w:val="00C67900"/>
    <w:rsid w:val="00C67D15"/>
    <w:rsid w:val="00C70105"/>
    <w:rsid w:val="00C70274"/>
    <w:rsid w:val="00C70843"/>
    <w:rsid w:val="00C71A50"/>
    <w:rsid w:val="00C71C9E"/>
    <w:rsid w:val="00C73D80"/>
    <w:rsid w:val="00C74260"/>
    <w:rsid w:val="00C778C9"/>
    <w:rsid w:val="00C77D5B"/>
    <w:rsid w:val="00C804FB"/>
    <w:rsid w:val="00C80FEC"/>
    <w:rsid w:val="00C81A7B"/>
    <w:rsid w:val="00C81F67"/>
    <w:rsid w:val="00C82000"/>
    <w:rsid w:val="00C82AF8"/>
    <w:rsid w:val="00C834F7"/>
    <w:rsid w:val="00C83874"/>
    <w:rsid w:val="00C851DF"/>
    <w:rsid w:val="00C85375"/>
    <w:rsid w:val="00C862ED"/>
    <w:rsid w:val="00C87CFB"/>
    <w:rsid w:val="00C9161D"/>
    <w:rsid w:val="00C91A08"/>
    <w:rsid w:val="00C92E48"/>
    <w:rsid w:val="00C93A75"/>
    <w:rsid w:val="00C94A1B"/>
    <w:rsid w:val="00C94FBE"/>
    <w:rsid w:val="00C95AFE"/>
    <w:rsid w:val="00C97B82"/>
    <w:rsid w:val="00CA06D1"/>
    <w:rsid w:val="00CA0A99"/>
    <w:rsid w:val="00CA10B8"/>
    <w:rsid w:val="00CA1E30"/>
    <w:rsid w:val="00CA210C"/>
    <w:rsid w:val="00CA291B"/>
    <w:rsid w:val="00CA3404"/>
    <w:rsid w:val="00CA3A99"/>
    <w:rsid w:val="00CA455F"/>
    <w:rsid w:val="00CA4567"/>
    <w:rsid w:val="00CA5C46"/>
    <w:rsid w:val="00CA5CFB"/>
    <w:rsid w:val="00CB0020"/>
    <w:rsid w:val="00CB008B"/>
    <w:rsid w:val="00CB086A"/>
    <w:rsid w:val="00CB0BE3"/>
    <w:rsid w:val="00CB0ECF"/>
    <w:rsid w:val="00CB12CE"/>
    <w:rsid w:val="00CB2A08"/>
    <w:rsid w:val="00CB2A8C"/>
    <w:rsid w:val="00CB2EA5"/>
    <w:rsid w:val="00CB3226"/>
    <w:rsid w:val="00CB3CF6"/>
    <w:rsid w:val="00CB4CBE"/>
    <w:rsid w:val="00CB5F3C"/>
    <w:rsid w:val="00CB74F9"/>
    <w:rsid w:val="00CB7B22"/>
    <w:rsid w:val="00CB7C40"/>
    <w:rsid w:val="00CC0179"/>
    <w:rsid w:val="00CC01E0"/>
    <w:rsid w:val="00CC06C0"/>
    <w:rsid w:val="00CC3D2F"/>
    <w:rsid w:val="00CC428A"/>
    <w:rsid w:val="00CC433B"/>
    <w:rsid w:val="00CC5371"/>
    <w:rsid w:val="00CC63EC"/>
    <w:rsid w:val="00CC692D"/>
    <w:rsid w:val="00CC693C"/>
    <w:rsid w:val="00CC6F5B"/>
    <w:rsid w:val="00CC7F6E"/>
    <w:rsid w:val="00CD00FA"/>
    <w:rsid w:val="00CD01CA"/>
    <w:rsid w:val="00CD05F0"/>
    <w:rsid w:val="00CD0CC7"/>
    <w:rsid w:val="00CD1B81"/>
    <w:rsid w:val="00CD3291"/>
    <w:rsid w:val="00CD32DB"/>
    <w:rsid w:val="00CD34D2"/>
    <w:rsid w:val="00CD3FAC"/>
    <w:rsid w:val="00CD4F36"/>
    <w:rsid w:val="00CD4FFB"/>
    <w:rsid w:val="00CD5C43"/>
    <w:rsid w:val="00CD5C7F"/>
    <w:rsid w:val="00CD6330"/>
    <w:rsid w:val="00CD67E9"/>
    <w:rsid w:val="00CD6C75"/>
    <w:rsid w:val="00CD6F21"/>
    <w:rsid w:val="00CE0216"/>
    <w:rsid w:val="00CE045A"/>
    <w:rsid w:val="00CE051A"/>
    <w:rsid w:val="00CE18DC"/>
    <w:rsid w:val="00CE1963"/>
    <w:rsid w:val="00CE1A84"/>
    <w:rsid w:val="00CE1FA7"/>
    <w:rsid w:val="00CE2D44"/>
    <w:rsid w:val="00CE3933"/>
    <w:rsid w:val="00CE3A1D"/>
    <w:rsid w:val="00CE3B39"/>
    <w:rsid w:val="00CE4171"/>
    <w:rsid w:val="00CE50A5"/>
    <w:rsid w:val="00CE53C6"/>
    <w:rsid w:val="00CE645D"/>
    <w:rsid w:val="00CE7AF2"/>
    <w:rsid w:val="00CF05FF"/>
    <w:rsid w:val="00CF0B5D"/>
    <w:rsid w:val="00CF0EC5"/>
    <w:rsid w:val="00CF0EDD"/>
    <w:rsid w:val="00CF1848"/>
    <w:rsid w:val="00CF2212"/>
    <w:rsid w:val="00CF22AC"/>
    <w:rsid w:val="00CF2964"/>
    <w:rsid w:val="00CF2B6A"/>
    <w:rsid w:val="00CF4494"/>
    <w:rsid w:val="00CF451C"/>
    <w:rsid w:val="00CF5615"/>
    <w:rsid w:val="00CF6BBA"/>
    <w:rsid w:val="00CF70B0"/>
    <w:rsid w:val="00CF7E85"/>
    <w:rsid w:val="00D0054B"/>
    <w:rsid w:val="00D01365"/>
    <w:rsid w:val="00D01367"/>
    <w:rsid w:val="00D01F9D"/>
    <w:rsid w:val="00D02BB8"/>
    <w:rsid w:val="00D02EFB"/>
    <w:rsid w:val="00D031FE"/>
    <w:rsid w:val="00D0444D"/>
    <w:rsid w:val="00D049F6"/>
    <w:rsid w:val="00D04B96"/>
    <w:rsid w:val="00D054D6"/>
    <w:rsid w:val="00D05A08"/>
    <w:rsid w:val="00D062BF"/>
    <w:rsid w:val="00D06FDC"/>
    <w:rsid w:val="00D07269"/>
    <w:rsid w:val="00D075D0"/>
    <w:rsid w:val="00D101AF"/>
    <w:rsid w:val="00D11B4F"/>
    <w:rsid w:val="00D11B53"/>
    <w:rsid w:val="00D11C39"/>
    <w:rsid w:val="00D12044"/>
    <w:rsid w:val="00D15011"/>
    <w:rsid w:val="00D15715"/>
    <w:rsid w:val="00D15E7F"/>
    <w:rsid w:val="00D1781C"/>
    <w:rsid w:val="00D17946"/>
    <w:rsid w:val="00D21C35"/>
    <w:rsid w:val="00D221B7"/>
    <w:rsid w:val="00D2310C"/>
    <w:rsid w:val="00D237CC"/>
    <w:rsid w:val="00D23A63"/>
    <w:rsid w:val="00D23C94"/>
    <w:rsid w:val="00D24F85"/>
    <w:rsid w:val="00D26AA3"/>
    <w:rsid w:val="00D279A0"/>
    <w:rsid w:val="00D31C75"/>
    <w:rsid w:val="00D32711"/>
    <w:rsid w:val="00D32B88"/>
    <w:rsid w:val="00D33924"/>
    <w:rsid w:val="00D33A95"/>
    <w:rsid w:val="00D35787"/>
    <w:rsid w:val="00D366C9"/>
    <w:rsid w:val="00D3679E"/>
    <w:rsid w:val="00D41936"/>
    <w:rsid w:val="00D42B76"/>
    <w:rsid w:val="00D42DFB"/>
    <w:rsid w:val="00D43B61"/>
    <w:rsid w:val="00D44513"/>
    <w:rsid w:val="00D44E35"/>
    <w:rsid w:val="00D4505B"/>
    <w:rsid w:val="00D452A7"/>
    <w:rsid w:val="00D456D1"/>
    <w:rsid w:val="00D468D1"/>
    <w:rsid w:val="00D46C5D"/>
    <w:rsid w:val="00D478B8"/>
    <w:rsid w:val="00D50EB4"/>
    <w:rsid w:val="00D51E3B"/>
    <w:rsid w:val="00D524CA"/>
    <w:rsid w:val="00D531AF"/>
    <w:rsid w:val="00D54191"/>
    <w:rsid w:val="00D549C6"/>
    <w:rsid w:val="00D54A77"/>
    <w:rsid w:val="00D54B63"/>
    <w:rsid w:val="00D574EB"/>
    <w:rsid w:val="00D5777C"/>
    <w:rsid w:val="00D57DD1"/>
    <w:rsid w:val="00D60204"/>
    <w:rsid w:val="00D603E5"/>
    <w:rsid w:val="00D607F9"/>
    <w:rsid w:val="00D60CCD"/>
    <w:rsid w:val="00D6204D"/>
    <w:rsid w:val="00D631CA"/>
    <w:rsid w:val="00D63213"/>
    <w:rsid w:val="00D63DCB"/>
    <w:rsid w:val="00D63E0E"/>
    <w:rsid w:val="00D64B8F"/>
    <w:rsid w:val="00D70787"/>
    <w:rsid w:val="00D709AA"/>
    <w:rsid w:val="00D70BE0"/>
    <w:rsid w:val="00D716AC"/>
    <w:rsid w:val="00D71FA7"/>
    <w:rsid w:val="00D7269A"/>
    <w:rsid w:val="00D726E6"/>
    <w:rsid w:val="00D73826"/>
    <w:rsid w:val="00D73BC0"/>
    <w:rsid w:val="00D74411"/>
    <w:rsid w:val="00D74EEE"/>
    <w:rsid w:val="00D75E92"/>
    <w:rsid w:val="00D76083"/>
    <w:rsid w:val="00D76291"/>
    <w:rsid w:val="00D76A18"/>
    <w:rsid w:val="00D772E7"/>
    <w:rsid w:val="00D77527"/>
    <w:rsid w:val="00D77671"/>
    <w:rsid w:val="00D77983"/>
    <w:rsid w:val="00D8035D"/>
    <w:rsid w:val="00D815A2"/>
    <w:rsid w:val="00D81682"/>
    <w:rsid w:val="00D818E6"/>
    <w:rsid w:val="00D81E2A"/>
    <w:rsid w:val="00D850DD"/>
    <w:rsid w:val="00D85D63"/>
    <w:rsid w:val="00D86F92"/>
    <w:rsid w:val="00D87073"/>
    <w:rsid w:val="00D874C4"/>
    <w:rsid w:val="00D878C3"/>
    <w:rsid w:val="00D90262"/>
    <w:rsid w:val="00D903C0"/>
    <w:rsid w:val="00D9172B"/>
    <w:rsid w:val="00D918E9"/>
    <w:rsid w:val="00D92952"/>
    <w:rsid w:val="00D92AAB"/>
    <w:rsid w:val="00D92F93"/>
    <w:rsid w:val="00D93939"/>
    <w:rsid w:val="00D93C0C"/>
    <w:rsid w:val="00D94951"/>
    <w:rsid w:val="00D95824"/>
    <w:rsid w:val="00D958B9"/>
    <w:rsid w:val="00D967EF"/>
    <w:rsid w:val="00D97B53"/>
    <w:rsid w:val="00DA0733"/>
    <w:rsid w:val="00DA2281"/>
    <w:rsid w:val="00DA22A2"/>
    <w:rsid w:val="00DA23D1"/>
    <w:rsid w:val="00DA3835"/>
    <w:rsid w:val="00DA40B8"/>
    <w:rsid w:val="00DA5455"/>
    <w:rsid w:val="00DB0FA2"/>
    <w:rsid w:val="00DB20F3"/>
    <w:rsid w:val="00DB267A"/>
    <w:rsid w:val="00DB2EA9"/>
    <w:rsid w:val="00DB2FCD"/>
    <w:rsid w:val="00DB3573"/>
    <w:rsid w:val="00DB408B"/>
    <w:rsid w:val="00DB411B"/>
    <w:rsid w:val="00DB4C97"/>
    <w:rsid w:val="00DB5896"/>
    <w:rsid w:val="00DB604D"/>
    <w:rsid w:val="00DB7748"/>
    <w:rsid w:val="00DB7A50"/>
    <w:rsid w:val="00DB7EA9"/>
    <w:rsid w:val="00DC0868"/>
    <w:rsid w:val="00DC16B4"/>
    <w:rsid w:val="00DC1783"/>
    <w:rsid w:val="00DC3164"/>
    <w:rsid w:val="00DC332E"/>
    <w:rsid w:val="00DC35D6"/>
    <w:rsid w:val="00DC3F30"/>
    <w:rsid w:val="00DC4946"/>
    <w:rsid w:val="00DC5794"/>
    <w:rsid w:val="00DC5D8B"/>
    <w:rsid w:val="00DC5EA4"/>
    <w:rsid w:val="00DC6AD7"/>
    <w:rsid w:val="00DC76F8"/>
    <w:rsid w:val="00DD0F86"/>
    <w:rsid w:val="00DD118C"/>
    <w:rsid w:val="00DD15AD"/>
    <w:rsid w:val="00DD494C"/>
    <w:rsid w:val="00DD4D02"/>
    <w:rsid w:val="00DD607C"/>
    <w:rsid w:val="00DD65F9"/>
    <w:rsid w:val="00DD688F"/>
    <w:rsid w:val="00DE02C9"/>
    <w:rsid w:val="00DE0BFF"/>
    <w:rsid w:val="00DE0C30"/>
    <w:rsid w:val="00DE15B0"/>
    <w:rsid w:val="00DE2213"/>
    <w:rsid w:val="00DE22CF"/>
    <w:rsid w:val="00DE310E"/>
    <w:rsid w:val="00DE45E3"/>
    <w:rsid w:val="00DE5A89"/>
    <w:rsid w:val="00DE607B"/>
    <w:rsid w:val="00DE7189"/>
    <w:rsid w:val="00DE761D"/>
    <w:rsid w:val="00DE7C1C"/>
    <w:rsid w:val="00DE7E8A"/>
    <w:rsid w:val="00DF02EE"/>
    <w:rsid w:val="00DF0AFA"/>
    <w:rsid w:val="00DF113F"/>
    <w:rsid w:val="00DF12A2"/>
    <w:rsid w:val="00DF25D9"/>
    <w:rsid w:val="00DF2803"/>
    <w:rsid w:val="00DF3628"/>
    <w:rsid w:val="00DF3C8F"/>
    <w:rsid w:val="00DF4523"/>
    <w:rsid w:val="00DF4E47"/>
    <w:rsid w:val="00DF4E4D"/>
    <w:rsid w:val="00DF53E2"/>
    <w:rsid w:val="00DF5A5B"/>
    <w:rsid w:val="00E00116"/>
    <w:rsid w:val="00E00338"/>
    <w:rsid w:val="00E0100D"/>
    <w:rsid w:val="00E01BD4"/>
    <w:rsid w:val="00E0326B"/>
    <w:rsid w:val="00E037AB"/>
    <w:rsid w:val="00E03CAB"/>
    <w:rsid w:val="00E04E46"/>
    <w:rsid w:val="00E0536E"/>
    <w:rsid w:val="00E05CCF"/>
    <w:rsid w:val="00E0608A"/>
    <w:rsid w:val="00E06110"/>
    <w:rsid w:val="00E06573"/>
    <w:rsid w:val="00E102D5"/>
    <w:rsid w:val="00E10A69"/>
    <w:rsid w:val="00E10FC0"/>
    <w:rsid w:val="00E116B2"/>
    <w:rsid w:val="00E12110"/>
    <w:rsid w:val="00E122A3"/>
    <w:rsid w:val="00E148D4"/>
    <w:rsid w:val="00E150A2"/>
    <w:rsid w:val="00E17233"/>
    <w:rsid w:val="00E1765E"/>
    <w:rsid w:val="00E17794"/>
    <w:rsid w:val="00E205B6"/>
    <w:rsid w:val="00E20BB7"/>
    <w:rsid w:val="00E21DC3"/>
    <w:rsid w:val="00E21FFC"/>
    <w:rsid w:val="00E22473"/>
    <w:rsid w:val="00E22CF6"/>
    <w:rsid w:val="00E22F31"/>
    <w:rsid w:val="00E23D1F"/>
    <w:rsid w:val="00E23FB8"/>
    <w:rsid w:val="00E24278"/>
    <w:rsid w:val="00E24B1F"/>
    <w:rsid w:val="00E260B9"/>
    <w:rsid w:val="00E2779C"/>
    <w:rsid w:val="00E27853"/>
    <w:rsid w:val="00E30C71"/>
    <w:rsid w:val="00E31E80"/>
    <w:rsid w:val="00E32BA6"/>
    <w:rsid w:val="00E32BE8"/>
    <w:rsid w:val="00E32E15"/>
    <w:rsid w:val="00E33A0D"/>
    <w:rsid w:val="00E41629"/>
    <w:rsid w:val="00E416FB"/>
    <w:rsid w:val="00E41802"/>
    <w:rsid w:val="00E418FE"/>
    <w:rsid w:val="00E44A7B"/>
    <w:rsid w:val="00E44AD7"/>
    <w:rsid w:val="00E44C5C"/>
    <w:rsid w:val="00E44EA1"/>
    <w:rsid w:val="00E4567A"/>
    <w:rsid w:val="00E4570A"/>
    <w:rsid w:val="00E461D9"/>
    <w:rsid w:val="00E461E4"/>
    <w:rsid w:val="00E46625"/>
    <w:rsid w:val="00E46AA7"/>
    <w:rsid w:val="00E46EB0"/>
    <w:rsid w:val="00E50A1A"/>
    <w:rsid w:val="00E51911"/>
    <w:rsid w:val="00E534DA"/>
    <w:rsid w:val="00E54C50"/>
    <w:rsid w:val="00E5540C"/>
    <w:rsid w:val="00E559FF"/>
    <w:rsid w:val="00E575AF"/>
    <w:rsid w:val="00E57A89"/>
    <w:rsid w:val="00E62933"/>
    <w:rsid w:val="00E62AA3"/>
    <w:rsid w:val="00E63863"/>
    <w:rsid w:val="00E64428"/>
    <w:rsid w:val="00E65441"/>
    <w:rsid w:val="00E6593F"/>
    <w:rsid w:val="00E65E74"/>
    <w:rsid w:val="00E66235"/>
    <w:rsid w:val="00E66909"/>
    <w:rsid w:val="00E67F99"/>
    <w:rsid w:val="00E70C2D"/>
    <w:rsid w:val="00E70F47"/>
    <w:rsid w:val="00E72308"/>
    <w:rsid w:val="00E72CE9"/>
    <w:rsid w:val="00E734EE"/>
    <w:rsid w:val="00E7351A"/>
    <w:rsid w:val="00E74B49"/>
    <w:rsid w:val="00E74FED"/>
    <w:rsid w:val="00E75371"/>
    <w:rsid w:val="00E75C4E"/>
    <w:rsid w:val="00E76BE1"/>
    <w:rsid w:val="00E778B6"/>
    <w:rsid w:val="00E77C8F"/>
    <w:rsid w:val="00E77F6C"/>
    <w:rsid w:val="00E80084"/>
    <w:rsid w:val="00E801D7"/>
    <w:rsid w:val="00E81A03"/>
    <w:rsid w:val="00E82A53"/>
    <w:rsid w:val="00E82C68"/>
    <w:rsid w:val="00E82FBE"/>
    <w:rsid w:val="00E83387"/>
    <w:rsid w:val="00E834DB"/>
    <w:rsid w:val="00E8355A"/>
    <w:rsid w:val="00E835DE"/>
    <w:rsid w:val="00E835F2"/>
    <w:rsid w:val="00E83739"/>
    <w:rsid w:val="00E83C24"/>
    <w:rsid w:val="00E854E0"/>
    <w:rsid w:val="00E8572E"/>
    <w:rsid w:val="00E85B9D"/>
    <w:rsid w:val="00E86CDB"/>
    <w:rsid w:val="00E86F4F"/>
    <w:rsid w:val="00E879E4"/>
    <w:rsid w:val="00E915DD"/>
    <w:rsid w:val="00E91A6F"/>
    <w:rsid w:val="00E91F9F"/>
    <w:rsid w:val="00E92512"/>
    <w:rsid w:val="00E92B10"/>
    <w:rsid w:val="00E9318D"/>
    <w:rsid w:val="00E9333B"/>
    <w:rsid w:val="00E93C38"/>
    <w:rsid w:val="00E93DC7"/>
    <w:rsid w:val="00E93F51"/>
    <w:rsid w:val="00E9515C"/>
    <w:rsid w:val="00E95C1D"/>
    <w:rsid w:val="00E95E85"/>
    <w:rsid w:val="00E96566"/>
    <w:rsid w:val="00EA006B"/>
    <w:rsid w:val="00EA01C1"/>
    <w:rsid w:val="00EA022A"/>
    <w:rsid w:val="00EA0B72"/>
    <w:rsid w:val="00EA1ED6"/>
    <w:rsid w:val="00EA1F87"/>
    <w:rsid w:val="00EA22A5"/>
    <w:rsid w:val="00EA2E0F"/>
    <w:rsid w:val="00EA3043"/>
    <w:rsid w:val="00EA39FD"/>
    <w:rsid w:val="00EA41A7"/>
    <w:rsid w:val="00EA492F"/>
    <w:rsid w:val="00EA5C3F"/>
    <w:rsid w:val="00EA5F80"/>
    <w:rsid w:val="00EA782B"/>
    <w:rsid w:val="00EA7F0F"/>
    <w:rsid w:val="00EB0333"/>
    <w:rsid w:val="00EB137A"/>
    <w:rsid w:val="00EB3581"/>
    <w:rsid w:val="00EB5197"/>
    <w:rsid w:val="00EB5643"/>
    <w:rsid w:val="00EB5876"/>
    <w:rsid w:val="00EB610B"/>
    <w:rsid w:val="00EB7642"/>
    <w:rsid w:val="00EB7B0B"/>
    <w:rsid w:val="00EB7DD5"/>
    <w:rsid w:val="00EB7F86"/>
    <w:rsid w:val="00EC1A88"/>
    <w:rsid w:val="00EC2683"/>
    <w:rsid w:val="00EC2717"/>
    <w:rsid w:val="00EC30A6"/>
    <w:rsid w:val="00EC7BCA"/>
    <w:rsid w:val="00EC7C31"/>
    <w:rsid w:val="00ED004D"/>
    <w:rsid w:val="00ED036F"/>
    <w:rsid w:val="00ED0C7C"/>
    <w:rsid w:val="00ED3C09"/>
    <w:rsid w:val="00ED4460"/>
    <w:rsid w:val="00ED47AA"/>
    <w:rsid w:val="00ED500A"/>
    <w:rsid w:val="00ED5A97"/>
    <w:rsid w:val="00ED5B2A"/>
    <w:rsid w:val="00ED650F"/>
    <w:rsid w:val="00ED683E"/>
    <w:rsid w:val="00ED6AF0"/>
    <w:rsid w:val="00ED6C99"/>
    <w:rsid w:val="00ED6DC8"/>
    <w:rsid w:val="00ED7041"/>
    <w:rsid w:val="00ED7294"/>
    <w:rsid w:val="00ED760B"/>
    <w:rsid w:val="00ED77A0"/>
    <w:rsid w:val="00EE07D0"/>
    <w:rsid w:val="00EE11AF"/>
    <w:rsid w:val="00EE14C8"/>
    <w:rsid w:val="00EE2EF5"/>
    <w:rsid w:val="00EE359D"/>
    <w:rsid w:val="00EE3D40"/>
    <w:rsid w:val="00EE3E72"/>
    <w:rsid w:val="00EE5F5C"/>
    <w:rsid w:val="00EE6131"/>
    <w:rsid w:val="00EE66DC"/>
    <w:rsid w:val="00EE6889"/>
    <w:rsid w:val="00EE6CE0"/>
    <w:rsid w:val="00EE7E9E"/>
    <w:rsid w:val="00EF0D90"/>
    <w:rsid w:val="00EF1BEC"/>
    <w:rsid w:val="00EF208A"/>
    <w:rsid w:val="00EF3DA8"/>
    <w:rsid w:val="00EF45B2"/>
    <w:rsid w:val="00EF4DA8"/>
    <w:rsid w:val="00EF596F"/>
    <w:rsid w:val="00EF5B39"/>
    <w:rsid w:val="00EF6E62"/>
    <w:rsid w:val="00EF7998"/>
    <w:rsid w:val="00F009F9"/>
    <w:rsid w:val="00F00AAF"/>
    <w:rsid w:val="00F00AF4"/>
    <w:rsid w:val="00F00D59"/>
    <w:rsid w:val="00F0182B"/>
    <w:rsid w:val="00F01970"/>
    <w:rsid w:val="00F028A9"/>
    <w:rsid w:val="00F02B0E"/>
    <w:rsid w:val="00F036D5"/>
    <w:rsid w:val="00F036E8"/>
    <w:rsid w:val="00F0395B"/>
    <w:rsid w:val="00F0425A"/>
    <w:rsid w:val="00F0441F"/>
    <w:rsid w:val="00F0474D"/>
    <w:rsid w:val="00F04923"/>
    <w:rsid w:val="00F07EB3"/>
    <w:rsid w:val="00F1141D"/>
    <w:rsid w:val="00F1212A"/>
    <w:rsid w:val="00F12594"/>
    <w:rsid w:val="00F13ED7"/>
    <w:rsid w:val="00F16759"/>
    <w:rsid w:val="00F17AA8"/>
    <w:rsid w:val="00F2097B"/>
    <w:rsid w:val="00F21CD7"/>
    <w:rsid w:val="00F22800"/>
    <w:rsid w:val="00F233E1"/>
    <w:rsid w:val="00F23AE4"/>
    <w:rsid w:val="00F256F5"/>
    <w:rsid w:val="00F25908"/>
    <w:rsid w:val="00F30F88"/>
    <w:rsid w:val="00F326CC"/>
    <w:rsid w:val="00F32ECA"/>
    <w:rsid w:val="00F347AF"/>
    <w:rsid w:val="00F35E9A"/>
    <w:rsid w:val="00F36353"/>
    <w:rsid w:val="00F364FB"/>
    <w:rsid w:val="00F36A0F"/>
    <w:rsid w:val="00F37402"/>
    <w:rsid w:val="00F3780E"/>
    <w:rsid w:val="00F3794C"/>
    <w:rsid w:val="00F407E3"/>
    <w:rsid w:val="00F42589"/>
    <w:rsid w:val="00F42731"/>
    <w:rsid w:val="00F42D94"/>
    <w:rsid w:val="00F4355B"/>
    <w:rsid w:val="00F4361B"/>
    <w:rsid w:val="00F4504F"/>
    <w:rsid w:val="00F4562F"/>
    <w:rsid w:val="00F4665D"/>
    <w:rsid w:val="00F47C0B"/>
    <w:rsid w:val="00F5059F"/>
    <w:rsid w:val="00F50AA0"/>
    <w:rsid w:val="00F51514"/>
    <w:rsid w:val="00F51B40"/>
    <w:rsid w:val="00F51EA3"/>
    <w:rsid w:val="00F522C7"/>
    <w:rsid w:val="00F523E2"/>
    <w:rsid w:val="00F54661"/>
    <w:rsid w:val="00F5545E"/>
    <w:rsid w:val="00F60A88"/>
    <w:rsid w:val="00F60E4E"/>
    <w:rsid w:val="00F615AB"/>
    <w:rsid w:val="00F62151"/>
    <w:rsid w:val="00F62DE7"/>
    <w:rsid w:val="00F62F98"/>
    <w:rsid w:val="00F63441"/>
    <w:rsid w:val="00F6455E"/>
    <w:rsid w:val="00F6468E"/>
    <w:rsid w:val="00F6525F"/>
    <w:rsid w:val="00F7299E"/>
    <w:rsid w:val="00F73B8D"/>
    <w:rsid w:val="00F75E8D"/>
    <w:rsid w:val="00F766D5"/>
    <w:rsid w:val="00F767AC"/>
    <w:rsid w:val="00F768DF"/>
    <w:rsid w:val="00F76916"/>
    <w:rsid w:val="00F770DA"/>
    <w:rsid w:val="00F77474"/>
    <w:rsid w:val="00F8007C"/>
    <w:rsid w:val="00F80CBD"/>
    <w:rsid w:val="00F82835"/>
    <w:rsid w:val="00F83AB4"/>
    <w:rsid w:val="00F855E6"/>
    <w:rsid w:val="00F86A8B"/>
    <w:rsid w:val="00F87C68"/>
    <w:rsid w:val="00F912A6"/>
    <w:rsid w:val="00F91914"/>
    <w:rsid w:val="00F94774"/>
    <w:rsid w:val="00F949E5"/>
    <w:rsid w:val="00F94BA0"/>
    <w:rsid w:val="00F95FD6"/>
    <w:rsid w:val="00F9637C"/>
    <w:rsid w:val="00F96511"/>
    <w:rsid w:val="00F97306"/>
    <w:rsid w:val="00FA0407"/>
    <w:rsid w:val="00FA1A26"/>
    <w:rsid w:val="00FA1FD2"/>
    <w:rsid w:val="00FA3643"/>
    <w:rsid w:val="00FA422F"/>
    <w:rsid w:val="00FA4529"/>
    <w:rsid w:val="00FA571E"/>
    <w:rsid w:val="00FA58C0"/>
    <w:rsid w:val="00FA65A8"/>
    <w:rsid w:val="00FA7D48"/>
    <w:rsid w:val="00FB0270"/>
    <w:rsid w:val="00FB126F"/>
    <w:rsid w:val="00FB200B"/>
    <w:rsid w:val="00FB2522"/>
    <w:rsid w:val="00FB2CA3"/>
    <w:rsid w:val="00FB2CCF"/>
    <w:rsid w:val="00FB3CA0"/>
    <w:rsid w:val="00FB40ED"/>
    <w:rsid w:val="00FB4DC6"/>
    <w:rsid w:val="00FB5DB6"/>
    <w:rsid w:val="00FC1AD9"/>
    <w:rsid w:val="00FC3839"/>
    <w:rsid w:val="00FC39E4"/>
    <w:rsid w:val="00FC3D9C"/>
    <w:rsid w:val="00FC4D1F"/>
    <w:rsid w:val="00FC53DB"/>
    <w:rsid w:val="00FC6E5A"/>
    <w:rsid w:val="00FC6FC4"/>
    <w:rsid w:val="00FD09A5"/>
    <w:rsid w:val="00FD0D28"/>
    <w:rsid w:val="00FD18AB"/>
    <w:rsid w:val="00FD29B9"/>
    <w:rsid w:val="00FD375B"/>
    <w:rsid w:val="00FD3856"/>
    <w:rsid w:val="00FD5577"/>
    <w:rsid w:val="00FD55A9"/>
    <w:rsid w:val="00FD6C2C"/>
    <w:rsid w:val="00FD6CDE"/>
    <w:rsid w:val="00FE0484"/>
    <w:rsid w:val="00FE077A"/>
    <w:rsid w:val="00FE0820"/>
    <w:rsid w:val="00FE087B"/>
    <w:rsid w:val="00FE14B2"/>
    <w:rsid w:val="00FE1B3D"/>
    <w:rsid w:val="00FE242C"/>
    <w:rsid w:val="00FE4A3A"/>
    <w:rsid w:val="00FE4C6B"/>
    <w:rsid w:val="00FE673B"/>
    <w:rsid w:val="00FE6CBB"/>
    <w:rsid w:val="00FE7567"/>
    <w:rsid w:val="00FE76E4"/>
    <w:rsid w:val="00FF0512"/>
    <w:rsid w:val="00FF1DF2"/>
    <w:rsid w:val="00FF2004"/>
    <w:rsid w:val="00FF25BE"/>
    <w:rsid w:val="00FF27B1"/>
    <w:rsid w:val="00FF3878"/>
    <w:rsid w:val="00FF546A"/>
    <w:rsid w:val="00FF5625"/>
    <w:rsid w:val="00FF65DE"/>
    <w:rsid w:val="00FF6B1C"/>
    <w:rsid w:val="00FF6B21"/>
    <w:rsid w:val="00FF6E2A"/>
    <w:rsid w:val="00FF75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5026325C-420B-4EE7-8781-71C3AB741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0A01"/>
    <w:pPr>
      <w:jc w:val="both"/>
    </w:pPr>
    <w:rPr>
      <w:rFonts w:ascii="Times New Roman" w:eastAsia="Times New Roman" w:hAnsi="Times New Roman" w:cs="Times New Roman"/>
      <w:sz w:val="22"/>
      <w:lang w:val="fr-FR"/>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fr-FR"/>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fr-FR"/>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fr-FR"/>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fr-FR"/>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fr-FR"/>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fr-FR"/>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fr-FR"/>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fr-FR"/>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fr-FR"/>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fr-FR"/>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fr-FR"/>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fr-FR"/>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fr-FR"/>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fr-FR"/>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fr-FR"/>
    </w:rPr>
  </w:style>
  <w:style w:type="character" w:customStyle="1" w:styleId="Heading7Char">
    <w:name w:val="Heading 7 Char"/>
    <w:basedOn w:val="DefaultParagraphFont"/>
    <w:link w:val="Heading7"/>
    <w:rsid w:val="007E09DA"/>
    <w:rPr>
      <w:rFonts w:ascii="Univers" w:eastAsia="Times New Roman" w:hAnsi="Univers" w:cs="Times New Roman"/>
      <w:b/>
      <w:sz w:val="28"/>
      <w:lang w:val="fr-FR"/>
    </w:rPr>
  </w:style>
  <w:style w:type="character" w:customStyle="1" w:styleId="Heading8Char">
    <w:name w:val="Heading 8 Char"/>
    <w:basedOn w:val="DefaultParagraphFont"/>
    <w:link w:val="Heading8"/>
    <w:rsid w:val="007E09DA"/>
    <w:rPr>
      <w:rFonts w:ascii="Univers" w:eastAsia="Times New Roman" w:hAnsi="Univers" w:cs="Times New Roman"/>
      <w:b/>
      <w:sz w:val="32"/>
      <w:lang w:val="fr-FR"/>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fr-FR"/>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3"/>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fr-FR"/>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styleId="BodyText2">
    <w:name w:val="Body Text 2"/>
    <w:basedOn w:val="Normal"/>
    <w:link w:val="BodyText2Char"/>
    <w:rsid w:val="00855A78"/>
    <w:rPr>
      <w:rFonts w:eastAsia="MS Mincho" w:cs="Angsana New"/>
      <w:i/>
      <w:iCs/>
    </w:rPr>
  </w:style>
  <w:style w:type="character" w:customStyle="1" w:styleId="BodyText2Char">
    <w:name w:val="Body Text 2 Char"/>
    <w:basedOn w:val="DefaultParagraphFont"/>
    <w:link w:val="BodyText2"/>
    <w:rsid w:val="00855A78"/>
    <w:rPr>
      <w:rFonts w:ascii="Times New Roman" w:eastAsia="MS Mincho" w:hAnsi="Times New Roman" w:cs="Angsana New"/>
      <w:i/>
      <w:iCs/>
      <w:sz w:val="22"/>
      <w:lang w:val="fr-FR"/>
    </w:rPr>
  </w:style>
  <w:style w:type="paragraph" w:styleId="BodyText3">
    <w:name w:val="Body Text 3"/>
    <w:basedOn w:val="Normal"/>
    <w:link w:val="BodyText3Char"/>
    <w:rsid w:val="00855A78"/>
    <w:pPr>
      <w:jc w:val="center"/>
    </w:pPr>
    <w:rPr>
      <w:rFonts w:eastAsia="MS Mincho" w:cs="Angsana New"/>
      <w:sz w:val="28"/>
    </w:rPr>
  </w:style>
  <w:style w:type="character" w:customStyle="1" w:styleId="BodyText3Char">
    <w:name w:val="Body Text 3 Char"/>
    <w:basedOn w:val="DefaultParagraphFont"/>
    <w:link w:val="BodyText3"/>
    <w:rsid w:val="00855A78"/>
    <w:rPr>
      <w:rFonts w:ascii="Times New Roman" w:eastAsia="MS Mincho" w:hAnsi="Times New Roman" w:cs="Angsana New"/>
      <w:sz w:val="28"/>
      <w:lang w:val="fr-FR"/>
    </w:rPr>
  </w:style>
  <w:style w:type="paragraph" w:styleId="BodyTextIndent2">
    <w:name w:val="Body Text Indent 2"/>
    <w:basedOn w:val="Normal"/>
    <w:link w:val="BodyTextIndent2Char"/>
    <w:rsid w:val="00855A78"/>
    <w:pPr>
      <w:ind w:firstLine="720"/>
    </w:pPr>
    <w:rPr>
      <w:rFonts w:eastAsia="MS Mincho" w:cs="Angsana New"/>
    </w:rPr>
  </w:style>
  <w:style w:type="character" w:customStyle="1" w:styleId="BodyTextIndent2Char">
    <w:name w:val="Body Text Indent 2 Char"/>
    <w:basedOn w:val="DefaultParagraphFont"/>
    <w:link w:val="BodyTextIndent2"/>
    <w:rsid w:val="00855A78"/>
    <w:rPr>
      <w:rFonts w:ascii="Times New Roman" w:eastAsia="MS Mincho" w:hAnsi="Times New Roman" w:cs="Angsana New"/>
      <w:sz w:val="22"/>
      <w:lang w:val="fr-FR"/>
    </w:rPr>
  </w:style>
  <w:style w:type="paragraph" w:styleId="BodyTextIndent3">
    <w:name w:val="Body Text Indent 3"/>
    <w:basedOn w:val="Normal"/>
    <w:link w:val="BodyTextIndent3Char"/>
    <w:rsid w:val="00855A78"/>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855A78"/>
    <w:rPr>
      <w:rFonts w:ascii="Courier" w:eastAsia="MS Mincho" w:hAnsi="Courier" w:cs="Angsana New"/>
      <w:sz w:val="20"/>
      <w:lang w:val="fr-FR"/>
    </w:rPr>
  </w:style>
  <w:style w:type="paragraph" w:customStyle="1" w:styleId="BodyText21">
    <w:name w:val="Body Text 21"/>
    <w:basedOn w:val="Normal"/>
    <w:rsid w:val="00855A78"/>
    <w:rPr>
      <w:rFonts w:eastAsia="MS Mincho" w:cs="Angsana New"/>
    </w:rPr>
  </w:style>
  <w:style w:type="paragraph" w:styleId="BlockText">
    <w:name w:val="Block Text"/>
    <w:basedOn w:val="Normal"/>
    <w:rsid w:val="00855A78"/>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855A78"/>
    <w:pPr>
      <w:numPr>
        <w:numId w:val="6"/>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855A78"/>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855A78"/>
    <w:rPr>
      <w:rFonts w:ascii="Tahoma" w:eastAsia="MS Mincho" w:hAnsi="Tahoma" w:cs="Angsana New"/>
      <w:sz w:val="22"/>
      <w:shd w:val="clear" w:color="auto" w:fill="000080"/>
      <w:lang w:val="fr-FR"/>
    </w:rPr>
  </w:style>
  <w:style w:type="paragraph" w:customStyle="1" w:styleId="para2">
    <w:name w:val="para2"/>
    <w:basedOn w:val="Normal"/>
    <w:rsid w:val="00855A78"/>
    <w:pPr>
      <w:numPr>
        <w:numId w:val="11"/>
      </w:numPr>
      <w:spacing w:before="120" w:after="120"/>
    </w:pPr>
    <w:rPr>
      <w:rFonts w:eastAsia="MS Mincho" w:cs="Angsana New"/>
      <w:szCs w:val="20"/>
    </w:rPr>
  </w:style>
  <w:style w:type="paragraph" w:customStyle="1" w:styleId="Heading2-center">
    <w:name w:val="Heading 2-center"/>
    <w:basedOn w:val="Heading2"/>
    <w:rsid w:val="00855A78"/>
    <w:rPr>
      <w:rFonts w:eastAsia="MS Mincho" w:cs="Angsana New"/>
    </w:rPr>
  </w:style>
  <w:style w:type="paragraph" w:styleId="PlainText">
    <w:name w:val="Plain Text"/>
    <w:basedOn w:val="Normal"/>
    <w:link w:val="PlainTextChar"/>
    <w:uiPriority w:val="99"/>
    <w:rsid w:val="00855A78"/>
    <w:rPr>
      <w:rFonts w:ascii="Courier New" w:eastAsia="MS Mincho" w:hAnsi="Courier New"/>
      <w:sz w:val="20"/>
    </w:rPr>
  </w:style>
  <w:style w:type="character" w:customStyle="1" w:styleId="PlainTextChar">
    <w:name w:val="Plain Text Char"/>
    <w:basedOn w:val="DefaultParagraphFont"/>
    <w:link w:val="PlainText"/>
    <w:uiPriority w:val="99"/>
    <w:rsid w:val="00855A78"/>
    <w:rPr>
      <w:rFonts w:ascii="Courier New" w:eastAsia="MS Mincho" w:hAnsi="Courier New" w:cs="Times New Roman"/>
      <w:sz w:val="20"/>
    </w:rPr>
  </w:style>
  <w:style w:type="paragraph" w:customStyle="1" w:styleId="xl24">
    <w:name w:val="xl24"/>
    <w:basedOn w:val="Normal"/>
    <w:rsid w:val="00855A78"/>
    <w:pPr>
      <w:spacing w:before="100" w:beforeAutospacing="1" w:after="100" w:afterAutospacing="1"/>
    </w:pPr>
    <w:rPr>
      <w:rFonts w:eastAsia="Arial Unicode MS" w:cs="Angsana New"/>
      <w:b/>
      <w:bCs/>
      <w:szCs w:val="22"/>
    </w:rPr>
  </w:style>
  <w:style w:type="paragraph" w:customStyle="1" w:styleId="xl25">
    <w:name w:val="xl25"/>
    <w:basedOn w:val="Normal"/>
    <w:rsid w:val="00855A78"/>
    <w:pPr>
      <w:spacing w:before="100" w:beforeAutospacing="1" w:after="100" w:afterAutospacing="1"/>
    </w:pPr>
    <w:rPr>
      <w:rFonts w:eastAsia="Arial Unicode MS" w:cs="Angsana New"/>
      <w:b/>
      <w:bCs/>
      <w:szCs w:val="22"/>
    </w:rPr>
  </w:style>
  <w:style w:type="paragraph" w:customStyle="1" w:styleId="xl26">
    <w:name w:val="xl26"/>
    <w:basedOn w:val="Normal"/>
    <w:rsid w:val="00855A78"/>
    <w:pPr>
      <w:spacing w:before="100" w:beforeAutospacing="1" w:after="100" w:afterAutospacing="1"/>
      <w:jc w:val="center"/>
    </w:pPr>
    <w:rPr>
      <w:rFonts w:eastAsia="Arial Unicode MS" w:cs="Angsana New"/>
      <w:b/>
      <w:bCs/>
      <w:szCs w:val="22"/>
    </w:rPr>
  </w:style>
  <w:style w:type="paragraph" w:customStyle="1" w:styleId="xl27">
    <w:name w:val="xl27"/>
    <w:basedOn w:val="Normal"/>
    <w:rsid w:val="00855A78"/>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855A78"/>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855A78"/>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855A78"/>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855A78"/>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855A78"/>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855A78"/>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855A78"/>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855A78"/>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855A78"/>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855A78"/>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855A78"/>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855A78"/>
    <w:pPr>
      <w:spacing w:before="100" w:beforeAutospacing="1" w:after="100" w:afterAutospacing="1"/>
      <w:textAlignment w:val="top"/>
    </w:pPr>
    <w:rPr>
      <w:rFonts w:eastAsia="Arial Unicode MS" w:cs="Angsana New"/>
      <w:szCs w:val="22"/>
    </w:rPr>
  </w:style>
  <w:style w:type="paragraph" w:customStyle="1" w:styleId="xl42">
    <w:name w:val="xl42"/>
    <w:basedOn w:val="Normal"/>
    <w:rsid w:val="00855A78"/>
    <w:pPr>
      <w:spacing w:before="100" w:beforeAutospacing="1" w:after="100" w:afterAutospacing="1"/>
      <w:jc w:val="center"/>
    </w:pPr>
    <w:rPr>
      <w:rFonts w:eastAsia="Arial Unicode MS" w:cs="Angsana New"/>
      <w:szCs w:val="22"/>
    </w:rPr>
  </w:style>
  <w:style w:type="paragraph" w:customStyle="1" w:styleId="xl43">
    <w:name w:val="xl43"/>
    <w:basedOn w:val="Normal"/>
    <w:rsid w:val="00855A78"/>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855A78"/>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855A78"/>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855A78"/>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855A78"/>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855A78"/>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855A78"/>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855A78"/>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855A78"/>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855A78"/>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855A78"/>
    <w:pPr>
      <w:spacing w:before="100" w:beforeAutospacing="1" w:after="100" w:afterAutospacing="1"/>
    </w:pPr>
    <w:rPr>
      <w:rFonts w:eastAsia="Arial Unicode MS" w:cs="Angsana New"/>
      <w:szCs w:val="22"/>
    </w:rPr>
  </w:style>
  <w:style w:type="paragraph" w:customStyle="1" w:styleId="xl57">
    <w:name w:val="xl57"/>
    <w:basedOn w:val="Normal"/>
    <w:rsid w:val="00855A78"/>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855A78"/>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855A78"/>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855A78"/>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855A78"/>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855A78"/>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855A78"/>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855A78"/>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855A78"/>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855A78"/>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855A7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855A78"/>
    <w:pPr>
      <w:widowControl w:val="0"/>
      <w:tabs>
        <w:tab w:val="left" w:pos="720"/>
      </w:tabs>
      <w:spacing w:before="120" w:after="120"/>
    </w:pPr>
    <w:rPr>
      <w:rFonts w:eastAsia="MS Mincho" w:cs="Angsana New"/>
    </w:rPr>
  </w:style>
  <w:style w:type="paragraph" w:styleId="NormalWeb">
    <w:name w:val="Normal (Web)"/>
    <w:basedOn w:val="Normal"/>
    <w:uiPriority w:val="99"/>
    <w:rsid w:val="00855A78"/>
    <w:pPr>
      <w:spacing w:before="100" w:beforeAutospacing="1" w:after="100" w:afterAutospacing="1"/>
      <w:jc w:val="left"/>
    </w:pPr>
    <w:rPr>
      <w:rFonts w:ascii="Verdana" w:eastAsia="MS Mincho" w:hAnsi="Verdana" w:cs="Angsana New"/>
      <w:color w:val="000000"/>
      <w:sz w:val="18"/>
      <w:szCs w:val="18"/>
    </w:rPr>
  </w:style>
  <w:style w:type="paragraph" w:customStyle="1" w:styleId="xl22">
    <w:name w:val="xl22"/>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855A78"/>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855A78"/>
    <w:rPr>
      <w:b/>
      <w:bCs/>
    </w:rPr>
  </w:style>
  <w:style w:type="paragraph" w:customStyle="1" w:styleId="Para10">
    <w:name w:val="Para 1"/>
    <w:basedOn w:val="BodyText"/>
    <w:rsid w:val="00855A78"/>
    <w:pPr>
      <w:ind w:firstLine="0"/>
    </w:pPr>
    <w:rPr>
      <w:rFonts w:eastAsia="MS Mincho" w:cs="Angsana New"/>
      <w:bCs/>
      <w:iCs w:val="0"/>
      <w:szCs w:val="22"/>
    </w:rPr>
  </w:style>
  <w:style w:type="paragraph" w:customStyle="1" w:styleId="Style1">
    <w:name w:val="Style1"/>
    <w:basedOn w:val="Para10"/>
    <w:rsid w:val="00855A78"/>
    <w:pPr>
      <w:numPr>
        <w:ilvl w:val="1"/>
        <w:numId w:val="7"/>
      </w:numPr>
      <w:tabs>
        <w:tab w:val="clear" w:pos="1800"/>
        <w:tab w:val="num" w:pos="360"/>
      </w:tabs>
    </w:pPr>
  </w:style>
  <w:style w:type="paragraph" w:customStyle="1" w:styleId="aident">
    <w:name w:val="(a) ident"/>
    <w:basedOn w:val="Normal"/>
    <w:rsid w:val="00855A78"/>
    <w:pPr>
      <w:tabs>
        <w:tab w:val="num" w:pos="1077"/>
      </w:tabs>
      <w:autoSpaceDE w:val="0"/>
      <w:autoSpaceDN w:val="0"/>
      <w:spacing w:before="120" w:after="120"/>
      <w:ind w:left="1077" w:hanging="357"/>
    </w:pPr>
    <w:rPr>
      <w:rFonts w:eastAsia="MS Mincho" w:cs="Angsana New"/>
      <w:snapToGrid w:val="0"/>
      <w:szCs w:val="18"/>
    </w:rPr>
  </w:style>
  <w:style w:type="paragraph" w:customStyle="1" w:styleId="Paranum">
    <w:name w:val="Paranum"/>
    <w:basedOn w:val="Para1"/>
    <w:rsid w:val="00855A78"/>
    <w:pPr>
      <w:numPr>
        <w:numId w:val="12"/>
      </w:numPr>
      <w:spacing w:before="0" w:line="240" w:lineRule="exact"/>
    </w:pPr>
    <w:rPr>
      <w:rFonts w:eastAsia="MS Mincho" w:cs="Angsana New"/>
      <w:snapToGrid/>
      <w:szCs w:val="20"/>
    </w:rPr>
  </w:style>
  <w:style w:type="paragraph" w:customStyle="1" w:styleId="Document1">
    <w:name w:val="Document 1"/>
    <w:basedOn w:val="Normal"/>
    <w:next w:val="Normal"/>
    <w:rsid w:val="00855A78"/>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855A78"/>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855A78"/>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855A78"/>
    <w:pPr>
      <w:numPr>
        <w:numId w:val="0"/>
      </w:numPr>
      <w:tabs>
        <w:tab w:val="left" w:pos="360"/>
      </w:tabs>
      <w:overflowPunct w:val="0"/>
      <w:autoSpaceDE w:val="0"/>
      <w:autoSpaceDN w:val="0"/>
      <w:adjustRightInd w:val="0"/>
      <w:spacing w:before="0"/>
      <w:textAlignment w:val="baseline"/>
    </w:pPr>
    <w:rPr>
      <w:rFonts w:ascii="Courier" w:eastAsia="MS Mincho" w:hAnsi="Courier" w:cs="Angsana New"/>
      <w:sz w:val="20"/>
      <w:szCs w:val="20"/>
    </w:rPr>
  </w:style>
  <w:style w:type="paragraph" w:customStyle="1" w:styleId="Paranumbered">
    <w:name w:val="Paranumbered"/>
    <w:basedOn w:val="Normal"/>
    <w:rsid w:val="00855A78"/>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855A78"/>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uiPriority w:val="99"/>
    <w:rsid w:val="00855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uiPriority w:val="99"/>
    <w:rsid w:val="00855A78"/>
    <w:rPr>
      <w:rFonts w:ascii="Courier New" w:eastAsia="MS Mincho" w:hAnsi="Courier New" w:cs="Courier New"/>
      <w:sz w:val="20"/>
      <w:lang w:val="fr-FR"/>
    </w:rPr>
  </w:style>
  <w:style w:type="paragraph" w:customStyle="1" w:styleId="Para1alternative">
    <w:name w:val="Para1 (alternative)"/>
    <w:basedOn w:val="Normal"/>
    <w:rsid w:val="00855A78"/>
    <w:pPr>
      <w:numPr>
        <w:numId w:val="8"/>
      </w:numPr>
      <w:spacing w:before="120" w:after="120"/>
    </w:pPr>
    <w:rPr>
      <w:rFonts w:eastAsia="MS Mincho" w:cs="Angsana New"/>
      <w:snapToGrid w:val="0"/>
      <w:szCs w:val="18"/>
    </w:rPr>
  </w:style>
  <w:style w:type="paragraph" w:customStyle="1" w:styleId="MainParanoChapter">
    <w:name w:val="Main Para no Chapter #"/>
    <w:basedOn w:val="Normal"/>
    <w:rsid w:val="00855A78"/>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855A78"/>
    <w:rPr>
      <w:rFonts w:ascii="Arial" w:hAnsi="Arial" w:cs="Arial" w:hint="default"/>
      <w:b w:val="0"/>
      <w:bCs w:val="0"/>
      <w:color w:val="000000"/>
      <w:sz w:val="24"/>
      <w:szCs w:val="24"/>
    </w:rPr>
  </w:style>
  <w:style w:type="character" w:customStyle="1" w:styleId="BodyText2CharCharChar">
    <w:name w:val="Body Text 2 Char Char Char"/>
    <w:rsid w:val="00855A78"/>
    <w:rPr>
      <w:sz w:val="22"/>
      <w:lang w:val="fr-FR"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855A78"/>
    <w:rPr>
      <w:sz w:val="22"/>
      <w:lang w:val="fr-FR" w:eastAsia="en-US" w:bidi="ar-SA"/>
    </w:rPr>
  </w:style>
  <w:style w:type="paragraph" w:customStyle="1" w:styleId="StylePara1Firstline127cm">
    <w:name w:val="Style Para1 + First line:  1.27 cm"/>
    <w:basedOn w:val="Para1"/>
    <w:rsid w:val="00855A78"/>
    <w:pPr>
      <w:numPr>
        <w:numId w:val="0"/>
      </w:numPr>
      <w:tabs>
        <w:tab w:val="num" w:pos="360"/>
      </w:tabs>
      <w:spacing w:before="0"/>
    </w:pPr>
    <w:rPr>
      <w:rFonts w:eastAsia="MS Mincho" w:cs="Angsana New"/>
      <w:szCs w:val="20"/>
    </w:rPr>
  </w:style>
  <w:style w:type="paragraph" w:customStyle="1" w:styleId="subhead">
    <w:name w:val="subhead"/>
    <w:basedOn w:val="Normal"/>
    <w:next w:val="Para1"/>
    <w:rsid w:val="00855A78"/>
    <w:pPr>
      <w:spacing w:before="120" w:after="120"/>
      <w:jc w:val="center"/>
    </w:pPr>
    <w:rPr>
      <w:rFonts w:eastAsia="MS Mincho" w:cs="Angsana New"/>
      <w:i/>
    </w:rPr>
  </w:style>
  <w:style w:type="character" w:styleId="Emphasis">
    <w:name w:val="Emphasis"/>
    <w:qFormat/>
    <w:rsid w:val="00855A78"/>
    <w:rPr>
      <w:i/>
      <w:iCs/>
    </w:rPr>
  </w:style>
  <w:style w:type="character" w:customStyle="1" w:styleId="BlockTextChar">
    <w:name w:val="Block Text Char"/>
    <w:rsid w:val="00855A78"/>
    <w:rPr>
      <w:sz w:val="24"/>
      <w:szCs w:val="24"/>
      <w:lang w:val="fr-FR" w:eastAsia="en-US" w:bidi="ar-SA"/>
    </w:rPr>
  </w:style>
  <w:style w:type="paragraph" w:customStyle="1" w:styleId="bodytext210">
    <w:name w:val="bodytext21"/>
    <w:basedOn w:val="Normal"/>
    <w:rsid w:val="00855A78"/>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855A78"/>
    <w:rPr>
      <w:sz w:val="22"/>
      <w:lang w:val="fr-FR" w:eastAsia="en-US" w:bidi="ar-SA"/>
    </w:rPr>
  </w:style>
  <w:style w:type="paragraph" w:styleId="CommentSubject">
    <w:name w:val="annotation subject"/>
    <w:basedOn w:val="CommentText"/>
    <w:next w:val="CommentText"/>
    <w:link w:val="CommentSubjectChar"/>
    <w:semiHidden/>
    <w:rsid w:val="00855A78"/>
    <w:pPr>
      <w:spacing w:after="0" w:line="240" w:lineRule="auto"/>
    </w:pPr>
    <w:rPr>
      <w:rFonts w:eastAsia="MS Mincho" w:cs="Angsana New"/>
      <w:b/>
      <w:bCs/>
      <w:sz w:val="20"/>
    </w:rPr>
  </w:style>
  <w:style w:type="character" w:customStyle="1" w:styleId="CommentSubjectChar">
    <w:name w:val="Comment Subject Char"/>
    <w:basedOn w:val="CommentTextChar"/>
    <w:link w:val="CommentSubject"/>
    <w:semiHidden/>
    <w:rsid w:val="00855A78"/>
    <w:rPr>
      <w:rFonts w:ascii="Times New Roman" w:eastAsia="MS Mincho" w:hAnsi="Times New Roman" w:cs="Angsana New"/>
      <w:b/>
      <w:bCs/>
      <w:sz w:val="20"/>
      <w:lang w:val="fr-FR"/>
    </w:rPr>
  </w:style>
  <w:style w:type="character" w:customStyle="1" w:styleId="MathieuRgnier">
    <w:name w:val="Mathieu Régnier"/>
    <w:semiHidden/>
    <w:rsid w:val="00855A78"/>
    <w:rPr>
      <w:rFonts w:ascii="Arial" w:hAnsi="Arial" w:cs="Arial"/>
      <w:color w:val="auto"/>
      <w:sz w:val="20"/>
      <w:szCs w:val="20"/>
    </w:rPr>
  </w:style>
  <w:style w:type="paragraph" w:customStyle="1" w:styleId="bodytextnoindent">
    <w:name w:val="body text (no indent)"/>
    <w:basedOn w:val="Normal"/>
    <w:rsid w:val="00855A78"/>
    <w:pPr>
      <w:widowControl w:val="0"/>
      <w:overflowPunct w:val="0"/>
      <w:autoSpaceDE w:val="0"/>
      <w:autoSpaceDN w:val="0"/>
      <w:adjustRightInd w:val="0"/>
      <w:spacing w:before="120" w:after="120"/>
      <w:textAlignment w:val="baseline"/>
    </w:pPr>
    <w:rPr>
      <w:rFonts w:eastAsia="MS Mincho" w:cs="Angsana New"/>
      <w:szCs w:val="20"/>
      <w:lang w:eastAsia="de-DE"/>
    </w:rPr>
  </w:style>
  <w:style w:type="paragraph" w:customStyle="1" w:styleId="Bodytextitalic">
    <w:name w:val="Body text italic"/>
    <w:basedOn w:val="BodyText"/>
    <w:rsid w:val="00855A78"/>
    <w:rPr>
      <w:rFonts w:eastAsia="MS Mincho" w:cs="Angsana New"/>
      <w:i/>
      <w:iCs w:val="0"/>
    </w:rPr>
  </w:style>
  <w:style w:type="paragraph" w:customStyle="1" w:styleId="boxbody">
    <w:name w:val="boxbody"/>
    <w:basedOn w:val="Normal"/>
    <w:rsid w:val="00855A78"/>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855A78"/>
    <w:pPr>
      <w:tabs>
        <w:tab w:val="clear" w:pos="720"/>
        <w:tab w:val="left" w:pos="900"/>
      </w:tabs>
    </w:pPr>
    <w:rPr>
      <w:rFonts w:eastAsia="Batang"/>
      <w:b w:val="0"/>
      <w:bCs w:val="0"/>
      <w:szCs w:val="20"/>
    </w:rPr>
  </w:style>
  <w:style w:type="paragraph" w:customStyle="1" w:styleId="Heading2noletter">
    <w:name w:val="Heading 2 (no letter)"/>
    <w:basedOn w:val="Heading2"/>
    <w:rsid w:val="00855A78"/>
    <w:pPr>
      <w:tabs>
        <w:tab w:val="clear" w:pos="720"/>
      </w:tabs>
    </w:pPr>
    <w:rPr>
      <w:rFonts w:eastAsia="MS Mincho"/>
    </w:rPr>
  </w:style>
  <w:style w:type="character" w:customStyle="1" w:styleId="Heading2CharChar">
    <w:name w:val="Heading 2 Char Char"/>
    <w:rsid w:val="00855A78"/>
    <w:rPr>
      <w:rFonts w:ascii="Arial" w:hAnsi="Arial" w:cs="Arial"/>
      <w:b/>
      <w:bCs/>
      <w:i/>
      <w:iCs/>
      <w:noProof w:val="0"/>
      <w:sz w:val="28"/>
      <w:szCs w:val="28"/>
      <w:lang w:val="fr-FR" w:eastAsia="en-US" w:bidi="ar-SA"/>
    </w:rPr>
  </w:style>
  <w:style w:type="paragraph" w:customStyle="1" w:styleId="Heading-plain0">
    <w:name w:val="Heading-plain"/>
    <w:basedOn w:val="Normal"/>
    <w:rsid w:val="00855A78"/>
    <w:pPr>
      <w:spacing w:before="120" w:after="120"/>
      <w:jc w:val="center"/>
      <w:outlineLvl w:val="0"/>
    </w:pPr>
    <w:rPr>
      <w:rFonts w:eastAsia="MS Mincho" w:cs="Angsana New"/>
      <w:i/>
      <w:szCs w:val="20"/>
    </w:rPr>
  </w:style>
  <w:style w:type="paragraph" w:customStyle="1" w:styleId="Heading-plainbold">
    <w:name w:val="Heading-plain bold"/>
    <w:basedOn w:val="BodyText"/>
    <w:rsid w:val="00855A78"/>
    <w:pPr>
      <w:ind w:firstLine="0"/>
      <w:jc w:val="center"/>
    </w:pPr>
    <w:rPr>
      <w:rFonts w:eastAsia="MS Mincho" w:cs="Angsana New"/>
      <w:b/>
      <w:bCs/>
      <w:i/>
      <w:iCs w:val="0"/>
    </w:rPr>
  </w:style>
  <w:style w:type="paragraph" w:customStyle="1" w:styleId="Heading-plainitalic">
    <w:name w:val="Heading-plain italic"/>
    <w:basedOn w:val="Heading-plainbold"/>
    <w:rsid w:val="00855A78"/>
    <w:rPr>
      <w:b w:val="0"/>
      <w:bCs w:val="0"/>
    </w:rPr>
  </w:style>
  <w:style w:type="character" w:customStyle="1" w:styleId="Para1Char0">
    <w:name w:val="Para 1 Char"/>
    <w:rsid w:val="00855A78"/>
    <w:rPr>
      <w:rFonts w:eastAsia="MS Mincho"/>
      <w:bCs/>
      <w:iCs/>
      <w:sz w:val="22"/>
      <w:szCs w:val="22"/>
      <w:lang w:val="fr-FR" w:eastAsia="en-US" w:bidi="ar-SA"/>
    </w:rPr>
  </w:style>
  <w:style w:type="paragraph" w:customStyle="1" w:styleId="Para2rev">
    <w:name w:val="Para 2 (rev)"/>
    <w:basedOn w:val="Normal"/>
    <w:rsid w:val="00855A78"/>
    <w:pPr>
      <w:tabs>
        <w:tab w:val="num" w:pos="720"/>
      </w:tabs>
      <w:spacing w:after="120"/>
      <w:ind w:left="720" w:hanging="360"/>
    </w:pPr>
    <w:rPr>
      <w:rFonts w:eastAsia="MS Mincho" w:cs="Angsana New"/>
    </w:rPr>
  </w:style>
  <w:style w:type="paragraph" w:customStyle="1" w:styleId="Paraofficial">
    <w:name w:val="Para official"/>
    <w:basedOn w:val="Normal"/>
    <w:rsid w:val="00855A78"/>
    <w:pPr>
      <w:framePr w:hSpace="187" w:vSpace="187" w:wrap="notBeside" w:vAnchor="text" w:hAnchor="text" w:y="1"/>
      <w:numPr>
        <w:numId w:val="9"/>
      </w:numPr>
      <w:spacing w:before="240" w:after="240"/>
      <w:jc w:val="left"/>
    </w:pPr>
    <w:rPr>
      <w:rFonts w:eastAsia="MS Mincho" w:cs="Angsana New"/>
      <w:szCs w:val="20"/>
    </w:rPr>
  </w:style>
  <w:style w:type="paragraph" w:customStyle="1" w:styleId="Para1-Annex">
    <w:name w:val="Para1-Annex"/>
    <w:basedOn w:val="Normal"/>
    <w:rsid w:val="00855A78"/>
    <w:pPr>
      <w:numPr>
        <w:numId w:val="10"/>
      </w:numPr>
      <w:spacing w:after="120"/>
    </w:pPr>
    <w:rPr>
      <w:rFonts w:eastAsia="MS Mincho"/>
      <w:szCs w:val="22"/>
    </w:rPr>
  </w:style>
  <w:style w:type="paragraph" w:customStyle="1" w:styleId="Para40">
    <w:name w:val="Para4"/>
    <w:basedOn w:val="Para3"/>
    <w:rsid w:val="00855A78"/>
    <w:pPr>
      <w:numPr>
        <w:ilvl w:val="0"/>
        <w:numId w:val="0"/>
      </w:numPr>
      <w:tabs>
        <w:tab w:val="clear" w:pos="1980"/>
        <w:tab w:val="left" w:pos="2552"/>
        <w:tab w:val="num" w:pos="3540"/>
      </w:tabs>
      <w:ind w:left="2552" w:hanging="567"/>
    </w:pPr>
    <w:rPr>
      <w:rFonts w:eastAsia="MS Mincho" w:cs="Angsana New"/>
    </w:rPr>
  </w:style>
  <w:style w:type="paragraph" w:customStyle="1" w:styleId="StyleBodyTextTimesNewRoman11ptCharChar">
    <w:name w:val="Style Body Text + Times New Roman 11 pt Char Char"/>
    <w:basedOn w:val="BodyText"/>
    <w:rsid w:val="00855A78"/>
    <w:rPr>
      <w:rFonts w:eastAsia="MS Mincho" w:cs="Angsana New"/>
      <w:iCs w:val="0"/>
      <w:snapToGrid w:val="0"/>
      <w:color w:val="000000"/>
      <w:szCs w:val="22"/>
    </w:rPr>
  </w:style>
  <w:style w:type="character" w:customStyle="1" w:styleId="StyleBodyTextTimesNewRoman11ptCharCharChar">
    <w:name w:val="Style Body Text + Times New Roman 11 pt Char Char Char"/>
    <w:rsid w:val="00855A78"/>
    <w:rPr>
      <w:rFonts w:cs="Angsana New"/>
      <w:iCs/>
      <w:snapToGrid w:val="0"/>
      <w:color w:val="000000"/>
      <w:sz w:val="22"/>
      <w:szCs w:val="22"/>
      <w:lang w:val="fr-FR" w:eastAsia="en-US" w:bidi="ar-SA"/>
    </w:rPr>
  </w:style>
  <w:style w:type="numbering" w:styleId="111111">
    <w:name w:val="Outline List 2"/>
    <w:basedOn w:val="NoList"/>
    <w:rsid w:val="00855A78"/>
    <w:pPr>
      <w:numPr>
        <w:numId w:val="13"/>
      </w:numPr>
    </w:pPr>
  </w:style>
  <w:style w:type="numbering" w:customStyle="1" w:styleId="Style2">
    <w:name w:val="Style2"/>
    <w:rsid w:val="00855A78"/>
    <w:pPr>
      <w:numPr>
        <w:numId w:val="14"/>
      </w:numPr>
    </w:pPr>
  </w:style>
  <w:style w:type="character" w:customStyle="1" w:styleId="Heading1longmultilineChar">
    <w:name w:val="Heading 1 (long multiline) Char"/>
    <w:link w:val="Heading1longmultiline"/>
    <w:rsid w:val="00855A78"/>
    <w:rPr>
      <w:rFonts w:ascii="Times New Roman" w:eastAsia="Times New Roman" w:hAnsi="Times New Roman" w:cs="Times New Roman"/>
      <w:b/>
      <w:caps/>
      <w:sz w:val="22"/>
      <w:lang w:val="fr-FR"/>
    </w:rPr>
  </w:style>
  <w:style w:type="paragraph" w:customStyle="1" w:styleId="ColorfulList-Accent11">
    <w:name w:val="Colorful List - Accent 11"/>
    <w:basedOn w:val="Normal"/>
    <w:uiPriority w:val="34"/>
    <w:qFormat/>
    <w:rsid w:val="00855A78"/>
    <w:pPr>
      <w:ind w:left="720"/>
    </w:pPr>
    <w:rPr>
      <w:rFonts w:eastAsia="MS Mincho" w:cs="Angsana New"/>
    </w:rPr>
  </w:style>
  <w:style w:type="paragraph" w:customStyle="1" w:styleId="Default">
    <w:name w:val="Default"/>
    <w:basedOn w:val="Normal"/>
    <w:rsid w:val="00855A78"/>
    <w:pPr>
      <w:autoSpaceDE w:val="0"/>
      <w:autoSpaceDN w:val="0"/>
      <w:jc w:val="left"/>
    </w:pPr>
    <w:rPr>
      <w:rFonts w:eastAsia="Calibri"/>
      <w:color w:val="000000"/>
      <w:sz w:val="24"/>
    </w:rPr>
  </w:style>
  <w:style w:type="character" w:customStyle="1" w:styleId="apple-style-span">
    <w:name w:val="apple-style-span"/>
    <w:rsid w:val="00855A78"/>
  </w:style>
  <w:style w:type="paragraph" w:customStyle="1" w:styleId="SubtleEmphasis1">
    <w:name w:val="Subtle Emphasis1"/>
    <w:basedOn w:val="Normal"/>
    <w:uiPriority w:val="34"/>
    <w:qFormat/>
    <w:rsid w:val="00855A78"/>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855A78"/>
    <w:rPr>
      <w:rFonts w:ascii="Times New Roman Bold" w:eastAsia="MS Mincho" w:hAnsi="Times New Roman Bold"/>
      <w:b/>
      <w:bCs/>
      <w:i w:val="0"/>
      <w:iCs w:val="0"/>
      <w:caps/>
    </w:rPr>
  </w:style>
  <w:style w:type="paragraph" w:customStyle="1" w:styleId="LightList-Accent61">
    <w:name w:val="Light List - Accent 61"/>
    <w:uiPriority w:val="1"/>
    <w:qFormat/>
    <w:rsid w:val="00855A78"/>
    <w:rPr>
      <w:rFonts w:ascii="Calibri" w:eastAsia="MS Mincho" w:hAnsi="Calibri" w:cs="Times New Roman"/>
      <w:sz w:val="22"/>
      <w:szCs w:val="22"/>
      <w:lang w:val="fr-FR"/>
    </w:rPr>
  </w:style>
  <w:style w:type="paragraph" w:customStyle="1" w:styleId="Paraa">
    <w:name w:val="Para (a)"/>
    <w:basedOn w:val="Normal"/>
    <w:rsid w:val="00855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855A78"/>
    <w:rPr>
      <w:kern w:val="20"/>
      <w:sz w:val="22"/>
      <w:u w:val="none"/>
      <w:vertAlign w:val="superscript"/>
    </w:rPr>
  </w:style>
  <w:style w:type="character" w:customStyle="1" w:styleId="s13">
    <w:name w:val="s13"/>
    <w:rsid w:val="00855A78"/>
  </w:style>
  <w:style w:type="paragraph" w:customStyle="1" w:styleId="ColorfulGrid-Accent61">
    <w:name w:val="Colorful Grid - Accent 61"/>
    <w:hidden/>
    <w:uiPriority w:val="99"/>
    <w:semiHidden/>
    <w:rsid w:val="00855A78"/>
    <w:rPr>
      <w:rFonts w:ascii="Times New Roman" w:eastAsia="MS Mincho" w:hAnsi="Times New Roman" w:cs="Angsana New"/>
      <w:sz w:val="22"/>
      <w:lang w:val="fr-FR"/>
    </w:rPr>
  </w:style>
  <w:style w:type="paragraph" w:customStyle="1" w:styleId="MediumShading2-Accent61">
    <w:name w:val="Medium Shading 2 - Accent 61"/>
    <w:hidden/>
    <w:uiPriority w:val="99"/>
    <w:semiHidden/>
    <w:rsid w:val="00855A78"/>
    <w:rPr>
      <w:rFonts w:ascii="Times New Roman" w:eastAsia="MS Mincho" w:hAnsi="Times New Roman" w:cs="Angsana New"/>
      <w:sz w:val="22"/>
      <w:lang w:val="fr-FR"/>
    </w:rPr>
  </w:style>
  <w:style w:type="paragraph" w:customStyle="1" w:styleId="MediumList1-Accent61">
    <w:name w:val="Medium List 1 - Accent 61"/>
    <w:basedOn w:val="Normal"/>
    <w:uiPriority w:val="34"/>
    <w:qFormat/>
    <w:rsid w:val="00855A78"/>
    <w:pPr>
      <w:ind w:left="720"/>
    </w:pPr>
    <w:rPr>
      <w:rFonts w:eastAsia="MS Mincho" w:cs="Angsana New"/>
    </w:rPr>
  </w:style>
  <w:style w:type="paragraph" w:customStyle="1" w:styleId="MediumGrid1-Accent21">
    <w:name w:val="Medium Grid 1 - Accent 21"/>
    <w:basedOn w:val="Normal"/>
    <w:uiPriority w:val="34"/>
    <w:qFormat/>
    <w:rsid w:val="00855A78"/>
    <w:pPr>
      <w:ind w:left="720"/>
    </w:pPr>
    <w:rPr>
      <w:rFonts w:eastAsia="MS Mincho" w:cs="Angsana New"/>
    </w:rPr>
  </w:style>
  <w:style w:type="paragraph" w:styleId="Revision">
    <w:name w:val="Revision"/>
    <w:hidden/>
    <w:uiPriority w:val="99"/>
    <w:semiHidden/>
    <w:rsid w:val="00855A78"/>
    <w:rPr>
      <w:rFonts w:ascii="Times New Roman" w:eastAsia="MS Mincho" w:hAnsi="Times New Roman" w:cs="Angsana New"/>
      <w:sz w:val="22"/>
      <w:lang w:val="fr-FR"/>
    </w:rPr>
  </w:style>
  <w:style w:type="character" w:customStyle="1" w:styleId="UnresolvedMention1">
    <w:name w:val="Unresolved Mention1"/>
    <w:basedOn w:val="DefaultParagraphFont"/>
    <w:uiPriority w:val="99"/>
    <w:semiHidden/>
    <w:unhideWhenUsed/>
    <w:rsid w:val="004A1AC3"/>
    <w:rPr>
      <w:color w:val="808080"/>
      <w:shd w:val="clear" w:color="auto" w:fill="E6E6E6"/>
    </w:rPr>
  </w:style>
  <w:style w:type="character" w:customStyle="1" w:styleId="UnresolvedMention">
    <w:name w:val="Unresolved Mention"/>
    <w:basedOn w:val="DefaultParagraphFont"/>
    <w:uiPriority w:val="99"/>
    <w:semiHidden/>
    <w:unhideWhenUsed/>
    <w:rsid w:val="005D0C6E"/>
    <w:rPr>
      <w:color w:val="808080"/>
      <w:shd w:val="clear" w:color="auto" w:fill="E6E6E6"/>
    </w:rPr>
  </w:style>
  <w:style w:type="character" w:customStyle="1" w:styleId="y2iqfc">
    <w:name w:val="y2iqfc"/>
    <w:basedOn w:val="DefaultParagraphFont"/>
    <w:rsid w:val="002D4FF5"/>
  </w:style>
  <w:style w:type="table" w:customStyle="1" w:styleId="TableGrid1">
    <w:name w:val="Table Grid1"/>
    <w:basedOn w:val="TableNormal"/>
    <w:next w:val="TableGrid"/>
    <w:uiPriority w:val="39"/>
    <w:qFormat/>
    <w:rsid w:val="002410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484CE5"/>
    <w:rPr>
      <w:rFonts w:ascii="Segoe UI" w:hAnsi="Segoe UI" w:cs="Segoe UI" w:hint="default"/>
      <w:sz w:val="18"/>
      <w:szCs w:val="18"/>
      <w:shd w:val="clear" w:color="auto" w:fill="00FFFF"/>
    </w:rPr>
  </w:style>
  <w:style w:type="character" w:customStyle="1" w:styleId="cf11">
    <w:name w:val="cf11"/>
    <w:basedOn w:val="DefaultParagraphFont"/>
    <w:rsid w:val="00484CE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78043">
      <w:bodyDiv w:val="1"/>
      <w:marLeft w:val="0"/>
      <w:marRight w:val="0"/>
      <w:marTop w:val="0"/>
      <w:marBottom w:val="0"/>
      <w:divBdr>
        <w:top w:val="none" w:sz="0" w:space="0" w:color="auto"/>
        <w:left w:val="none" w:sz="0" w:space="0" w:color="auto"/>
        <w:bottom w:val="none" w:sz="0" w:space="0" w:color="auto"/>
        <w:right w:val="none" w:sz="0" w:space="0" w:color="auto"/>
      </w:divBdr>
    </w:div>
    <w:div w:id="35551189">
      <w:bodyDiv w:val="1"/>
      <w:marLeft w:val="0"/>
      <w:marRight w:val="0"/>
      <w:marTop w:val="0"/>
      <w:marBottom w:val="0"/>
      <w:divBdr>
        <w:top w:val="none" w:sz="0" w:space="0" w:color="auto"/>
        <w:left w:val="none" w:sz="0" w:space="0" w:color="auto"/>
        <w:bottom w:val="none" w:sz="0" w:space="0" w:color="auto"/>
        <w:right w:val="none" w:sz="0" w:space="0" w:color="auto"/>
      </w:divBdr>
    </w:div>
    <w:div w:id="94593394">
      <w:bodyDiv w:val="1"/>
      <w:marLeft w:val="0"/>
      <w:marRight w:val="0"/>
      <w:marTop w:val="0"/>
      <w:marBottom w:val="0"/>
      <w:divBdr>
        <w:top w:val="none" w:sz="0" w:space="0" w:color="auto"/>
        <w:left w:val="none" w:sz="0" w:space="0" w:color="auto"/>
        <w:bottom w:val="none" w:sz="0" w:space="0" w:color="auto"/>
        <w:right w:val="none" w:sz="0" w:space="0" w:color="auto"/>
      </w:divBdr>
    </w:div>
    <w:div w:id="116144043">
      <w:bodyDiv w:val="1"/>
      <w:marLeft w:val="0"/>
      <w:marRight w:val="0"/>
      <w:marTop w:val="0"/>
      <w:marBottom w:val="0"/>
      <w:divBdr>
        <w:top w:val="none" w:sz="0" w:space="0" w:color="auto"/>
        <w:left w:val="none" w:sz="0" w:space="0" w:color="auto"/>
        <w:bottom w:val="none" w:sz="0" w:space="0" w:color="auto"/>
        <w:right w:val="none" w:sz="0" w:space="0" w:color="auto"/>
      </w:divBdr>
    </w:div>
    <w:div w:id="182059048">
      <w:bodyDiv w:val="1"/>
      <w:marLeft w:val="0"/>
      <w:marRight w:val="0"/>
      <w:marTop w:val="0"/>
      <w:marBottom w:val="0"/>
      <w:divBdr>
        <w:top w:val="none" w:sz="0" w:space="0" w:color="auto"/>
        <w:left w:val="none" w:sz="0" w:space="0" w:color="auto"/>
        <w:bottom w:val="none" w:sz="0" w:space="0" w:color="auto"/>
        <w:right w:val="none" w:sz="0" w:space="0" w:color="auto"/>
      </w:divBdr>
    </w:div>
    <w:div w:id="185753032">
      <w:bodyDiv w:val="1"/>
      <w:marLeft w:val="0"/>
      <w:marRight w:val="0"/>
      <w:marTop w:val="0"/>
      <w:marBottom w:val="0"/>
      <w:divBdr>
        <w:top w:val="none" w:sz="0" w:space="0" w:color="auto"/>
        <w:left w:val="none" w:sz="0" w:space="0" w:color="auto"/>
        <w:bottom w:val="none" w:sz="0" w:space="0" w:color="auto"/>
        <w:right w:val="none" w:sz="0" w:space="0" w:color="auto"/>
      </w:divBdr>
    </w:div>
    <w:div w:id="243028141">
      <w:bodyDiv w:val="1"/>
      <w:marLeft w:val="0"/>
      <w:marRight w:val="0"/>
      <w:marTop w:val="0"/>
      <w:marBottom w:val="0"/>
      <w:divBdr>
        <w:top w:val="none" w:sz="0" w:space="0" w:color="auto"/>
        <w:left w:val="none" w:sz="0" w:space="0" w:color="auto"/>
        <w:bottom w:val="none" w:sz="0" w:space="0" w:color="auto"/>
        <w:right w:val="none" w:sz="0" w:space="0" w:color="auto"/>
      </w:divBdr>
    </w:div>
    <w:div w:id="279529041">
      <w:bodyDiv w:val="1"/>
      <w:marLeft w:val="0"/>
      <w:marRight w:val="0"/>
      <w:marTop w:val="0"/>
      <w:marBottom w:val="0"/>
      <w:divBdr>
        <w:top w:val="none" w:sz="0" w:space="0" w:color="auto"/>
        <w:left w:val="none" w:sz="0" w:space="0" w:color="auto"/>
        <w:bottom w:val="none" w:sz="0" w:space="0" w:color="auto"/>
        <w:right w:val="none" w:sz="0" w:space="0" w:color="auto"/>
      </w:divBdr>
    </w:div>
    <w:div w:id="323971920">
      <w:bodyDiv w:val="1"/>
      <w:marLeft w:val="0"/>
      <w:marRight w:val="0"/>
      <w:marTop w:val="0"/>
      <w:marBottom w:val="0"/>
      <w:divBdr>
        <w:top w:val="none" w:sz="0" w:space="0" w:color="auto"/>
        <w:left w:val="none" w:sz="0" w:space="0" w:color="auto"/>
        <w:bottom w:val="none" w:sz="0" w:space="0" w:color="auto"/>
        <w:right w:val="none" w:sz="0" w:space="0" w:color="auto"/>
      </w:divBdr>
    </w:div>
    <w:div w:id="330449968">
      <w:bodyDiv w:val="1"/>
      <w:marLeft w:val="0"/>
      <w:marRight w:val="0"/>
      <w:marTop w:val="0"/>
      <w:marBottom w:val="0"/>
      <w:divBdr>
        <w:top w:val="none" w:sz="0" w:space="0" w:color="auto"/>
        <w:left w:val="none" w:sz="0" w:space="0" w:color="auto"/>
        <w:bottom w:val="none" w:sz="0" w:space="0" w:color="auto"/>
        <w:right w:val="none" w:sz="0" w:space="0" w:color="auto"/>
      </w:divBdr>
    </w:div>
    <w:div w:id="379406569">
      <w:bodyDiv w:val="1"/>
      <w:marLeft w:val="0"/>
      <w:marRight w:val="0"/>
      <w:marTop w:val="0"/>
      <w:marBottom w:val="0"/>
      <w:divBdr>
        <w:top w:val="none" w:sz="0" w:space="0" w:color="auto"/>
        <w:left w:val="none" w:sz="0" w:space="0" w:color="auto"/>
        <w:bottom w:val="none" w:sz="0" w:space="0" w:color="auto"/>
        <w:right w:val="none" w:sz="0" w:space="0" w:color="auto"/>
      </w:divBdr>
    </w:div>
    <w:div w:id="549075227">
      <w:bodyDiv w:val="1"/>
      <w:marLeft w:val="0"/>
      <w:marRight w:val="0"/>
      <w:marTop w:val="0"/>
      <w:marBottom w:val="0"/>
      <w:divBdr>
        <w:top w:val="none" w:sz="0" w:space="0" w:color="auto"/>
        <w:left w:val="none" w:sz="0" w:space="0" w:color="auto"/>
        <w:bottom w:val="none" w:sz="0" w:space="0" w:color="auto"/>
        <w:right w:val="none" w:sz="0" w:space="0" w:color="auto"/>
      </w:divBdr>
    </w:div>
    <w:div w:id="581573674">
      <w:bodyDiv w:val="1"/>
      <w:marLeft w:val="0"/>
      <w:marRight w:val="0"/>
      <w:marTop w:val="0"/>
      <w:marBottom w:val="0"/>
      <w:divBdr>
        <w:top w:val="none" w:sz="0" w:space="0" w:color="auto"/>
        <w:left w:val="none" w:sz="0" w:space="0" w:color="auto"/>
        <w:bottom w:val="none" w:sz="0" w:space="0" w:color="auto"/>
        <w:right w:val="none" w:sz="0" w:space="0" w:color="auto"/>
      </w:divBdr>
    </w:div>
    <w:div w:id="659576902">
      <w:bodyDiv w:val="1"/>
      <w:marLeft w:val="0"/>
      <w:marRight w:val="0"/>
      <w:marTop w:val="0"/>
      <w:marBottom w:val="0"/>
      <w:divBdr>
        <w:top w:val="none" w:sz="0" w:space="0" w:color="auto"/>
        <w:left w:val="none" w:sz="0" w:space="0" w:color="auto"/>
        <w:bottom w:val="none" w:sz="0" w:space="0" w:color="auto"/>
        <w:right w:val="none" w:sz="0" w:space="0" w:color="auto"/>
      </w:divBdr>
    </w:div>
    <w:div w:id="680854635">
      <w:bodyDiv w:val="1"/>
      <w:marLeft w:val="0"/>
      <w:marRight w:val="0"/>
      <w:marTop w:val="0"/>
      <w:marBottom w:val="0"/>
      <w:divBdr>
        <w:top w:val="none" w:sz="0" w:space="0" w:color="auto"/>
        <w:left w:val="none" w:sz="0" w:space="0" w:color="auto"/>
        <w:bottom w:val="none" w:sz="0" w:space="0" w:color="auto"/>
        <w:right w:val="none" w:sz="0" w:space="0" w:color="auto"/>
      </w:divBdr>
    </w:div>
    <w:div w:id="692728347">
      <w:bodyDiv w:val="1"/>
      <w:marLeft w:val="0"/>
      <w:marRight w:val="0"/>
      <w:marTop w:val="0"/>
      <w:marBottom w:val="0"/>
      <w:divBdr>
        <w:top w:val="none" w:sz="0" w:space="0" w:color="auto"/>
        <w:left w:val="none" w:sz="0" w:space="0" w:color="auto"/>
        <w:bottom w:val="none" w:sz="0" w:space="0" w:color="auto"/>
        <w:right w:val="none" w:sz="0" w:space="0" w:color="auto"/>
      </w:divBdr>
    </w:div>
    <w:div w:id="733553542">
      <w:bodyDiv w:val="1"/>
      <w:marLeft w:val="0"/>
      <w:marRight w:val="0"/>
      <w:marTop w:val="0"/>
      <w:marBottom w:val="0"/>
      <w:divBdr>
        <w:top w:val="none" w:sz="0" w:space="0" w:color="auto"/>
        <w:left w:val="none" w:sz="0" w:space="0" w:color="auto"/>
        <w:bottom w:val="none" w:sz="0" w:space="0" w:color="auto"/>
        <w:right w:val="none" w:sz="0" w:space="0" w:color="auto"/>
      </w:divBdr>
    </w:div>
    <w:div w:id="740175062">
      <w:bodyDiv w:val="1"/>
      <w:marLeft w:val="0"/>
      <w:marRight w:val="0"/>
      <w:marTop w:val="0"/>
      <w:marBottom w:val="0"/>
      <w:divBdr>
        <w:top w:val="none" w:sz="0" w:space="0" w:color="auto"/>
        <w:left w:val="none" w:sz="0" w:space="0" w:color="auto"/>
        <w:bottom w:val="none" w:sz="0" w:space="0" w:color="auto"/>
        <w:right w:val="none" w:sz="0" w:space="0" w:color="auto"/>
      </w:divBdr>
    </w:div>
    <w:div w:id="766775960">
      <w:bodyDiv w:val="1"/>
      <w:marLeft w:val="0"/>
      <w:marRight w:val="0"/>
      <w:marTop w:val="0"/>
      <w:marBottom w:val="0"/>
      <w:divBdr>
        <w:top w:val="none" w:sz="0" w:space="0" w:color="auto"/>
        <w:left w:val="none" w:sz="0" w:space="0" w:color="auto"/>
        <w:bottom w:val="none" w:sz="0" w:space="0" w:color="auto"/>
        <w:right w:val="none" w:sz="0" w:space="0" w:color="auto"/>
      </w:divBdr>
    </w:div>
    <w:div w:id="798186964">
      <w:bodyDiv w:val="1"/>
      <w:marLeft w:val="0"/>
      <w:marRight w:val="0"/>
      <w:marTop w:val="0"/>
      <w:marBottom w:val="0"/>
      <w:divBdr>
        <w:top w:val="none" w:sz="0" w:space="0" w:color="auto"/>
        <w:left w:val="none" w:sz="0" w:space="0" w:color="auto"/>
        <w:bottom w:val="none" w:sz="0" w:space="0" w:color="auto"/>
        <w:right w:val="none" w:sz="0" w:space="0" w:color="auto"/>
      </w:divBdr>
    </w:div>
    <w:div w:id="804012087">
      <w:bodyDiv w:val="1"/>
      <w:marLeft w:val="0"/>
      <w:marRight w:val="0"/>
      <w:marTop w:val="0"/>
      <w:marBottom w:val="0"/>
      <w:divBdr>
        <w:top w:val="none" w:sz="0" w:space="0" w:color="auto"/>
        <w:left w:val="none" w:sz="0" w:space="0" w:color="auto"/>
        <w:bottom w:val="none" w:sz="0" w:space="0" w:color="auto"/>
        <w:right w:val="none" w:sz="0" w:space="0" w:color="auto"/>
      </w:divBdr>
    </w:div>
    <w:div w:id="870454007">
      <w:bodyDiv w:val="1"/>
      <w:marLeft w:val="0"/>
      <w:marRight w:val="0"/>
      <w:marTop w:val="0"/>
      <w:marBottom w:val="0"/>
      <w:divBdr>
        <w:top w:val="none" w:sz="0" w:space="0" w:color="auto"/>
        <w:left w:val="none" w:sz="0" w:space="0" w:color="auto"/>
        <w:bottom w:val="none" w:sz="0" w:space="0" w:color="auto"/>
        <w:right w:val="none" w:sz="0" w:space="0" w:color="auto"/>
      </w:divBdr>
    </w:div>
    <w:div w:id="913703325">
      <w:bodyDiv w:val="1"/>
      <w:marLeft w:val="0"/>
      <w:marRight w:val="0"/>
      <w:marTop w:val="0"/>
      <w:marBottom w:val="0"/>
      <w:divBdr>
        <w:top w:val="none" w:sz="0" w:space="0" w:color="auto"/>
        <w:left w:val="none" w:sz="0" w:space="0" w:color="auto"/>
        <w:bottom w:val="none" w:sz="0" w:space="0" w:color="auto"/>
        <w:right w:val="none" w:sz="0" w:space="0" w:color="auto"/>
      </w:divBdr>
    </w:div>
    <w:div w:id="967586129">
      <w:bodyDiv w:val="1"/>
      <w:marLeft w:val="0"/>
      <w:marRight w:val="0"/>
      <w:marTop w:val="0"/>
      <w:marBottom w:val="0"/>
      <w:divBdr>
        <w:top w:val="none" w:sz="0" w:space="0" w:color="auto"/>
        <w:left w:val="none" w:sz="0" w:space="0" w:color="auto"/>
        <w:bottom w:val="none" w:sz="0" w:space="0" w:color="auto"/>
        <w:right w:val="none" w:sz="0" w:space="0" w:color="auto"/>
      </w:divBdr>
    </w:div>
    <w:div w:id="997534872">
      <w:bodyDiv w:val="1"/>
      <w:marLeft w:val="0"/>
      <w:marRight w:val="0"/>
      <w:marTop w:val="0"/>
      <w:marBottom w:val="0"/>
      <w:divBdr>
        <w:top w:val="none" w:sz="0" w:space="0" w:color="auto"/>
        <w:left w:val="none" w:sz="0" w:space="0" w:color="auto"/>
        <w:bottom w:val="none" w:sz="0" w:space="0" w:color="auto"/>
        <w:right w:val="none" w:sz="0" w:space="0" w:color="auto"/>
      </w:divBdr>
    </w:div>
    <w:div w:id="1081948535">
      <w:bodyDiv w:val="1"/>
      <w:marLeft w:val="0"/>
      <w:marRight w:val="0"/>
      <w:marTop w:val="0"/>
      <w:marBottom w:val="0"/>
      <w:divBdr>
        <w:top w:val="none" w:sz="0" w:space="0" w:color="auto"/>
        <w:left w:val="none" w:sz="0" w:space="0" w:color="auto"/>
        <w:bottom w:val="none" w:sz="0" w:space="0" w:color="auto"/>
        <w:right w:val="none" w:sz="0" w:space="0" w:color="auto"/>
      </w:divBdr>
    </w:div>
    <w:div w:id="1086920516">
      <w:bodyDiv w:val="1"/>
      <w:marLeft w:val="0"/>
      <w:marRight w:val="0"/>
      <w:marTop w:val="0"/>
      <w:marBottom w:val="0"/>
      <w:divBdr>
        <w:top w:val="none" w:sz="0" w:space="0" w:color="auto"/>
        <w:left w:val="none" w:sz="0" w:space="0" w:color="auto"/>
        <w:bottom w:val="none" w:sz="0" w:space="0" w:color="auto"/>
        <w:right w:val="none" w:sz="0" w:space="0" w:color="auto"/>
      </w:divBdr>
    </w:div>
    <w:div w:id="1140999122">
      <w:bodyDiv w:val="1"/>
      <w:marLeft w:val="0"/>
      <w:marRight w:val="0"/>
      <w:marTop w:val="0"/>
      <w:marBottom w:val="0"/>
      <w:divBdr>
        <w:top w:val="none" w:sz="0" w:space="0" w:color="auto"/>
        <w:left w:val="none" w:sz="0" w:space="0" w:color="auto"/>
        <w:bottom w:val="none" w:sz="0" w:space="0" w:color="auto"/>
        <w:right w:val="none" w:sz="0" w:space="0" w:color="auto"/>
      </w:divBdr>
    </w:div>
    <w:div w:id="1186015178">
      <w:bodyDiv w:val="1"/>
      <w:marLeft w:val="0"/>
      <w:marRight w:val="0"/>
      <w:marTop w:val="0"/>
      <w:marBottom w:val="0"/>
      <w:divBdr>
        <w:top w:val="none" w:sz="0" w:space="0" w:color="auto"/>
        <w:left w:val="none" w:sz="0" w:space="0" w:color="auto"/>
        <w:bottom w:val="none" w:sz="0" w:space="0" w:color="auto"/>
        <w:right w:val="none" w:sz="0" w:space="0" w:color="auto"/>
      </w:divBdr>
    </w:div>
    <w:div w:id="1207913017">
      <w:bodyDiv w:val="1"/>
      <w:marLeft w:val="0"/>
      <w:marRight w:val="0"/>
      <w:marTop w:val="0"/>
      <w:marBottom w:val="0"/>
      <w:divBdr>
        <w:top w:val="none" w:sz="0" w:space="0" w:color="auto"/>
        <w:left w:val="none" w:sz="0" w:space="0" w:color="auto"/>
        <w:bottom w:val="none" w:sz="0" w:space="0" w:color="auto"/>
        <w:right w:val="none" w:sz="0" w:space="0" w:color="auto"/>
      </w:divBdr>
    </w:div>
    <w:div w:id="1258294707">
      <w:bodyDiv w:val="1"/>
      <w:marLeft w:val="0"/>
      <w:marRight w:val="0"/>
      <w:marTop w:val="0"/>
      <w:marBottom w:val="0"/>
      <w:divBdr>
        <w:top w:val="none" w:sz="0" w:space="0" w:color="auto"/>
        <w:left w:val="none" w:sz="0" w:space="0" w:color="auto"/>
        <w:bottom w:val="none" w:sz="0" w:space="0" w:color="auto"/>
        <w:right w:val="none" w:sz="0" w:space="0" w:color="auto"/>
      </w:divBdr>
    </w:div>
    <w:div w:id="1279676885">
      <w:bodyDiv w:val="1"/>
      <w:marLeft w:val="0"/>
      <w:marRight w:val="0"/>
      <w:marTop w:val="0"/>
      <w:marBottom w:val="0"/>
      <w:divBdr>
        <w:top w:val="none" w:sz="0" w:space="0" w:color="auto"/>
        <w:left w:val="none" w:sz="0" w:space="0" w:color="auto"/>
        <w:bottom w:val="none" w:sz="0" w:space="0" w:color="auto"/>
        <w:right w:val="none" w:sz="0" w:space="0" w:color="auto"/>
      </w:divBdr>
    </w:div>
    <w:div w:id="1284652229">
      <w:bodyDiv w:val="1"/>
      <w:marLeft w:val="0"/>
      <w:marRight w:val="0"/>
      <w:marTop w:val="0"/>
      <w:marBottom w:val="0"/>
      <w:divBdr>
        <w:top w:val="none" w:sz="0" w:space="0" w:color="auto"/>
        <w:left w:val="none" w:sz="0" w:space="0" w:color="auto"/>
        <w:bottom w:val="none" w:sz="0" w:space="0" w:color="auto"/>
        <w:right w:val="none" w:sz="0" w:space="0" w:color="auto"/>
      </w:divBdr>
    </w:div>
    <w:div w:id="1318992638">
      <w:bodyDiv w:val="1"/>
      <w:marLeft w:val="0"/>
      <w:marRight w:val="0"/>
      <w:marTop w:val="0"/>
      <w:marBottom w:val="0"/>
      <w:divBdr>
        <w:top w:val="none" w:sz="0" w:space="0" w:color="auto"/>
        <w:left w:val="none" w:sz="0" w:space="0" w:color="auto"/>
        <w:bottom w:val="none" w:sz="0" w:space="0" w:color="auto"/>
        <w:right w:val="none" w:sz="0" w:space="0" w:color="auto"/>
      </w:divBdr>
    </w:div>
    <w:div w:id="1374304078">
      <w:bodyDiv w:val="1"/>
      <w:marLeft w:val="0"/>
      <w:marRight w:val="0"/>
      <w:marTop w:val="0"/>
      <w:marBottom w:val="0"/>
      <w:divBdr>
        <w:top w:val="none" w:sz="0" w:space="0" w:color="auto"/>
        <w:left w:val="none" w:sz="0" w:space="0" w:color="auto"/>
        <w:bottom w:val="none" w:sz="0" w:space="0" w:color="auto"/>
        <w:right w:val="none" w:sz="0" w:space="0" w:color="auto"/>
      </w:divBdr>
    </w:div>
    <w:div w:id="1378898341">
      <w:bodyDiv w:val="1"/>
      <w:marLeft w:val="0"/>
      <w:marRight w:val="0"/>
      <w:marTop w:val="0"/>
      <w:marBottom w:val="0"/>
      <w:divBdr>
        <w:top w:val="none" w:sz="0" w:space="0" w:color="auto"/>
        <w:left w:val="none" w:sz="0" w:space="0" w:color="auto"/>
        <w:bottom w:val="none" w:sz="0" w:space="0" w:color="auto"/>
        <w:right w:val="none" w:sz="0" w:space="0" w:color="auto"/>
      </w:divBdr>
    </w:div>
    <w:div w:id="1461726005">
      <w:bodyDiv w:val="1"/>
      <w:marLeft w:val="0"/>
      <w:marRight w:val="0"/>
      <w:marTop w:val="0"/>
      <w:marBottom w:val="0"/>
      <w:divBdr>
        <w:top w:val="none" w:sz="0" w:space="0" w:color="auto"/>
        <w:left w:val="none" w:sz="0" w:space="0" w:color="auto"/>
        <w:bottom w:val="none" w:sz="0" w:space="0" w:color="auto"/>
        <w:right w:val="none" w:sz="0" w:space="0" w:color="auto"/>
      </w:divBdr>
    </w:div>
    <w:div w:id="1560048031">
      <w:bodyDiv w:val="1"/>
      <w:marLeft w:val="0"/>
      <w:marRight w:val="0"/>
      <w:marTop w:val="0"/>
      <w:marBottom w:val="0"/>
      <w:divBdr>
        <w:top w:val="none" w:sz="0" w:space="0" w:color="auto"/>
        <w:left w:val="none" w:sz="0" w:space="0" w:color="auto"/>
        <w:bottom w:val="none" w:sz="0" w:space="0" w:color="auto"/>
        <w:right w:val="none" w:sz="0" w:space="0" w:color="auto"/>
      </w:divBdr>
    </w:div>
    <w:div w:id="1569536632">
      <w:bodyDiv w:val="1"/>
      <w:marLeft w:val="0"/>
      <w:marRight w:val="0"/>
      <w:marTop w:val="0"/>
      <w:marBottom w:val="0"/>
      <w:divBdr>
        <w:top w:val="none" w:sz="0" w:space="0" w:color="auto"/>
        <w:left w:val="none" w:sz="0" w:space="0" w:color="auto"/>
        <w:bottom w:val="none" w:sz="0" w:space="0" w:color="auto"/>
        <w:right w:val="none" w:sz="0" w:space="0" w:color="auto"/>
      </w:divBdr>
    </w:div>
    <w:div w:id="1583374636">
      <w:bodyDiv w:val="1"/>
      <w:marLeft w:val="0"/>
      <w:marRight w:val="0"/>
      <w:marTop w:val="0"/>
      <w:marBottom w:val="0"/>
      <w:divBdr>
        <w:top w:val="none" w:sz="0" w:space="0" w:color="auto"/>
        <w:left w:val="none" w:sz="0" w:space="0" w:color="auto"/>
        <w:bottom w:val="none" w:sz="0" w:space="0" w:color="auto"/>
        <w:right w:val="none" w:sz="0" w:space="0" w:color="auto"/>
      </w:divBdr>
    </w:div>
    <w:div w:id="1623462448">
      <w:bodyDiv w:val="1"/>
      <w:marLeft w:val="0"/>
      <w:marRight w:val="0"/>
      <w:marTop w:val="0"/>
      <w:marBottom w:val="0"/>
      <w:divBdr>
        <w:top w:val="none" w:sz="0" w:space="0" w:color="auto"/>
        <w:left w:val="none" w:sz="0" w:space="0" w:color="auto"/>
        <w:bottom w:val="none" w:sz="0" w:space="0" w:color="auto"/>
        <w:right w:val="none" w:sz="0" w:space="0" w:color="auto"/>
      </w:divBdr>
    </w:div>
    <w:div w:id="1653291877">
      <w:bodyDiv w:val="1"/>
      <w:marLeft w:val="0"/>
      <w:marRight w:val="0"/>
      <w:marTop w:val="0"/>
      <w:marBottom w:val="0"/>
      <w:divBdr>
        <w:top w:val="none" w:sz="0" w:space="0" w:color="auto"/>
        <w:left w:val="none" w:sz="0" w:space="0" w:color="auto"/>
        <w:bottom w:val="none" w:sz="0" w:space="0" w:color="auto"/>
        <w:right w:val="none" w:sz="0" w:space="0" w:color="auto"/>
      </w:divBdr>
    </w:div>
    <w:div w:id="1693072979">
      <w:bodyDiv w:val="1"/>
      <w:marLeft w:val="0"/>
      <w:marRight w:val="0"/>
      <w:marTop w:val="0"/>
      <w:marBottom w:val="0"/>
      <w:divBdr>
        <w:top w:val="none" w:sz="0" w:space="0" w:color="auto"/>
        <w:left w:val="none" w:sz="0" w:space="0" w:color="auto"/>
        <w:bottom w:val="none" w:sz="0" w:space="0" w:color="auto"/>
        <w:right w:val="none" w:sz="0" w:space="0" w:color="auto"/>
      </w:divBdr>
    </w:div>
    <w:div w:id="1717241356">
      <w:bodyDiv w:val="1"/>
      <w:marLeft w:val="0"/>
      <w:marRight w:val="0"/>
      <w:marTop w:val="0"/>
      <w:marBottom w:val="0"/>
      <w:divBdr>
        <w:top w:val="none" w:sz="0" w:space="0" w:color="auto"/>
        <w:left w:val="none" w:sz="0" w:space="0" w:color="auto"/>
        <w:bottom w:val="none" w:sz="0" w:space="0" w:color="auto"/>
        <w:right w:val="none" w:sz="0" w:space="0" w:color="auto"/>
      </w:divBdr>
    </w:div>
    <w:div w:id="1720781195">
      <w:bodyDiv w:val="1"/>
      <w:marLeft w:val="0"/>
      <w:marRight w:val="0"/>
      <w:marTop w:val="0"/>
      <w:marBottom w:val="0"/>
      <w:divBdr>
        <w:top w:val="none" w:sz="0" w:space="0" w:color="auto"/>
        <w:left w:val="none" w:sz="0" w:space="0" w:color="auto"/>
        <w:bottom w:val="none" w:sz="0" w:space="0" w:color="auto"/>
        <w:right w:val="none" w:sz="0" w:space="0" w:color="auto"/>
      </w:divBdr>
    </w:div>
    <w:div w:id="1734965182">
      <w:bodyDiv w:val="1"/>
      <w:marLeft w:val="0"/>
      <w:marRight w:val="0"/>
      <w:marTop w:val="0"/>
      <w:marBottom w:val="0"/>
      <w:divBdr>
        <w:top w:val="none" w:sz="0" w:space="0" w:color="auto"/>
        <w:left w:val="none" w:sz="0" w:space="0" w:color="auto"/>
        <w:bottom w:val="none" w:sz="0" w:space="0" w:color="auto"/>
        <w:right w:val="none" w:sz="0" w:space="0" w:color="auto"/>
      </w:divBdr>
    </w:div>
    <w:div w:id="1757556502">
      <w:bodyDiv w:val="1"/>
      <w:marLeft w:val="0"/>
      <w:marRight w:val="0"/>
      <w:marTop w:val="0"/>
      <w:marBottom w:val="0"/>
      <w:divBdr>
        <w:top w:val="none" w:sz="0" w:space="0" w:color="auto"/>
        <w:left w:val="none" w:sz="0" w:space="0" w:color="auto"/>
        <w:bottom w:val="none" w:sz="0" w:space="0" w:color="auto"/>
        <w:right w:val="none" w:sz="0" w:space="0" w:color="auto"/>
      </w:divBdr>
    </w:div>
    <w:div w:id="1789082052">
      <w:bodyDiv w:val="1"/>
      <w:marLeft w:val="0"/>
      <w:marRight w:val="0"/>
      <w:marTop w:val="0"/>
      <w:marBottom w:val="0"/>
      <w:divBdr>
        <w:top w:val="none" w:sz="0" w:space="0" w:color="auto"/>
        <w:left w:val="none" w:sz="0" w:space="0" w:color="auto"/>
        <w:bottom w:val="none" w:sz="0" w:space="0" w:color="auto"/>
        <w:right w:val="none" w:sz="0" w:space="0" w:color="auto"/>
      </w:divBdr>
    </w:div>
    <w:div w:id="1908685605">
      <w:bodyDiv w:val="1"/>
      <w:marLeft w:val="0"/>
      <w:marRight w:val="0"/>
      <w:marTop w:val="0"/>
      <w:marBottom w:val="0"/>
      <w:divBdr>
        <w:top w:val="none" w:sz="0" w:space="0" w:color="auto"/>
        <w:left w:val="none" w:sz="0" w:space="0" w:color="auto"/>
        <w:bottom w:val="none" w:sz="0" w:space="0" w:color="auto"/>
        <w:right w:val="none" w:sz="0" w:space="0" w:color="auto"/>
      </w:divBdr>
    </w:div>
    <w:div w:id="1911964121">
      <w:bodyDiv w:val="1"/>
      <w:marLeft w:val="0"/>
      <w:marRight w:val="0"/>
      <w:marTop w:val="0"/>
      <w:marBottom w:val="0"/>
      <w:divBdr>
        <w:top w:val="none" w:sz="0" w:space="0" w:color="auto"/>
        <w:left w:val="none" w:sz="0" w:space="0" w:color="auto"/>
        <w:bottom w:val="none" w:sz="0" w:space="0" w:color="auto"/>
        <w:right w:val="none" w:sz="0" w:space="0" w:color="auto"/>
      </w:divBdr>
    </w:div>
    <w:div w:id="1989702904">
      <w:bodyDiv w:val="1"/>
      <w:marLeft w:val="0"/>
      <w:marRight w:val="0"/>
      <w:marTop w:val="0"/>
      <w:marBottom w:val="0"/>
      <w:divBdr>
        <w:top w:val="none" w:sz="0" w:space="0" w:color="auto"/>
        <w:left w:val="none" w:sz="0" w:space="0" w:color="auto"/>
        <w:bottom w:val="none" w:sz="0" w:space="0" w:color="auto"/>
        <w:right w:val="none" w:sz="0" w:space="0" w:color="auto"/>
      </w:divBdr>
    </w:div>
    <w:div w:id="2053724229">
      <w:bodyDiv w:val="1"/>
      <w:marLeft w:val="0"/>
      <w:marRight w:val="0"/>
      <w:marTop w:val="0"/>
      <w:marBottom w:val="0"/>
      <w:divBdr>
        <w:top w:val="none" w:sz="0" w:space="0" w:color="auto"/>
        <w:left w:val="none" w:sz="0" w:space="0" w:color="auto"/>
        <w:bottom w:val="none" w:sz="0" w:space="0" w:color="auto"/>
        <w:right w:val="none" w:sz="0" w:space="0" w:color="auto"/>
      </w:divBdr>
    </w:div>
    <w:div w:id="2069569628">
      <w:bodyDiv w:val="1"/>
      <w:marLeft w:val="0"/>
      <w:marRight w:val="0"/>
      <w:marTop w:val="0"/>
      <w:marBottom w:val="0"/>
      <w:divBdr>
        <w:top w:val="none" w:sz="0" w:space="0" w:color="auto"/>
        <w:left w:val="none" w:sz="0" w:space="0" w:color="auto"/>
        <w:bottom w:val="none" w:sz="0" w:space="0" w:color="auto"/>
        <w:right w:val="none" w:sz="0" w:space="0" w:color="auto"/>
      </w:divBdr>
    </w:div>
    <w:div w:id="2091389051">
      <w:bodyDiv w:val="1"/>
      <w:marLeft w:val="0"/>
      <w:marRight w:val="0"/>
      <w:marTop w:val="0"/>
      <w:marBottom w:val="0"/>
      <w:divBdr>
        <w:top w:val="none" w:sz="0" w:space="0" w:color="auto"/>
        <w:left w:val="none" w:sz="0" w:space="0" w:color="auto"/>
        <w:bottom w:val="none" w:sz="0" w:space="0" w:color="auto"/>
        <w:right w:val="none" w:sz="0" w:space="0" w:color="auto"/>
      </w:divBdr>
    </w:div>
    <w:div w:id="2094083970">
      <w:bodyDiv w:val="1"/>
      <w:marLeft w:val="0"/>
      <w:marRight w:val="0"/>
      <w:marTop w:val="0"/>
      <w:marBottom w:val="0"/>
      <w:divBdr>
        <w:top w:val="none" w:sz="0" w:space="0" w:color="auto"/>
        <w:left w:val="none" w:sz="0" w:space="0" w:color="auto"/>
        <w:bottom w:val="none" w:sz="0" w:space="0" w:color="auto"/>
        <w:right w:val="none" w:sz="0" w:space="0" w:color="auto"/>
      </w:divBdr>
    </w:div>
    <w:div w:id="21417976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2/cop-12-dec-03-fr.pdf" TargetMode="External"/><Relationship Id="rId2" Type="http://schemas.openxmlformats.org/officeDocument/2006/relationships/customXml" Target="../customXml/item2.xml"/><Relationship Id="rId16" Type="http://schemas.openxmlformats.org/officeDocument/2006/relationships/hyperlink" Target="http://stats.oecd.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2/cop-12-dec-03-fr.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chm.cbd.int/search/financial-analyzer" TargetMode="External"/><Relationship Id="rId2" Type="http://schemas.openxmlformats.org/officeDocument/2006/relationships/hyperlink" Target="https://chm.cbd.int/search/financial-analyzer" TargetMode="External"/><Relationship Id="rId1" Type="http://schemas.openxmlformats.org/officeDocument/2006/relationships/hyperlink" Target="https://chm.cbd.int/search/financial-analyzer" TargetMode="External"/><Relationship Id="rId5" Type="http://schemas.openxmlformats.org/officeDocument/2006/relationships/hyperlink" Target="https://data.imf.org/?sk=5804C5E1-0502-4672-BDCD-671BCDC565A9" TargetMode="External"/><Relationship Id="rId4" Type="http://schemas.openxmlformats.org/officeDocument/2006/relationships/hyperlink" Target="https://data.imf.org/?sk=5804C5E1-0502-4672-BDCD-671BCDC565A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3D8104214564783AE3253AD62ABBD48"/>
        <w:category>
          <w:name w:val="General"/>
          <w:gallery w:val="placeholder"/>
        </w:category>
        <w:types>
          <w:type w:val="bbPlcHdr"/>
        </w:types>
        <w:behaviors>
          <w:behavior w:val="content"/>
        </w:behaviors>
        <w:guid w:val="{A3AAE34F-140C-46A9-A595-E4C5EA5EC926}"/>
      </w:docPartPr>
      <w:docPartBody>
        <w:p w:rsidR="009B500C" w:rsidRDefault="008A48F5" w:rsidP="008A48F5">
          <w:pPr>
            <w:pStyle w:val="B3D8104214564783AE3253AD62ABBD48"/>
          </w:pPr>
          <w:r w:rsidRPr="006D0F48">
            <w:rPr>
              <w:rStyle w:val="PlaceholderText"/>
            </w:rPr>
            <w:t>[Subject]</w:t>
          </w:r>
        </w:p>
      </w:docPartBody>
    </w:docPart>
    <w:docPart>
      <w:docPartPr>
        <w:name w:val="4CC2342768D949928F63CBF6A4B22D30"/>
        <w:category>
          <w:name w:val="General"/>
          <w:gallery w:val="placeholder"/>
        </w:category>
        <w:types>
          <w:type w:val="bbPlcHdr"/>
        </w:types>
        <w:behaviors>
          <w:behavior w:val="content"/>
        </w:behaviors>
        <w:guid w:val="{17547426-A434-4CAA-A04D-CE3A91CFC5C7}"/>
      </w:docPartPr>
      <w:docPartBody>
        <w:p w:rsidR="00906D49" w:rsidRDefault="0041387E" w:rsidP="0041387E">
          <w:pPr>
            <w:pStyle w:val="4CC2342768D949928F63CBF6A4B22D30"/>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2"/>
  </w:compat>
  <w:rsids>
    <w:rsidRoot w:val="00810A55"/>
    <w:rsid w:val="00010840"/>
    <w:rsid w:val="0003311A"/>
    <w:rsid w:val="00150840"/>
    <w:rsid w:val="00155E65"/>
    <w:rsid w:val="00195DB7"/>
    <w:rsid w:val="001A6E86"/>
    <w:rsid w:val="001B664A"/>
    <w:rsid w:val="001D7FFA"/>
    <w:rsid w:val="0021633A"/>
    <w:rsid w:val="002213DD"/>
    <w:rsid w:val="00272505"/>
    <w:rsid w:val="00277C12"/>
    <w:rsid w:val="002A64D0"/>
    <w:rsid w:val="002B53D1"/>
    <w:rsid w:val="002C3529"/>
    <w:rsid w:val="00313BCF"/>
    <w:rsid w:val="00337761"/>
    <w:rsid w:val="00374786"/>
    <w:rsid w:val="00374A80"/>
    <w:rsid w:val="003B0506"/>
    <w:rsid w:val="003C0918"/>
    <w:rsid w:val="003D294E"/>
    <w:rsid w:val="003F72D4"/>
    <w:rsid w:val="0041387E"/>
    <w:rsid w:val="0042537E"/>
    <w:rsid w:val="004264F2"/>
    <w:rsid w:val="00437B85"/>
    <w:rsid w:val="0049765E"/>
    <w:rsid w:val="004C12C7"/>
    <w:rsid w:val="004E0FA5"/>
    <w:rsid w:val="00500A2B"/>
    <w:rsid w:val="00537DD0"/>
    <w:rsid w:val="0058288D"/>
    <w:rsid w:val="005B22F9"/>
    <w:rsid w:val="006221CF"/>
    <w:rsid w:val="00631C0C"/>
    <w:rsid w:val="006801B3"/>
    <w:rsid w:val="006E3C0C"/>
    <w:rsid w:val="006F0284"/>
    <w:rsid w:val="00782783"/>
    <w:rsid w:val="007E411A"/>
    <w:rsid w:val="007E6374"/>
    <w:rsid w:val="00810A55"/>
    <w:rsid w:val="008821B1"/>
    <w:rsid w:val="008A48F5"/>
    <w:rsid w:val="008C3682"/>
    <w:rsid w:val="008C6619"/>
    <w:rsid w:val="008D420E"/>
    <w:rsid w:val="008F3A6D"/>
    <w:rsid w:val="00906D49"/>
    <w:rsid w:val="0091609C"/>
    <w:rsid w:val="00934F5F"/>
    <w:rsid w:val="00936A78"/>
    <w:rsid w:val="00937D6B"/>
    <w:rsid w:val="00972538"/>
    <w:rsid w:val="0098642F"/>
    <w:rsid w:val="009B500C"/>
    <w:rsid w:val="00A41BCA"/>
    <w:rsid w:val="00A93D79"/>
    <w:rsid w:val="00AA72C9"/>
    <w:rsid w:val="00AE3623"/>
    <w:rsid w:val="00B051C2"/>
    <w:rsid w:val="00B6620D"/>
    <w:rsid w:val="00B83C68"/>
    <w:rsid w:val="00BC6187"/>
    <w:rsid w:val="00BD73E7"/>
    <w:rsid w:val="00C314C3"/>
    <w:rsid w:val="00CD3003"/>
    <w:rsid w:val="00CF5BF6"/>
    <w:rsid w:val="00DB7A25"/>
    <w:rsid w:val="00DD74DE"/>
    <w:rsid w:val="00DD7658"/>
    <w:rsid w:val="00E62E43"/>
    <w:rsid w:val="00EC52CC"/>
    <w:rsid w:val="00EC7094"/>
    <w:rsid w:val="00EE04CE"/>
    <w:rsid w:val="00F40FBF"/>
    <w:rsid w:val="00F71319"/>
    <w:rsid w:val="00F8150A"/>
    <w:rsid w:val="00FA51A3"/>
    <w:rsid w:val="00FB3FAE"/>
    <w:rsid w:val="00FD2A04"/>
    <w:rsid w:val="00FE32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387E"/>
    <w:rPr>
      <w:color w:val="808080"/>
    </w:rPr>
  </w:style>
  <w:style w:type="paragraph" w:customStyle="1" w:styleId="B3D8104214564783AE3253AD62ABBD48">
    <w:name w:val="B3D8104214564783AE3253AD62ABBD48"/>
    <w:rsid w:val="008A48F5"/>
    <w:pPr>
      <w:spacing w:after="160" w:line="259" w:lineRule="auto"/>
    </w:pPr>
    <w:rPr>
      <w:lang w:val="en-US" w:eastAsia="en-US"/>
    </w:rPr>
  </w:style>
  <w:style w:type="paragraph" w:customStyle="1" w:styleId="ADDF6D64457143E18A619ADE8084FC3B">
    <w:name w:val="ADDF6D64457143E18A619ADE8084FC3B"/>
    <w:pPr>
      <w:spacing w:after="160" w:line="259" w:lineRule="auto"/>
    </w:pPr>
    <w:rPr>
      <w:lang w:val="en-US" w:eastAsia="en-US"/>
    </w:rPr>
  </w:style>
  <w:style w:type="paragraph" w:customStyle="1" w:styleId="4CC2342768D949928F63CBF6A4B22D30">
    <w:name w:val="4CC2342768D949928F63CBF6A4B22D30"/>
    <w:rsid w:val="0041387E"/>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9 September 201</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603046-682D-4EE2-BA84-68F413ADE9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429EEE-048C-45E3-9AC9-A4A05FC4683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351B85CD-012B-4DB6-81C8-7345825E5250}">
  <ds:schemaRefs>
    <ds:schemaRef ds:uri="http://schemas.microsoft.com/sharepoint/v3/contenttype/forms"/>
  </ds:schemaRefs>
</ds:datastoreItem>
</file>

<file path=customXml/itemProps5.xml><?xml version="1.0" encoding="utf-8"?>
<ds:datastoreItem xmlns:ds="http://schemas.openxmlformats.org/officeDocument/2006/customXml" ds:itemID="{CDEC9E4E-C719-4604-A89F-1C442184A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18</Pages>
  <Words>8829</Words>
  <Characters>48560</Characters>
  <Application>Microsoft Office Word</Application>
  <DocSecurity>0</DocSecurity>
  <Lines>404</Lines>
  <Paragraphs>114</Paragraphs>
  <ScaleCrop>false</ScaleCrop>
  <HeadingPairs>
    <vt:vector size="2" baseType="variant">
      <vt:variant>
        <vt:lpstr>Title</vt:lpstr>
      </vt:variant>
      <vt:variant>
        <vt:i4>1</vt:i4>
      </vt:variant>
    </vt:vector>
  </HeadingPairs>
  <TitlesOfParts>
    <vt:vector size="1" baseType="lpstr">
      <vt:lpstr>Mobilisation des ressources : analyse finale des informations fournies par le biais du cadre d'information financière</vt:lpstr>
    </vt:vector>
  </TitlesOfParts>
  <Company>SCBD</Company>
  <LinksUpToDate>false</LinksUpToDate>
  <CharactersWithSpaces>57275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Mobilisation des ressources : analyse finale des informations fournies par le biais du cadre d'information financière</dc:title>
  <dc:subject>CBD/COP/15/11</dc:subject>
  <dc:creator>SCBD</dc:creator>
  <cp:keywords>Conférence des Parties à la Convention sur la diversité biologique, quinzième réunion</cp:keywords>
  <dc:description/>
  <cp:lastModifiedBy>Finn Kinley</cp:lastModifiedBy>
  <cp:revision>44</cp:revision>
  <cp:lastPrinted>2022-10-31T20:15:00Z</cp:lastPrinted>
  <dcterms:created xsi:type="dcterms:W3CDTF">2022-11-09T20:57:00Z</dcterms:created>
  <dcterms:modified xsi:type="dcterms:W3CDTF">2022-11-18T01:43:00Z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