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4089"/>
      </w:tblGrid>
      <w:tr w:rsidR="00162FD5" w:rsidRPr="006472D1" w14:paraId="71D4BF77" w14:textId="77777777" w:rsidTr="00576EB8">
        <w:trPr>
          <w:trHeight w:val="851"/>
        </w:trPr>
        <w:tc>
          <w:tcPr>
            <w:tcW w:w="977" w:type="dxa"/>
            <w:tcBorders>
              <w:bottom w:val="single" w:sz="12" w:space="0" w:color="auto"/>
            </w:tcBorders>
          </w:tcPr>
          <w:p w14:paraId="71D4BF74" w14:textId="77777777" w:rsidR="00162FD5" w:rsidRPr="006472D1" w:rsidRDefault="00162FD5" w:rsidP="009C377F">
            <w:pPr>
              <w:suppressLineNumbers/>
              <w:suppressAutoHyphens/>
              <w:kinsoku w:val="0"/>
              <w:overflowPunct w:val="0"/>
              <w:autoSpaceDE w:val="0"/>
              <w:autoSpaceDN w:val="0"/>
              <w:adjustRightInd w:val="0"/>
              <w:snapToGrid w:val="0"/>
              <w:rPr>
                <w:snapToGrid w:val="0"/>
                <w:kern w:val="22"/>
              </w:rPr>
            </w:pPr>
            <w:r w:rsidRPr="00777CC2">
              <w:rPr>
                <w:noProof/>
                <w:snapToGrid w:val="0"/>
                <w:kern w:val="22"/>
                <w:lang w:eastAsia="fr-CA"/>
              </w:rPr>
              <w:drawing>
                <wp:inline distT="0" distB="0" distL="0" distR="0" wp14:anchorId="71D4BFB0" wp14:editId="71D4BFB1">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1D4BF75" w14:textId="77777777" w:rsidR="00162FD5" w:rsidRPr="006472D1" w:rsidRDefault="00576EB8" w:rsidP="009C377F">
            <w:pPr>
              <w:suppressLineNumbers/>
              <w:suppressAutoHyphens/>
              <w:kinsoku w:val="0"/>
              <w:overflowPunct w:val="0"/>
              <w:autoSpaceDE w:val="0"/>
              <w:autoSpaceDN w:val="0"/>
              <w:adjustRightInd w:val="0"/>
              <w:snapToGrid w:val="0"/>
              <w:rPr>
                <w:snapToGrid w:val="0"/>
                <w:kern w:val="22"/>
              </w:rPr>
            </w:pPr>
            <w:r w:rsidRPr="00576EB8">
              <w:rPr>
                <w:noProof/>
                <w:snapToGrid w:val="0"/>
                <w:lang w:eastAsia="fr-CA"/>
              </w:rPr>
              <w:drawing>
                <wp:inline distT="0" distB="0" distL="0" distR="0" wp14:anchorId="71D4BFB2" wp14:editId="71D4BFB3">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89" w:type="dxa"/>
            <w:tcBorders>
              <w:bottom w:val="single" w:sz="12" w:space="0" w:color="auto"/>
            </w:tcBorders>
          </w:tcPr>
          <w:p w14:paraId="71D4BF76" w14:textId="77777777" w:rsidR="00162FD5" w:rsidRPr="006472D1" w:rsidRDefault="00162FD5" w:rsidP="00C029F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6472D1">
              <w:rPr>
                <w:rFonts w:ascii="Arial" w:hAnsi="Arial" w:cs="Arial"/>
                <w:b/>
                <w:snapToGrid w:val="0"/>
                <w:kern w:val="22"/>
                <w:sz w:val="32"/>
                <w:szCs w:val="32"/>
              </w:rPr>
              <w:t>CBD</w:t>
            </w:r>
          </w:p>
        </w:tc>
      </w:tr>
    </w:tbl>
    <w:tbl>
      <w:tblPr>
        <w:tblW w:w="10207" w:type="dxa"/>
        <w:tblInd w:w="-318" w:type="dxa"/>
        <w:tblLook w:val="04A0" w:firstRow="1" w:lastRow="0" w:firstColumn="1" w:lastColumn="0" w:noHBand="0" w:noVBand="1"/>
      </w:tblPr>
      <w:tblGrid>
        <w:gridCol w:w="5120"/>
        <w:gridCol w:w="5087"/>
      </w:tblGrid>
      <w:tr w:rsidR="0084107C" w:rsidRPr="006472D1" w14:paraId="71D4BF82" w14:textId="77777777" w:rsidTr="005D40AD">
        <w:tc>
          <w:tcPr>
            <w:tcW w:w="5120" w:type="dxa"/>
            <w:tcBorders>
              <w:top w:val="single" w:sz="12" w:space="0" w:color="auto"/>
              <w:bottom w:val="single" w:sz="36" w:space="0" w:color="auto"/>
            </w:tcBorders>
            <w:shd w:val="clear" w:color="auto" w:fill="auto"/>
            <w:vAlign w:val="center"/>
          </w:tcPr>
          <w:p w14:paraId="71D4BF78" w14:textId="77777777" w:rsidR="0084107C" w:rsidRPr="006472D1" w:rsidRDefault="00576EB8" w:rsidP="001A6166">
            <w:pPr>
              <w:suppressLineNumbers/>
              <w:suppressAutoHyphens/>
              <w:kinsoku w:val="0"/>
              <w:overflowPunct w:val="0"/>
              <w:autoSpaceDE w:val="0"/>
              <w:autoSpaceDN w:val="0"/>
              <w:rPr>
                <w:rFonts w:ascii="Calibri" w:eastAsia="SimSun" w:hAnsi="Calibri"/>
                <w:snapToGrid w:val="0"/>
                <w:kern w:val="22"/>
              </w:rPr>
            </w:pPr>
            <w:r w:rsidRPr="00576EB8">
              <w:rPr>
                <w:rFonts w:ascii="Calibri" w:eastAsia="SimSun" w:hAnsi="Calibri"/>
                <w:noProof/>
                <w:kern w:val="22"/>
                <w:lang w:eastAsia="fr-CA"/>
              </w:rPr>
              <w:drawing>
                <wp:inline distT="0" distB="0" distL="0" distR="0" wp14:anchorId="71D4BFB4" wp14:editId="71D4BFB5">
                  <wp:extent cx="2855595" cy="1078230"/>
                  <wp:effectExtent l="0" t="0" r="1905" b="7620"/>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0" w:type="auto"/>
            <w:tcBorders>
              <w:top w:val="single" w:sz="12" w:space="0" w:color="auto"/>
              <w:bottom w:val="single" w:sz="36" w:space="0" w:color="auto"/>
            </w:tcBorders>
            <w:shd w:val="clear" w:color="auto" w:fill="auto"/>
          </w:tcPr>
          <w:p w14:paraId="71D4BF79" w14:textId="77777777" w:rsidR="0084107C" w:rsidRPr="006472D1" w:rsidRDefault="0084107C" w:rsidP="00C029F3">
            <w:pPr>
              <w:suppressLineNumbers/>
              <w:suppressAutoHyphens/>
              <w:kinsoku w:val="0"/>
              <w:overflowPunct w:val="0"/>
              <w:autoSpaceDE w:val="0"/>
              <w:autoSpaceDN w:val="0"/>
              <w:ind w:left="1686"/>
              <w:rPr>
                <w:rFonts w:eastAsia="SimSun" w:cs="Times New Roman"/>
                <w:noProof/>
                <w:snapToGrid w:val="0"/>
                <w:kern w:val="22"/>
                <w:szCs w:val="22"/>
              </w:rPr>
            </w:pPr>
            <w:r w:rsidRPr="006472D1">
              <w:rPr>
                <w:rFonts w:eastAsia="SimSun" w:cs="Times New Roman"/>
                <w:noProof/>
                <w:snapToGrid w:val="0"/>
                <w:kern w:val="22"/>
                <w:szCs w:val="22"/>
              </w:rPr>
              <w:t>Distr.</w:t>
            </w:r>
          </w:p>
          <w:p w14:paraId="71D4BF7A" w14:textId="77777777" w:rsidR="0084107C" w:rsidRPr="006472D1" w:rsidRDefault="00576EB8" w:rsidP="00C029F3">
            <w:pPr>
              <w:suppressLineNumbers/>
              <w:suppressAutoHyphens/>
              <w:kinsoku w:val="0"/>
              <w:overflowPunct w:val="0"/>
              <w:autoSpaceDE w:val="0"/>
              <w:autoSpaceDN w:val="0"/>
              <w:ind w:left="1686"/>
              <w:rPr>
                <w:rFonts w:eastAsia="SimSun" w:cs="Times New Roman"/>
                <w:noProof/>
                <w:snapToGrid w:val="0"/>
                <w:kern w:val="22"/>
                <w:szCs w:val="22"/>
              </w:rPr>
            </w:pPr>
            <w:r>
              <w:rPr>
                <w:rFonts w:eastAsia="SimSun" w:cs="Times New Roman"/>
                <w:noProof/>
                <w:snapToGrid w:val="0"/>
                <w:kern w:val="22"/>
                <w:szCs w:val="22"/>
              </w:rPr>
              <w:t>GÉNÉ</w:t>
            </w:r>
            <w:r w:rsidR="0084107C" w:rsidRPr="006472D1">
              <w:rPr>
                <w:rFonts w:eastAsia="SimSun" w:cs="Times New Roman"/>
                <w:noProof/>
                <w:snapToGrid w:val="0"/>
                <w:kern w:val="22"/>
                <w:szCs w:val="22"/>
              </w:rPr>
              <w:t>RAL</w:t>
            </w:r>
            <w:r>
              <w:rPr>
                <w:rFonts w:eastAsia="SimSun" w:cs="Times New Roman"/>
                <w:noProof/>
                <w:snapToGrid w:val="0"/>
                <w:kern w:val="22"/>
                <w:szCs w:val="22"/>
              </w:rPr>
              <w:t>E</w:t>
            </w:r>
          </w:p>
          <w:p w14:paraId="71D4BF7B" w14:textId="77777777" w:rsidR="0084107C" w:rsidRPr="006472D1" w:rsidRDefault="0084107C" w:rsidP="00C029F3">
            <w:pPr>
              <w:suppressLineNumbers/>
              <w:suppressAutoHyphens/>
              <w:kinsoku w:val="0"/>
              <w:overflowPunct w:val="0"/>
              <w:autoSpaceDE w:val="0"/>
              <w:autoSpaceDN w:val="0"/>
              <w:ind w:left="1686"/>
              <w:rPr>
                <w:rFonts w:eastAsia="SimSun" w:cs="Times New Roman"/>
                <w:snapToGrid w:val="0"/>
                <w:kern w:val="22"/>
                <w:szCs w:val="22"/>
              </w:rPr>
            </w:pPr>
          </w:p>
          <w:p w14:paraId="71D4BF7C" w14:textId="77777777" w:rsidR="00167732" w:rsidRPr="006472D1" w:rsidRDefault="00EF1B1D" w:rsidP="00C029F3">
            <w:pPr>
              <w:suppressLineNumbers/>
              <w:suppressAutoHyphens/>
              <w:kinsoku w:val="0"/>
              <w:overflowPunct w:val="0"/>
              <w:autoSpaceDE w:val="0"/>
              <w:autoSpaceDN w:val="0"/>
              <w:ind w:left="1686"/>
              <w:rPr>
                <w:rFonts w:eastAsia="SimSun" w:cs="Times New Roman"/>
                <w:snapToGrid w:val="0"/>
                <w:kern w:val="22"/>
                <w:szCs w:val="22"/>
              </w:rPr>
            </w:pPr>
            <w:sdt>
              <w:sdtPr>
                <w:rPr>
                  <w:rFonts w:eastAsia="SimSun" w:cs="Times New Roman"/>
                  <w:snapToGrid w:val="0"/>
                  <w:kern w:val="22"/>
                  <w:szCs w:val="22"/>
                </w:rPr>
                <w:alias w:val="Subject"/>
                <w:tag w:val=""/>
                <w:id w:val="2137136483"/>
                <w:placeholder>
                  <w:docPart w:val="54C1799CA70C4F1EBF04CB827C43DA87"/>
                </w:placeholder>
                <w:dataBinding w:prefixMappings="xmlns:ns0='http://purl.org/dc/elements/1.1/' xmlns:ns1='http://schemas.openxmlformats.org/package/2006/metadata/core-properties' " w:xpath="/ns1:coreProperties[1]/ns0:subject[1]" w:storeItemID="{6C3C8BC8-F283-45AE-878A-BAB7291924A1}"/>
                <w:text/>
              </w:sdtPr>
              <w:sdtEndPr/>
              <w:sdtContent>
                <w:r w:rsidR="00CF3318" w:rsidRPr="006472D1">
                  <w:rPr>
                    <w:rFonts w:eastAsia="SimSun" w:cs="Times New Roman"/>
                    <w:snapToGrid w:val="0"/>
                    <w:kern w:val="22"/>
                    <w:szCs w:val="22"/>
                  </w:rPr>
                  <w:t>CBD/CP/MOP/10/8</w:t>
                </w:r>
              </w:sdtContent>
            </w:sdt>
          </w:p>
          <w:p w14:paraId="71D4BF7D" w14:textId="77777777" w:rsidR="0084107C" w:rsidRPr="006472D1" w:rsidRDefault="00576EB8" w:rsidP="00C029F3">
            <w:pPr>
              <w:suppressLineNumbers/>
              <w:suppressAutoHyphens/>
              <w:kinsoku w:val="0"/>
              <w:overflowPunct w:val="0"/>
              <w:autoSpaceDE w:val="0"/>
              <w:autoSpaceDN w:val="0"/>
              <w:ind w:left="1686"/>
              <w:rPr>
                <w:rFonts w:eastAsia="SimSun" w:cs="Times New Roman"/>
                <w:snapToGrid w:val="0"/>
                <w:kern w:val="22"/>
                <w:szCs w:val="22"/>
              </w:rPr>
            </w:pPr>
            <w:r>
              <w:rPr>
                <w:rFonts w:eastAsia="SimSun" w:cs="Times New Roman"/>
                <w:snapToGrid w:val="0"/>
                <w:kern w:val="22"/>
                <w:szCs w:val="22"/>
              </w:rPr>
              <w:t>28 septembre </w:t>
            </w:r>
            <w:r w:rsidR="00BC55E4" w:rsidRPr="006472D1">
              <w:rPr>
                <w:rFonts w:eastAsia="SimSun" w:cs="Times New Roman"/>
                <w:snapToGrid w:val="0"/>
                <w:kern w:val="22"/>
                <w:szCs w:val="22"/>
              </w:rPr>
              <w:t>2022</w:t>
            </w:r>
            <w:r w:rsidR="00714608" w:rsidRPr="00681249">
              <w:rPr>
                <w:rStyle w:val="FootnoteReference"/>
                <w:rFonts w:eastAsia="SimSun" w:cs="Times New Roman"/>
                <w:snapToGrid w:val="0"/>
                <w:kern w:val="22"/>
                <w:szCs w:val="22"/>
                <w:u w:val="none"/>
              </w:rPr>
              <w:footnoteReference w:customMarkFollows="1" w:id="2"/>
              <w:t>*</w:t>
            </w:r>
          </w:p>
          <w:p w14:paraId="71D4BF7E" w14:textId="77777777" w:rsidR="0084107C" w:rsidRPr="006472D1" w:rsidRDefault="0084107C" w:rsidP="00C029F3">
            <w:pPr>
              <w:suppressLineNumbers/>
              <w:suppressAutoHyphens/>
              <w:kinsoku w:val="0"/>
              <w:overflowPunct w:val="0"/>
              <w:autoSpaceDE w:val="0"/>
              <w:autoSpaceDN w:val="0"/>
              <w:ind w:left="1686"/>
              <w:rPr>
                <w:rFonts w:eastAsia="SimSun" w:cs="Times New Roman"/>
                <w:snapToGrid w:val="0"/>
                <w:kern w:val="22"/>
                <w:szCs w:val="22"/>
              </w:rPr>
            </w:pPr>
          </w:p>
          <w:p w14:paraId="71D4BF7F" w14:textId="77777777" w:rsidR="00576EB8" w:rsidRPr="00DE7324" w:rsidRDefault="00576EB8" w:rsidP="00576EB8">
            <w:pPr>
              <w:suppressLineNumbers/>
              <w:suppressAutoHyphens/>
              <w:kinsoku w:val="0"/>
              <w:overflowPunct w:val="0"/>
              <w:autoSpaceDE w:val="0"/>
              <w:autoSpaceDN w:val="0"/>
              <w:ind w:left="1719"/>
              <w:rPr>
                <w:rFonts w:eastAsia="SimSun" w:cs="Times New Roman"/>
                <w:snapToGrid w:val="0"/>
                <w:kern w:val="22"/>
                <w:szCs w:val="22"/>
              </w:rPr>
            </w:pPr>
            <w:r w:rsidRPr="00DE7324">
              <w:rPr>
                <w:rFonts w:eastAsia="SimSun" w:cs="Times New Roman"/>
                <w:snapToGrid w:val="0"/>
                <w:kern w:val="22"/>
                <w:szCs w:val="22"/>
              </w:rPr>
              <w:t>FRANÇAIS</w:t>
            </w:r>
          </w:p>
          <w:p w14:paraId="71D4BF80" w14:textId="77777777" w:rsidR="0084107C" w:rsidRPr="006472D1" w:rsidRDefault="00576EB8" w:rsidP="00576EB8">
            <w:pPr>
              <w:suppressLineNumbers/>
              <w:suppressAutoHyphens/>
              <w:kinsoku w:val="0"/>
              <w:overflowPunct w:val="0"/>
              <w:autoSpaceDE w:val="0"/>
              <w:autoSpaceDN w:val="0"/>
              <w:ind w:left="1686"/>
              <w:rPr>
                <w:rFonts w:eastAsia="SimSun" w:cs="Times New Roman"/>
                <w:snapToGrid w:val="0"/>
                <w:kern w:val="22"/>
                <w:szCs w:val="22"/>
              </w:rPr>
            </w:pPr>
            <w:r w:rsidRPr="00DE7324">
              <w:rPr>
                <w:rFonts w:eastAsia="SimSun" w:cs="Times New Roman"/>
                <w:snapToGrid w:val="0"/>
                <w:kern w:val="22"/>
                <w:szCs w:val="22"/>
              </w:rPr>
              <w:t>ORIGINALE : ANGLAIS</w:t>
            </w:r>
          </w:p>
          <w:p w14:paraId="71D4BF81" w14:textId="77777777" w:rsidR="00F107CC" w:rsidRPr="006472D1" w:rsidRDefault="00F107CC" w:rsidP="001A6166">
            <w:pPr>
              <w:suppressLineNumbers/>
              <w:suppressAutoHyphens/>
              <w:kinsoku w:val="0"/>
              <w:overflowPunct w:val="0"/>
              <w:autoSpaceDE w:val="0"/>
              <w:autoSpaceDN w:val="0"/>
              <w:ind w:left="1215"/>
              <w:rPr>
                <w:rFonts w:eastAsia="SimSun" w:cs="Times New Roman"/>
                <w:snapToGrid w:val="0"/>
                <w:kern w:val="22"/>
                <w:szCs w:val="22"/>
              </w:rPr>
            </w:pPr>
          </w:p>
        </w:tc>
      </w:tr>
    </w:tbl>
    <w:p w14:paraId="71D4BF83" w14:textId="77777777" w:rsidR="00495B7A" w:rsidRPr="006472D1" w:rsidRDefault="00576EB8" w:rsidP="001A6166">
      <w:pPr>
        <w:pStyle w:val="Cornernotation"/>
        <w:suppressLineNumbers/>
        <w:suppressAutoHyphens/>
        <w:kinsoku w:val="0"/>
        <w:overflowPunct w:val="0"/>
        <w:autoSpaceDE w:val="0"/>
        <w:autoSpaceDN w:val="0"/>
        <w:spacing w:before="60"/>
        <w:ind w:left="227" w:right="3780" w:hanging="227"/>
        <w:rPr>
          <w:rFonts w:cs="Times New Roman"/>
          <w:snapToGrid w:val="0"/>
          <w:kern w:val="22"/>
        </w:rPr>
      </w:pPr>
      <w:r w:rsidRPr="00DE7324">
        <w:rPr>
          <w:rFonts w:cs="Times New Roman"/>
          <w:snapToGrid w:val="0"/>
          <w:kern w:val="22"/>
        </w:rPr>
        <w:t>CONFÉRENCE DES PARTIES À LA CONVENTION SUR LA DIVERSITÉ BIOLOGIQUE SIÉGEANT EN TA</w:t>
      </w:r>
      <w:r w:rsidRPr="00DE7324">
        <w:t xml:space="preserve">NT </w:t>
      </w:r>
      <w:r w:rsidRPr="00DE7324">
        <w:rPr>
          <w:rFonts w:cs="Times New Roman"/>
          <w:snapToGrid w:val="0"/>
          <w:kern w:val="22"/>
        </w:rPr>
        <w:t>QUE RÉUNION DES PARTIES AU PROTOCOLE DE CARTAGENA SUR LA PRÉVENTION DES RISQUES BIOTECHNOLOGIQUES</w:t>
      </w:r>
    </w:p>
    <w:p w14:paraId="71D4BF84" w14:textId="77777777" w:rsidR="00162FD5" w:rsidRPr="006472D1" w:rsidRDefault="00576EB8" w:rsidP="001A6166">
      <w:pPr>
        <w:pStyle w:val="Cornernotation"/>
        <w:suppressLineNumbers/>
        <w:suppressAutoHyphens/>
        <w:kinsoku w:val="0"/>
        <w:overflowPunct w:val="0"/>
        <w:autoSpaceDE w:val="0"/>
        <w:autoSpaceDN w:val="0"/>
        <w:ind w:left="0" w:right="4512" w:firstLine="0"/>
        <w:rPr>
          <w:rFonts w:cs="Times New Roman"/>
          <w:snapToGrid w:val="0"/>
          <w:kern w:val="22"/>
        </w:rPr>
      </w:pPr>
      <w:r w:rsidRPr="00DE7324">
        <w:rPr>
          <w:rFonts w:cs="Times New Roman"/>
          <w:snapToGrid w:val="0"/>
          <w:kern w:val="22"/>
        </w:rPr>
        <w:t>Dixième réunion – Partie II</w:t>
      </w:r>
    </w:p>
    <w:p w14:paraId="71D4BF85" w14:textId="77777777" w:rsidR="003D67A6" w:rsidRPr="00221E76" w:rsidRDefault="00576EB8" w:rsidP="00C029F3">
      <w:pPr>
        <w:pStyle w:val="Cornernotation"/>
        <w:suppressLineNumbers/>
        <w:suppressAutoHyphens/>
        <w:kinsoku w:val="0"/>
        <w:overflowPunct w:val="0"/>
        <w:autoSpaceDE w:val="0"/>
        <w:autoSpaceDN w:val="0"/>
        <w:ind w:left="0" w:right="4512" w:firstLine="0"/>
        <w:rPr>
          <w:snapToGrid w:val="0"/>
          <w:lang w:eastAsia="nb-NO"/>
        </w:rPr>
      </w:pPr>
      <w:r w:rsidRPr="00DE7324">
        <w:rPr>
          <w:snapToGrid w:val="0"/>
          <w:kern w:val="22"/>
          <w:szCs w:val="22"/>
          <w:lang w:eastAsia="nb-NO"/>
        </w:rPr>
        <w:t>Montréal</w:t>
      </w:r>
      <w:r>
        <w:rPr>
          <w:snapToGrid w:val="0"/>
          <w:kern w:val="22"/>
          <w:szCs w:val="22"/>
          <w:lang w:eastAsia="nb-NO"/>
        </w:rPr>
        <w:t xml:space="preserve"> (</w:t>
      </w:r>
      <w:r w:rsidRPr="00DE7324">
        <w:rPr>
          <w:snapToGrid w:val="0"/>
          <w:kern w:val="22"/>
          <w:szCs w:val="22"/>
          <w:lang w:eastAsia="nb-NO"/>
        </w:rPr>
        <w:t>Canada</w:t>
      </w:r>
      <w:r>
        <w:rPr>
          <w:snapToGrid w:val="0"/>
          <w:kern w:val="22"/>
          <w:szCs w:val="22"/>
          <w:lang w:eastAsia="nb-NO"/>
        </w:rPr>
        <w:t>), 7</w:t>
      </w:r>
      <w:r w:rsidR="00C45B47">
        <w:rPr>
          <w:snapToGrid w:val="0"/>
          <w:kern w:val="22"/>
          <w:szCs w:val="22"/>
          <w:lang w:eastAsia="nb-NO"/>
        </w:rPr>
        <w:noBreakHyphen/>
      </w:r>
      <w:r>
        <w:rPr>
          <w:snapToGrid w:val="0"/>
          <w:kern w:val="22"/>
          <w:szCs w:val="22"/>
          <w:lang w:eastAsia="nb-NO"/>
        </w:rPr>
        <w:t>19 </w:t>
      </w:r>
      <w:r w:rsidRPr="00DE7324">
        <w:rPr>
          <w:snapToGrid w:val="0"/>
          <w:kern w:val="22"/>
          <w:szCs w:val="22"/>
          <w:lang w:eastAsia="nb-NO"/>
        </w:rPr>
        <w:t>décembre</w:t>
      </w:r>
      <w:r>
        <w:rPr>
          <w:snapToGrid w:val="0"/>
          <w:kern w:val="22"/>
          <w:szCs w:val="22"/>
          <w:lang w:eastAsia="nb-NO"/>
        </w:rPr>
        <w:t> </w:t>
      </w:r>
      <w:r w:rsidRPr="00DE7324">
        <w:rPr>
          <w:snapToGrid w:val="0"/>
          <w:kern w:val="22"/>
          <w:szCs w:val="22"/>
          <w:lang w:eastAsia="nb-NO"/>
        </w:rPr>
        <w:t>2022</w:t>
      </w:r>
    </w:p>
    <w:p w14:paraId="71D4BF86" w14:textId="77777777" w:rsidR="003639E4" w:rsidRPr="00221E76" w:rsidRDefault="00576EB8" w:rsidP="001A6166">
      <w:r>
        <w:rPr>
          <w:snapToGrid w:val="0"/>
          <w:kern w:val="22"/>
          <w:szCs w:val="22"/>
        </w:rPr>
        <w:t>Point </w:t>
      </w:r>
      <w:r w:rsidRPr="00DE7324">
        <w:rPr>
          <w:snapToGrid w:val="0"/>
          <w:kern w:val="22"/>
          <w:szCs w:val="22"/>
        </w:rPr>
        <w:t>12 de l</w:t>
      </w:r>
      <w:r w:rsidR="00C45B47">
        <w:rPr>
          <w:snapToGrid w:val="0"/>
          <w:kern w:val="22"/>
          <w:szCs w:val="22"/>
        </w:rPr>
        <w:t>’</w:t>
      </w:r>
      <w:r w:rsidRPr="00DE7324">
        <w:rPr>
          <w:snapToGrid w:val="0"/>
          <w:kern w:val="22"/>
          <w:szCs w:val="22"/>
        </w:rPr>
        <w:t>ordre du jour</w:t>
      </w:r>
    </w:p>
    <w:p w14:paraId="71D4BF87" w14:textId="77777777" w:rsidR="00AC0466" w:rsidRPr="00221E76" w:rsidRDefault="00576EB8" w:rsidP="001A6166">
      <w:pPr>
        <w:pStyle w:val="HEADINGNOTFORTOC"/>
        <w:spacing w:after="240"/>
        <w:ind w:right="90"/>
        <w:outlineLvl w:val="9"/>
        <w:rPr>
          <w:snapToGrid w:val="0"/>
          <w:kern w:val="22"/>
          <w:szCs w:val="22"/>
        </w:rPr>
      </w:pPr>
      <w:r w:rsidRPr="00DE7324">
        <w:rPr>
          <w:rFonts w:ascii="Times New Roman Bold" w:hAnsi="Times New Roman Bold" w:cs="Times New Roman Bold"/>
          <w:bCs/>
          <w:snapToGrid w:val="0"/>
          <w:kern w:val="22"/>
          <w:szCs w:val="22"/>
        </w:rPr>
        <w:t>coopÉration avec d</w:t>
      </w:r>
      <w:r w:rsidR="00C45B47">
        <w:rPr>
          <w:rFonts w:ascii="Times New Roman Bold" w:hAnsi="Times New Roman Bold" w:cs="Times New Roman Bold"/>
          <w:bCs/>
          <w:snapToGrid w:val="0"/>
          <w:kern w:val="22"/>
          <w:szCs w:val="22"/>
        </w:rPr>
        <w:t>’</w:t>
      </w:r>
      <w:r w:rsidRPr="00DE7324">
        <w:rPr>
          <w:rFonts w:ascii="Times New Roman Bold" w:hAnsi="Times New Roman Bold" w:cs="Times New Roman Bold"/>
          <w:bCs/>
          <w:snapToGrid w:val="0"/>
          <w:kern w:val="22"/>
          <w:szCs w:val="22"/>
        </w:rPr>
        <w:t>autres conventions, organisations et initiatives internationales</w:t>
      </w:r>
    </w:p>
    <w:p w14:paraId="71D4BF88" w14:textId="77777777" w:rsidR="00A75E09" w:rsidRPr="00221E76" w:rsidRDefault="00576EB8" w:rsidP="00C029F3">
      <w:pPr>
        <w:keepNext/>
        <w:suppressLineNumbers/>
        <w:suppressAutoHyphens/>
        <w:kinsoku w:val="0"/>
        <w:overflowPunct w:val="0"/>
        <w:autoSpaceDE w:val="0"/>
        <w:autoSpaceDN w:val="0"/>
        <w:spacing w:before="120" w:after="240"/>
        <w:jc w:val="center"/>
        <w:rPr>
          <w:kern w:val="22"/>
        </w:rPr>
      </w:pPr>
      <w:r w:rsidRPr="00DE7324">
        <w:rPr>
          <w:rFonts w:eastAsia="Times New Roman" w:cs="Times New Roman"/>
          <w:i/>
          <w:snapToGrid w:val="0"/>
          <w:kern w:val="22"/>
        </w:rPr>
        <w:t>Note de la Secrétaire exécutive</w:t>
      </w:r>
    </w:p>
    <w:p w14:paraId="71D4BF89" w14:textId="77777777" w:rsidR="00024C63" w:rsidRPr="00221E76" w:rsidRDefault="00E61E76" w:rsidP="00C029F3">
      <w:pPr>
        <w:keepNext/>
        <w:kinsoku w:val="0"/>
        <w:overflowPunct w:val="0"/>
        <w:autoSpaceDE w:val="0"/>
        <w:autoSpaceDN w:val="0"/>
        <w:spacing w:before="120" w:after="120"/>
        <w:jc w:val="center"/>
        <w:outlineLvl w:val="0"/>
        <w:rPr>
          <w:rFonts w:ascii="Times New Roman Bold" w:eastAsia="Times New Roman" w:hAnsi="Times New Roman Bold" w:cs="Times New Roman Bold"/>
          <w:bCs/>
          <w:snapToGrid w:val="0"/>
          <w:kern w:val="22"/>
          <w:szCs w:val="22"/>
          <w:lang w:eastAsia="ko-KR"/>
        </w:rPr>
      </w:pPr>
      <w:r w:rsidRPr="00221E76">
        <w:rPr>
          <w:rFonts w:ascii="Times New Roman Bold" w:eastAsia="Times New Roman" w:hAnsi="Times New Roman Bold" w:cs="Times New Roman Bold"/>
          <w:b/>
          <w:bCs/>
          <w:caps/>
          <w:snapToGrid w:val="0"/>
          <w:kern w:val="22"/>
          <w:szCs w:val="22"/>
          <w:lang w:eastAsia="ko-KR"/>
        </w:rPr>
        <w:t>I.</w:t>
      </w:r>
      <w:r w:rsidRPr="00221E76">
        <w:rPr>
          <w:rFonts w:ascii="Times New Roman Bold" w:eastAsia="Times New Roman" w:hAnsi="Times New Roman Bold" w:cs="Times New Roman Bold"/>
          <w:b/>
          <w:bCs/>
          <w:caps/>
          <w:snapToGrid w:val="0"/>
          <w:kern w:val="22"/>
          <w:szCs w:val="22"/>
          <w:lang w:eastAsia="ko-KR"/>
        </w:rPr>
        <w:tab/>
      </w:r>
      <w:r w:rsidR="0050326F" w:rsidRPr="00221E76">
        <w:rPr>
          <w:rFonts w:ascii="Times New Roman Bold" w:eastAsia="Times New Roman" w:hAnsi="Times New Roman Bold" w:cs="Times New Roman Bold"/>
          <w:b/>
          <w:bCs/>
          <w:caps/>
          <w:snapToGrid w:val="0"/>
          <w:kern w:val="22"/>
          <w:szCs w:val="22"/>
          <w:lang w:eastAsia="ko-KR"/>
        </w:rPr>
        <w:t>Introduction</w:t>
      </w:r>
    </w:p>
    <w:p w14:paraId="71D4BF8A" w14:textId="77777777" w:rsidR="00010D26" w:rsidRPr="00221E76" w:rsidRDefault="004E7576" w:rsidP="001A6166">
      <w:pPr>
        <w:pStyle w:val="Para1"/>
        <w:numPr>
          <w:ilvl w:val="0"/>
          <w:numId w:val="25"/>
        </w:numPr>
        <w:spacing w:before="120"/>
        <w:ind w:left="0" w:firstLine="0"/>
        <w:rPr>
          <w:rFonts w:eastAsia="Times New Roman" w:cs="Times New Roman"/>
          <w:kern w:val="22"/>
          <w:szCs w:val="22"/>
        </w:rPr>
      </w:pPr>
      <w:r w:rsidRPr="00DE7324">
        <w:rPr>
          <w:rFonts w:eastAsia="Times New Roman" w:cs="Times New Roman"/>
          <w:szCs w:val="22"/>
        </w:rPr>
        <w:t>La Secrétaire exécutive continue d</w:t>
      </w:r>
      <w:r w:rsidR="00C45B47">
        <w:rPr>
          <w:rFonts w:eastAsia="Times New Roman" w:cs="Times New Roman"/>
          <w:szCs w:val="22"/>
        </w:rPr>
        <w:t>’</w:t>
      </w:r>
      <w:r w:rsidRPr="00DE7324">
        <w:rPr>
          <w:rFonts w:eastAsia="Times New Roman" w:cs="Times New Roman"/>
          <w:szCs w:val="22"/>
        </w:rPr>
        <w:t>assurer la coopération avec les autres conventions, organisations et initiatives pertinentes qui contribuent aux travaux menés dans le cadre du Protocole de Cartagena sur la prévention des risques biotechnologiques. Le présent document fournit un résumé des activités et des initiatives entreprises au cours de la période intersessions actuelle pour l</w:t>
      </w:r>
      <w:r w:rsidR="00C45B47">
        <w:rPr>
          <w:rFonts w:eastAsia="Times New Roman" w:cs="Times New Roman"/>
          <w:szCs w:val="22"/>
        </w:rPr>
        <w:t>’</w:t>
      </w:r>
      <w:r w:rsidRPr="00DE7324">
        <w:rPr>
          <w:rFonts w:eastAsia="Times New Roman" w:cs="Times New Roman"/>
          <w:szCs w:val="22"/>
        </w:rPr>
        <w:t>information de la Conférence des Parties siégeant en tant que réunion des Parties au Protocole de Cartagena sur la prévention des risques biotechnologiques</w:t>
      </w:r>
      <w:r w:rsidR="006F11AC">
        <w:rPr>
          <w:rFonts w:eastAsia="Times New Roman" w:cs="Times New Roman"/>
          <w:szCs w:val="22"/>
        </w:rPr>
        <w:t>.</w:t>
      </w:r>
    </w:p>
    <w:p w14:paraId="71D4BF8B" w14:textId="77777777" w:rsidR="00240B76" w:rsidRPr="00221E76" w:rsidRDefault="004E7576" w:rsidP="001A6166">
      <w:pPr>
        <w:pStyle w:val="Para1"/>
        <w:numPr>
          <w:ilvl w:val="0"/>
          <w:numId w:val="25"/>
        </w:numPr>
        <w:spacing w:before="120"/>
        <w:ind w:left="0" w:firstLine="0"/>
      </w:pPr>
      <w:r w:rsidRPr="00DE7324">
        <w:t>L</w:t>
      </w:r>
      <w:r w:rsidR="00C45B47">
        <w:t>’</w:t>
      </w:r>
      <w:r w:rsidRPr="00DE7324">
        <w:t>Organe subsidiaire chargé de l</w:t>
      </w:r>
      <w:r w:rsidR="00C45B47">
        <w:t>’</w:t>
      </w:r>
      <w:r w:rsidRPr="00DE7324">
        <w:t>application, dans sa recommandation 3/2 sur la quatrième évaluation et le quatrième examen de l</w:t>
      </w:r>
      <w:r w:rsidR="00C45B47">
        <w:t>’</w:t>
      </w:r>
      <w:r w:rsidRPr="00DE7324">
        <w:t>efficacité du Protocole et l</w:t>
      </w:r>
      <w:r w:rsidR="00C45B47">
        <w:t>’</w:t>
      </w:r>
      <w:r w:rsidRPr="00DE7324">
        <w:t>évaluation finale du Plan stratégique du Protocole de Cartagena sur la prévention des risques biotechnologiques pour la période 2011</w:t>
      </w:r>
      <w:r w:rsidR="00C45B47">
        <w:noBreakHyphen/>
      </w:r>
      <w:r w:rsidRPr="00DE7324">
        <w:t>2020, a noté l</w:t>
      </w:r>
      <w:r w:rsidR="00C45B47">
        <w:t>’</w:t>
      </w:r>
      <w:r w:rsidRPr="00DE7324">
        <w:t>importance de la coopération entre les Parties en plus de la coopération entre les organisations intergouvernementales pour soutenir la mise en œuvre du Protocole. En outre, la coopération a été prise en compte dans le projet de plan d</w:t>
      </w:r>
      <w:r w:rsidR="00C45B47">
        <w:t>’</w:t>
      </w:r>
      <w:r w:rsidRPr="00DE7324">
        <w:t>application pour l</w:t>
      </w:r>
      <w:r w:rsidR="00C45B47">
        <w:t>’</w:t>
      </w:r>
      <w:r w:rsidRPr="00DE7324">
        <w:t>après 2020 du Protocole de Cartagena sur la prévention des risques biotechnologiques en tant qu</w:t>
      </w:r>
      <w:r w:rsidR="00C45B47">
        <w:t>’</w:t>
      </w:r>
      <w:r w:rsidRPr="00DE7324">
        <w:t>objectif transversal permettant la mise en œuvre du Protocole</w:t>
      </w:r>
      <w:r>
        <w:t>.</w:t>
      </w:r>
    </w:p>
    <w:p w14:paraId="71D4BF8C" w14:textId="77777777" w:rsidR="007B4BC9" w:rsidRPr="000923AE" w:rsidRDefault="00C45B47" w:rsidP="001A6166">
      <w:pPr>
        <w:pStyle w:val="Para1"/>
        <w:numPr>
          <w:ilvl w:val="0"/>
          <w:numId w:val="25"/>
        </w:numPr>
        <w:spacing w:before="120"/>
        <w:ind w:left="0" w:firstLine="0"/>
        <w:rPr>
          <w:kern w:val="22"/>
        </w:rPr>
      </w:pPr>
      <w:r>
        <w:rPr>
          <w:kern w:val="22"/>
        </w:rPr>
        <w:t>La présente</w:t>
      </w:r>
      <w:r w:rsidR="004E7576" w:rsidRPr="00DE7324">
        <w:rPr>
          <w:kern w:val="22"/>
        </w:rPr>
        <w:t xml:space="preserve"> note donne un aperçu des mesures prises par la Secrétaire exécutive, dans le cadre du Plan stratégique du Protocole de Cartagena pour la période 2011</w:t>
      </w:r>
      <w:r>
        <w:rPr>
          <w:kern w:val="22"/>
        </w:rPr>
        <w:noBreakHyphen/>
      </w:r>
      <w:r w:rsidR="004E7576" w:rsidRPr="00DE7324">
        <w:rPr>
          <w:kern w:val="22"/>
        </w:rPr>
        <w:t>2020 et en réponse aux décisions antérieures, en collaboration avec d</w:t>
      </w:r>
      <w:r>
        <w:rPr>
          <w:kern w:val="22"/>
        </w:rPr>
        <w:t>’</w:t>
      </w:r>
      <w:r w:rsidR="004E7576" w:rsidRPr="00DE7324">
        <w:rPr>
          <w:kern w:val="22"/>
        </w:rPr>
        <w:t>autres organisations, conventions et initiatives en vue de créer des synergies entre les programmes liés à la prévention des risques biotechnologiques et d</w:t>
      </w:r>
      <w:r>
        <w:rPr>
          <w:kern w:val="22"/>
        </w:rPr>
        <w:t>’</w:t>
      </w:r>
      <w:r w:rsidR="004E7576" w:rsidRPr="00DE7324">
        <w:rPr>
          <w:kern w:val="22"/>
        </w:rPr>
        <w:t>assurer la mise en œuvre efficace du Protocole de Cartagena en particulier. La note aborde également la coopération sur les questions relevant de la Convention qui sont étroitement liées à la prévention des risques biotechnologiques</w:t>
      </w:r>
      <w:r w:rsidR="001F578A">
        <w:rPr>
          <w:kern w:val="22"/>
        </w:rPr>
        <w:t>.</w:t>
      </w:r>
    </w:p>
    <w:p w14:paraId="71D4BF8D" w14:textId="77777777" w:rsidR="00A75E09" w:rsidRPr="00C029F3" w:rsidRDefault="00E61E76" w:rsidP="00C029F3">
      <w:pPr>
        <w:keepNext/>
        <w:kinsoku w:val="0"/>
        <w:overflowPunct w:val="0"/>
        <w:autoSpaceDE w:val="0"/>
        <w:autoSpaceDN w:val="0"/>
        <w:spacing w:before="120" w:after="120"/>
        <w:jc w:val="center"/>
        <w:outlineLvl w:val="0"/>
        <w:rPr>
          <w:rFonts w:ascii="Times New Roman Bold" w:eastAsia="Times New Roman" w:hAnsi="Times New Roman Bold" w:cs="Times New Roman Bold"/>
          <w:b/>
          <w:bCs/>
          <w:caps/>
          <w:snapToGrid w:val="0"/>
          <w:kern w:val="22"/>
          <w:szCs w:val="22"/>
          <w:lang w:eastAsia="ko-KR"/>
        </w:rPr>
      </w:pPr>
      <w:r w:rsidRPr="00C029F3">
        <w:rPr>
          <w:rFonts w:ascii="Times New Roman Bold" w:eastAsia="Times New Roman" w:hAnsi="Times New Roman Bold" w:cs="Times New Roman Bold"/>
          <w:b/>
          <w:bCs/>
          <w:caps/>
          <w:snapToGrid w:val="0"/>
          <w:kern w:val="22"/>
          <w:szCs w:val="22"/>
          <w:lang w:eastAsia="ko-KR"/>
        </w:rPr>
        <w:lastRenderedPageBreak/>
        <w:t>II.</w:t>
      </w:r>
      <w:r w:rsidRPr="00C029F3">
        <w:rPr>
          <w:rFonts w:ascii="Times New Roman Bold" w:eastAsia="Times New Roman" w:hAnsi="Times New Roman Bold" w:cs="Times New Roman Bold"/>
          <w:b/>
          <w:bCs/>
          <w:caps/>
          <w:snapToGrid w:val="0"/>
          <w:kern w:val="22"/>
          <w:szCs w:val="22"/>
          <w:lang w:eastAsia="ko-KR"/>
        </w:rPr>
        <w:tab/>
      </w:r>
      <w:r w:rsidR="001F578A" w:rsidRPr="00DE7324">
        <w:rPr>
          <w:rFonts w:ascii="Times New Roman Bold" w:eastAsia="Times New Roman" w:hAnsi="Times New Roman Bold" w:cs="Times New Roman Bold"/>
          <w:b/>
          <w:bCs/>
          <w:caps/>
          <w:snapToGrid w:val="0"/>
          <w:kern w:val="22"/>
          <w:szCs w:val="22"/>
          <w:lang w:eastAsia="ko-KR"/>
        </w:rPr>
        <w:t>Aperçu des activitÉs de coopÉration en cours</w:t>
      </w:r>
    </w:p>
    <w:p w14:paraId="71D4BF8E" w14:textId="77777777" w:rsidR="00221E76" w:rsidRPr="000923AE" w:rsidRDefault="00833238" w:rsidP="00C029F3">
      <w:pPr>
        <w:pStyle w:val="Para1"/>
        <w:keepNext/>
        <w:suppressLineNumbers/>
        <w:suppressAutoHyphens/>
        <w:kinsoku w:val="0"/>
        <w:overflowPunct w:val="0"/>
        <w:autoSpaceDE w:val="0"/>
        <w:autoSpaceDN w:val="0"/>
        <w:adjustRightInd w:val="0"/>
        <w:snapToGrid w:val="0"/>
        <w:spacing w:before="120" w:after="0"/>
        <w:jc w:val="center"/>
        <w:outlineLvl w:val="1"/>
        <w:rPr>
          <w:b/>
          <w:bCs/>
          <w:kern w:val="22"/>
        </w:rPr>
      </w:pPr>
      <w:r w:rsidRPr="00C029F3">
        <w:rPr>
          <w:b/>
          <w:bCs/>
          <w:kern w:val="22"/>
        </w:rPr>
        <w:t>A</w:t>
      </w:r>
      <w:r w:rsidR="00173343" w:rsidRPr="00C029F3">
        <w:rPr>
          <w:b/>
          <w:bCs/>
          <w:kern w:val="22"/>
        </w:rPr>
        <w:t>.</w:t>
      </w:r>
      <w:r w:rsidR="00173343" w:rsidRPr="00C029F3">
        <w:rPr>
          <w:b/>
          <w:bCs/>
          <w:kern w:val="22"/>
        </w:rPr>
        <w:tab/>
      </w:r>
      <w:r w:rsidR="001F578A" w:rsidRPr="00DE7324">
        <w:rPr>
          <w:b/>
          <w:bCs/>
          <w:kern w:val="22"/>
        </w:rPr>
        <w:t>Coopération avec l</w:t>
      </w:r>
      <w:r w:rsidR="00C45B47">
        <w:rPr>
          <w:b/>
          <w:bCs/>
          <w:kern w:val="22"/>
        </w:rPr>
        <w:t>’</w:t>
      </w:r>
      <w:r w:rsidR="001F578A" w:rsidRPr="00DE7324">
        <w:rPr>
          <w:b/>
          <w:bCs/>
          <w:kern w:val="22"/>
        </w:rPr>
        <w:t>Organisation mondiale du commerce</w:t>
      </w:r>
    </w:p>
    <w:p w14:paraId="71D4BF8F" w14:textId="77777777" w:rsidR="00852B4C" w:rsidRPr="00A12C2F" w:rsidRDefault="001F578A" w:rsidP="001A6166">
      <w:pPr>
        <w:pStyle w:val="Para1"/>
        <w:numPr>
          <w:ilvl w:val="0"/>
          <w:numId w:val="25"/>
        </w:numPr>
        <w:spacing w:before="120"/>
        <w:ind w:left="0" w:firstLine="0"/>
        <w:rPr>
          <w:rFonts w:eastAsia="Times New Roman" w:cs="Times New Roman"/>
          <w:b/>
          <w:bCs/>
          <w:snapToGrid/>
          <w:lang w:eastAsia="en-CA"/>
        </w:rPr>
      </w:pPr>
      <w:r w:rsidRPr="00DE7324">
        <w:t>Le Secrétariat a continué d</w:t>
      </w:r>
      <w:r w:rsidR="00C45B47">
        <w:t>’</w:t>
      </w:r>
      <w:r w:rsidRPr="00DE7324">
        <w:t>assurer une liaison et une coopération avec l</w:t>
      </w:r>
      <w:r w:rsidR="00C45B47">
        <w:t>’</w:t>
      </w:r>
      <w:r w:rsidRPr="00DE7324">
        <w:t>Organisation mondiale du commerce (OMC) et à suivre les discussions et les négociations au sein des comités pertinents de l</w:t>
      </w:r>
      <w:r w:rsidR="00C45B47">
        <w:t>’</w:t>
      </w:r>
      <w:r w:rsidRPr="00DE7324">
        <w:t>OMC, notamment en assurant la liaison avec le Secrétariat de l</w:t>
      </w:r>
      <w:r w:rsidR="00C45B47">
        <w:t>’</w:t>
      </w:r>
      <w:r w:rsidRPr="00DE7324">
        <w:t>OMC. Depuis la quatorzième réunion de la Conférence des Parties à la Convention sur la diversité biologique, deux points résumant les décisions pertinentes de la Conférence des Parties siégeant en tant que réunion des Parties au Protocole de Cartagena, ainsi que sur ceux de la Conférence des Parties à la Convention, ont été présentés au Comité du commerce et de l</w:t>
      </w:r>
      <w:r w:rsidR="00C45B47">
        <w:t>’</w:t>
      </w:r>
      <w:r w:rsidRPr="00DE7324">
        <w:t>environnement de l</w:t>
      </w:r>
      <w:r w:rsidR="00C45B47">
        <w:t>’</w:t>
      </w:r>
      <w:r w:rsidRPr="00DE7324">
        <w:t>OMC, la dernière fois le 2 juin 2022. Les documents pertinents de l</w:t>
      </w:r>
      <w:r w:rsidR="00C45B47">
        <w:t>’</w:t>
      </w:r>
      <w:r w:rsidRPr="00DE7324">
        <w:t>OMC ont également été mis à jour, avec des contributions du Secrétariat de la Convention. Le Secrétariat de la Convention n</w:t>
      </w:r>
      <w:r w:rsidR="00C45B47">
        <w:t>’</w:t>
      </w:r>
      <w:r w:rsidRPr="00DE7324">
        <w:t>a qu</w:t>
      </w:r>
      <w:r w:rsidR="00C45B47">
        <w:t>’</w:t>
      </w:r>
      <w:r w:rsidRPr="00DE7324">
        <w:t>un statut d</w:t>
      </w:r>
      <w:r w:rsidR="00C45B47">
        <w:t>’</w:t>
      </w:r>
      <w:r w:rsidRPr="00DE7324">
        <w:t>observateur lors des sessions ordinaires du Comité du commerce et de l</w:t>
      </w:r>
      <w:r w:rsidR="00C45B47">
        <w:t>’</w:t>
      </w:r>
      <w:r w:rsidRPr="00DE7324">
        <w:t>environnement de l</w:t>
      </w:r>
      <w:r w:rsidR="00C45B47">
        <w:t>’</w:t>
      </w:r>
      <w:r w:rsidRPr="00DE7324">
        <w:t>OMC. Précédemment, il a également été invité aux réunions du Comité lors de sessions spéciales (de négociation), ainsi qu</w:t>
      </w:r>
      <w:r w:rsidR="00C45B47">
        <w:t>’</w:t>
      </w:r>
      <w:r w:rsidRPr="00DE7324">
        <w:t>au Comité des mesures sanitaires et phytosanitaires, en tant qu</w:t>
      </w:r>
      <w:r w:rsidR="00C45B47">
        <w:t>’</w:t>
      </w:r>
      <w:r w:rsidRPr="00DE7324">
        <w:t>observateur ad hoc. Plusieurs demandes de statut d</w:t>
      </w:r>
      <w:r w:rsidR="00C45B47">
        <w:t>’</w:t>
      </w:r>
      <w:r w:rsidRPr="00DE7324">
        <w:t>observateur à part entière au sein de ces comités et d</w:t>
      </w:r>
      <w:r w:rsidR="00C45B47">
        <w:t>’</w:t>
      </w:r>
      <w:r w:rsidRPr="00DE7324">
        <w:t>autres comités de l</w:t>
      </w:r>
      <w:r w:rsidR="00C45B47">
        <w:t>’</w:t>
      </w:r>
      <w:r w:rsidRPr="00DE7324">
        <w:t>OMC sont en cours</w:t>
      </w:r>
      <w:r w:rsidR="001E17D4" w:rsidRPr="00221E76">
        <w:t>.</w:t>
      </w:r>
    </w:p>
    <w:p w14:paraId="71D4BF90" w14:textId="77777777" w:rsidR="00855233" w:rsidRPr="00C029F3" w:rsidRDefault="00FF04BF" w:rsidP="00C029F3">
      <w:pPr>
        <w:pStyle w:val="Para1"/>
        <w:keepNext/>
        <w:suppressLineNumbers/>
        <w:suppressAutoHyphens/>
        <w:kinsoku w:val="0"/>
        <w:overflowPunct w:val="0"/>
        <w:autoSpaceDE w:val="0"/>
        <w:autoSpaceDN w:val="0"/>
        <w:adjustRightInd w:val="0"/>
        <w:snapToGrid w:val="0"/>
        <w:spacing w:before="120" w:after="0"/>
        <w:jc w:val="center"/>
        <w:outlineLvl w:val="1"/>
        <w:rPr>
          <w:b/>
          <w:bCs/>
          <w:noProof/>
          <w:kern w:val="22"/>
        </w:rPr>
      </w:pPr>
      <w:r w:rsidRPr="00A12C2F">
        <w:rPr>
          <w:b/>
          <w:bCs/>
          <w:kern w:val="22"/>
        </w:rPr>
        <w:t>B</w:t>
      </w:r>
      <w:r w:rsidRPr="00C029F3">
        <w:rPr>
          <w:b/>
          <w:bCs/>
          <w:kern w:val="22"/>
        </w:rPr>
        <w:t>.</w:t>
      </w:r>
      <w:r w:rsidR="00855233" w:rsidRPr="00C029F3">
        <w:rPr>
          <w:b/>
          <w:bCs/>
          <w:kern w:val="22"/>
        </w:rPr>
        <w:tab/>
      </w:r>
      <w:r w:rsidR="0092315B" w:rsidRPr="00DE7324">
        <w:rPr>
          <w:b/>
          <w:bCs/>
          <w:noProof/>
          <w:kern w:val="22"/>
        </w:rPr>
        <w:t>Comité inter</w:t>
      </w:r>
      <w:r w:rsidR="00C45B47">
        <w:rPr>
          <w:b/>
          <w:bCs/>
          <w:noProof/>
          <w:kern w:val="22"/>
        </w:rPr>
        <w:noBreakHyphen/>
      </w:r>
      <w:r w:rsidR="0092315B" w:rsidRPr="00DE7324">
        <w:rPr>
          <w:b/>
          <w:bCs/>
          <w:noProof/>
          <w:kern w:val="22"/>
        </w:rPr>
        <w:t>institutions des Nations Unies sur la bioéthique</w:t>
      </w:r>
    </w:p>
    <w:p w14:paraId="71D4BF91" w14:textId="77777777" w:rsidR="00855233" w:rsidRPr="00221E76" w:rsidRDefault="0092315B" w:rsidP="001A6166">
      <w:pPr>
        <w:pStyle w:val="Para1"/>
        <w:numPr>
          <w:ilvl w:val="0"/>
          <w:numId w:val="25"/>
        </w:numPr>
        <w:spacing w:before="120"/>
        <w:ind w:left="0" w:firstLine="0"/>
      </w:pPr>
      <w:r w:rsidRPr="00DE7324">
        <w:rPr>
          <w:noProof/>
        </w:rPr>
        <w:t>Le Comité inter</w:t>
      </w:r>
      <w:r w:rsidR="00C45B47">
        <w:rPr>
          <w:noProof/>
        </w:rPr>
        <w:noBreakHyphen/>
      </w:r>
      <w:r w:rsidRPr="00DE7324">
        <w:rPr>
          <w:noProof/>
        </w:rPr>
        <w:t>institutions</w:t>
      </w:r>
      <w:r w:rsidRPr="00DE7324">
        <w:t xml:space="preserve"> des Nations Unies sur la bioéthique (UNIACB) est un forum d</w:t>
      </w:r>
      <w:r w:rsidR="00C45B47">
        <w:t>’</w:t>
      </w:r>
      <w:r w:rsidRPr="00DE7324">
        <w:t>échange créé en mars 2003, concernant les informations dans le domaine de la bioéthique et des questions connexes, et accorde une attention particulière aux droits de l</w:t>
      </w:r>
      <w:r w:rsidR="00C45B47">
        <w:t>’</w:t>
      </w:r>
      <w:r w:rsidRPr="00DE7324">
        <w:t>homme. L</w:t>
      </w:r>
      <w:r w:rsidR="00C45B47">
        <w:t>’</w:t>
      </w:r>
      <w:r w:rsidRPr="00DE7324">
        <w:t>UNIACB entend promouvoir la coordination et la coopération dans les activités menées par ses membres. Le Secrétariat a participé à trois réunions de l</w:t>
      </w:r>
      <w:r w:rsidR="00C45B47">
        <w:t>’</w:t>
      </w:r>
      <w:r w:rsidRPr="00DE7324">
        <w:t>UNIACB, qui est dirigée par l</w:t>
      </w:r>
      <w:r w:rsidR="00C45B47">
        <w:t>’</w:t>
      </w:r>
      <w:r w:rsidRPr="00DE7324">
        <w:t>UNESCO. Au cours de ces réunions, les organisations membres présentent leurs travaux dans des domaines liés à la bioéthique. Dans ce contexte, le Secrétariat a présenté les travaux sur la biologie de synthèse : lors de la dernière réunion, qui s</w:t>
      </w:r>
      <w:r w:rsidR="00C45B47">
        <w:t>’</w:t>
      </w:r>
      <w:r w:rsidRPr="00DE7324">
        <w:t>est tenue en mai 2022, le Secrétariat a partagé des informations sur l</w:t>
      </w:r>
      <w:r w:rsidR="00C45B47">
        <w:t>’</w:t>
      </w:r>
      <w:r w:rsidRPr="00DE7324">
        <w:t xml:space="preserve">élaboration de la publication de la série technique sur la biologie de synthèse, ainsi que sur </w:t>
      </w:r>
      <w:r w:rsidRPr="00DE7324">
        <w:rPr>
          <w:noProof/>
        </w:rPr>
        <w:t>le webinaire</w:t>
      </w:r>
      <w:r w:rsidRPr="00DE7324">
        <w:t xml:space="preserve"> qu</w:t>
      </w:r>
      <w:r w:rsidR="00C45B47">
        <w:t>’</w:t>
      </w:r>
      <w:r w:rsidRPr="00DE7324">
        <w:t>il a organisé en novembre 2021</w:t>
      </w:r>
      <w:r w:rsidR="00855233" w:rsidRPr="00C87BE2">
        <w:t>.</w:t>
      </w:r>
    </w:p>
    <w:p w14:paraId="71D4BF92" w14:textId="77777777" w:rsidR="00855233" w:rsidRPr="00DF5D7C" w:rsidRDefault="00FF04BF" w:rsidP="00C029F3">
      <w:pPr>
        <w:pStyle w:val="Para1"/>
        <w:keepNext/>
        <w:suppressLineNumbers/>
        <w:suppressAutoHyphens/>
        <w:kinsoku w:val="0"/>
        <w:overflowPunct w:val="0"/>
        <w:autoSpaceDE w:val="0"/>
        <w:autoSpaceDN w:val="0"/>
        <w:adjustRightInd w:val="0"/>
        <w:snapToGrid w:val="0"/>
        <w:spacing w:before="120" w:after="0"/>
        <w:jc w:val="center"/>
        <w:outlineLvl w:val="1"/>
        <w:rPr>
          <w:kern w:val="22"/>
        </w:rPr>
      </w:pPr>
      <w:r w:rsidRPr="00DF5D7C">
        <w:rPr>
          <w:b/>
          <w:bCs/>
          <w:kern w:val="22"/>
        </w:rPr>
        <w:t>C</w:t>
      </w:r>
      <w:r w:rsidR="00232BF0" w:rsidRPr="00DF5D7C">
        <w:rPr>
          <w:kern w:val="22"/>
        </w:rPr>
        <w:t>.</w:t>
      </w:r>
      <w:r w:rsidR="00232BF0" w:rsidRPr="00DF5D7C">
        <w:rPr>
          <w:kern w:val="22"/>
        </w:rPr>
        <w:tab/>
      </w:r>
      <w:r w:rsidR="0092315B" w:rsidRPr="00DE7324">
        <w:rPr>
          <w:b/>
          <w:bCs/>
          <w:kern w:val="22"/>
          <w:szCs w:val="22"/>
        </w:rPr>
        <w:t>Coopération avec l</w:t>
      </w:r>
      <w:r w:rsidR="00C45B47">
        <w:rPr>
          <w:b/>
          <w:bCs/>
          <w:kern w:val="22"/>
          <w:szCs w:val="22"/>
        </w:rPr>
        <w:t>’</w:t>
      </w:r>
      <w:r w:rsidR="0092315B" w:rsidRPr="00DE7324">
        <w:rPr>
          <w:b/>
          <w:bCs/>
          <w:kern w:val="22"/>
          <w:szCs w:val="22"/>
        </w:rPr>
        <w:t>Organisation mondiale de la santé</w:t>
      </w:r>
    </w:p>
    <w:p w14:paraId="71D4BF93" w14:textId="77777777" w:rsidR="004C5D67" w:rsidRPr="009D7E23" w:rsidRDefault="0092315B" w:rsidP="001A6166">
      <w:pPr>
        <w:pStyle w:val="Para1"/>
        <w:numPr>
          <w:ilvl w:val="0"/>
          <w:numId w:val="25"/>
        </w:numPr>
        <w:spacing w:before="120"/>
        <w:ind w:left="0" w:firstLine="0"/>
        <w:rPr>
          <w:rFonts w:eastAsia="Times New Roman" w:cs="Times New Roman"/>
          <w:b/>
          <w:bCs/>
          <w:snapToGrid/>
          <w:kern w:val="22"/>
          <w:u w:val="single"/>
          <w:lang w:eastAsia="en-CA"/>
        </w:rPr>
      </w:pPr>
      <w:r w:rsidRPr="00DE7324">
        <w:rPr>
          <w:szCs w:val="22"/>
        </w:rPr>
        <w:t>Le Secrétariat a poursuivi sa coopération avec l</w:t>
      </w:r>
      <w:r w:rsidR="00C45B47">
        <w:rPr>
          <w:szCs w:val="22"/>
        </w:rPr>
        <w:t>’</w:t>
      </w:r>
      <w:r w:rsidRPr="00DE7324">
        <w:rPr>
          <w:szCs w:val="22"/>
        </w:rPr>
        <w:t>Organisation mondiale de la Santé (OMS) sur des questions spécifiques d</w:t>
      </w:r>
      <w:r w:rsidR="00C45B47">
        <w:rPr>
          <w:szCs w:val="22"/>
        </w:rPr>
        <w:t>’</w:t>
      </w:r>
      <w:r w:rsidRPr="00DE7324">
        <w:rPr>
          <w:szCs w:val="22"/>
        </w:rPr>
        <w:t>intérêt mutuel concernant l</w:t>
      </w:r>
      <w:r w:rsidR="00C45B47">
        <w:rPr>
          <w:szCs w:val="22"/>
        </w:rPr>
        <w:t>’</w:t>
      </w:r>
      <w:r w:rsidRPr="00DE7324">
        <w:rPr>
          <w:szCs w:val="22"/>
        </w:rPr>
        <w:t>évaluation et la gestion des risques</w:t>
      </w:r>
      <w:r>
        <w:rPr>
          <w:bCs/>
          <w:szCs w:val="22"/>
        </w:rPr>
        <w:t>.</w:t>
      </w:r>
    </w:p>
    <w:p w14:paraId="71D4BF94" w14:textId="77777777" w:rsidR="005239F5" w:rsidRPr="00C029F3" w:rsidRDefault="00124799" w:rsidP="00C029F3">
      <w:pPr>
        <w:pStyle w:val="Para1"/>
        <w:keepNext/>
        <w:tabs>
          <w:tab w:val="left" w:pos="360"/>
        </w:tabs>
        <w:spacing w:before="120" w:after="0"/>
        <w:jc w:val="center"/>
        <w:outlineLvl w:val="2"/>
        <w:rPr>
          <w:rFonts w:eastAsia="Times New Roman" w:cs="Times New Roman"/>
          <w:i/>
          <w:iCs/>
          <w:snapToGrid/>
          <w:kern w:val="22"/>
          <w:lang w:eastAsia="en-CA"/>
        </w:rPr>
      </w:pPr>
      <w:r w:rsidRPr="000F3E99">
        <w:rPr>
          <w:rFonts w:eastAsia="Times New Roman" w:cs="Times New Roman"/>
          <w:i/>
          <w:iCs/>
          <w:snapToGrid/>
          <w:kern w:val="22"/>
          <w:lang w:eastAsia="en-CA"/>
        </w:rPr>
        <w:t>1.</w:t>
      </w:r>
      <w:r w:rsidRPr="000F3E99">
        <w:rPr>
          <w:rFonts w:eastAsia="Times New Roman" w:cs="Times New Roman"/>
          <w:i/>
          <w:iCs/>
          <w:snapToGrid/>
          <w:kern w:val="22"/>
          <w:lang w:eastAsia="en-CA"/>
        </w:rPr>
        <w:tab/>
      </w:r>
      <w:r w:rsidR="0092315B" w:rsidRPr="00DE7324">
        <w:rPr>
          <w:rFonts w:eastAsia="Times New Roman" w:cs="Times New Roman"/>
          <w:i/>
          <w:iCs/>
          <w:snapToGrid/>
          <w:kern w:val="22"/>
          <w:lang w:eastAsia="en-CA"/>
        </w:rPr>
        <w:t>Groupe de travail des Nations Unies sur les risques biologiques</w:t>
      </w:r>
    </w:p>
    <w:p w14:paraId="71D4BF95" w14:textId="77777777" w:rsidR="005239F5" w:rsidRPr="00221E76" w:rsidRDefault="0092315B" w:rsidP="001A6166">
      <w:pPr>
        <w:pStyle w:val="Para1"/>
        <w:numPr>
          <w:ilvl w:val="0"/>
          <w:numId w:val="25"/>
        </w:numPr>
        <w:spacing w:before="120"/>
        <w:ind w:left="0" w:firstLine="0"/>
        <w:rPr>
          <w:rFonts w:eastAsia="Times New Roman" w:cs="Times New Roman"/>
          <w:snapToGrid/>
          <w:kern w:val="22"/>
          <w:lang w:eastAsia="en-CA"/>
        </w:rPr>
      </w:pPr>
      <w:r w:rsidRPr="00DE7324">
        <w:rPr>
          <w:rFonts w:eastAsia="Times New Roman" w:cs="Times New Roman"/>
          <w:snapToGrid/>
          <w:kern w:val="22"/>
          <w:lang w:eastAsia="en-CA"/>
        </w:rPr>
        <w:t>Le Groupe de travail des Nations Unies sur les risques biologiques a été créé par le Secrétaire général pour réunir des compétences politiques/normatives et techniques afin d</w:t>
      </w:r>
      <w:r w:rsidR="00C45B47">
        <w:rPr>
          <w:rFonts w:eastAsia="Times New Roman" w:cs="Times New Roman"/>
          <w:snapToGrid/>
          <w:kern w:val="22"/>
          <w:lang w:eastAsia="en-CA"/>
        </w:rPr>
        <w:t>’</w:t>
      </w:r>
      <w:r w:rsidRPr="00DE7324">
        <w:rPr>
          <w:rFonts w:eastAsia="Times New Roman" w:cs="Times New Roman"/>
          <w:snapToGrid/>
          <w:kern w:val="22"/>
          <w:lang w:eastAsia="en-CA"/>
        </w:rPr>
        <w:t>harmoniser et de développer une compréhension claire des capacités, mécanismes, rôles et responsabilités au sein du système des Nations Unies. Cela permettra de renforcer la préparation et la réponse de la communauté internationale aux événements biologiques naturels, accidentels ou délibérés. Le Groupe de travail est coprésidé par l</w:t>
      </w:r>
      <w:r w:rsidR="00C45B47">
        <w:rPr>
          <w:rFonts w:eastAsia="Times New Roman" w:cs="Times New Roman"/>
          <w:snapToGrid/>
          <w:kern w:val="22"/>
          <w:lang w:eastAsia="en-CA"/>
        </w:rPr>
        <w:t>’</w:t>
      </w:r>
      <w:r w:rsidRPr="00DE7324">
        <w:rPr>
          <w:rFonts w:eastAsia="Times New Roman" w:cs="Times New Roman"/>
          <w:snapToGrid/>
          <w:kern w:val="22"/>
          <w:lang w:eastAsia="en-CA"/>
        </w:rPr>
        <w:t>Organisation mondiale de la Santé et le Bureau des affaires de désarmement des Nations Unies (UNODA). Le Secrétariat a été invité à rejoindre le Groupe de travail des Nations Unies sur les risques biologiques et a participé jusqu</w:t>
      </w:r>
      <w:r w:rsidR="00C45B47">
        <w:rPr>
          <w:rFonts w:eastAsia="Times New Roman" w:cs="Times New Roman"/>
          <w:snapToGrid/>
          <w:kern w:val="22"/>
          <w:lang w:eastAsia="en-CA"/>
        </w:rPr>
        <w:t>’</w:t>
      </w:r>
      <w:r w:rsidRPr="00DE7324">
        <w:rPr>
          <w:rFonts w:eastAsia="Times New Roman" w:cs="Times New Roman"/>
          <w:snapToGrid/>
          <w:kern w:val="22"/>
          <w:lang w:eastAsia="en-CA"/>
        </w:rPr>
        <w:t>à présent à trois réunions et à un court échange pilote avec le personnel en support de l</w:t>
      </w:r>
      <w:r w:rsidR="00C45B47">
        <w:rPr>
          <w:rFonts w:eastAsia="Times New Roman" w:cs="Times New Roman"/>
          <w:snapToGrid/>
          <w:kern w:val="22"/>
          <w:lang w:eastAsia="en-CA"/>
        </w:rPr>
        <w:t>’</w:t>
      </w:r>
      <w:r w:rsidRPr="00DE7324">
        <w:rPr>
          <w:rFonts w:eastAsia="Times New Roman" w:cs="Times New Roman"/>
          <w:snapToGrid/>
          <w:kern w:val="22"/>
          <w:lang w:eastAsia="en-CA"/>
        </w:rPr>
        <w:t>activité 3 du plan de travail du groupe, qui tente de recenser les compétences et les expériences liées aux risques biologiques dans les agences des Nations Unies</w:t>
      </w:r>
      <w:r>
        <w:rPr>
          <w:rFonts w:eastAsia="Times New Roman" w:cs="Times New Roman"/>
          <w:snapToGrid/>
          <w:kern w:val="22"/>
          <w:lang w:eastAsia="en-CA"/>
        </w:rPr>
        <w:t>.</w:t>
      </w:r>
    </w:p>
    <w:p w14:paraId="71D4BF96" w14:textId="77777777" w:rsidR="005239F5" w:rsidRPr="00C029F3" w:rsidRDefault="00124799" w:rsidP="00C029F3">
      <w:pPr>
        <w:pStyle w:val="Para1"/>
        <w:keepNext/>
        <w:tabs>
          <w:tab w:val="left" w:pos="360"/>
        </w:tabs>
        <w:spacing w:before="120"/>
        <w:jc w:val="center"/>
        <w:outlineLvl w:val="2"/>
        <w:rPr>
          <w:rFonts w:eastAsia="Times New Roman" w:cs="Times New Roman"/>
          <w:i/>
          <w:iCs/>
          <w:snapToGrid/>
          <w:kern w:val="22"/>
          <w:lang w:eastAsia="en-CA"/>
        </w:rPr>
      </w:pPr>
      <w:r w:rsidRPr="00747B85">
        <w:rPr>
          <w:rFonts w:eastAsia="Times New Roman" w:cs="Times New Roman"/>
          <w:i/>
          <w:iCs/>
          <w:snapToGrid/>
          <w:kern w:val="22"/>
          <w:lang w:eastAsia="en-CA"/>
        </w:rPr>
        <w:t>2.</w:t>
      </w:r>
      <w:r>
        <w:rPr>
          <w:rFonts w:eastAsia="Times New Roman" w:cs="Times New Roman"/>
          <w:i/>
          <w:iCs/>
          <w:snapToGrid/>
          <w:kern w:val="22"/>
          <w:lang w:eastAsia="en-CA"/>
        </w:rPr>
        <w:tab/>
      </w:r>
      <w:r w:rsidR="0092315B" w:rsidRPr="00DE7324">
        <w:rPr>
          <w:rFonts w:eastAsia="Times New Roman" w:cs="Times New Roman"/>
          <w:i/>
          <w:iCs/>
          <w:snapToGrid/>
          <w:kern w:val="22"/>
          <w:lang w:eastAsia="en-CA"/>
        </w:rPr>
        <w:t>Activités supplémentaires</w:t>
      </w:r>
    </w:p>
    <w:p w14:paraId="71D4BF97" w14:textId="77777777" w:rsidR="00E75F13" w:rsidRPr="00681249" w:rsidRDefault="0092315B" w:rsidP="00681249">
      <w:pPr>
        <w:pStyle w:val="Para1"/>
        <w:numPr>
          <w:ilvl w:val="0"/>
          <w:numId w:val="25"/>
        </w:numPr>
        <w:spacing w:before="120"/>
        <w:ind w:left="0" w:firstLine="0"/>
        <w:rPr>
          <w:rFonts w:cs="Arial"/>
          <w:szCs w:val="22"/>
        </w:rPr>
      </w:pPr>
      <w:r w:rsidRPr="00DE7324">
        <w:rPr>
          <w:rFonts w:eastAsia="Times New Roman" w:cs="Times New Roman"/>
          <w:snapToGrid/>
          <w:kern w:val="22"/>
          <w:lang w:eastAsia="en-CA"/>
        </w:rPr>
        <w:t>Les interactions par le biais du Groupe de travail des Nations Unies sur les risques biologiques ont également facilité une coopération étendue entre l</w:t>
      </w:r>
      <w:r w:rsidR="00C45B47">
        <w:rPr>
          <w:rFonts w:eastAsia="Times New Roman" w:cs="Times New Roman"/>
          <w:snapToGrid/>
          <w:kern w:val="22"/>
          <w:lang w:eastAsia="en-CA"/>
        </w:rPr>
        <w:t>’</w:t>
      </w:r>
      <w:r w:rsidRPr="00DE7324">
        <w:rPr>
          <w:rFonts w:eastAsia="Times New Roman" w:cs="Times New Roman"/>
          <w:snapToGrid/>
          <w:kern w:val="22"/>
          <w:lang w:eastAsia="en-CA"/>
        </w:rPr>
        <w:t>OMS et le Secrétariat sur des questions liées à des domaines de travail transversaux tels que la biologie synthétique, où des informations ont été partagées sur les processus d</w:t>
      </w:r>
      <w:r w:rsidR="00C45B47">
        <w:rPr>
          <w:rFonts w:eastAsia="Times New Roman" w:cs="Times New Roman"/>
          <w:snapToGrid/>
          <w:kern w:val="22"/>
          <w:lang w:eastAsia="en-CA"/>
        </w:rPr>
        <w:t>’</w:t>
      </w:r>
      <w:r w:rsidRPr="00DE7324">
        <w:rPr>
          <w:rFonts w:eastAsia="Times New Roman" w:cs="Times New Roman"/>
          <w:snapToGrid/>
          <w:kern w:val="22"/>
          <w:lang w:eastAsia="en-CA"/>
        </w:rPr>
        <w:t>analyse prospective et le rôle des nouvelles technologies et des sciences de la vie dans la résolution des problèmes mondiaux. En particulier, le personnel du Secrétariat a participé à un programme d</w:t>
      </w:r>
      <w:r w:rsidR="00C45B47">
        <w:rPr>
          <w:rFonts w:eastAsia="Times New Roman" w:cs="Times New Roman"/>
          <w:snapToGrid/>
          <w:kern w:val="22"/>
          <w:lang w:eastAsia="en-CA"/>
        </w:rPr>
        <w:t>’</w:t>
      </w:r>
      <w:r w:rsidRPr="00DE7324">
        <w:rPr>
          <w:rFonts w:eastAsia="Times New Roman" w:cs="Times New Roman"/>
          <w:snapToGrid/>
          <w:kern w:val="22"/>
          <w:lang w:eastAsia="en-CA"/>
        </w:rPr>
        <w:t>échange de personnel avec l</w:t>
      </w:r>
      <w:r w:rsidR="00C45B47">
        <w:rPr>
          <w:rFonts w:eastAsia="Times New Roman" w:cs="Times New Roman"/>
          <w:snapToGrid/>
          <w:kern w:val="22"/>
          <w:lang w:eastAsia="en-CA"/>
        </w:rPr>
        <w:t>’</w:t>
      </w:r>
      <w:r w:rsidRPr="00DE7324">
        <w:rPr>
          <w:rFonts w:eastAsia="Times New Roman" w:cs="Times New Roman"/>
          <w:snapToGrid/>
          <w:kern w:val="22"/>
          <w:lang w:eastAsia="en-CA"/>
        </w:rPr>
        <w:t>OMS qui a facilité le partage des connaissances liées aux risques biologiques et a permis d</w:t>
      </w:r>
      <w:r w:rsidR="00C45B47">
        <w:rPr>
          <w:rFonts w:eastAsia="Times New Roman" w:cs="Times New Roman"/>
          <w:snapToGrid/>
          <w:kern w:val="22"/>
          <w:lang w:eastAsia="en-CA"/>
        </w:rPr>
        <w:t>’</w:t>
      </w:r>
      <w:r w:rsidRPr="00DE7324">
        <w:rPr>
          <w:rFonts w:eastAsia="Times New Roman" w:cs="Times New Roman"/>
          <w:snapToGrid/>
          <w:kern w:val="22"/>
          <w:lang w:eastAsia="en-CA"/>
        </w:rPr>
        <w:t>identifier les synergies potentielles et les domaines de travail transversaux entre les organisations en vue d</w:t>
      </w:r>
      <w:r w:rsidR="00C45B47">
        <w:rPr>
          <w:rFonts w:eastAsia="Times New Roman" w:cs="Times New Roman"/>
          <w:snapToGrid/>
          <w:kern w:val="22"/>
          <w:lang w:eastAsia="en-CA"/>
        </w:rPr>
        <w:t>’</w:t>
      </w:r>
      <w:r w:rsidRPr="00DE7324">
        <w:rPr>
          <w:rFonts w:eastAsia="Times New Roman" w:cs="Times New Roman"/>
          <w:snapToGrid/>
          <w:kern w:val="22"/>
          <w:lang w:eastAsia="en-CA"/>
        </w:rPr>
        <w:t xml:space="preserve">améliorer la coordination et la collaboration en matière de </w:t>
      </w:r>
      <w:r w:rsidRPr="00DE7324">
        <w:rPr>
          <w:rFonts w:eastAsia="Times New Roman" w:cs="Times New Roman"/>
          <w:snapToGrid/>
          <w:kern w:val="22"/>
          <w:lang w:eastAsia="en-CA"/>
        </w:rPr>
        <w:lastRenderedPageBreak/>
        <w:t>risques biologiques entre le Secrétariat et l</w:t>
      </w:r>
      <w:r w:rsidR="00C45B47">
        <w:rPr>
          <w:rFonts w:eastAsia="Times New Roman" w:cs="Times New Roman"/>
          <w:snapToGrid/>
          <w:kern w:val="22"/>
          <w:lang w:eastAsia="en-CA"/>
        </w:rPr>
        <w:t>’</w:t>
      </w:r>
      <w:r w:rsidRPr="00DE7324">
        <w:rPr>
          <w:rFonts w:eastAsia="Times New Roman" w:cs="Times New Roman"/>
          <w:snapToGrid/>
          <w:kern w:val="22"/>
          <w:lang w:eastAsia="en-CA"/>
        </w:rPr>
        <w:t>OMS. Bon nombre de ces questions sont également liées à d</w:t>
      </w:r>
      <w:r w:rsidR="00C45B47">
        <w:rPr>
          <w:rFonts w:eastAsia="Times New Roman" w:cs="Times New Roman"/>
          <w:snapToGrid/>
          <w:kern w:val="22"/>
          <w:lang w:eastAsia="en-CA"/>
        </w:rPr>
        <w:t>’</w:t>
      </w:r>
      <w:r w:rsidRPr="00DE7324">
        <w:rPr>
          <w:rFonts w:eastAsia="Times New Roman" w:cs="Times New Roman"/>
          <w:snapToGrid/>
          <w:kern w:val="22"/>
          <w:lang w:eastAsia="en-CA"/>
        </w:rPr>
        <w:t>autres travaux menés dans le cadre de la Convention et du Protocole de Nagoya</w:t>
      </w:r>
      <w:r w:rsidR="003B5F09" w:rsidRPr="00A35ADC">
        <w:rPr>
          <w:rFonts w:cs="Arial"/>
          <w:szCs w:val="22"/>
        </w:rPr>
        <w:t>.</w:t>
      </w:r>
      <w:r w:rsidRPr="0092315B">
        <w:rPr>
          <w:rStyle w:val="FootnoteReference"/>
          <w:rFonts w:cs="Arial"/>
          <w:szCs w:val="22"/>
          <w:u w:val="none"/>
          <w:vertAlign w:val="superscript"/>
        </w:rPr>
        <w:t xml:space="preserve"> </w:t>
      </w:r>
      <w:r w:rsidRPr="00DE7324">
        <w:rPr>
          <w:rStyle w:val="FootnoteReference"/>
          <w:rFonts w:cs="Arial"/>
          <w:szCs w:val="22"/>
          <w:u w:val="none"/>
          <w:vertAlign w:val="superscript"/>
        </w:rPr>
        <w:footnoteReference w:id="3"/>
      </w:r>
    </w:p>
    <w:p w14:paraId="71D4BF98" w14:textId="77777777" w:rsidR="003C53EF" w:rsidRPr="008D7332" w:rsidRDefault="00173343" w:rsidP="00681249">
      <w:pPr>
        <w:pStyle w:val="Para1"/>
        <w:spacing w:before="120"/>
        <w:ind w:left="1134" w:hanging="567"/>
        <w:jc w:val="left"/>
        <w:rPr>
          <w:rFonts w:eastAsia="Times New Roman" w:cs="Times New Roman"/>
          <w:i/>
          <w:kern w:val="22"/>
          <w:szCs w:val="22"/>
          <w:lang w:eastAsia="en-CA"/>
        </w:rPr>
      </w:pPr>
      <w:r w:rsidRPr="00A35ADC">
        <w:rPr>
          <w:rFonts w:eastAsia="Times New Roman" w:cs="Times New Roman"/>
          <w:b/>
          <w:bCs/>
          <w:kern w:val="22"/>
          <w:lang w:eastAsia="en-CA"/>
        </w:rPr>
        <w:t>D.</w:t>
      </w:r>
      <w:r w:rsidRPr="00A35ADC">
        <w:rPr>
          <w:rFonts w:eastAsia="Times New Roman" w:cs="Times New Roman"/>
          <w:b/>
          <w:kern w:val="22"/>
          <w:szCs w:val="22"/>
          <w:lang w:eastAsia="en-CA"/>
        </w:rPr>
        <w:tab/>
      </w:r>
      <w:r w:rsidR="00F81732" w:rsidRPr="00DE7324">
        <w:rPr>
          <w:rFonts w:eastAsia="Times New Roman" w:cs="Times New Roman"/>
          <w:b/>
          <w:bCs/>
          <w:kern w:val="22"/>
          <w:lang w:eastAsia="en-CA"/>
        </w:rPr>
        <w:t>Coopération avec la Convention d</w:t>
      </w:r>
      <w:r w:rsidR="00C45B47">
        <w:rPr>
          <w:rFonts w:eastAsia="Times New Roman" w:cs="Times New Roman"/>
          <w:b/>
          <w:bCs/>
          <w:kern w:val="22"/>
          <w:lang w:eastAsia="en-CA"/>
        </w:rPr>
        <w:t>’</w:t>
      </w:r>
      <w:r w:rsidR="00F81732" w:rsidRPr="00DE7324">
        <w:rPr>
          <w:rFonts w:eastAsia="Times New Roman" w:cs="Times New Roman"/>
          <w:b/>
          <w:bCs/>
          <w:kern w:val="22"/>
          <w:lang w:eastAsia="en-CA"/>
        </w:rPr>
        <w:t>Aarhus sur l</w:t>
      </w:r>
      <w:r w:rsidR="00C45B47">
        <w:rPr>
          <w:rFonts w:eastAsia="Times New Roman" w:cs="Times New Roman"/>
          <w:b/>
          <w:bCs/>
          <w:kern w:val="22"/>
          <w:lang w:eastAsia="en-CA"/>
        </w:rPr>
        <w:t>’</w:t>
      </w:r>
      <w:r w:rsidR="00F81732" w:rsidRPr="00DE7324">
        <w:rPr>
          <w:rFonts w:eastAsia="Times New Roman" w:cs="Times New Roman"/>
          <w:b/>
          <w:bCs/>
          <w:kern w:val="22"/>
          <w:lang w:eastAsia="en-CA"/>
        </w:rPr>
        <w:t>accès à l</w:t>
      </w:r>
      <w:r w:rsidR="00C45B47">
        <w:rPr>
          <w:rFonts w:eastAsia="Times New Roman" w:cs="Times New Roman"/>
          <w:b/>
          <w:bCs/>
          <w:kern w:val="22"/>
          <w:lang w:eastAsia="en-CA"/>
        </w:rPr>
        <w:t>’</w:t>
      </w:r>
      <w:r w:rsidR="00F81732" w:rsidRPr="00DE7324">
        <w:rPr>
          <w:rFonts w:eastAsia="Times New Roman" w:cs="Times New Roman"/>
          <w:b/>
          <w:bCs/>
          <w:kern w:val="22"/>
          <w:lang w:eastAsia="en-CA"/>
        </w:rPr>
        <w:t>information et la participation du public</w:t>
      </w:r>
    </w:p>
    <w:p w14:paraId="71D4BF99" w14:textId="77777777" w:rsidR="00941E78" w:rsidRPr="008D7332" w:rsidRDefault="00F81732" w:rsidP="001A6166">
      <w:pPr>
        <w:pStyle w:val="Para1"/>
        <w:numPr>
          <w:ilvl w:val="0"/>
          <w:numId w:val="25"/>
        </w:numPr>
        <w:spacing w:before="120"/>
        <w:ind w:left="0" w:firstLine="0"/>
        <w:rPr>
          <w:rFonts w:eastAsia="Times New Roman" w:cs="Times New Roman"/>
        </w:rPr>
      </w:pPr>
      <w:r w:rsidRPr="00DE7324">
        <w:t>Le Secrétariat a continué à collaborer avec le Secrétariat de la Convention sur l</w:t>
      </w:r>
      <w:r w:rsidR="00C45B47">
        <w:t>’</w:t>
      </w:r>
      <w:r w:rsidRPr="00DE7324">
        <w:t>accès à l</w:t>
      </w:r>
      <w:r w:rsidR="00C45B47">
        <w:t>’</w:t>
      </w:r>
      <w:r w:rsidRPr="00DE7324">
        <w:t>information, la participation du public au processus décisionnel et l</w:t>
      </w:r>
      <w:r w:rsidR="00C45B47">
        <w:t>’</w:t>
      </w:r>
      <w:r w:rsidRPr="00DE7324">
        <w:t>accès à la justice en matière d</w:t>
      </w:r>
      <w:r w:rsidR="00C45B47">
        <w:t>’</w:t>
      </w:r>
      <w:r w:rsidRPr="00DE7324">
        <w:t>environnement (Convention d</w:t>
      </w:r>
      <w:r w:rsidR="00C45B47">
        <w:t>’</w:t>
      </w:r>
      <w:r w:rsidRPr="00DE7324">
        <w:t>Aarhus)</w:t>
      </w:r>
      <w:r w:rsidR="00CE4E1B" w:rsidRPr="008D7332">
        <w:t>.</w:t>
      </w:r>
    </w:p>
    <w:p w14:paraId="71D4BF9A" w14:textId="77777777" w:rsidR="36595142" w:rsidRPr="00AA30B9" w:rsidRDefault="00F81732" w:rsidP="00C029F3">
      <w:pPr>
        <w:pStyle w:val="Para1"/>
        <w:numPr>
          <w:ilvl w:val="0"/>
          <w:numId w:val="25"/>
        </w:numPr>
        <w:spacing w:before="120"/>
        <w:ind w:left="0" w:firstLine="0"/>
      </w:pPr>
      <w:r w:rsidRPr="00DE7324">
        <w:t>Une troisième table ronde conjointe sur la sensibilisation du public, l</w:t>
      </w:r>
      <w:r w:rsidR="00C45B47">
        <w:t>’</w:t>
      </w:r>
      <w:r w:rsidRPr="00DE7324">
        <w:t>accès à l</w:t>
      </w:r>
      <w:r w:rsidR="00C45B47">
        <w:t>’</w:t>
      </w:r>
      <w:r w:rsidRPr="00DE7324">
        <w:t>information et la participation du public concernant les organismes vivants modifiés/organismes génétiquement modifiés (OVM/OGM) s</w:t>
      </w:r>
      <w:r w:rsidR="00C45B47">
        <w:t>’</w:t>
      </w:r>
      <w:r w:rsidRPr="00DE7324">
        <w:t>est tenue à Genève du 16 au 18 décembre 2019. À la suite des discussions de la table ronde conjointe, les Secrétariats ont conjointement finalisé le guide de poche décrivant les avantages, les défis systémiques, les domaines prioritaires et les bonnes pratiques en ce qui concerne la promotion de la transparence et de la participation du public en matière d</w:t>
      </w:r>
      <w:r w:rsidR="00C45B47">
        <w:t>’</w:t>
      </w:r>
      <w:r w:rsidRPr="00DE7324">
        <w:t>OVM/OGM. Les résultats de la table ronde, basés sur le résumé du Président, comprennent des appels à plusieurs actions au niveau national sur l</w:t>
      </w:r>
      <w:r w:rsidR="00C45B47">
        <w:t>’</w:t>
      </w:r>
      <w:r w:rsidRPr="00DE7324">
        <w:t>accès à l</w:t>
      </w:r>
      <w:r w:rsidR="00C45B47">
        <w:t>’</w:t>
      </w:r>
      <w:r w:rsidRPr="00DE7324">
        <w:t>information, la sensibilisation du public et la participation du public à la prise de décision concernant les OVM/OGM. Le rapport et le guide de poche sont disponibles en ligne.</w:t>
      </w:r>
      <w:r w:rsidRPr="00DE7324">
        <w:rPr>
          <w:rStyle w:val="FootnoteReference"/>
          <w:u w:val="none"/>
          <w:vertAlign w:val="superscript"/>
        </w:rPr>
        <w:footnoteReference w:id="4"/>
      </w:r>
    </w:p>
    <w:p w14:paraId="71D4BF9B" w14:textId="77777777" w:rsidR="36595142" w:rsidRPr="00221E76" w:rsidRDefault="00F81732" w:rsidP="001A6166">
      <w:pPr>
        <w:pStyle w:val="Para1"/>
        <w:numPr>
          <w:ilvl w:val="0"/>
          <w:numId w:val="25"/>
        </w:numPr>
        <w:spacing w:before="120"/>
        <w:ind w:left="0" w:firstLine="0"/>
      </w:pPr>
      <w:r w:rsidRPr="00DE7324">
        <w:t>Le Secrétariat a participé à la septième réunion de l</w:t>
      </w:r>
      <w:r w:rsidR="00C45B47">
        <w:t>’</w:t>
      </w:r>
      <w:r w:rsidRPr="00DE7324">
        <w:t>Équipe spéciale de la Convention d</w:t>
      </w:r>
      <w:r w:rsidR="00C45B47">
        <w:t>’</w:t>
      </w:r>
      <w:r w:rsidRPr="00DE7324">
        <w:t>Aarhus sur l</w:t>
      </w:r>
      <w:r w:rsidR="00C45B47">
        <w:t>’</w:t>
      </w:r>
      <w:r w:rsidRPr="00DE7324">
        <w:t>accès à l</w:t>
      </w:r>
      <w:r w:rsidR="00C45B47">
        <w:t>’</w:t>
      </w:r>
      <w:r w:rsidRPr="00DE7324">
        <w:t>information, qui s</w:t>
      </w:r>
      <w:r w:rsidR="00C45B47">
        <w:t>’</w:t>
      </w:r>
      <w:r w:rsidRPr="00DE7324">
        <w:t>est tenue les 16 et 17 novembre 2020, à la vingt</w:t>
      </w:r>
      <w:r w:rsidR="00C45B47">
        <w:noBreakHyphen/>
      </w:r>
      <w:r w:rsidRPr="00DE7324">
        <w:t>cinquième réunion du Groupe de travail des Parties à la Convention d</w:t>
      </w:r>
      <w:r w:rsidR="00C45B47">
        <w:t>’</w:t>
      </w:r>
      <w:r w:rsidRPr="00DE7324">
        <w:t>Aarhus, qui s</w:t>
      </w:r>
      <w:r w:rsidR="00C45B47">
        <w:t>’</w:t>
      </w:r>
      <w:r w:rsidRPr="00DE7324">
        <w:t>est tenue les 7 et 8 juin 2021, et à la septième session de la Réunion des Parties à la Convention d</w:t>
      </w:r>
      <w:r w:rsidR="00C45B47">
        <w:t>’</w:t>
      </w:r>
      <w:r w:rsidRPr="00DE7324">
        <w:t>Aarhus, qui s</w:t>
      </w:r>
      <w:r w:rsidR="00C45B47">
        <w:t>’</w:t>
      </w:r>
      <w:r w:rsidRPr="00DE7324">
        <w:t>est tenue du 18 au 22 octobre 2021, où le Secrétariat a fourni des informations sur les activités conjointes organisées</w:t>
      </w:r>
      <w:r w:rsidR="36595142" w:rsidRPr="005F42C8">
        <w:t>.</w:t>
      </w:r>
    </w:p>
    <w:p w14:paraId="71D4BF9C" w14:textId="77777777" w:rsidR="0032562A" w:rsidRPr="00221E76" w:rsidRDefault="00C302D1" w:rsidP="001A6166">
      <w:pPr>
        <w:pStyle w:val="Para1"/>
        <w:numPr>
          <w:ilvl w:val="0"/>
          <w:numId w:val="25"/>
        </w:numPr>
        <w:spacing w:before="120"/>
        <w:ind w:left="0" w:firstLine="0"/>
      </w:pPr>
      <w:r w:rsidRPr="00DE7324">
        <w:t>La collaboration entre les deux Secrétariats se poursuit</w:t>
      </w:r>
      <w:r w:rsidR="0032562A" w:rsidRPr="00221E76">
        <w:t>.</w:t>
      </w:r>
    </w:p>
    <w:p w14:paraId="71D4BF9D" w14:textId="77777777" w:rsidR="00D0782C" w:rsidRPr="00221E76" w:rsidRDefault="00173343" w:rsidP="00C029F3">
      <w:pPr>
        <w:keepNext/>
        <w:suppressLineNumbers/>
        <w:suppressAutoHyphens/>
        <w:kinsoku w:val="0"/>
        <w:overflowPunct w:val="0"/>
        <w:autoSpaceDE w:val="0"/>
        <w:autoSpaceDN w:val="0"/>
        <w:adjustRightInd w:val="0"/>
        <w:snapToGrid w:val="0"/>
        <w:spacing w:before="120" w:after="120"/>
        <w:ind w:left="1134" w:hanging="567"/>
        <w:jc w:val="left"/>
        <w:outlineLvl w:val="1"/>
        <w:rPr>
          <w:rFonts w:eastAsia="Times New Roman" w:cs="Times New Roman"/>
          <w:i/>
          <w:kern w:val="22"/>
          <w:szCs w:val="22"/>
          <w:lang w:eastAsia="en-CA"/>
        </w:rPr>
      </w:pPr>
      <w:r w:rsidRPr="00221E76">
        <w:rPr>
          <w:rFonts w:eastAsia="Times New Roman" w:cs="Times New Roman"/>
          <w:b/>
          <w:bCs/>
          <w:kern w:val="22"/>
          <w:lang w:eastAsia="en-CA"/>
        </w:rPr>
        <w:t>E.</w:t>
      </w:r>
      <w:r w:rsidRPr="00221E76">
        <w:rPr>
          <w:rFonts w:eastAsia="Times New Roman" w:cs="Times New Roman"/>
          <w:b/>
          <w:kern w:val="22"/>
          <w:szCs w:val="22"/>
          <w:lang w:eastAsia="en-CA"/>
        </w:rPr>
        <w:tab/>
      </w:r>
      <w:r w:rsidR="00C302D1" w:rsidRPr="00DE7324">
        <w:rPr>
          <w:rFonts w:eastAsia="Times New Roman" w:cs="Times New Roman"/>
          <w:b/>
          <w:bCs/>
          <w:kern w:val="22"/>
          <w:lang w:eastAsia="en-CA"/>
        </w:rPr>
        <w:t>Coopération avec le Programme des Nations Unies pour le développement sur les activités de sensibilisation et d</w:t>
      </w:r>
      <w:r w:rsidR="00C45B47">
        <w:rPr>
          <w:rFonts w:eastAsia="Times New Roman" w:cs="Times New Roman"/>
          <w:b/>
          <w:bCs/>
          <w:kern w:val="22"/>
          <w:lang w:eastAsia="en-CA"/>
        </w:rPr>
        <w:t>’</w:t>
      </w:r>
      <w:r w:rsidR="00C302D1" w:rsidRPr="00DE7324">
        <w:rPr>
          <w:rFonts w:eastAsia="Times New Roman" w:cs="Times New Roman"/>
          <w:b/>
          <w:bCs/>
          <w:kern w:val="22"/>
          <w:lang w:eastAsia="en-CA"/>
        </w:rPr>
        <w:t>information du public</w:t>
      </w:r>
    </w:p>
    <w:p w14:paraId="71D4BF9E" w14:textId="77777777" w:rsidR="00FF04BF" w:rsidRPr="00681249" w:rsidRDefault="00A628C9" w:rsidP="00C029F3">
      <w:pPr>
        <w:pStyle w:val="Para1"/>
        <w:numPr>
          <w:ilvl w:val="0"/>
          <w:numId w:val="25"/>
        </w:numPr>
        <w:spacing w:before="120"/>
        <w:ind w:left="0" w:firstLine="0"/>
        <w:rPr>
          <w:rFonts w:eastAsia="Times New Roman" w:cs="Times New Roman"/>
        </w:rPr>
      </w:pPr>
      <w:r w:rsidRPr="00DE7324">
        <w:t>Le Secrétariat a collaboré avec le Programme des Nations Unies Nature for Life Hub en vue d</w:t>
      </w:r>
      <w:r w:rsidR="00C45B47">
        <w:t>’</w:t>
      </w:r>
      <w:r w:rsidRPr="00DE7324">
        <w:t xml:space="preserve">organiser un </w:t>
      </w:r>
      <w:r w:rsidRPr="00DE7324">
        <w:rPr>
          <w:noProof/>
        </w:rPr>
        <w:t>webinaire sur la prévention des risques biotechnologiques dans le contexte du Programme d</w:t>
      </w:r>
      <w:r w:rsidR="00C45B47">
        <w:rPr>
          <w:noProof/>
        </w:rPr>
        <w:t>’</w:t>
      </w:r>
      <w:r w:rsidRPr="00DE7324">
        <w:rPr>
          <w:noProof/>
        </w:rPr>
        <w:t>action de Sharm El</w:t>
      </w:r>
      <w:r w:rsidR="00C45B47">
        <w:rPr>
          <w:noProof/>
        </w:rPr>
        <w:noBreakHyphen/>
      </w:r>
      <w:r w:rsidRPr="00DE7324">
        <w:rPr>
          <w:noProof/>
        </w:rPr>
        <w:t>Sheikh à Kunning pour la nature et les populations. Le webinaire, qui s</w:t>
      </w:r>
      <w:r w:rsidR="00C45B47">
        <w:rPr>
          <w:noProof/>
        </w:rPr>
        <w:t>’</w:t>
      </w:r>
      <w:r w:rsidRPr="00DE7324">
        <w:rPr>
          <w:noProof/>
        </w:rPr>
        <w:t>est tenu le 27 septembre 2021, a été organisé</w:t>
      </w:r>
      <w:r w:rsidR="00C45B47">
        <w:t xml:space="preserve"> pour </w:t>
      </w:r>
      <w:r w:rsidRPr="00DE7324">
        <w:t>a) fournir des discussions initiales sur l</w:t>
      </w:r>
      <w:r w:rsidR="00C45B47">
        <w:t>’</w:t>
      </w:r>
      <w:r w:rsidRPr="00DE7324">
        <w:t>importance et les caractéristiques du Programme d</w:t>
      </w:r>
      <w:r w:rsidR="00C45B47">
        <w:t>’</w:t>
      </w:r>
      <w:r w:rsidRPr="00DE7324">
        <w:t>action pour mobiliser des engagements en matière de prévention des risques biotechnologiques de la part d</w:t>
      </w:r>
      <w:r w:rsidR="00C45B47">
        <w:t xml:space="preserve">’acteurs non étatiques et </w:t>
      </w:r>
      <w:r w:rsidRPr="00DE7324">
        <w:t>b) renforcer la familiarité avec l</w:t>
      </w:r>
      <w:r w:rsidR="00C45B47">
        <w:t>’</w:t>
      </w:r>
      <w:r w:rsidRPr="00DE7324">
        <w:t>importance de, et fournir des conseils sur la prise d</w:t>
      </w:r>
      <w:r w:rsidR="00C45B47">
        <w:t>’</w:t>
      </w:r>
      <w:r w:rsidRPr="00DE7324">
        <w:t>un engagement envers le Programme d</w:t>
      </w:r>
      <w:r w:rsidR="00C45B47">
        <w:t>’</w:t>
      </w:r>
      <w:r w:rsidRPr="00DE7324">
        <w:t>action. Suite au webinaire, des discussions en ligne sur les engagements en matière de prévention des risques biotechnologiques des acteurs non étatiques pour le programme d</w:t>
      </w:r>
      <w:r w:rsidR="00C45B47">
        <w:t>’</w:t>
      </w:r>
      <w:r w:rsidRPr="00DE7324">
        <w:t xml:space="preserve">action ont eu lieu du 27 septembre au 24 octobre 2021. Les résultats du </w:t>
      </w:r>
      <w:r w:rsidRPr="00DE7324">
        <w:rPr>
          <w:noProof/>
        </w:rPr>
        <w:t>webinaire et des discussions contribueront à la mise en œuvre du projet de plan d</w:t>
      </w:r>
      <w:r w:rsidR="00C45B47">
        <w:rPr>
          <w:noProof/>
        </w:rPr>
        <w:t>’</w:t>
      </w:r>
      <w:r w:rsidRPr="00DE7324">
        <w:rPr>
          <w:noProof/>
        </w:rPr>
        <w:t>action pour l</w:t>
      </w:r>
      <w:r w:rsidR="00C45B47">
        <w:rPr>
          <w:noProof/>
        </w:rPr>
        <w:t>’</w:t>
      </w:r>
      <w:r w:rsidRPr="00DE7324">
        <w:rPr>
          <w:noProof/>
        </w:rPr>
        <w:t>après</w:t>
      </w:r>
      <w:r w:rsidR="00C45B47">
        <w:rPr>
          <w:noProof/>
        </w:rPr>
        <w:noBreakHyphen/>
      </w:r>
      <w:r w:rsidRPr="00DE7324">
        <w:rPr>
          <w:noProof/>
        </w:rPr>
        <w:t>2020 et du plan d</w:t>
      </w:r>
      <w:r w:rsidR="00C45B47">
        <w:rPr>
          <w:noProof/>
        </w:rPr>
        <w:t>’</w:t>
      </w:r>
      <w:r w:rsidRPr="00DE7324">
        <w:rPr>
          <w:noProof/>
        </w:rPr>
        <w:t>action pour le renforcement des capacités pour le Protocole de Cartagena. L</w:t>
      </w:r>
      <w:r w:rsidR="00C45B47">
        <w:rPr>
          <w:noProof/>
        </w:rPr>
        <w:t>’</w:t>
      </w:r>
      <w:r w:rsidRPr="00DE7324">
        <w:rPr>
          <w:noProof/>
        </w:rPr>
        <w:t>enregistrement du webinaire</w:t>
      </w:r>
      <w:r w:rsidRPr="00DE7324">
        <w:t xml:space="preserve"> est disponible sur le site,</w:t>
      </w:r>
      <w:r w:rsidRPr="00DE7324">
        <w:rPr>
          <w:rStyle w:val="FootnoteReference"/>
          <w:u w:val="none"/>
          <w:vertAlign w:val="superscript"/>
        </w:rPr>
        <w:footnoteReference w:id="5"/>
      </w:r>
      <w:r w:rsidRPr="00DE7324">
        <w:t xml:space="preserve"> et le résumé des discussions en ligne par les modérateurs est mis à disposition dans un document d</w:t>
      </w:r>
      <w:r w:rsidR="00C45B47">
        <w:t>’</w:t>
      </w:r>
      <w:r w:rsidRPr="00DE7324">
        <w:t>information</w:t>
      </w:r>
      <w:r>
        <w:t>.</w:t>
      </w:r>
      <w:r w:rsidRPr="00DE7324">
        <w:rPr>
          <w:rStyle w:val="FootnoteReference"/>
          <w:u w:val="none"/>
          <w:vertAlign w:val="superscript"/>
        </w:rPr>
        <w:footnoteReference w:id="6"/>
      </w:r>
    </w:p>
    <w:p w14:paraId="71D4BF9F" w14:textId="77777777" w:rsidR="00044A04" w:rsidRPr="00681249" w:rsidRDefault="00044A04" w:rsidP="00681249">
      <w:pPr>
        <w:keepNext/>
        <w:suppressLineNumbers/>
        <w:suppressAutoHyphens/>
        <w:kinsoku w:val="0"/>
        <w:overflowPunct w:val="0"/>
        <w:autoSpaceDE w:val="0"/>
        <w:autoSpaceDN w:val="0"/>
        <w:adjustRightInd w:val="0"/>
        <w:snapToGrid w:val="0"/>
        <w:spacing w:before="120" w:after="120"/>
        <w:ind w:left="1134" w:hanging="567"/>
        <w:jc w:val="center"/>
        <w:outlineLvl w:val="1"/>
        <w:rPr>
          <w:rFonts w:eastAsia="Times New Roman" w:cs="Times New Roman"/>
          <w:b/>
          <w:bCs/>
          <w:kern w:val="22"/>
          <w:lang w:eastAsia="en-CA"/>
        </w:rPr>
      </w:pPr>
      <w:r w:rsidRPr="00681249">
        <w:rPr>
          <w:rFonts w:eastAsia="Times New Roman" w:cs="Times New Roman"/>
          <w:b/>
          <w:bCs/>
          <w:kern w:val="22"/>
          <w:lang w:eastAsia="en-CA"/>
        </w:rPr>
        <w:t xml:space="preserve">F. </w:t>
      </w:r>
      <w:r w:rsidR="009C4AF2">
        <w:rPr>
          <w:rFonts w:eastAsia="Times New Roman" w:cs="Times New Roman"/>
          <w:b/>
          <w:bCs/>
          <w:kern w:val="22"/>
          <w:lang w:eastAsia="en-CA"/>
        </w:rPr>
        <w:tab/>
      </w:r>
      <w:r w:rsidR="0079216F">
        <w:rPr>
          <w:rFonts w:eastAsia="Times New Roman" w:cs="Times New Roman"/>
          <w:b/>
          <w:bCs/>
          <w:kern w:val="22"/>
          <w:lang w:eastAsia="en-CA"/>
        </w:rPr>
        <w:t>Initiative Douanes vertes</w:t>
      </w:r>
    </w:p>
    <w:p w14:paraId="71D4BFA0" w14:textId="77777777" w:rsidR="00044A04" w:rsidRPr="00681249" w:rsidRDefault="00567348" w:rsidP="00681249">
      <w:pPr>
        <w:pStyle w:val="Para1"/>
        <w:numPr>
          <w:ilvl w:val="0"/>
          <w:numId w:val="25"/>
        </w:numPr>
        <w:spacing w:before="120"/>
        <w:ind w:left="0" w:firstLine="0"/>
        <w:rPr>
          <w:kern w:val="22"/>
          <w:lang w:eastAsia="en-CA"/>
        </w:rPr>
      </w:pPr>
      <w:r>
        <w:rPr>
          <w:kern w:val="22"/>
          <w:lang w:eastAsia="en-CA"/>
        </w:rPr>
        <w:t>Dans le contexte des objectifs opérationnels 2.3 et 5.2 du Plan stratégique, le Secrétariat a poursuivi sa collaboration, à titre de partenaire, avec l</w:t>
      </w:r>
      <w:r w:rsidR="00C45B47">
        <w:rPr>
          <w:kern w:val="22"/>
          <w:lang w:eastAsia="en-CA"/>
        </w:rPr>
        <w:t>’</w:t>
      </w:r>
      <w:r>
        <w:rPr>
          <w:kern w:val="22"/>
          <w:lang w:eastAsia="en-CA"/>
        </w:rPr>
        <w:t>Initiative Douanes vertes. L</w:t>
      </w:r>
      <w:r w:rsidR="00C45B47">
        <w:rPr>
          <w:kern w:val="22"/>
          <w:lang w:eastAsia="en-CA"/>
        </w:rPr>
        <w:t>’</w:t>
      </w:r>
      <w:r>
        <w:rPr>
          <w:kern w:val="22"/>
          <w:lang w:eastAsia="en-CA"/>
        </w:rPr>
        <w:t>objectif de ladite initiative est de renforcer les capacités des douaniers et des autres agents de contrôle des frontières concernés</w:t>
      </w:r>
      <w:r w:rsidR="00456AB2">
        <w:rPr>
          <w:kern w:val="22"/>
          <w:lang w:eastAsia="en-CA"/>
        </w:rPr>
        <w:t>,</w:t>
      </w:r>
      <w:r>
        <w:rPr>
          <w:kern w:val="22"/>
          <w:lang w:eastAsia="en-CA"/>
        </w:rPr>
        <w:t xml:space="preserve"> </w:t>
      </w:r>
      <w:r w:rsidR="00456AB2" w:rsidRPr="00456AB2">
        <w:rPr>
          <w:kern w:val="22"/>
          <w:lang w:eastAsia="en-CA"/>
        </w:rPr>
        <w:t>afin qu</w:t>
      </w:r>
      <w:r w:rsidR="00C45B47">
        <w:rPr>
          <w:kern w:val="22"/>
          <w:lang w:eastAsia="en-CA"/>
        </w:rPr>
        <w:t>’</w:t>
      </w:r>
      <w:r w:rsidR="00456AB2" w:rsidRPr="00456AB2">
        <w:rPr>
          <w:kern w:val="22"/>
          <w:lang w:eastAsia="en-CA"/>
        </w:rPr>
        <w:t>il</w:t>
      </w:r>
      <w:r w:rsidR="00456AB2">
        <w:rPr>
          <w:kern w:val="22"/>
          <w:lang w:eastAsia="en-CA"/>
        </w:rPr>
        <w:t>s</w:t>
      </w:r>
      <w:r w:rsidR="00456AB2" w:rsidRPr="00456AB2">
        <w:rPr>
          <w:kern w:val="22"/>
          <w:lang w:eastAsia="en-CA"/>
        </w:rPr>
        <w:t xml:space="preserve"> soi</w:t>
      </w:r>
      <w:r w:rsidR="00456AB2">
        <w:rPr>
          <w:kern w:val="22"/>
          <w:lang w:eastAsia="en-CA"/>
        </w:rPr>
        <w:t>en</w:t>
      </w:r>
      <w:r w:rsidR="00456AB2" w:rsidRPr="00456AB2">
        <w:rPr>
          <w:kern w:val="22"/>
          <w:lang w:eastAsia="en-CA"/>
        </w:rPr>
        <w:t xml:space="preserve">t mieux </w:t>
      </w:r>
      <w:r w:rsidR="00C45B47">
        <w:rPr>
          <w:kern w:val="22"/>
          <w:lang w:eastAsia="en-CA"/>
        </w:rPr>
        <w:t xml:space="preserve">aptes </w:t>
      </w:r>
      <w:hyperlink r:id="rId15" w:history="1">
        <w:r w:rsidR="00C45B47">
          <w:rPr>
            <w:kern w:val="22"/>
            <w:lang w:eastAsia="en-CA"/>
          </w:rPr>
          <w:t>à</w:t>
        </w:r>
        <w:r w:rsidR="00456AB2" w:rsidRPr="00456AB2">
          <w:rPr>
            <w:kern w:val="22"/>
            <w:lang w:eastAsia="en-CA"/>
          </w:rPr>
          <w:t xml:space="preserve"> surveiller et </w:t>
        </w:r>
        <w:r w:rsidR="00C45B47">
          <w:rPr>
            <w:kern w:val="22"/>
            <w:lang w:eastAsia="en-CA"/>
          </w:rPr>
          <w:t>à</w:t>
        </w:r>
        <w:r w:rsidR="009577C8">
          <w:rPr>
            <w:kern w:val="22"/>
            <w:lang w:eastAsia="en-CA"/>
          </w:rPr>
          <w:t xml:space="preserve"> </w:t>
        </w:r>
        <w:r w:rsidR="00456AB2" w:rsidRPr="00456AB2">
          <w:rPr>
            <w:kern w:val="22"/>
            <w:lang w:eastAsia="en-CA"/>
          </w:rPr>
          <w:t>faciliter le commerce licite</w:t>
        </w:r>
      </w:hyperlink>
      <w:r w:rsidR="00456AB2">
        <w:rPr>
          <w:kern w:val="22"/>
          <w:lang w:eastAsia="en-CA"/>
        </w:rPr>
        <w:t xml:space="preserve"> </w:t>
      </w:r>
      <w:r w:rsidR="00C45B47">
        <w:rPr>
          <w:kern w:val="22"/>
          <w:lang w:eastAsia="en-CA"/>
        </w:rPr>
        <w:t xml:space="preserve">et à </w:t>
      </w:r>
      <w:r w:rsidR="00456AB2" w:rsidRPr="00456AB2">
        <w:rPr>
          <w:kern w:val="22"/>
          <w:lang w:eastAsia="en-CA"/>
        </w:rPr>
        <w:t xml:space="preserve">empêcher le </w:t>
      </w:r>
      <w:r w:rsidR="00456AB2" w:rsidRPr="00456AB2">
        <w:rPr>
          <w:kern w:val="22"/>
          <w:lang w:eastAsia="en-CA"/>
        </w:rPr>
        <w:lastRenderedPageBreak/>
        <w:t xml:space="preserve">commerce illicite de </w:t>
      </w:r>
      <w:r w:rsidR="00456AB2">
        <w:rPr>
          <w:kern w:val="22"/>
          <w:lang w:eastAsia="en-CA"/>
        </w:rPr>
        <w:t xml:space="preserve">marchandises et de </w:t>
      </w:r>
      <w:r w:rsidR="00456AB2" w:rsidRPr="00456AB2">
        <w:rPr>
          <w:kern w:val="22"/>
          <w:lang w:eastAsia="en-CA"/>
        </w:rPr>
        <w:t>produits présentant un risque pour l</w:t>
      </w:r>
      <w:r w:rsidR="00C45B47">
        <w:rPr>
          <w:kern w:val="22"/>
          <w:lang w:eastAsia="en-CA"/>
        </w:rPr>
        <w:t>’</w:t>
      </w:r>
      <w:r w:rsidR="00456AB2" w:rsidRPr="00456AB2">
        <w:rPr>
          <w:kern w:val="22"/>
          <w:lang w:eastAsia="en-CA"/>
        </w:rPr>
        <w:t>environnement</w:t>
      </w:r>
      <w:r w:rsidR="00456AB2">
        <w:rPr>
          <w:kern w:val="22"/>
          <w:lang w:eastAsia="en-CA"/>
        </w:rPr>
        <w:t xml:space="preserve"> couverts par des conventions liées au commerce et des accords multilatéraux sur l</w:t>
      </w:r>
      <w:r w:rsidR="00C45B47">
        <w:rPr>
          <w:kern w:val="22"/>
          <w:lang w:eastAsia="en-CA"/>
        </w:rPr>
        <w:t>’</w:t>
      </w:r>
      <w:r w:rsidR="00456AB2">
        <w:rPr>
          <w:kern w:val="22"/>
          <w:lang w:eastAsia="en-CA"/>
        </w:rPr>
        <w:t>environnement.</w:t>
      </w:r>
    </w:p>
    <w:p w14:paraId="71D4BFA1" w14:textId="2C5AFC1C" w:rsidR="00044A04" w:rsidRPr="00EF1B1D" w:rsidRDefault="009577C8" w:rsidP="00681249">
      <w:pPr>
        <w:pStyle w:val="Para1"/>
        <w:numPr>
          <w:ilvl w:val="0"/>
          <w:numId w:val="25"/>
        </w:numPr>
        <w:spacing w:before="120"/>
        <w:ind w:left="0" w:firstLine="0"/>
        <w:rPr>
          <w:rFonts w:eastAsia="Times New Roman" w:cs="Times New Roman"/>
          <w:snapToGrid/>
          <w:sz w:val="24"/>
          <w:szCs w:val="22"/>
          <w:lang w:eastAsia="zh-CN"/>
        </w:rPr>
      </w:pPr>
      <w:r>
        <w:rPr>
          <w:kern w:val="22"/>
          <w:lang w:eastAsia="en-CA"/>
        </w:rPr>
        <w:t>Au cours de la période intersessions, le Secrétariat a participé aux quatorzième, quinzième et seizième réunions de coordination des partenaires de l</w:t>
      </w:r>
      <w:r w:rsidR="00C45B47">
        <w:rPr>
          <w:kern w:val="22"/>
          <w:lang w:eastAsia="en-CA"/>
        </w:rPr>
        <w:t>’</w:t>
      </w:r>
      <w:r>
        <w:rPr>
          <w:kern w:val="22"/>
          <w:lang w:eastAsia="en-CA"/>
        </w:rPr>
        <w:t>Initiative Douanes vertes. À chaque réunion, les partenaires de l</w:t>
      </w:r>
      <w:r w:rsidR="00C45B47">
        <w:rPr>
          <w:kern w:val="22"/>
          <w:lang w:eastAsia="en-CA"/>
        </w:rPr>
        <w:t>’</w:t>
      </w:r>
      <w:r>
        <w:rPr>
          <w:kern w:val="22"/>
          <w:lang w:eastAsia="en-CA"/>
        </w:rPr>
        <w:t>Initiative ont donné un aperçu des activités pertinentes entreprises depuis la réunion précédente</w:t>
      </w:r>
      <w:r w:rsidR="007D54B3">
        <w:rPr>
          <w:kern w:val="22"/>
          <w:lang w:eastAsia="en-CA"/>
        </w:rPr>
        <w:t xml:space="preserve"> et des activités planifiées pour l</w:t>
      </w:r>
      <w:r w:rsidR="00C45B47">
        <w:rPr>
          <w:kern w:val="22"/>
          <w:lang w:eastAsia="en-CA"/>
        </w:rPr>
        <w:t>’</w:t>
      </w:r>
      <w:r w:rsidR="0079216F">
        <w:rPr>
          <w:kern w:val="22"/>
          <w:lang w:eastAsia="en-CA"/>
        </w:rPr>
        <w:t>année à venir</w:t>
      </w:r>
      <w:r w:rsidR="007D54B3">
        <w:rPr>
          <w:kern w:val="22"/>
          <w:lang w:eastAsia="en-CA"/>
        </w:rPr>
        <w:t xml:space="preserve">. </w:t>
      </w:r>
      <w:r w:rsidR="0079216F">
        <w:rPr>
          <w:kern w:val="22"/>
          <w:lang w:eastAsia="en-CA"/>
        </w:rPr>
        <w:t>En outre</w:t>
      </w:r>
      <w:r w:rsidR="007D54B3">
        <w:rPr>
          <w:kern w:val="22"/>
          <w:lang w:eastAsia="en-CA"/>
        </w:rPr>
        <w:t>, à leur quatorzième réunion, les partenaires ont débattu, entre autres questions, de la nécessité d</w:t>
      </w:r>
      <w:r w:rsidR="00C45B47">
        <w:rPr>
          <w:kern w:val="22"/>
          <w:lang w:eastAsia="en-CA"/>
        </w:rPr>
        <w:t>’</w:t>
      </w:r>
      <w:r w:rsidR="007D54B3">
        <w:rPr>
          <w:kern w:val="22"/>
          <w:lang w:eastAsia="en-CA"/>
        </w:rPr>
        <w:t>une mise à jour de l</w:t>
      </w:r>
      <w:r w:rsidR="00C45B47">
        <w:rPr>
          <w:kern w:val="22"/>
          <w:lang w:eastAsia="en-CA"/>
        </w:rPr>
        <w:t>’</w:t>
      </w:r>
      <w:r w:rsidR="007D54B3">
        <w:rPr>
          <w:kern w:val="22"/>
          <w:lang w:eastAsia="en-CA"/>
        </w:rPr>
        <w:t>infrastructure de TI qui soutien les modules d</w:t>
      </w:r>
      <w:r w:rsidR="00C45B47">
        <w:rPr>
          <w:kern w:val="22"/>
          <w:lang w:eastAsia="en-CA"/>
        </w:rPr>
        <w:t>’</w:t>
      </w:r>
      <w:r w:rsidR="007D54B3">
        <w:rPr>
          <w:kern w:val="22"/>
          <w:lang w:eastAsia="en-CA"/>
        </w:rPr>
        <w:t>apprentissage en ligne de l</w:t>
      </w:r>
      <w:r w:rsidR="00C45B47">
        <w:rPr>
          <w:kern w:val="22"/>
          <w:lang w:eastAsia="en-CA"/>
        </w:rPr>
        <w:t>’</w:t>
      </w:r>
      <w:r w:rsidR="007D54B3">
        <w:rPr>
          <w:kern w:val="22"/>
          <w:lang w:eastAsia="en-CA"/>
        </w:rPr>
        <w:t>Initiative Douanes vertes</w:t>
      </w:r>
      <w:r w:rsidR="0079216F">
        <w:rPr>
          <w:kern w:val="22"/>
          <w:lang w:eastAsia="en-CA"/>
        </w:rPr>
        <w:t>, y compris le</w:t>
      </w:r>
      <w:r w:rsidR="00E71E59">
        <w:rPr>
          <w:kern w:val="22"/>
          <w:lang w:eastAsia="en-CA"/>
        </w:rPr>
        <w:t xml:space="preserve"> modul</w:t>
      </w:r>
      <w:r w:rsidR="0079216F">
        <w:rPr>
          <w:kern w:val="22"/>
          <w:lang w:eastAsia="en-CA"/>
        </w:rPr>
        <w:t>e</w:t>
      </w:r>
      <w:r w:rsidR="007D54B3">
        <w:rPr>
          <w:kern w:val="22"/>
          <w:lang w:eastAsia="en-CA"/>
        </w:rPr>
        <w:t xml:space="preserve"> sur l</w:t>
      </w:r>
      <w:r w:rsidR="00C45B47">
        <w:rPr>
          <w:kern w:val="22"/>
          <w:lang w:eastAsia="en-CA"/>
        </w:rPr>
        <w:t>’</w:t>
      </w:r>
      <w:r w:rsidR="007D54B3">
        <w:rPr>
          <w:kern w:val="22"/>
          <w:lang w:eastAsia="en-CA"/>
        </w:rPr>
        <w:t xml:space="preserve">article 18 du Protocole de Cartagena. Lors de la quinzième réunion, les questions suivantes ont été </w:t>
      </w:r>
      <w:r w:rsidR="0079216F">
        <w:rPr>
          <w:kern w:val="22"/>
          <w:lang w:eastAsia="en-CA"/>
        </w:rPr>
        <w:t>abordées</w:t>
      </w:r>
      <w:r w:rsidR="007D54B3">
        <w:rPr>
          <w:kern w:val="22"/>
          <w:lang w:eastAsia="en-CA"/>
        </w:rPr>
        <w:t> : la mise à jour du guide sur les accords multilatéraux sur l</w:t>
      </w:r>
      <w:r w:rsidR="00C45B47">
        <w:rPr>
          <w:kern w:val="22"/>
          <w:lang w:eastAsia="en-CA"/>
        </w:rPr>
        <w:t>’</w:t>
      </w:r>
      <w:r w:rsidR="007D54B3">
        <w:rPr>
          <w:kern w:val="22"/>
          <w:lang w:eastAsia="en-CA"/>
        </w:rPr>
        <w:t>environnement de l</w:t>
      </w:r>
      <w:r w:rsidR="00C45B47">
        <w:rPr>
          <w:kern w:val="22"/>
          <w:lang w:eastAsia="en-CA"/>
        </w:rPr>
        <w:t>’</w:t>
      </w:r>
      <w:r w:rsidR="007D54B3">
        <w:rPr>
          <w:kern w:val="22"/>
          <w:lang w:eastAsia="en-CA"/>
        </w:rPr>
        <w:t>Initiative Douanes vertes, y compris une nouvelle section sur la Convention de Minamata; l</w:t>
      </w:r>
      <w:r w:rsidR="00C45B47">
        <w:rPr>
          <w:kern w:val="22"/>
          <w:lang w:eastAsia="en-CA"/>
        </w:rPr>
        <w:t>’</w:t>
      </w:r>
      <w:r w:rsidR="007D54B3">
        <w:rPr>
          <w:kern w:val="22"/>
          <w:lang w:eastAsia="en-CA"/>
        </w:rPr>
        <w:t>élaboration d</w:t>
      </w:r>
      <w:r w:rsidR="00C45B47">
        <w:rPr>
          <w:kern w:val="22"/>
          <w:lang w:eastAsia="en-CA"/>
        </w:rPr>
        <w:t>’</w:t>
      </w:r>
      <w:r w:rsidR="007D54B3">
        <w:rPr>
          <w:kern w:val="22"/>
          <w:lang w:eastAsia="en-CA"/>
        </w:rPr>
        <w:t>un programme national d</w:t>
      </w:r>
      <w:r w:rsidR="00C45B47">
        <w:rPr>
          <w:kern w:val="22"/>
          <w:lang w:eastAsia="en-CA"/>
        </w:rPr>
        <w:t>’</w:t>
      </w:r>
      <w:r w:rsidR="007D54B3">
        <w:rPr>
          <w:kern w:val="22"/>
          <w:lang w:eastAsia="en-CA"/>
        </w:rPr>
        <w:t>étude « douanes vertes » par l</w:t>
      </w:r>
      <w:r w:rsidR="0079216F">
        <w:rPr>
          <w:kern w:val="22"/>
          <w:lang w:eastAsia="en-CA"/>
        </w:rPr>
        <w:t>e biais</w:t>
      </w:r>
      <w:r w:rsidR="007D54B3">
        <w:rPr>
          <w:kern w:val="22"/>
          <w:lang w:eastAsia="en-CA"/>
        </w:rPr>
        <w:t xml:space="preserve"> d</w:t>
      </w:r>
      <w:r w:rsidR="00C45B47">
        <w:rPr>
          <w:kern w:val="22"/>
          <w:lang w:eastAsia="en-CA"/>
        </w:rPr>
        <w:t>’</w:t>
      </w:r>
      <w:r w:rsidR="007D54B3">
        <w:rPr>
          <w:kern w:val="22"/>
          <w:lang w:eastAsia="en-CA"/>
        </w:rPr>
        <w:t xml:space="preserve">un projet pilote au Kenya et </w:t>
      </w:r>
      <w:r w:rsidR="00E71E59">
        <w:rPr>
          <w:kern w:val="22"/>
          <w:lang w:eastAsia="en-CA"/>
        </w:rPr>
        <w:t>en</w:t>
      </w:r>
      <w:r w:rsidR="007D54B3">
        <w:rPr>
          <w:kern w:val="22"/>
          <w:lang w:eastAsia="en-CA"/>
        </w:rPr>
        <w:t xml:space="preserve"> République dominicaine, </w:t>
      </w:r>
      <w:r w:rsidR="00E71E59">
        <w:rPr>
          <w:kern w:val="22"/>
          <w:lang w:eastAsia="en-CA"/>
        </w:rPr>
        <w:t>avec la participation directe du secrétariat de l</w:t>
      </w:r>
      <w:r w:rsidR="00C45B47">
        <w:rPr>
          <w:kern w:val="22"/>
          <w:lang w:eastAsia="en-CA"/>
        </w:rPr>
        <w:t>’</w:t>
      </w:r>
      <w:r w:rsidR="00E71E59">
        <w:rPr>
          <w:kern w:val="22"/>
          <w:lang w:eastAsia="en-CA"/>
        </w:rPr>
        <w:t>Initiative Douanes vertes du Programme des Nations Unies pour l</w:t>
      </w:r>
      <w:r w:rsidR="00C45B47">
        <w:rPr>
          <w:kern w:val="22"/>
          <w:lang w:eastAsia="en-CA"/>
        </w:rPr>
        <w:t>’</w:t>
      </w:r>
      <w:r w:rsidR="00E71E59">
        <w:rPr>
          <w:kern w:val="22"/>
          <w:lang w:eastAsia="en-CA"/>
        </w:rPr>
        <w:t>environnement et en collaboration avec des partenaires nationaux; la mise à jour du matériel d</w:t>
      </w:r>
      <w:r w:rsidR="00C45B47">
        <w:rPr>
          <w:kern w:val="22"/>
          <w:lang w:eastAsia="en-CA"/>
        </w:rPr>
        <w:t>’</w:t>
      </w:r>
      <w:r w:rsidR="00E71E59">
        <w:rPr>
          <w:kern w:val="22"/>
          <w:lang w:eastAsia="en-CA"/>
        </w:rPr>
        <w:t>apprentissage en ligne sur la plateforme d</w:t>
      </w:r>
      <w:r w:rsidR="00C45B47">
        <w:rPr>
          <w:kern w:val="22"/>
          <w:lang w:eastAsia="en-CA"/>
        </w:rPr>
        <w:t>’</w:t>
      </w:r>
      <w:r w:rsidR="00E71E59">
        <w:rPr>
          <w:kern w:val="22"/>
          <w:lang w:eastAsia="en-CA"/>
        </w:rPr>
        <w:t xml:space="preserve">apprentissage en ligne </w:t>
      </w:r>
      <w:r w:rsidR="00E71E59">
        <w:rPr>
          <w:noProof/>
          <w:kern w:val="22"/>
          <w:lang w:eastAsia="en-CA"/>
        </w:rPr>
        <w:t>C</w:t>
      </w:r>
      <w:r w:rsidR="00EF1B1D">
        <w:rPr>
          <w:noProof/>
          <w:kern w:val="22"/>
          <w:lang w:eastAsia="en-CA"/>
        </w:rPr>
        <w:t>LiKC</w:t>
      </w:r>
      <w:r w:rsidR="00E71E59">
        <w:rPr>
          <w:noProof/>
          <w:kern w:val="22"/>
          <w:lang w:eastAsia="en-CA"/>
        </w:rPr>
        <w:t>! de</w:t>
      </w:r>
      <w:r w:rsidR="00E71E59">
        <w:rPr>
          <w:kern w:val="22"/>
          <w:lang w:eastAsia="en-CA"/>
        </w:rPr>
        <w:t xml:space="preserve"> l</w:t>
      </w:r>
      <w:r w:rsidR="00C45B47">
        <w:rPr>
          <w:kern w:val="22"/>
          <w:lang w:eastAsia="en-CA"/>
        </w:rPr>
        <w:t>’</w:t>
      </w:r>
      <w:r w:rsidR="00E71E59">
        <w:rPr>
          <w:rStyle w:val="preferred"/>
        </w:rPr>
        <w:t>Organisation mondiale des douanes. À la seizième réunion, un rapport d</w:t>
      </w:r>
      <w:r w:rsidR="00C45B47">
        <w:rPr>
          <w:rStyle w:val="preferred"/>
        </w:rPr>
        <w:t>’</w:t>
      </w:r>
      <w:r w:rsidR="00E71E59">
        <w:rPr>
          <w:rStyle w:val="preferred"/>
        </w:rPr>
        <w:t xml:space="preserve">étape a été fourni sur la mise en œuvre des projets pilotes au Kenya et en République dominicaine et une mise à jour a été présentée sur les progrès </w:t>
      </w:r>
      <w:r w:rsidR="002C7BF9">
        <w:rPr>
          <w:rStyle w:val="preferred"/>
        </w:rPr>
        <w:t xml:space="preserve">entourant </w:t>
      </w:r>
      <w:r w:rsidR="00E71E59">
        <w:rPr>
          <w:rStyle w:val="preferred"/>
        </w:rPr>
        <w:t>l</w:t>
      </w:r>
      <w:r w:rsidR="00C45B47">
        <w:rPr>
          <w:rStyle w:val="preferred"/>
        </w:rPr>
        <w:t>’</w:t>
      </w:r>
      <w:r w:rsidR="00E71E59">
        <w:rPr>
          <w:rStyle w:val="preferred"/>
        </w:rPr>
        <w:t>actualisation des modules d</w:t>
      </w:r>
      <w:r w:rsidR="00C45B47">
        <w:rPr>
          <w:rStyle w:val="preferred"/>
        </w:rPr>
        <w:t>’</w:t>
      </w:r>
      <w:r w:rsidR="00E71E59">
        <w:rPr>
          <w:rStyle w:val="preferred"/>
        </w:rPr>
        <w:t>apprentissage en ligne par les partenaires Douanes vertes, y compris sur la conclusion réussie</w:t>
      </w:r>
      <w:r w:rsidR="002C7BF9">
        <w:rPr>
          <w:rStyle w:val="preferred"/>
        </w:rPr>
        <w:t xml:space="preserve"> de la mise à jour du module sur l</w:t>
      </w:r>
      <w:r w:rsidR="00C45B47">
        <w:rPr>
          <w:rStyle w:val="preferred"/>
        </w:rPr>
        <w:t>’</w:t>
      </w:r>
      <w:r w:rsidR="002C7BF9">
        <w:rPr>
          <w:rStyle w:val="preferred"/>
        </w:rPr>
        <w:t>article 18 du Protocole de Cartagena.</w:t>
      </w:r>
    </w:p>
    <w:p w14:paraId="71D4BFA2" w14:textId="77777777" w:rsidR="00232BF0" w:rsidRPr="00221E76" w:rsidRDefault="00E75F13" w:rsidP="00C029F3">
      <w:pPr>
        <w:keepNext/>
        <w:suppressLineNumbers/>
        <w:suppressAutoHyphens/>
        <w:kinsoku w:val="0"/>
        <w:overflowPunct w:val="0"/>
        <w:autoSpaceDE w:val="0"/>
        <w:autoSpaceDN w:val="0"/>
        <w:adjustRightInd w:val="0"/>
        <w:snapToGrid w:val="0"/>
        <w:spacing w:before="120" w:after="120"/>
        <w:jc w:val="center"/>
        <w:outlineLvl w:val="1"/>
        <w:rPr>
          <w:snapToGrid w:val="0"/>
          <w:kern w:val="22"/>
        </w:rPr>
      </w:pPr>
      <w:r>
        <w:rPr>
          <w:rFonts w:eastAsia="Times New Roman" w:cs="Times New Roman"/>
          <w:b/>
          <w:kern w:val="22"/>
          <w:szCs w:val="22"/>
          <w:lang w:eastAsia="en-CA"/>
        </w:rPr>
        <w:t>G</w:t>
      </w:r>
      <w:r w:rsidR="00232BF0" w:rsidRPr="00221E76">
        <w:rPr>
          <w:rFonts w:eastAsia="Times New Roman" w:cs="Times New Roman"/>
          <w:b/>
          <w:kern w:val="22"/>
          <w:szCs w:val="22"/>
          <w:lang w:eastAsia="en-CA"/>
        </w:rPr>
        <w:t>.</w:t>
      </w:r>
      <w:r w:rsidR="00232BF0" w:rsidRPr="00221E76">
        <w:rPr>
          <w:rFonts w:eastAsia="Times New Roman" w:cs="Times New Roman"/>
          <w:b/>
          <w:kern w:val="22"/>
          <w:szCs w:val="22"/>
          <w:lang w:eastAsia="en-CA"/>
        </w:rPr>
        <w:tab/>
      </w:r>
      <w:r w:rsidR="005A0368" w:rsidRPr="00DE7324">
        <w:rPr>
          <w:rFonts w:eastAsia="Times New Roman" w:cs="Times New Roman"/>
          <w:b/>
          <w:kern w:val="22"/>
          <w:szCs w:val="22"/>
          <w:lang w:eastAsia="en-CA"/>
        </w:rPr>
        <w:t>Autre coopération sur des questions techniques et scientifiques</w:t>
      </w:r>
    </w:p>
    <w:p w14:paraId="71D4BFA3" w14:textId="77777777" w:rsidR="00232BF0" w:rsidRPr="00413945" w:rsidRDefault="006A5D68" w:rsidP="001A6166">
      <w:pPr>
        <w:pStyle w:val="Para1"/>
        <w:numPr>
          <w:ilvl w:val="0"/>
          <w:numId w:val="25"/>
        </w:numPr>
        <w:spacing w:before="120"/>
        <w:ind w:left="0" w:firstLine="0"/>
        <w:rPr>
          <w:kern w:val="22"/>
        </w:rPr>
      </w:pPr>
      <w:r w:rsidRPr="00DE7324">
        <w:rPr>
          <w:kern w:val="22"/>
        </w:rPr>
        <w:t>Le Secrétariat a continué à collaboration avec les organisations compétentes dans ses efforts pour faciliter le renforcement des capacités et la coopération technique entre les Parties dans le cadre de divers domaines de travail. C</w:t>
      </w:r>
      <w:r w:rsidR="00C45B47">
        <w:rPr>
          <w:kern w:val="22"/>
        </w:rPr>
        <w:t>’</w:t>
      </w:r>
      <w:r w:rsidRPr="00DE7324">
        <w:rPr>
          <w:kern w:val="22"/>
        </w:rPr>
        <w:t>est le cas, par exemple, des activités liées à l</w:t>
      </w:r>
      <w:r w:rsidR="00C45B47">
        <w:rPr>
          <w:kern w:val="22"/>
        </w:rPr>
        <w:t>’</w:t>
      </w:r>
      <w:r w:rsidRPr="00DE7324">
        <w:rPr>
          <w:kern w:val="22"/>
        </w:rPr>
        <w:t>évaluation et à la gestion des risques, à la détection et à l</w:t>
      </w:r>
      <w:r w:rsidR="00C45B47">
        <w:rPr>
          <w:kern w:val="22"/>
        </w:rPr>
        <w:t>’</w:t>
      </w:r>
      <w:r w:rsidRPr="00DE7324">
        <w:rPr>
          <w:kern w:val="22"/>
        </w:rPr>
        <w:t>identification des OVM, et à la biologie de synthèse. Dans le cas de la biologie de synthèse, les activités répondent à la demande formulée par la Conférence des Parties dans la</w:t>
      </w:r>
      <w:r w:rsidR="00CB40EB">
        <w:rPr>
          <w:kern w:val="22"/>
        </w:rPr>
        <w:t xml:space="preserve"> décision 14/19, paragraphe 17 d) et </w:t>
      </w:r>
      <w:r w:rsidRPr="00DE7324">
        <w:rPr>
          <w:kern w:val="22"/>
        </w:rPr>
        <w:t>e). Les activités de coopération en matière de prévention des risques biotechnologiques ont été menées dans le but de progresser vers les résultats pertinents du Plan stratégique pour le Protocole, ainsi que de partager des expériences et de créer des réseaux au sein des régions. Ces activités sont résumées dans les paragraphes suivants</w:t>
      </w:r>
      <w:r>
        <w:rPr>
          <w:kern w:val="22"/>
        </w:rPr>
        <w:t>.</w:t>
      </w:r>
    </w:p>
    <w:p w14:paraId="71D4BFA4" w14:textId="77777777" w:rsidR="00232BF0" w:rsidRPr="00A12429" w:rsidRDefault="00CB40EB" w:rsidP="001A6166">
      <w:pPr>
        <w:pStyle w:val="Para1"/>
        <w:numPr>
          <w:ilvl w:val="0"/>
          <w:numId w:val="25"/>
        </w:numPr>
        <w:spacing w:before="120"/>
        <w:ind w:left="0" w:firstLine="0"/>
        <w:rPr>
          <w:kern w:val="22"/>
        </w:rPr>
      </w:pPr>
      <w:r w:rsidRPr="00DE7324">
        <w:rPr>
          <w:i/>
          <w:iCs/>
        </w:rPr>
        <w:t>Collaboration sur l</w:t>
      </w:r>
      <w:r w:rsidR="00C45B47">
        <w:rPr>
          <w:i/>
          <w:iCs/>
        </w:rPr>
        <w:t>’</w:t>
      </w:r>
      <w:r w:rsidRPr="00DE7324">
        <w:rPr>
          <w:i/>
          <w:iCs/>
        </w:rPr>
        <w:t>harmonisation et l</w:t>
      </w:r>
      <w:r w:rsidR="00C45B47">
        <w:rPr>
          <w:i/>
          <w:iCs/>
        </w:rPr>
        <w:t>’</w:t>
      </w:r>
      <w:r w:rsidRPr="00DE7324">
        <w:rPr>
          <w:i/>
          <w:iCs/>
        </w:rPr>
        <w:t>utilisation d</w:t>
      </w:r>
      <w:r w:rsidR="00C45B47">
        <w:rPr>
          <w:i/>
          <w:iCs/>
        </w:rPr>
        <w:t>’</w:t>
      </w:r>
      <w:r w:rsidRPr="00DE7324">
        <w:rPr>
          <w:i/>
          <w:iCs/>
        </w:rPr>
        <w:t xml:space="preserve">un vocabulaire normalisé </w:t>
      </w:r>
      <w:r w:rsidR="00C45B47">
        <w:noBreakHyphen/>
      </w:r>
      <w:r w:rsidRPr="00DE7324">
        <w:t xml:space="preserve"> Le Secrétariat a collaboré avec l</w:t>
      </w:r>
      <w:r w:rsidR="00C45B47">
        <w:t>’</w:t>
      </w:r>
      <w:r w:rsidRPr="00DE7324">
        <w:t xml:space="preserve">Office fédéral allemand de la protection des consommateurs et de la sécurité alimentaire et le </w:t>
      </w:r>
      <w:r w:rsidRPr="00DE7324">
        <w:rPr>
          <w:i/>
          <w:iCs/>
          <w:noProof/>
        </w:rPr>
        <w:t>Wageningen Food Safety Research</w:t>
      </w:r>
      <w:r w:rsidRPr="00DE7324">
        <w:rPr>
          <w:noProof/>
        </w:rPr>
        <w:t xml:space="preserve"> de</w:t>
      </w:r>
      <w:r w:rsidRPr="00DE7324">
        <w:t xml:space="preserve"> l</w:t>
      </w:r>
      <w:r w:rsidR="00C45B47">
        <w:t>’</w:t>
      </w:r>
      <w:r w:rsidRPr="00DE7324">
        <w:t>Université et centre de recherche de Wageningen, concernant l</w:t>
      </w:r>
      <w:r w:rsidR="00C45B47">
        <w:t>’</w:t>
      </w:r>
      <w:r w:rsidRPr="00DE7324">
        <w:t>harmonisation et l</w:t>
      </w:r>
      <w:r w:rsidR="00C45B47">
        <w:t>’</w:t>
      </w:r>
      <w:r w:rsidRPr="00DE7324">
        <w:t>utilisation d</w:t>
      </w:r>
      <w:r w:rsidR="00C45B47">
        <w:t>’</w:t>
      </w:r>
      <w:r w:rsidRPr="00DE7324">
        <w:t>un vocabulaire normalisé pour les éléments génétiques introduits ou modifiés entre le Centre d</w:t>
      </w:r>
      <w:r w:rsidR="00C45B47">
        <w:t>’</w:t>
      </w:r>
      <w:r w:rsidRPr="00DE7324">
        <w:t>échange pour la prévention des risques biotechnologiques et l</w:t>
      </w:r>
      <w:r w:rsidR="00C45B47">
        <w:t>’</w:t>
      </w:r>
      <w:r w:rsidRPr="00DE7324">
        <w:t>Initiative européenne sur les OGM pour un système de base de données unifié</w:t>
      </w:r>
      <w:r w:rsidRPr="00DE7324">
        <w:rPr>
          <w:rStyle w:val="FootnoteReference"/>
          <w:kern w:val="22"/>
          <w:u w:val="none"/>
          <w:vertAlign w:val="superscript"/>
        </w:rPr>
        <w:footnoteReference w:id="7"/>
      </w:r>
      <w:r w:rsidRPr="00DE7324">
        <w:t>. Un vocabulaire structuré et contrôlé pour les éléments génétiques (appelé thésaurus des éléments génétiques) peut faciliter un meilleur échange d</w:t>
      </w:r>
      <w:r w:rsidR="00C45B47">
        <w:t>’</w:t>
      </w:r>
      <w:r w:rsidRPr="00DE7324">
        <w:t>informations entre les systèmes de données et accroître l</w:t>
      </w:r>
      <w:r w:rsidR="00C45B47">
        <w:t>’</w:t>
      </w:r>
      <w:r w:rsidRPr="00DE7324">
        <w:t>interopérabilité. Une publication sur le thésaurus d</w:t>
      </w:r>
      <w:r w:rsidR="00C45B47">
        <w:t>’</w:t>
      </w:r>
      <w:r w:rsidRPr="00DE7324">
        <w:t>éléments génétiques d</w:t>
      </w:r>
      <w:r w:rsidR="00C45B47">
        <w:t>’</w:t>
      </w:r>
      <w:r w:rsidRPr="00DE7324">
        <w:t>OGM a été publiée récemment</w:t>
      </w:r>
      <w:r w:rsidRPr="00DE7324">
        <w:rPr>
          <w:rStyle w:val="FootnoteReference"/>
          <w:rFonts w:cs="Times New Roman"/>
          <w:snapToGrid/>
          <w:szCs w:val="24"/>
          <w:u w:val="none"/>
          <w:vertAlign w:val="superscript"/>
        </w:rPr>
        <w:footnoteReference w:id="8"/>
      </w:r>
      <w:r w:rsidRPr="00DE7324">
        <w:t>.</w:t>
      </w:r>
    </w:p>
    <w:p w14:paraId="71D4BFA5" w14:textId="77777777" w:rsidR="00232BF0" w:rsidRPr="00166A50" w:rsidRDefault="00CB40EB" w:rsidP="00C029F3">
      <w:pPr>
        <w:pStyle w:val="Para1"/>
        <w:numPr>
          <w:ilvl w:val="0"/>
          <w:numId w:val="25"/>
        </w:numPr>
        <w:spacing w:before="120"/>
        <w:ind w:left="0" w:firstLine="0"/>
        <w:rPr>
          <w:kern w:val="22"/>
        </w:rPr>
      </w:pPr>
      <w:r w:rsidRPr="00DE7324">
        <w:rPr>
          <w:i/>
          <w:iCs/>
          <w:kern w:val="22"/>
        </w:rPr>
        <w:t>Conférence mondiale sur le développement vert du secteur semencier</w:t>
      </w:r>
      <w:r w:rsidRPr="00DE7324">
        <w:rPr>
          <w:kern w:val="22"/>
        </w:rPr>
        <w:t xml:space="preserve"> </w:t>
      </w:r>
      <w:r w:rsidR="00C45B47">
        <w:rPr>
          <w:kern w:val="22"/>
        </w:rPr>
        <w:noBreakHyphen/>
      </w:r>
      <w:r w:rsidRPr="00DE7324">
        <w:rPr>
          <w:kern w:val="22"/>
        </w:rPr>
        <w:t xml:space="preserve"> Le Secrétariat a collaboré avec l</w:t>
      </w:r>
      <w:r w:rsidR="00C45B47">
        <w:rPr>
          <w:kern w:val="22"/>
        </w:rPr>
        <w:t>’</w:t>
      </w:r>
      <w:r w:rsidRPr="00DE7324">
        <w:rPr>
          <w:kern w:val="22"/>
        </w:rPr>
        <w:t>Organisation des Nations Unies pour l</w:t>
      </w:r>
      <w:r w:rsidR="00C45B47">
        <w:rPr>
          <w:kern w:val="22"/>
        </w:rPr>
        <w:t>’</w:t>
      </w:r>
      <w:r w:rsidRPr="00DE7324">
        <w:rPr>
          <w:kern w:val="22"/>
        </w:rPr>
        <w:t>alimentation et l</w:t>
      </w:r>
      <w:r w:rsidR="00C45B47">
        <w:rPr>
          <w:kern w:val="22"/>
        </w:rPr>
        <w:t>’</w:t>
      </w:r>
      <w:r w:rsidRPr="00DE7324">
        <w:rPr>
          <w:kern w:val="22"/>
        </w:rPr>
        <w:t>agriculture (FAO) par sa participation à la Conférence mondiale sur le développement vert du secteur semencier organisée par la FAO, qui a eu lieu en novembre 2021. Le Secrétariat a offert une présentation sur les questions de politique et de gouvernance en matière de biologie et a fait partie d</w:t>
      </w:r>
      <w:r w:rsidR="00C45B47">
        <w:rPr>
          <w:kern w:val="22"/>
        </w:rPr>
        <w:t>’</w:t>
      </w:r>
      <w:r w:rsidRPr="00DE7324">
        <w:rPr>
          <w:kern w:val="22"/>
        </w:rPr>
        <w:t>un panel.</w:t>
      </w:r>
    </w:p>
    <w:p w14:paraId="71D4BFA6" w14:textId="77777777" w:rsidR="00232BF0" w:rsidRPr="00A12C2F" w:rsidRDefault="00CB40EB" w:rsidP="001A6166">
      <w:pPr>
        <w:pStyle w:val="Para1"/>
        <w:numPr>
          <w:ilvl w:val="0"/>
          <w:numId w:val="25"/>
        </w:numPr>
        <w:spacing w:before="120"/>
        <w:ind w:left="0" w:firstLine="0"/>
        <w:rPr>
          <w:noProof/>
          <w:kern w:val="22"/>
        </w:rPr>
      </w:pPr>
      <w:r w:rsidRPr="00DE7324">
        <w:rPr>
          <w:i/>
          <w:iCs/>
          <w:kern w:val="22"/>
        </w:rPr>
        <w:t xml:space="preserve">Webinaire sur la gouvernance et les opportunités de coopération en matière de biologie de synthèse </w:t>
      </w:r>
      <w:r w:rsidR="00C45B47">
        <w:rPr>
          <w:kern w:val="22"/>
        </w:rPr>
        <w:noBreakHyphen/>
      </w:r>
      <w:r w:rsidRPr="00DE7324">
        <w:rPr>
          <w:kern w:val="22"/>
        </w:rPr>
        <w:t xml:space="preserve"> Le Secrétariat a organisé un webinaire sur la gouvernance et les opportunités de coopération en </w:t>
      </w:r>
      <w:r w:rsidRPr="00DE7324">
        <w:rPr>
          <w:kern w:val="22"/>
        </w:rPr>
        <w:lastRenderedPageBreak/>
        <w:t>matière de biologie de synthèse, qui s</w:t>
      </w:r>
      <w:r w:rsidR="00C45B47">
        <w:rPr>
          <w:kern w:val="22"/>
        </w:rPr>
        <w:t>’</w:t>
      </w:r>
      <w:r w:rsidRPr="00DE7324">
        <w:rPr>
          <w:kern w:val="22"/>
        </w:rPr>
        <w:t>est tenu le 2 novembre 2021. Ce séminaire a réuni le Secrétariat, l</w:t>
      </w:r>
      <w:r w:rsidR="00C45B47">
        <w:rPr>
          <w:kern w:val="22"/>
        </w:rPr>
        <w:t>’</w:t>
      </w:r>
      <w:r w:rsidRPr="00DE7324">
        <w:rPr>
          <w:kern w:val="22"/>
        </w:rPr>
        <w:t>Organisation mondiale de la Santé, la Convention sur le commerce international des espèces de faune et de flore sauvages menacées d</w:t>
      </w:r>
      <w:r w:rsidR="00C45B47">
        <w:rPr>
          <w:kern w:val="22"/>
        </w:rPr>
        <w:t>’</w:t>
      </w:r>
      <w:r w:rsidRPr="00DE7324">
        <w:rPr>
          <w:kern w:val="22"/>
        </w:rPr>
        <w:t>extinction, la Convention sur les armes biologiques</w:t>
      </w:r>
      <w:r w:rsidRPr="00DE7324">
        <w:rPr>
          <w:rStyle w:val="FootnoteReference"/>
          <w:kern w:val="22"/>
          <w:u w:val="none"/>
          <w:vertAlign w:val="superscript"/>
        </w:rPr>
        <w:footnoteReference w:id="9"/>
      </w:r>
      <w:r w:rsidRPr="00DE7324">
        <w:rPr>
          <w:kern w:val="22"/>
        </w:rPr>
        <w:t>, l</w:t>
      </w:r>
      <w:r w:rsidR="00C45B47">
        <w:rPr>
          <w:kern w:val="22"/>
        </w:rPr>
        <w:t>’</w:t>
      </w:r>
      <w:r w:rsidRPr="00DE7324">
        <w:rPr>
          <w:kern w:val="22"/>
        </w:rPr>
        <w:t xml:space="preserve">Union internationale pour la conservation de la nature et la Conférence des Nations Unies sur le commerce et le développement. Un enregistrement </w:t>
      </w:r>
      <w:r w:rsidRPr="00DE7324">
        <w:rPr>
          <w:noProof/>
          <w:kern w:val="22"/>
        </w:rPr>
        <w:t>du webinaire est disponible en ligne</w:t>
      </w:r>
      <w:r w:rsidRPr="00DE7324">
        <w:rPr>
          <w:rStyle w:val="FootnoteReference"/>
          <w:rFonts w:cs="Times New Roman"/>
          <w:noProof/>
          <w:snapToGrid/>
          <w:szCs w:val="24"/>
          <w:u w:val="none"/>
          <w:vertAlign w:val="superscript"/>
        </w:rPr>
        <w:footnoteReference w:id="10"/>
      </w:r>
      <w:r w:rsidRPr="00DE7324">
        <w:rPr>
          <w:noProof/>
          <w:kern w:val="22"/>
        </w:rPr>
        <w:t>. Le webinaire a permis de réunir des organisations aux mandats différents afin qu</w:t>
      </w:r>
      <w:r w:rsidR="00C45B47">
        <w:rPr>
          <w:noProof/>
          <w:kern w:val="22"/>
        </w:rPr>
        <w:t>’</w:t>
      </w:r>
      <w:r w:rsidRPr="00DE7324">
        <w:rPr>
          <w:noProof/>
          <w:kern w:val="22"/>
        </w:rPr>
        <w:t>elles offrent leurs diverses perspectives sur la nature transversale des impacts potentiels de la biologie de synthèse et qu</w:t>
      </w:r>
      <w:r w:rsidR="00C45B47">
        <w:rPr>
          <w:noProof/>
          <w:kern w:val="22"/>
        </w:rPr>
        <w:t>’</w:t>
      </w:r>
      <w:r w:rsidRPr="00DE7324">
        <w:rPr>
          <w:noProof/>
          <w:kern w:val="22"/>
        </w:rPr>
        <w:t>elles promeuvent une approche collaborative et holistique de sa gouvernance.</w:t>
      </w:r>
    </w:p>
    <w:p w14:paraId="71D4BFA7" w14:textId="77777777" w:rsidR="00221E76" w:rsidRPr="00696DD7" w:rsidRDefault="00CB40EB" w:rsidP="001A6166">
      <w:pPr>
        <w:pStyle w:val="Para1"/>
        <w:numPr>
          <w:ilvl w:val="0"/>
          <w:numId w:val="25"/>
        </w:numPr>
        <w:spacing w:before="120"/>
        <w:ind w:left="0" w:firstLine="0"/>
        <w:rPr>
          <w:kern w:val="22"/>
        </w:rPr>
      </w:pPr>
      <w:r w:rsidRPr="00DE7324">
        <w:rPr>
          <w:i/>
          <w:iCs/>
          <w:noProof/>
          <w:kern w:val="22"/>
        </w:rPr>
        <w:t>Interface science</w:t>
      </w:r>
      <w:r w:rsidR="00C45B47">
        <w:rPr>
          <w:i/>
          <w:iCs/>
          <w:noProof/>
          <w:kern w:val="22"/>
        </w:rPr>
        <w:noBreakHyphen/>
      </w:r>
      <w:r w:rsidRPr="00DE7324">
        <w:rPr>
          <w:i/>
          <w:iCs/>
          <w:noProof/>
          <w:kern w:val="22"/>
        </w:rPr>
        <w:t>politique</w:t>
      </w:r>
      <w:r w:rsidR="00C45B47">
        <w:rPr>
          <w:i/>
          <w:iCs/>
          <w:noProof/>
          <w:kern w:val="22"/>
        </w:rPr>
        <w:noBreakHyphen/>
      </w:r>
      <w:r w:rsidRPr="00DE7324">
        <w:rPr>
          <w:i/>
          <w:iCs/>
          <w:noProof/>
          <w:kern w:val="22"/>
        </w:rPr>
        <w:t>société : Webinaires sur la biologie de synthèse</w:t>
      </w:r>
      <w:r w:rsidRPr="00DE7324">
        <w:rPr>
          <w:noProof/>
          <w:kern w:val="22"/>
        </w:rPr>
        <w:t xml:space="preserve"> </w:t>
      </w:r>
      <w:r w:rsidR="00C45B47">
        <w:rPr>
          <w:noProof/>
          <w:kern w:val="22"/>
        </w:rPr>
        <w:noBreakHyphen/>
      </w:r>
      <w:r w:rsidRPr="00DE7324">
        <w:rPr>
          <w:noProof/>
          <w:kern w:val="22"/>
        </w:rPr>
        <w:t xml:space="preserve"> Le Programme des Nations Unies pour l</w:t>
      </w:r>
      <w:r w:rsidR="00C45B47">
        <w:rPr>
          <w:noProof/>
          <w:kern w:val="22"/>
        </w:rPr>
        <w:t>’</w:t>
      </w:r>
      <w:r w:rsidRPr="00DE7324">
        <w:rPr>
          <w:noProof/>
          <w:kern w:val="22"/>
        </w:rPr>
        <w:t>environnement, en collaboration avec l</w:t>
      </w:r>
      <w:r w:rsidR="00C45B47">
        <w:rPr>
          <w:noProof/>
          <w:kern w:val="22"/>
        </w:rPr>
        <w:t>’</w:t>
      </w:r>
      <w:r w:rsidRPr="00DE7324">
        <w:rPr>
          <w:noProof/>
          <w:kern w:val="22"/>
        </w:rPr>
        <w:t>industrie, le monde universitaire et les décideurs politiques, a organisé deux webinaires, axés sur les perspectives scientifiques et industrielles de la biologie synthétique (8 février 2022) et les perspectives politiques et réglementaires (8 mars 2022). Le Secrétariat a assisté aux deux webinaires, et a participé en tant qu</w:t>
      </w:r>
      <w:r w:rsidR="00C45B47">
        <w:rPr>
          <w:noProof/>
          <w:kern w:val="22"/>
        </w:rPr>
        <w:t>’</w:t>
      </w:r>
      <w:r w:rsidRPr="00DE7324">
        <w:rPr>
          <w:noProof/>
          <w:kern w:val="22"/>
        </w:rPr>
        <w:t>intervenant au webinaire</w:t>
      </w:r>
      <w:r w:rsidRPr="00DE7324">
        <w:rPr>
          <w:kern w:val="22"/>
        </w:rPr>
        <w:t xml:space="preserve"> du 8 mars.</w:t>
      </w:r>
    </w:p>
    <w:p w14:paraId="71D4BFA8" w14:textId="77777777" w:rsidR="00933CA6" w:rsidRPr="00A12C2F" w:rsidRDefault="00CB40EB" w:rsidP="001A6166">
      <w:pPr>
        <w:pStyle w:val="Para1"/>
        <w:numPr>
          <w:ilvl w:val="0"/>
          <w:numId w:val="25"/>
        </w:numPr>
        <w:spacing w:before="120"/>
        <w:ind w:left="0" w:firstLine="0"/>
        <w:rPr>
          <w:rFonts w:eastAsia="Times New Roman" w:cs="Times New Roman"/>
        </w:rPr>
      </w:pPr>
      <w:r w:rsidRPr="00DE7324">
        <w:rPr>
          <w:rFonts w:eastAsia="Calibri"/>
          <w:i/>
          <w:iCs/>
          <w:szCs w:val="22"/>
        </w:rPr>
        <w:t>Ateliers d</w:t>
      </w:r>
      <w:r w:rsidR="00C45B47">
        <w:rPr>
          <w:rFonts w:eastAsia="Calibri"/>
          <w:i/>
          <w:iCs/>
          <w:szCs w:val="22"/>
        </w:rPr>
        <w:t>’</w:t>
      </w:r>
      <w:r w:rsidRPr="00DE7324">
        <w:rPr>
          <w:rFonts w:eastAsia="Calibri"/>
          <w:i/>
          <w:iCs/>
          <w:szCs w:val="22"/>
        </w:rPr>
        <w:t>évaluation des risques</w:t>
      </w:r>
      <w:r w:rsidRPr="00DE7324">
        <w:rPr>
          <w:rFonts w:eastAsia="Calibri"/>
          <w:szCs w:val="22"/>
        </w:rPr>
        <w:t xml:space="preserve"> </w:t>
      </w:r>
      <w:r w:rsidR="00C45B47">
        <w:rPr>
          <w:rFonts w:eastAsia="Calibri"/>
          <w:szCs w:val="22"/>
        </w:rPr>
        <w:noBreakHyphen/>
      </w:r>
      <w:r w:rsidRPr="00DE7324">
        <w:rPr>
          <w:rFonts w:eastAsia="Calibri"/>
          <w:szCs w:val="22"/>
        </w:rPr>
        <w:t xml:space="preserve"> Avec le soutien du gouvernement de la République de Corée, par le biais de l</w:t>
      </w:r>
      <w:r w:rsidR="00C45B47">
        <w:rPr>
          <w:rFonts w:eastAsia="Calibri"/>
          <w:szCs w:val="22"/>
        </w:rPr>
        <w:t>’</w:t>
      </w:r>
      <w:r w:rsidRPr="00DE7324">
        <w:rPr>
          <w:rFonts w:eastAsia="Calibri"/>
          <w:szCs w:val="22"/>
        </w:rPr>
        <w:t xml:space="preserve">Initiative coréenne de renforcement des capacités en matière de </w:t>
      </w:r>
      <w:r w:rsidRPr="00DE7324">
        <w:rPr>
          <w:spacing w:val="-2"/>
          <w:kern w:val="22"/>
          <w:szCs w:val="22"/>
        </w:rPr>
        <w:t>prévention des risques biotechnologiques</w:t>
      </w:r>
      <w:r w:rsidRPr="00DE7324">
        <w:rPr>
          <w:rFonts w:eastAsia="Calibri"/>
          <w:szCs w:val="22"/>
        </w:rPr>
        <w:t>, et en collaboration avec le Réseau d</w:t>
      </w:r>
      <w:r w:rsidR="00C45B47">
        <w:rPr>
          <w:rFonts w:eastAsia="Calibri"/>
          <w:szCs w:val="22"/>
        </w:rPr>
        <w:t>’</w:t>
      </w:r>
      <w:r w:rsidRPr="00DE7324">
        <w:rPr>
          <w:rFonts w:eastAsia="Calibri"/>
          <w:szCs w:val="22"/>
        </w:rPr>
        <w:t>expertise africain en biosécurité (ABNE), le Centre de l</w:t>
      </w:r>
      <w:r w:rsidR="00C45B47">
        <w:rPr>
          <w:rFonts w:eastAsia="Calibri"/>
          <w:szCs w:val="22"/>
        </w:rPr>
        <w:t>’</w:t>
      </w:r>
      <w:r w:rsidRPr="00DE7324">
        <w:rPr>
          <w:rFonts w:eastAsia="Calibri"/>
          <w:szCs w:val="22"/>
        </w:rPr>
        <w:t>ASEAN pour la biodiversité (ACB) et le Centre international pour le génie génétique et la biotechnologie (CIGGB), le Secrétariat a organisé trois ateliers de formation sur l</w:t>
      </w:r>
      <w:r w:rsidR="00C45B47">
        <w:rPr>
          <w:rFonts w:eastAsia="Calibri"/>
          <w:szCs w:val="22"/>
        </w:rPr>
        <w:t>’</w:t>
      </w:r>
      <w:r w:rsidRPr="00DE7324">
        <w:rPr>
          <w:rFonts w:eastAsia="Calibri"/>
          <w:szCs w:val="22"/>
        </w:rPr>
        <w:t>évaluation des risques des organismes vivants modifiés. Les ateliers se déroulent à Dakar pour l</w:t>
      </w:r>
      <w:r w:rsidR="00C45B47">
        <w:rPr>
          <w:rFonts w:eastAsia="Calibri"/>
          <w:szCs w:val="22"/>
        </w:rPr>
        <w:t>’</w:t>
      </w:r>
      <w:r w:rsidRPr="00DE7324">
        <w:rPr>
          <w:rFonts w:eastAsia="Calibri"/>
          <w:szCs w:val="22"/>
        </w:rPr>
        <w:t>Afrique francophone, à Antalya, Turquie, pour l</w:t>
      </w:r>
      <w:r w:rsidR="00C45B47">
        <w:rPr>
          <w:rFonts w:eastAsia="Calibri"/>
          <w:szCs w:val="22"/>
        </w:rPr>
        <w:t>’</w:t>
      </w:r>
      <w:r w:rsidRPr="00DE7324">
        <w:rPr>
          <w:rFonts w:eastAsia="Calibri"/>
          <w:szCs w:val="22"/>
        </w:rPr>
        <w:t>Asie occidentale, centrale et orientale, et à Manille pour l</w:t>
      </w:r>
      <w:r w:rsidR="00C45B47">
        <w:rPr>
          <w:rFonts w:eastAsia="Calibri"/>
          <w:szCs w:val="22"/>
        </w:rPr>
        <w:t>’</w:t>
      </w:r>
      <w:r w:rsidRPr="00DE7324">
        <w:rPr>
          <w:rFonts w:eastAsia="Calibri"/>
          <w:szCs w:val="22"/>
        </w:rPr>
        <w:t>Asie du Sud, du Sud</w:t>
      </w:r>
      <w:r w:rsidR="00C45B47">
        <w:rPr>
          <w:rFonts w:eastAsia="Calibri"/>
          <w:szCs w:val="22"/>
        </w:rPr>
        <w:noBreakHyphen/>
      </w:r>
      <w:r w:rsidRPr="00DE7324">
        <w:rPr>
          <w:rFonts w:eastAsia="Calibri"/>
          <w:szCs w:val="22"/>
        </w:rPr>
        <w:t>Est et du Pacifique</w:t>
      </w:r>
      <w:r w:rsidR="00CB7F8F" w:rsidRPr="00221E76">
        <w:rPr>
          <w:rFonts w:eastAsia="Calibri"/>
          <w:szCs w:val="22"/>
        </w:rPr>
        <w:t>.</w:t>
      </w:r>
    </w:p>
    <w:p w14:paraId="71D4BFA9" w14:textId="77777777" w:rsidR="0014276A" w:rsidRPr="00A12C2F" w:rsidRDefault="00E61E76" w:rsidP="00C029F3">
      <w:pPr>
        <w:pStyle w:val="Para1"/>
        <w:keepNext/>
        <w:suppressLineNumbers/>
        <w:suppressAutoHyphens/>
        <w:kinsoku w:val="0"/>
        <w:overflowPunct w:val="0"/>
        <w:autoSpaceDE w:val="0"/>
        <w:autoSpaceDN w:val="0"/>
        <w:adjustRightInd w:val="0"/>
        <w:snapToGrid w:val="0"/>
        <w:spacing w:before="120"/>
        <w:jc w:val="center"/>
        <w:outlineLvl w:val="0"/>
        <w:rPr>
          <w:rFonts w:ascii="Times New Roman Bold" w:eastAsia="Times New Roman" w:hAnsi="Times New Roman Bold" w:cs="Times New Roman Bold"/>
          <w:b/>
          <w:bCs/>
          <w:caps/>
          <w:kern w:val="22"/>
          <w:szCs w:val="22"/>
          <w:lang w:eastAsia="ko-KR"/>
        </w:rPr>
      </w:pPr>
      <w:r w:rsidRPr="00A12C2F">
        <w:rPr>
          <w:rFonts w:ascii="Times New Roman Bold" w:eastAsia="Times New Roman" w:hAnsi="Times New Roman Bold" w:cs="Times New Roman Bold"/>
          <w:b/>
          <w:bCs/>
          <w:caps/>
          <w:kern w:val="22"/>
          <w:szCs w:val="22"/>
          <w:lang w:eastAsia="ko-KR"/>
        </w:rPr>
        <w:t>III.</w:t>
      </w:r>
      <w:r w:rsidRPr="00A12C2F">
        <w:rPr>
          <w:rFonts w:ascii="Times New Roman Bold" w:eastAsia="Times New Roman" w:hAnsi="Times New Roman Bold" w:cs="Times New Roman Bold"/>
          <w:b/>
          <w:bCs/>
          <w:caps/>
          <w:kern w:val="22"/>
          <w:szCs w:val="22"/>
          <w:lang w:eastAsia="ko-KR"/>
        </w:rPr>
        <w:tab/>
      </w:r>
      <w:r w:rsidR="00167732" w:rsidRPr="00A12C2F">
        <w:rPr>
          <w:rFonts w:ascii="Times New Roman Bold" w:eastAsia="Times New Roman" w:hAnsi="Times New Roman Bold" w:cs="Times New Roman Bold"/>
          <w:b/>
          <w:bCs/>
          <w:caps/>
          <w:kern w:val="22"/>
          <w:szCs w:val="22"/>
          <w:lang w:eastAsia="ko-KR"/>
        </w:rPr>
        <w:t>Conclusions</w:t>
      </w:r>
    </w:p>
    <w:p w14:paraId="71D4BFAA" w14:textId="77777777" w:rsidR="0018734F" w:rsidRPr="00F1279C" w:rsidRDefault="004656BC" w:rsidP="001A6166">
      <w:pPr>
        <w:pStyle w:val="Para1"/>
        <w:numPr>
          <w:ilvl w:val="0"/>
          <w:numId w:val="25"/>
        </w:numPr>
        <w:spacing w:before="120"/>
        <w:ind w:left="0" w:firstLine="0"/>
        <w:rPr>
          <w:kern w:val="22"/>
        </w:rPr>
      </w:pPr>
      <w:r w:rsidRPr="00DE7324">
        <w:rPr>
          <w:kern w:val="22"/>
        </w:rPr>
        <w:t>La coopération avec d</w:t>
      </w:r>
      <w:r w:rsidR="00C45B47">
        <w:rPr>
          <w:kern w:val="22"/>
        </w:rPr>
        <w:t>’</w:t>
      </w:r>
      <w:r w:rsidRPr="00DE7324">
        <w:rPr>
          <w:kern w:val="22"/>
        </w:rPr>
        <w:t>autres organisations, conventions et initiatives pertinentes, y compris les entités compétentes aux niveaux national et régional, ainsi qu</w:t>
      </w:r>
      <w:r w:rsidR="00C45B47">
        <w:rPr>
          <w:kern w:val="22"/>
        </w:rPr>
        <w:t>’</w:t>
      </w:r>
      <w:r w:rsidRPr="00DE7324">
        <w:rPr>
          <w:kern w:val="22"/>
        </w:rPr>
        <w:t>avec les peuples autochtones et les communautés locales, reste un élément clé de la mise en œuvre du Protocole de Cartagena et du travail de l</w:t>
      </w:r>
      <w:r w:rsidR="00C45B47">
        <w:rPr>
          <w:kern w:val="22"/>
        </w:rPr>
        <w:t>’</w:t>
      </w:r>
      <w:r w:rsidRPr="00DE7324">
        <w:rPr>
          <w:kern w:val="22"/>
        </w:rPr>
        <w:t>unité de prévention des risques technologiques et du Secrétariat dans son ensemble. La participation continue du Secrétariat à certaines activités de coopération dépendra de la disponibilité des ressources</w:t>
      </w:r>
      <w:r>
        <w:rPr>
          <w:kern w:val="22"/>
        </w:rPr>
        <w:t>.</w:t>
      </w:r>
    </w:p>
    <w:p w14:paraId="71D4BFAB" w14:textId="77777777" w:rsidR="0018734F" w:rsidRPr="001F0249" w:rsidRDefault="004656BC" w:rsidP="001A6166">
      <w:pPr>
        <w:pStyle w:val="Para1"/>
        <w:numPr>
          <w:ilvl w:val="0"/>
          <w:numId w:val="25"/>
        </w:numPr>
        <w:spacing w:before="120"/>
        <w:ind w:left="0" w:firstLine="0"/>
        <w:rPr>
          <w:kern w:val="22"/>
        </w:rPr>
      </w:pPr>
      <w:r w:rsidRPr="00DE7324">
        <w:rPr>
          <w:kern w:val="22"/>
        </w:rPr>
        <w:t>Le cadre mondial de la biodiversité pour l</w:t>
      </w:r>
      <w:r w:rsidR="00C45B47">
        <w:rPr>
          <w:kern w:val="22"/>
        </w:rPr>
        <w:t>’</w:t>
      </w:r>
      <w:r w:rsidRPr="00DE7324">
        <w:rPr>
          <w:kern w:val="22"/>
        </w:rPr>
        <w:t>après</w:t>
      </w:r>
      <w:r w:rsidR="00C45B47">
        <w:rPr>
          <w:kern w:val="22"/>
        </w:rPr>
        <w:noBreakHyphen/>
      </w:r>
      <w:r w:rsidRPr="00DE7324">
        <w:rPr>
          <w:kern w:val="22"/>
        </w:rPr>
        <w:t>2020 et la proposition de plan de mise en œuvre pour l</w:t>
      </w:r>
      <w:r w:rsidR="00C45B47">
        <w:rPr>
          <w:kern w:val="22"/>
        </w:rPr>
        <w:t>’</w:t>
      </w:r>
      <w:r w:rsidRPr="00DE7324">
        <w:rPr>
          <w:kern w:val="22"/>
        </w:rPr>
        <w:t>après</w:t>
      </w:r>
      <w:r w:rsidR="00C45B47">
        <w:rPr>
          <w:kern w:val="22"/>
        </w:rPr>
        <w:noBreakHyphen/>
      </w:r>
      <w:r w:rsidRPr="00DE7324">
        <w:rPr>
          <w:kern w:val="22"/>
        </w:rPr>
        <w:t>2020 et de plan d</w:t>
      </w:r>
      <w:r w:rsidR="00C45B47">
        <w:rPr>
          <w:kern w:val="22"/>
        </w:rPr>
        <w:t>’</w:t>
      </w:r>
      <w:r w:rsidRPr="00DE7324">
        <w:rPr>
          <w:kern w:val="22"/>
        </w:rPr>
        <w:t>action pour le renforcement des capacités pour le protocole de Cartagena sur la prévention des risques biotechnologiques offrent une occasion de renforcer la coopération à différents niveaux afin de faciliter la mise en œuvre du Protocole. Par conséquent, une approche proactive de la part du Secrétariat, des Parties et des autres parties prenantes sera essentielle pour leur permettre de saisir les occasions de partager des apprentissages, des informations ou de faciliter le transfert de technologies, entre autres</w:t>
      </w:r>
      <w:r>
        <w:rPr>
          <w:kern w:val="22"/>
        </w:rPr>
        <w:t>.</w:t>
      </w:r>
    </w:p>
    <w:p w14:paraId="71D4BFAC" w14:textId="77777777" w:rsidR="0018734F" w:rsidRPr="001F0249" w:rsidRDefault="004656BC" w:rsidP="001A6166">
      <w:pPr>
        <w:pStyle w:val="Para1"/>
        <w:numPr>
          <w:ilvl w:val="0"/>
          <w:numId w:val="25"/>
        </w:numPr>
        <w:spacing w:before="120"/>
        <w:ind w:left="0" w:firstLine="0"/>
        <w:rPr>
          <w:kern w:val="22"/>
        </w:rPr>
      </w:pPr>
      <w:r w:rsidRPr="00DE7324">
        <w:rPr>
          <w:kern w:val="22"/>
        </w:rPr>
        <w:t>Une approche coordonnée et sans double emploi de la coopération entre le protocole de Cartagena sur la prévention des risques biotechnologiques, le protocole de Nagoya sur l</w:t>
      </w:r>
      <w:r w:rsidR="00C45B47">
        <w:rPr>
          <w:kern w:val="22"/>
        </w:rPr>
        <w:t>’</w:t>
      </w:r>
      <w:r w:rsidRPr="00DE7324">
        <w:rPr>
          <w:kern w:val="22"/>
        </w:rPr>
        <w:t>accès et le partage des avantages et la Convention sur la diversité biologique renforcera la coordination interne et externe avec les parties prenantes et sera également importante pour garantir la réalisation des produits et des résultats découlant des programmes de travail qui découlent des décisions de la conférence des Parties à la Convention et de la Conférence des Parties siégeant en tant que réunions des Parties aux Protocoles</w:t>
      </w:r>
      <w:r>
        <w:rPr>
          <w:kern w:val="22"/>
        </w:rPr>
        <w:t>.</w:t>
      </w:r>
    </w:p>
    <w:p w14:paraId="71D4BFAD" w14:textId="77777777" w:rsidR="000B5CFF" w:rsidRPr="00221E76" w:rsidRDefault="004656BC" w:rsidP="00C029F3">
      <w:pPr>
        <w:pStyle w:val="Para1"/>
        <w:numPr>
          <w:ilvl w:val="0"/>
          <w:numId w:val="25"/>
        </w:numPr>
        <w:spacing w:before="120"/>
        <w:ind w:left="0" w:firstLine="0"/>
        <w:rPr>
          <w:rFonts w:eastAsia="Times New Roman" w:cs="Times New Roman"/>
        </w:rPr>
      </w:pPr>
      <w:r w:rsidRPr="00DE7324">
        <w:t xml:space="preserve">La Conférence des Parties siégeant en tant que réunion des Parties au Protocole de Cartagena, à sa dixième réunion, souhaitera </w:t>
      </w:r>
      <w:r w:rsidRPr="00DE7324">
        <w:rPr>
          <w:noProof/>
        </w:rPr>
        <w:t>peut</w:t>
      </w:r>
      <w:r w:rsidR="00C45B47">
        <w:rPr>
          <w:noProof/>
        </w:rPr>
        <w:noBreakHyphen/>
      </w:r>
      <w:r w:rsidRPr="00DE7324">
        <w:rPr>
          <w:noProof/>
        </w:rPr>
        <w:t>être prendre note du présent</w:t>
      </w:r>
      <w:r w:rsidRPr="00DE7324">
        <w:t xml:space="preserve"> rapport</w:t>
      </w:r>
      <w:r w:rsidR="0018734F" w:rsidRPr="00221E76">
        <w:t>.</w:t>
      </w:r>
    </w:p>
    <w:p w14:paraId="71D4BFAE" w14:textId="77777777" w:rsidR="00C50C1A" w:rsidRPr="00C029F3" w:rsidRDefault="004656BC">
      <w:pPr>
        <w:pStyle w:val="Para1"/>
        <w:numPr>
          <w:ilvl w:val="0"/>
          <w:numId w:val="25"/>
        </w:numPr>
        <w:spacing w:before="120"/>
        <w:ind w:left="0" w:firstLine="0"/>
        <w:rPr>
          <w:rFonts w:eastAsia="Times New Roman" w:cs="Times New Roman"/>
        </w:rPr>
      </w:pPr>
      <w:r w:rsidRPr="00DE7324">
        <w:rPr>
          <w:kern w:val="22"/>
        </w:rPr>
        <w:t>Bien qu</w:t>
      </w:r>
      <w:r w:rsidR="00C45B47">
        <w:rPr>
          <w:kern w:val="22"/>
        </w:rPr>
        <w:t>’</w:t>
      </w:r>
      <w:r w:rsidRPr="00DE7324">
        <w:rPr>
          <w:kern w:val="22"/>
        </w:rPr>
        <w:t xml:space="preserve">une décision spécifique sur la coopération ne soit </w:t>
      </w:r>
      <w:r w:rsidRPr="00DE7324">
        <w:rPr>
          <w:noProof/>
          <w:kern w:val="22"/>
        </w:rPr>
        <w:t>peut</w:t>
      </w:r>
      <w:r w:rsidR="00C45B47">
        <w:rPr>
          <w:noProof/>
          <w:kern w:val="22"/>
        </w:rPr>
        <w:noBreakHyphen/>
      </w:r>
      <w:r w:rsidRPr="00DE7324">
        <w:rPr>
          <w:noProof/>
          <w:kern w:val="22"/>
        </w:rPr>
        <w:t>être pas nécessaire</w:t>
      </w:r>
      <w:r w:rsidRPr="00DE7324">
        <w:rPr>
          <w:kern w:val="22"/>
        </w:rPr>
        <w:t xml:space="preserve"> lors de cette réunion, le projet de mise en œuvre pour l</w:t>
      </w:r>
      <w:r w:rsidR="00C45B47">
        <w:rPr>
          <w:kern w:val="22"/>
        </w:rPr>
        <w:t>’</w:t>
      </w:r>
      <w:r w:rsidRPr="00DE7324">
        <w:rPr>
          <w:kern w:val="22"/>
        </w:rPr>
        <w:t>après</w:t>
      </w:r>
      <w:r w:rsidR="00C45B47">
        <w:rPr>
          <w:kern w:val="22"/>
        </w:rPr>
        <w:noBreakHyphen/>
      </w:r>
      <w:r w:rsidRPr="00DE7324">
        <w:rPr>
          <w:kern w:val="22"/>
        </w:rPr>
        <w:t>2020 et le plan d</w:t>
      </w:r>
      <w:r w:rsidR="00C45B47">
        <w:rPr>
          <w:kern w:val="22"/>
        </w:rPr>
        <w:t>’</w:t>
      </w:r>
      <w:r w:rsidRPr="00DE7324">
        <w:rPr>
          <w:kern w:val="22"/>
        </w:rPr>
        <w:t xml:space="preserve">action pour le renforcement des capacités du Protocole de Cartagena comprennent des objectifs et des résultats spécifiques en matière de </w:t>
      </w:r>
      <w:r w:rsidRPr="00DE7324">
        <w:rPr>
          <w:kern w:val="22"/>
        </w:rPr>
        <w:lastRenderedPageBreak/>
        <w:t>coopération</w:t>
      </w:r>
      <w:r>
        <w:rPr>
          <w:kern w:val="22"/>
        </w:rPr>
        <w:t>;</w:t>
      </w:r>
      <w:r w:rsidRPr="00DE7324">
        <w:rPr>
          <w:kern w:val="22"/>
        </w:rPr>
        <w:t xml:space="preserve"> il sera donc nécessaire de veiller à ce qu</w:t>
      </w:r>
      <w:r w:rsidR="00C45B47">
        <w:rPr>
          <w:kern w:val="22"/>
        </w:rPr>
        <w:t>’</w:t>
      </w:r>
      <w:r w:rsidRPr="00DE7324">
        <w:rPr>
          <w:kern w:val="22"/>
        </w:rPr>
        <w:t>un soutien financier continu soit fourni pour permettre au Secrétariat de mener des activités de coopération</w:t>
      </w:r>
      <w:r w:rsidR="00CB1355">
        <w:rPr>
          <w:kern w:val="22"/>
        </w:rPr>
        <w:t>, comme il convient</w:t>
      </w:r>
      <w:r w:rsidR="00C50C1A" w:rsidRPr="00E62E3F">
        <w:rPr>
          <w:kern w:val="22"/>
        </w:rPr>
        <w:t>.</w:t>
      </w:r>
    </w:p>
    <w:p w14:paraId="71D4BFAF" w14:textId="77777777" w:rsidR="00F67C59" w:rsidRPr="00221E76" w:rsidRDefault="00F67C59" w:rsidP="00C029F3">
      <w:pPr>
        <w:pStyle w:val="Para1"/>
        <w:spacing w:before="120"/>
        <w:jc w:val="center"/>
        <w:rPr>
          <w:rFonts w:eastAsia="Times New Roman" w:cs="Times New Roman"/>
        </w:rPr>
      </w:pPr>
      <w:r>
        <w:rPr>
          <w:kern w:val="22"/>
        </w:rPr>
        <w:t>__________</w:t>
      </w:r>
    </w:p>
    <w:sectPr w:rsidR="00F67C59" w:rsidRPr="00221E76" w:rsidSect="00EB69F3">
      <w:headerReference w:type="even" r:id="rId16"/>
      <w:headerReference w:type="default" r:id="rId17"/>
      <w:footerReference w:type="even" r:id="rId18"/>
      <w:footerReference w:type="first" r:id="rId19"/>
      <w:type w:val="continuous"/>
      <w:pgSz w:w="12240" w:h="15840" w:code="1"/>
      <w:pgMar w:top="562" w:right="1440" w:bottom="850"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4BFB9" w14:textId="77777777" w:rsidR="00C95B5B" w:rsidRDefault="00C95B5B">
      <w:r>
        <w:separator/>
      </w:r>
    </w:p>
  </w:endnote>
  <w:endnote w:type="continuationSeparator" w:id="0">
    <w:p w14:paraId="71D4BFBA" w14:textId="77777777" w:rsidR="00C95B5B" w:rsidRDefault="00C95B5B">
      <w:r>
        <w:continuationSeparator/>
      </w:r>
    </w:p>
  </w:endnote>
  <w:endnote w:type="continuationNotice" w:id="1">
    <w:p w14:paraId="71D4BFBB" w14:textId="77777777" w:rsidR="00C95B5B" w:rsidRDefault="00C95B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4BFC2" w14:textId="77777777" w:rsidR="00136FDC" w:rsidRDefault="00136FDC">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4BFC3" w14:textId="77777777" w:rsidR="00136FDC" w:rsidRDefault="00136FDC">
    <w:pPr>
      <w:pStyle w:val="Footer"/>
      <w:tabs>
        <w:tab w:val="clear" w:pos="4320"/>
        <w:tab w:val="clear" w:pos="8640"/>
      </w:tabs>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4BFB6" w14:textId="77777777" w:rsidR="00C95B5B" w:rsidRDefault="00C95B5B">
      <w:r>
        <w:separator/>
      </w:r>
    </w:p>
  </w:footnote>
  <w:footnote w:type="continuationSeparator" w:id="0">
    <w:p w14:paraId="71D4BFB7" w14:textId="77777777" w:rsidR="00C95B5B" w:rsidRDefault="00C95B5B">
      <w:r>
        <w:continuationSeparator/>
      </w:r>
    </w:p>
  </w:footnote>
  <w:footnote w:type="continuationNotice" w:id="1">
    <w:p w14:paraId="71D4BFB8" w14:textId="77777777" w:rsidR="00C95B5B" w:rsidRDefault="00C95B5B"/>
  </w:footnote>
  <w:footnote w:id="2">
    <w:p w14:paraId="71D4BFC4" w14:textId="77777777" w:rsidR="00714608" w:rsidRPr="00681249" w:rsidRDefault="00714608" w:rsidP="00681249">
      <w:pPr>
        <w:pStyle w:val="FootnoteText"/>
        <w:ind w:firstLine="0"/>
      </w:pPr>
      <w:r w:rsidRPr="00681249">
        <w:rPr>
          <w:rStyle w:val="FootnoteReference"/>
          <w:u w:val="none"/>
        </w:rPr>
        <w:t>*</w:t>
      </w:r>
      <w:r>
        <w:t xml:space="preserve"> </w:t>
      </w:r>
      <w:r w:rsidR="001F578A">
        <w:t>Republié le 31 octobre 2022 pour des raisons techniques (ajout de la section F, paragraphes 14 et 15).</w:t>
      </w:r>
    </w:p>
  </w:footnote>
  <w:footnote w:id="3">
    <w:p w14:paraId="71D4BFC5" w14:textId="77777777" w:rsidR="0092315B" w:rsidRPr="009F3576" w:rsidRDefault="0092315B" w:rsidP="0092315B">
      <w:pPr>
        <w:pStyle w:val="FootnoteText"/>
        <w:ind w:firstLine="0"/>
        <w:rPr>
          <w:lang w:val="fr-FR"/>
        </w:rPr>
      </w:pPr>
      <w:r w:rsidRPr="00C029F3">
        <w:rPr>
          <w:rStyle w:val="FootnoteReference"/>
          <w:u w:val="none"/>
          <w:vertAlign w:val="superscript"/>
        </w:rPr>
        <w:footnoteRef/>
      </w:r>
      <w:r w:rsidRPr="009F3576">
        <w:rPr>
          <w:lang w:val="fr-FR"/>
        </w:rPr>
        <w:t xml:space="preserve"> Pour les travaux relatifs à la Convention, veuillez vous reporter </w:t>
      </w:r>
      <w:r>
        <w:rPr>
          <w:lang w:val="fr-FR"/>
        </w:rPr>
        <w:t xml:space="preserve">au document </w:t>
      </w:r>
      <w:r w:rsidRPr="009F3576">
        <w:rPr>
          <w:lang w:val="fr-FR"/>
        </w:rPr>
        <w:t>CBD/SBI/3/10. Pour les travaux relatifs au Protocole de Nagoya, veuillez vous référer au document CBD/NP/MOP/4/8.</w:t>
      </w:r>
    </w:p>
  </w:footnote>
  <w:footnote w:id="4">
    <w:p w14:paraId="71D4BFC6" w14:textId="77777777" w:rsidR="00F81732" w:rsidRPr="00724A43" w:rsidRDefault="00F81732" w:rsidP="00F81732">
      <w:pPr>
        <w:pStyle w:val="FootnoteText"/>
        <w:ind w:firstLine="0"/>
        <w:rPr>
          <w:lang w:val="fr-FR"/>
        </w:rPr>
      </w:pPr>
      <w:r w:rsidRPr="00C029F3">
        <w:rPr>
          <w:rStyle w:val="FootnoteReference"/>
          <w:u w:val="none"/>
          <w:vertAlign w:val="superscript"/>
        </w:rPr>
        <w:footnoteRef/>
      </w:r>
      <w:r w:rsidRPr="00724A43">
        <w:rPr>
          <w:lang w:val="fr-FR"/>
        </w:rPr>
        <w:t xml:space="preserve"> </w:t>
      </w:r>
      <w:hyperlink r:id="rId1" w:history="1">
        <w:r w:rsidRPr="00382695">
          <w:rPr>
            <w:rStyle w:val="Hyperlink"/>
            <w:lang w:val="fr-FR"/>
          </w:rPr>
          <w:t>https://bch.cbd.int/onlineconferences/portal_art23/resources.shtml</w:t>
        </w:r>
      </w:hyperlink>
      <w:r>
        <w:rPr>
          <w:lang w:val="fr-FR"/>
        </w:rPr>
        <w:t xml:space="preserve"> </w:t>
      </w:r>
    </w:p>
  </w:footnote>
  <w:footnote w:id="5">
    <w:p w14:paraId="71D4BFC7" w14:textId="77777777" w:rsidR="00A628C9" w:rsidRPr="00724A43" w:rsidRDefault="00A628C9" w:rsidP="00A628C9">
      <w:pPr>
        <w:pStyle w:val="FootnoteText"/>
        <w:ind w:firstLine="0"/>
        <w:rPr>
          <w:lang w:val="fr-FR"/>
        </w:rPr>
      </w:pPr>
      <w:r w:rsidRPr="00C029F3">
        <w:rPr>
          <w:rStyle w:val="FootnoteReference"/>
          <w:u w:val="none"/>
          <w:vertAlign w:val="superscript"/>
        </w:rPr>
        <w:footnoteRef/>
      </w:r>
      <w:r w:rsidRPr="00724A43">
        <w:rPr>
          <w:lang w:val="fr-FR"/>
        </w:rPr>
        <w:t xml:space="preserve"> </w:t>
      </w:r>
      <w:hyperlink r:id="rId2" w:history="1">
        <w:r w:rsidRPr="00382695">
          <w:rPr>
            <w:rStyle w:val="Hyperlink"/>
            <w:lang w:val="fr-FR"/>
          </w:rPr>
          <w:t>https://bch.cbd.int/onlineconferences/portal_art23/actionagendaforum/</w:t>
        </w:r>
      </w:hyperlink>
      <w:r>
        <w:rPr>
          <w:lang w:val="fr-FR"/>
        </w:rPr>
        <w:t xml:space="preserve"> </w:t>
      </w:r>
    </w:p>
  </w:footnote>
  <w:footnote w:id="6">
    <w:p w14:paraId="71D4BFC8" w14:textId="77777777" w:rsidR="00A628C9" w:rsidRPr="00EF1B1D" w:rsidRDefault="00A628C9" w:rsidP="00A628C9">
      <w:pPr>
        <w:pStyle w:val="FootnoteText"/>
        <w:ind w:firstLine="0"/>
        <w:rPr>
          <w:lang w:val="en-US"/>
        </w:rPr>
      </w:pPr>
      <w:r w:rsidRPr="00C029F3">
        <w:rPr>
          <w:rStyle w:val="FootnoteReference"/>
          <w:u w:val="none"/>
          <w:vertAlign w:val="superscript"/>
        </w:rPr>
        <w:footnoteRef/>
      </w:r>
      <w:r w:rsidRPr="00EF1B1D">
        <w:rPr>
          <w:lang w:val="en-US"/>
        </w:rPr>
        <w:t xml:space="preserve"> CBD/CP/MOP/10/INF/6.</w:t>
      </w:r>
    </w:p>
  </w:footnote>
  <w:footnote w:id="7">
    <w:p w14:paraId="71D4BFC9" w14:textId="77777777" w:rsidR="00CB40EB" w:rsidRPr="00D846F8" w:rsidRDefault="00CB40EB" w:rsidP="00CB40EB">
      <w:pPr>
        <w:pStyle w:val="FootnoteText"/>
        <w:ind w:firstLine="0"/>
        <w:rPr>
          <w:lang w:val="en-US"/>
        </w:rPr>
      </w:pPr>
      <w:r w:rsidRPr="00C029F3">
        <w:rPr>
          <w:rStyle w:val="FootnoteReference"/>
          <w:u w:val="none"/>
          <w:vertAlign w:val="superscript"/>
        </w:rPr>
        <w:footnoteRef/>
      </w:r>
      <w:r w:rsidRPr="00EF1B1D">
        <w:rPr>
          <w:lang w:val="en-US"/>
        </w:rPr>
        <w:t xml:space="preserve"> </w:t>
      </w:r>
      <w:hyperlink r:id="rId3" w:history="1">
        <w:r w:rsidRPr="00EF1B1D">
          <w:rPr>
            <w:rStyle w:val="Hyperlink"/>
            <w:lang w:val="en-US"/>
          </w:rPr>
          <w:t>https://euginius.eu/</w:t>
        </w:r>
      </w:hyperlink>
      <w:r w:rsidRPr="00EF1B1D">
        <w:rPr>
          <w:lang w:val="en-US"/>
        </w:rPr>
        <w:t>.</w:t>
      </w:r>
    </w:p>
  </w:footnote>
  <w:footnote w:id="8">
    <w:p w14:paraId="71D4BFCA" w14:textId="77777777" w:rsidR="00CB40EB" w:rsidRPr="003E141A" w:rsidRDefault="00CB40EB" w:rsidP="00CB40EB">
      <w:pPr>
        <w:pStyle w:val="FootnoteText"/>
        <w:ind w:firstLine="0"/>
        <w:rPr>
          <w:lang w:val="fr-FR"/>
        </w:rPr>
      </w:pPr>
      <w:r w:rsidRPr="00C029F3">
        <w:rPr>
          <w:rStyle w:val="FootnoteReference"/>
          <w:u w:val="none"/>
          <w:vertAlign w:val="superscript"/>
        </w:rPr>
        <w:footnoteRef/>
      </w:r>
      <w:r w:rsidRPr="003E141A">
        <w:rPr>
          <w:lang w:val="fr-FR"/>
        </w:rPr>
        <w:t xml:space="preserve"> </w:t>
      </w:r>
      <w:hyperlink r:id="rId4" w:history="1">
        <w:r w:rsidRPr="003E141A">
          <w:rPr>
            <w:rStyle w:val="Hyperlink"/>
            <w:lang w:val="fr-FR"/>
          </w:rPr>
          <w:t>https://doi.org/10.1186/s12859‑020‑03880‑0</w:t>
        </w:r>
      </w:hyperlink>
      <w:r w:rsidRPr="003E141A">
        <w:rPr>
          <w:lang w:val="fr-FR"/>
        </w:rPr>
        <w:t>.</w:t>
      </w:r>
    </w:p>
  </w:footnote>
  <w:footnote w:id="9">
    <w:p w14:paraId="71D4BFCB" w14:textId="77777777" w:rsidR="00CB40EB" w:rsidRPr="00C42EDB" w:rsidRDefault="00CB40EB" w:rsidP="00CB40EB">
      <w:pPr>
        <w:pStyle w:val="FootnoteText"/>
        <w:ind w:firstLine="0"/>
        <w:rPr>
          <w:lang w:val="fr-FR"/>
        </w:rPr>
      </w:pPr>
      <w:r w:rsidRPr="00C029F3">
        <w:rPr>
          <w:rStyle w:val="FootnoteReference"/>
          <w:u w:val="none"/>
          <w:vertAlign w:val="superscript"/>
        </w:rPr>
        <w:footnoteRef/>
      </w:r>
      <w:r w:rsidRPr="00C42EDB">
        <w:rPr>
          <w:lang w:val="fr-FR"/>
        </w:rPr>
        <w:t xml:space="preserve"> Officiellement, la Convention sur l</w:t>
      </w:r>
      <w:r w:rsidR="00C45B47">
        <w:rPr>
          <w:lang w:val="fr-FR"/>
        </w:rPr>
        <w:t>’</w:t>
      </w:r>
      <w:r w:rsidRPr="00C42EDB">
        <w:rPr>
          <w:lang w:val="fr-FR"/>
        </w:rPr>
        <w:t>interdiction de la mise au point, de la fabrication et du stockage</w:t>
      </w:r>
      <w:r>
        <w:rPr>
          <w:lang w:val="fr-FR"/>
        </w:rPr>
        <w:t xml:space="preserve"> et de l</w:t>
      </w:r>
      <w:r w:rsidR="00C45B47">
        <w:rPr>
          <w:lang w:val="fr-FR"/>
        </w:rPr>
        <w:t>’</w:t>
      </w:r>
      <w:r>
        <w:rPr>
          <w:lang w:val="fr-FR"/>
        </w:rPr>
        <w:t xml:space="preserve">emploi des armes chimiques et sur leur destruction. </w:t>
      </w:r>
    </w:p>
  </w:footnote>
  <w:footnote w:id="10">
    <w:p w14:paraId="71D4BFCC" w14:textId="77777777" w:rsidR="00CB40EB" w:rsidRDefault="00CB40EB" w:rsidP="00CB40EB">
      <w:pPr>
        <w:pStyle w:val="FootnoteText"/>
        <w:ind w:firstLine="0"/>
      </w:pPr>
      <w:r w:rsidRPr="00C029F3">
        <w:rPr>
          <w:rStyle w:val="FootnoteReference"/>
          <w:u w:val="none"/>
          <w:vertAlign w:val="superscript"/>
        </w:rPr>
        <w:footnoteRef/>
      </w:r>
      <w:r>
        <w:t xml:space="preserve"> </w:t>
      </w:r>
      <w:hyperlink r:id="rId5" w:history="1">
        <w:r w:rsidRPr="00422288">
          <w:rPr>
            <w:rStyle w:val="Hyperlink"/>
            <w:kern w:val="22"/>
          </w:rPr>
          <w:t>https://youtu.be/eQu4hVv0DAI</w:t>
        </w:r>
      </w:hyperlink>
      <w:r w:rsidRPr="00221E7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4BFBC" w14:textId="77777777" w:rsidR="00726585" w:rsidRPr="00726585" w:rsidRDefault="00EF1B1D" w:rsidP="00C029F3">
    <w:pPr>
      <w:suppressLineNumbers/>
      <w:suppressAutoHyphens/>
      <w:kinsoku w:val="0"/>
      <w:overflowPunct w:val="0"/>
      <w:autoSpaceDE w:val="0"/>
      <w:autoSpaceDN w:val="0"/>
      <w:rPr>
        <w:rFonts w:eastAsia="SimSun" w:cs="Times New Roman"/>
        <w:snapToGrid w:val="0"/>
        <w:kern w:val="22"/>
        <w:szCs w:val="22"/>
      </w:rPr>
    </w:pPr>
    <w:sdt>
      <w:sdtPr>
        <w:rPr>
          <w:rFonts w:eastAsia="SimSun" w:cs="Times New Roman"/>
          <w:snapToGrid w:val="0"/>
          <w:kern w:val="22"/>
          <w:szCs w:val="22"/>
        </w:rPr>
        <w:alias w:val="Subject"/>
        <w:tag w:val=""/>
        <w:id w:val="-1028947556"/>
        <w:placeholder>
          <w:docPart w:val="0D552703BF534108BB0A551A63F794E1"/>
        </w:placeholder>
        <w:dataBinding w:prefixMappings="xmlns:ns0='http://purl.org/dc/elements/1.1/' xmlns:ns1='http://schemas.openxmlformats.org/package/2006/metadata/core-properties' " w:xpath="/ns1:coreProperties[1]/ns0:subject[1]" w:storeItemID="{6C3C8BC8-F283-45AE-878A-BAB7291924A1}"/>
        <w:text/>
      </w:sdtPr>
      <w:sdtEndPr/>
      <w:sdtContent>
        <w:r w:rsidR="00CF3318">
          <w:rPr>
            <w:rFonts w:eastAsia="SimSun" w:cs="Times New Roman"/>
            <w:snapToGrid w:val="0"/>
            <w:kern w:val="22"/>
            <w:szCs w:val="22"/>
          </w:rPr>
          <w:t>CBD/CP/MOP/10/8</w:t>
        </w:r>
      </w:sdtContent>
    </w:sdt>
  </w:p>
  <w:p w14:paraId="71D4BFBD" w14:textId="77777777" w:rsidR="00136FDC" w:rsidRDefault="00136FDC">
    <w:pPr>
      <w:pStyle w:val="Header"/>
      <w:tabs>
        <w:tab w:val="clear" w:pos="4320"/>
        <w:tab w:val="clear" w:pos="8640"/>
      </w:tabs>
      <w:jc w:val="left"/>
      <w:rPr>
        <w:noProof/>
        <w:kern w:val="22"/>
        <w:szCs w:val="22"/>
      </w:rPr>
    </w:pPr>
    <w:r>
      <w:rPr>
        <w:noProof/>
        <w:kern w:val="22"/>
        <w:szCs w:val="22"/>
      </w:rPr>
      <w:t xml:space="preserve">Page </w:t>
    </w:r>
    <w:r w:rsidR="00E34077">
      <w:rPr>
        <w:bCs/>
        <w:noProof/>
        <w:kern w:val="22"/>
        <w:szCs w:val="22"/>
      </w:rPr>
      <w:fldChar w:fldCharType="begin"/>
    </w:r>
    <w:r>
      <w:rPr>
        <w:bCs/>
        <w:noProof/>
        <w:kern w:val="22"/>
        <w:szCs w:val="22"/>
      </w:rPr>
      <w:instrText xml:space="preserve"> PAGE </w:instrText>
    </w:r>
    <w:r w:rsidR="00E34077">
      <w:rPr>
        <w:bCs/>
        <w:noProof/>
        <w:kern w:val="22"/>
        <w:szCs w:val="22"/>
      </w:rPr>
      <w:fldChar w:fldCharType="separate"/>
    </w:r>
    <w:r w:rsidR="001C4325">
      <w:rPr>
        <w:bCs/>
        <w:noProof/>
        <w:kern w:val="22"/>
        <w:szCs w:val="22"/>
      </w:rPr>
      <w:t>2</w:t>
    </w:r>
    <w:r w:rsidR="00E34077">
      <w:rPr>
        <w:bCs/>
        <w:noProof/>
        <w:kern w:val="22"/>
        <w:szCs w:val="22"/>
      </w:rPr>
      <w:fldChar w:fldCharType="end"/>
    </w:r>
  </w:p>
  <w:p w14:paraId="71D4BFBE" w14:textId="77777777" w:rsidR="00136FDC" w:rsidRDefault="00136FDC">
    <w:pPr>
      <w:pStyle w:val="Header"/>
      <w:tabs>
        <w:tab w:val="clear" w:pos="4320"/>
        <w:tab w:val="clear" w:pos="8640"/>
      </w:tabs>
      <w:jc w:val="left"/>
      <w:rPr>
        <w:noProof/>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4BFBF" w14:textId="77777777" w:rsidR="00726585" w:rsidRPr="00726585" w:rsidRDefault="00EF1B1D" w:rsidP="00C029F3">
    <w:pPr>
      <w:suppressLineNumbers/>
      <w:suppressAutoHyphens/>
      <w:kinsoku w:val="0"/>
      <w:overflowPunct w:val="0"/>
      <w:autoSpaceDE w:val="0"/>
      <w:autoSpaceDN w:val="0"/>
      <w:ind w:left="1215"/>
      <w:jc w:val="right"/>
      <w:rPr>
        <w:rFonts w:eastAsia="SimSun" w:cs="Times New Roman"/>
        <w:snapToGrid w:val="0"/>
        <w:kern w:val="22"/>
        <w:szCs w:val="22"/>
      </w:rPr>
    </w:pPr>
    <w:sdt>
      <w:sdtPr>
        <w:rPr>
          <w:rFonts w:eastAsia="SimSun" w:cs="Times New Roman"/>
          <w:snapToGrid w:val="0"/>
          <w:kern w:val="22"/>
          <w:szCs w:val="22"/>
        </w:rPr>
        <w:alias w:val="Subject"/>
        <w:tag w:val=""/>
        <w:id w:val="107393267"/>
        <w:placeholder>
          <w:docPart w:val="EB52E98FA9A54A059A825A69E9B442BA"/>
        </w:placeholder>
        <w:dataBinding w:prefixMappings="xmlns:ns0='http://purl.org/dc/elements/1.1/' xmlns:ns1='http://schemas.openxmlformats.org/package/2006/metadata/core-properties' " w:xpath="/ns1:coreProperties[1]/ns0:subject[1]" w:storeItemID="{6C3C8BC8-F283-45AE-878A-BAB7291924A1}"/>
        <w:text/>
      </w:sdtPr>
      <w:sdtEndPr/>
      <w:sdtContent>
        <w:r w:rsidR="00CF3318">
          <w:rPr>
            <w:rFonts w:eastAsia="SimSun" w:cs="Times New Roman"/>
            <w:snapToGrid w:val="0"/>
            <w:kern w:val="22"/>
            <w:szCs w:val="22"/>
          </w:rPr>
          <w:t>CBD/CP/MOP/10/8</w:t>
        </w:r>
      </w:sdtContent>
    </w:sdt>
  </w:p>
  <w:p w14:paraId="71D4BFC0" w14:textId="77777777" w:rsidR="00136FDC" w:rsidRDefault="00136FDC">
    <w:pPr>
      <w:pStyle w:val="Header"/>
      <w:tabs>
        <w:tab w:val="clear" w:pos="4320"/>
        <w:tab w:val="clear" w:pos="8640"/>
      </w:tabs>
      <w:jc w:val="right"/>
      <w:rPr>
        <w:noProof/>
        <w:kern w:val="22"/>
        <w:szCs w:val="22"/>
      </w:rPr>
    </w:pPr>
    <w:r>
      <w:rPr>
        <w:noProof/>
        <w:kern w:val="22"/>
        <w:szCs w:val="22"/>
      </w:rPr>
      <w:t xml:space="preserve">Page </w:t>
    </w:r>
    <w:r w:rsidR="00E34077">
      <w:rPr>
        <w:bCs/>
        <w:noProof/>
        <w:kern w:val="22"/>
        <w:szCs w:val="22"/>
      </w:rPr>
      <w:fldChar w:fldCharType="begin"/>
    </w:r>
    <w:r>
      <w:rPr>
        <w:bCs/>
        <w:noProof/>
        <w:kern w:val="22"/>
        <w:szCs w:val="22"/>
      </w:rPr>
      <w:instrText xml:space="preserve"> PAGE </w:instrText>
    </w:r>
    <w:r w:rsidR="00E34077">
      <w:rPr>
        <w:bCs/>
        <w:noProof/>
        <w:kern w:val="22"/>
        <w:szCs w:val="22"/>
      </w:rPr>
      <w:fldChar w:fldCharType="separate"/>
    </w:r>
    <w:r w:rsidR="001C4325">
      <w:rPr>
        <w:bCs/>
        <w:noProof/>
        <w:kern w:val="22"/>
        <w:szCs w:val="22"/>
      </w:rPr>
      <w:t>3</w:t>
    </w:r>
    <w:r w:rsidR="00E34077">
      <w:rPr>
        <w:bCs/>
        <w:noProof/>
        <w:kern w:val="22"/>
        <w:szCs w:val="22"/>
      </w:rPr>
      <w:fldChar w:fldCharType="end"/>
    </w:r>
  </w:p>
  <w:p w14:paraId="71D4BFC1" w14:textId="77777777" w:rsidR="00136FDC" w:rsidRDefault="00136FDC">
    <w:pPr>
      <w:pStyle w:val="Header"/>
      <w:tabs>
        <w:tab w:val="clear" w:pos="4320"/>
        <w:tab w:val="clear" w:pos="8640"/>
      </w:tabs>
      <w:jc w:val="right"/>
      <w:rPr>
        <w:noProof/>
        <w:kern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21E3F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45B7F"/>
    <w:multiLevelType w:val="hybridMultilevel"/>
    <w:tmpl w:val="3CE80434"/>
    <w:lvl w:ilvl="0" w:tplc="E31A1E28">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AC213B"/>
    <w:multiLevelType w:val="multilevel"/>
    <w:tmpl w:val="41D295EA"/>
    <w:lvl w:ilvl="0">
      <w:start w:val="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27023B"/>
    <w:multiLevelType w:val="hybridMultilevel"/>
    <w:tmpl w:val="FFFFFFFF"/>
    <w:lvl w:ilvl="0" w:tplc="81A64740">
      <w:start w:val="1"/>
      <w:numFmt w:val="decimal"/>
      <w:lvlText w:val="%1."/>
      <w:lvlJc w:val="left"/>
      <w:pPr>
        <w:ind w:left="720" w:hanging="360"/>
      </w:pPr>
    </w:lvl>
    <w:lvl w:ilvl="1" w:tplc="B2C0DDA0">
      <w:start w:val="1"/>
      <w:numFmt w:val="lowerLetter"/>
      <w:lvlText w:val="%2."/>
      <w:lvlJc w:val="left"/>
      <w:pPr>
        <w:ind w:left="1440" w:hanging="360"/>
      </w:pPr>
    </w:lvl>
    <w:lvl w:ilvl="2" w:tplc="E9FE3D80">
      <w:start w:val="1"/>
      <w:numFmt w:val="lowerRoman"/>
      <w:lvlText w:val="%3."/>
      <w:lvlJc w:val="right"/>
      <w:pPr>
        <w:ind w:left="2160" w:hanging="180"/>
      </w:pPr>
    </w:lvl>
    <w:lvl w:ilvl="3" w:tplc="C714D926">
      <w:start w:val="1"/>
      <w:numFmt w:val="decimal"/>
      <w:lvlText w:val="%4."/>
      <w:lvlJc w:val="left"/>
      <w:pPr>
        <w:ind w:left="2880" w:hanging="360"/>
      </w:pPr>
    </w:lvl>
    <w:lvl w:ilvl="4" w:tplc="2D88165E">
      <w:start w:val="1"/>
      <w:numFmt w:val="lowerLetter"/>
      <w:lvlText w:val="%5."/>
      <w:lvlJc w:val="left"/>
      <w:pPr>
        <w:ind w:left="3600" w:hanging="360"/>
      </w:pPr>
    </w:lvl>
    <w:lvl w:ilvl="5" w:tplc="7570B6DE">
      <w:start w:val="1"/>
      <w:numFmt w:val="lowerRoman"/>
      <w:lvlText w:val="%6."/>
      <w:lvlJc w:val="right"/>
      <w:pPr>
        <w:ind w:left="4320" w:hanging="180"/>
      </w:pPr>
    </w:lvl>
    <w:lvl w:ilvl="6" w:tplc="E15E8C9A">
      <w:start w:val="1"/>
      <w:numFmt w:val="decimal"/>
      <w:lvlText w:val="%7."/>
      <w:lvlJc w:val="left"/>
      <w:pPr>
        <w:ind w:left="5040" w:hanging="360"/>
      </w:pPr>
    </w:lvl>
    <w:lvl w:ilvl="7" w:tplc="7EC4B7FA">
      <w:start w:val="1"/>
      <w:numFmt w:val="lowerLetter"/>
      <w:lvlText w:val="%8."/>
      <w:lvlJc w:val="left"/>
      <w:pPr>
        <w:ind w:left="5760" w:hanging="360"/>
      </w:pPr>
    </w:lvl>
    <w:lvl w:ilvl="8" w:tplc="916C7A84">
      <w:start w:val="1"/>
      <w:numFmt w:val="lowerRoman"/>
      <w:lvlText w:val="%9."/>
      <w:lvlJc w:val="right"/>
      <w:pPr>
        <w:ind w:left="6480" w:hanging="180"/>
      </w:pPr>
    </w:lvl>
  </w:abstractNum>
  <w:abstractNum w:abstractNumId="4" w15:restartNumberingAfterBreak="0">
    <w:nsid w:val="0B8F25D6"/>
    <w:multiLevelType w:val="hybridMultilevel"/>
    <w:tmpl w:val="27EE4558"/>
    <w:lvl w:ilvl="0" w:tplc="1009000F">
      <w:start w:val="15"/>
      <w:numFmt w:val="decimal"/>
      <w:pStyle w:val="aident"/>
      <w:lvlText w:val="%1."/>
      <w:lvlJc w:val="left"/>
      <w:pPr>
        <w:tabs>
          <w:tab w:val="num" w:pos="720"/>
        </w:tabs>
        <w:ind w:left="720" w:hanging="360"/>
      </w:pPr>
      <w:rPr>
        <w:rFonts w:cs="Times New Roman" w:hint="default"/>
      </w:rPr>
    </w:lvl>
    <w:lvl w:ilvl="1" w:tplc="10090019" w:tentative="1">
      <w:start w:val="1"/>
      <w:numFmt w:val="lowerLetter"/>
      <w:lvlText w:val="%2."/>
      <w:lvlJc w:val="left"/>
      <w:pPr>
        <w:tabs>
          <w:tab w:val="num" w:pos="1440"/>
        </w:tabs>
        <w:ind w:left="1440" w:hanging="360"/>
      </w:pPr>
    </w:lvl>
    <w:lvl w:ilvl="2" w:tplc="1009001B">
      <w:start w:val="1"/>
      <w:numFmt w:val="lowerRoman"/>
      <w:lvlText w:val="%3."/>
      <w:lvlJc w:val="right"/>
      <w:pPr>
        <w:tabs>
          <w:tab w:val="num" w:pos="180"/>
        </w:tabs>
        <w:ind w:left="18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15:restartNumberingAfterBreak="0">
    <w:nsid w:val="0B950AC6"/>
    <w:multiLevelType w:val="hybridMultilevel"/>
    <w:tmpl w:val="FF5C19E0"/>
    <w:lvl w:ilvl="0" w:tplc="C7EE99CE">
      <w:start w:val="1"/>
      <w:numFmt w:val="decimal"/>
      <w:lvlText w:val="%1."/>
      <w:lvlJc w:val="left"/>
      <w:pPr>
        <w:tabs>
          <w:tab w:val="num" w:pos="360"/>
        </w:tabs>
        <w:ind w:left="0" w:firstLine="0"/>
      </w:pPr>
      <w:rPr>
        <w:rFonts w:ascii="Times New Roman" w:hAnsi="Times New Roman" w:hint="default"/>
        <w:b w:val="0"/>
        <w:i w:val="0"/>
        <w:sz w:val="22"/>
      </w:rPr>
    </w:lvl>
    <w:lvl w:ilvl="1" w:tplc="1B8C292C">
      <w:start w:val="1"/>
      <w:numFmt w:val="lowerLetter"/>
      <w:lvlText w:val="(%2)"/>
      <w:lvlJc w:val="left"/>
      <w:pPr>
        <w:tabs>
          <w:tab w:val="num" w:pos="2160"/>
        </w:tabs>
        <w:ind w:left="720" w:firstLine="720"/>
      </w:pPr>
      <w:rPr>
        <w:rFonts w:hint="default"/>
        <w:b w:val="0"/>
        <w:i w:val="0"/>
      </w:rPr>
    </w:lvl>
    <w:lvl w:ilvl="2" w:tplc="F71ECC9A">
      <w:start w:val="1"/>
      <w:numFmt w:val="lowerRoman"/>
      <w:lvlText w:val="(%3)"/>
      <w:lvlJc w:val="right"/>
      <w:pPr>
        <w:tabs>
          <w:tab w:val="num" w:pos="2160"/>
        </w:tabs>
        <w:ind w:left="2160" w:hanging="360"/>
      </w:pPr>
      <w:rPr>
        <w:rFonts w:hint="default"/>
      </w:rPr>
    </w:lvl>
    <w:lvl w:ilvl="3" w:tplc="ADF64E1E">
      <w:start w:val="1"/>
      <w:numFmt w:val="bullet"/>
      <w:lvlText w:val=""/>
      <w:lvlJc w:val="left"/>
      <w:pPr>
        <w:tabs>
          <w:tab w:val="num" w:pos="2880"/>
        </w:tabs>
        <w:ind w:left="2880" w:hanging="720"/>
      </w:pPr>
      <w:rPr>
        <w:rFonts w:ascii="Symbol" w:hAnsi="Symbol" w:hint="default"/>
        <w:color w:val="auto"/>
        <w:sz w:val="28"/>
      </w:rPr>
    </w:lvl>
    <w:lvl w:ilvl="4" w:tplc="3B466A5E">
      <w:start w:val="1"/>
      <w:numFmt w:val="lowerLetter"/>
      <w:lvlText w:val="(%5)"/>
      <w:lvlJc w:val="left"/>
      <w:pPr>
        <w:tabs>
          <w:tab w:val="num" w:pos="2520"/>
        </w:tabs>
        <w:ind w:left="2520" w:hanging="360"/>
      </w:pPr>
      <w:rPr>
        <w:rFonts w:hint="default"/>
      </w:rPr>
    </w:lvl>
    <w:lvl w:ilvl="5" w:tplc="0D4A55FA">
      <w:start w:val="1"/>
      <w:numFmt w:val="lowerRoman"/>
      <w:lvlText w:val="(%6)"/>
      <w:lvlJc w:val="left"/>
      <w:pPr>
        <w:tabs>
          <w:tab w:val="num" w:pos="2880"/>
        </w:tabs>
        <w:ind w:left="2880" w:hanging="360"/>
      </w:pPr>
      <w:rPr>
        <w:rFonts w:hint="default"/>
      </w:rPr>
    </w:lvl>
    <w:lvl w:ilvl="6" w:tplc="EE5CCA16">
      <w:start w:val="1"/>
      <w:numFmt w:val="decimal"/>
      <w:lvlText w:val="%7."/>
      <w:lvlJc w:val="left"/>
      <w:pPr>
        <w:tabs>
          <w:tab w:val="num" w:pos="3240"/>
        </w:tabs>
        <w:ind w:left="3240" w:hanging="360"/>
      </w:pPr>
      <w:rPr>
        <w:rFonts w:hint="default"/>
      </w:rPr>
    </w:lvl>
    <w:lvl w:ilvl="7" w:tplc="45DA47DE">
      <w:start w:val="1"/>
      <w:numFmt w:val="lowerLetter"/>
      <w:lvlText w:val="%8."/>
      <w:lvlJc w:val="left"/>
      <w:pPr>
        <w:tabs>
          <w:tab w:val="num" w:pos="3600"/>
        </w:tabs>
        <w:ind w:left="3600" w:hanging="360"/>
      </w:pPr>
      <w:rPr>
        <w:rFonts w:hint="default"/>
      </w:rPr>
    </w:lvl>
    <w:lvl w:ilvl="8" w:tplc="5D6A2506">
      <w:start w:val="1"/>
      <w:numFmt w:val="lowerRoman"/>
      <w:lvlText w:val="%9."/>
      <w:lvlJc w:val="left"/>
      <w:pPr>
        <w:tabs>
          <w:tab w:val="num" w:pos="3960"/>
        </w:tabs>
        <w:ind w:left="3960" w:hanging="360"/>
      </w:pPr>
      <w:rPr>
        <w:rFonts w:hint="default"/>
      </w:rPr>
    </w:lvl>
  </w:abstractNum>
  <w:abstractNum w:abstractNumId="6" w15:restartNumberingAfterBreak="0">
    <w:nsid w:val="0D511DDE"/>
    <w:multiLevelType w:val="hybridMultilevel"/>
    <w:tmpl w:val="CC0C5D04"/>
    <w:lvl w:ilvl="0" w:tplc="FD6488BE">
      <w:start w:val="1"/>
      <w:numFmt w:val="decimal"/>
      <w:lvlText w:val="%1."/>
      <w:lvlJc w:val="left"/>
      <w:pPr>
        <w:ind w:left="1440" w:hanging="360"/>
      </w:pPr>
      <w:rPr>
        <w:b w:val="0"/>
        <w:bCs w:val="0"/>
        <w:i w:val="0"/>
        <w:iCs/>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C2860A5"/>
    <w:multiLevelType w:val="hybridMultilevel"/>
    <w:tmpl w:val="36BE6EEE"/>
    <w:lvl w:ilvl="0" w:tplc="B1D0E7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CCC721C"/>
    <w:multiLevelType w:val="hybridMultilevel"/>
    <w:tmpl w:val="5B72B272"/>
    <w:lvl w:ilvl="0" w:tplc="7668EDDA">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5449EB"/>
    <w:multiLevelType w:val="hybridMultilevel"/>
    <w:tmpl w:val="14649F6A"/>
    <w:lvl w:ilvl="0" w:tplc="3A08932A">
      <w:start w:val="1"/>
      <w:numFmt w:val="decimal"/>
      <w:lvlText w:val="%1."/>
      <w:lvlJc w:val="left"/>
      <w:pPr>
        <w:tabs>
          <w:tab w:val="num" w:pos="360"/>
        </w:tabs>
        <w:ind w:left="0" w:firstLine="0"/>
      </w:pPr>
      <w:rPr>
        <w:rFonts w:hint="default"/>
      </w:rPr>
    </w:lvl>
    <w:lvl w:ilvl="1" w:tplc="4DCC1B9C">
      <w:start w:val="1"/>
      <w:numFmt w:val="lowerLetter"/>
      <w:lvlText w:val="(%2)"/>
      <w:lvlJc w:val="left"/>
      <w:pPr>
        <w:tabs>
          <w:tab w:val="num" w:pos="1440"/>
        </w:tabs>
        <w:ind w:left="0" w:firstLine="720"/>
      </w:pPr>
    </w:lvl>
    <w:lvl w:ilvl="2" w:tplc="B2F4AB08">
      <w:start w:val="1"/>
      <w:numFmt w:val="lowerRoman"/>
      <w:lvlText w:val="(%3)"/>
      <w:lvlJc w:val="right"/>
      <w:pPr>
        <w:tabs>
          <w:tab w:val="num" w:pos="1800"/>
        </w:tabs>
        <w:ind w:left="1800" w:hanging="720"/>
      </w:pPr>
      <w:rPr>
        <w:rFonts w:hint="default"/>
      </w:rPr>
    </w:lvl>
    <w:lvl w:ilvl="3" w:tplc="BD3C2120">
      <w:start w:val="1"/>
      <w:numFmt w:val="decimal"/>
      <w:lvlText w:val="(%4)"/>
      <w:lvlJc w:val="left"/>
      <w:pPr>
        <w:tabs>
          <w:tab w:val="num" w:pos="1440"/>
        </w:tabs>
        <w:ind w:left="1440" w:hanging="360"/>
      </w:pPr>
    </w:lvl>
    <w:lvl w:ilvl="4" w:tplc="54CC6D8C">
      <w:start w:val="1"/>
      <w:numFmt w:val="lowerLetter"/>
      <w:lvlText w:val="(%5)"/>
      <w:lvlJc w:val="left"/>
      <w:pPr>
        <w:tabs>
          <w:tab w:val="num" w:pos="1800"/>
        </w:tabs>
        <w:ind w:left="1800" w:hanging="360"/>
      </w:pPr>
    </w:lvl>
    <w:lvl w:ilvl="5" w:tplc="F5E03604">
      <w:start w:val="1"/>
      <w:numFmt w:val="lowerRoman"/>
      <w:lvlText w:val="(%6)"/>
      <w:lvlJc w:val="left"/>
      <w:pPr>
        <w:tabs>
          <w:tab w:val="num" w:pos="2160"/>
        </w:tabs>
        <w:ind w:left="2160" w:hanging="360"/>
      </w:pPr>
    </w:lvl>
    <w:lvl w:ilvl="6" w:tplc="C054D524">
      <w:start w:val="1"/>
      <w:numFmt w:val="decimal"/>
      <w:lvlText w:val="%7."/>
      <w:lvlJc w:val="left"/>
      <w:pPr>
        <w:tabs>
          <w:tab w:val="num" w:pos="2520"/>
        </w:tabs>
        <w:ind w:left="2520" w:hanging="360"/>
      </w:pPr>
    </w:lvl>
    <w:lvl w:ilvl="7" w:tplc="73EED7D8">
      <w:start w:val="1"/>
      <w:numFmt w:val="lowerLetter"/>
      <w:lvlText w:val="%8."/>
      <w:lvlJc w:val="left"/>
      <w:pPr>
        <w:tabs>
          <w:tab w:val="num" w:pos="2880"/>
        </w:tabs>
        <w:ind w:left="2880" w:hanging="360"/>
      </w:pPr>
    </w:lvl>
    <w:lvl w:ilvl="8" w:tplc="338E4740">
      <w:start w:val="1"/>
      <w:numFmt w:val="lowerRoman"/>
      <w:lvlText w:val="%9."/>
      <w:lvlJc w:val="left"/>
      <w:pPr>
        <w:tabs>
          <w:tab w:val="num" w:pos="3240"/>
        </w:tabs>
        <w:ind w:left="3240" w:hanging="360"/>
      </w:pPr>
    </w:lvl>
  </w:abstractNum>
  <w:abstractNum w:abstractNumId="10" w15:restartNumberingAfterBreak="0">
    <w:nsid w:val="25E62CC7"/>
    <w:multiLevelType w:val="hybridMultilevel"/>
    <w:tmpl w:val="C15C61B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6216FD1"/>
    <w:multiLevelType w:val="hybridMultilevel"/>
    <w:tmpl w:val="08AC1BD0"/>
    <w:styleLink w:val="Style2"/>
    <w:lvl w:ilvl="0" w:tplc="F1E0BA28">
      <w:start w:val="29"/>
      <w:numFmt w:val="lowerLetter"/>
      <w:lvlText w:val="(%1)"/>
      <w:lvlJc w:val="left"/>
      <w:pPr>
        <w:tabs>
          <w:tab w:val="num" w:pos="720"/>
        </w:tabs>
        <w:ind w:left="720" w:hanging="360"/>
      </w:pPr>
      <w:rPr>
        <w:rFonts w:hint="default"/>
      </w:rPr>
    </w:lvl>
    <w:lvl w:ilvl="1" w:tplc="35E2878A">
      <w:start w:val="1"/>
      <w:numFmt w:val="lowerLetter"/>
      <w:lvlText w:val="%2."/>
      <w:lvlJc w:val="left"/>
      <w:pPr>
        <w:tabs>
          <w:tab w:val="num" w:pos="1440"/>
        </w:tabs>
        <w:ind w:left="1440" w:hanging="360"/>
      </w:pPr>
    </w:lvl>
    <w:lvl w:ilvl="2" w:tplc="2D28C7B4">
      <w:start w:val="1"/>
      <w:numFmt w:val="upperLetter"/>
      <w:lvlText w:val="%3."/>
      <w:lvlJc w:val="left"/>
      <w:pPr>
        <w:tabs>
          <w:tab w:val="num" w:pos="928"/>
        </w:tabs>
        <w:ind w:left="928" w:hanging="360"/>
      </w:pPr>
      <w:rPr>
        <w:rFonts w:hint="default"/>
      </w:rPr>
    </w:lvl>
    <w:lvl w:ilvl="3" w:tplc="DF925E7A">
      <w:start w:val="1"/>
      <w:numFmt w:val="decimal"/>
      <w:lvlText w:val="%4."/>
      <w:lvlJc w:val="left"/>
      <w:pPr>
        <w:tabs>
          <w:tab w:val="num" w:pos="2880"/>
        </w:tabs>
        <w:ind w:left="2880" w:hanging="360"/>
      </w:pPr>
    </w:lvl>
    <w:lvl w:ilvl="4" w:tplc="FC7E3B7A">
      <w:start w:val="1"/>
      <w:numFmt w:val="lowerLetter"/>
      <w:lvlText w:val="%5."/>
      <w:lvlJc w:val="left"/>
      <w:pPr>
        <w:tabs>
          <w:tab w:val="num" w:pos="3600"/>
        </w:tabs>
        <w:ind w:left="3600" w:hanging="360"/>
      </w:pPr>
    </w:lvl>
    <w:lvl w:ilvl="5" w:tplc="182CC656">
      <w:start w:val="1"/>
      <w:numFmt w:val="lowerRoman"/>
      <w:lvlText w:val="%6."/>
      <w:lvlJc w:val="right"/>
      <w:pPr>
        <w:tabs>
          <w:tab w:val="num" w:pos="4320"/>
        </w:tabs>
        <w:ind w:left="4320" w:hanging="180"/>
      </w:pPr>
    </w:lvl>
    <w:lvl w:ilvl="6" w:tplc="7C08C3D2">
      <w:start w:val="1"/>
      <w:numFmt w:val="decimal"/>
      <w:lvlText w:val="%7."/>
      <w:lvlJc w:val="left"/>
      <w:pPr>
        <w:tabs>
          <w:tab w:val="num" w:pos="5040"/>
        </w:tabs>
        <w:ind w:left="5040" w:hanging="360"/>
      </w:pPr>
    </w:lvl>
    <w:lvl w:ilvl="7" w:tplc="DB9A35B2">
      <w:start w:val="1"/>
      <w:numFmt w:val="lowerLetter"/>
      <w:lvlText w:val="%8."/>
      <w:lvlJc w:val="left"/>
      <w:pPr>
        <w:tabs>
          <w:tab w:val="num" w:pos="5760"/>
        </w:tabs>
        <w:ind w:left="5760" w:hanging="360"/>
      </w:pPr>
    </w:lvl>
    <w:lvl w:ilvl="8" w:tplc="57304F80">
      <w:start w:val="1"/>
      <w:numFmt w:val="lowerRoman"/>
      <w:lvlText w:val="%9."/>
      <w:lvlJc w:val="right"/>
      <w:pPr>
        <w:tabs>
          <w:tab w:val="num" w:pos="6480"/>
        </w:tabs>
        <w:ind w:left="6480" w:hanging="180"/>
      </w:pPr>
    </w:lvl>
  </w:abstractNum>
  <w:abstractNum w:abstractNumId="12" w15:restartNumberingAfterBreak="0">
    <w:nsid w:val="2933507C"/>
    <w:multiLevelType w:val="hybridMultilevel"/>
    <w:tmpl w:val="4606C432"/>
    <w:lvl w:ilvl="0" w:tplc="48D8078E">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D171201"/>
    <w:multiLevelType w:val="multilevel"/>
    <w:tmpl w:val="DE7840AE"/>
    <w:lvl w:ilvl="0">
      <w:start w:val="1"/>
      <w:numFmt w:val="decimal"/>
      <w:pStyle w:val="Para1alternative"/>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F0336B8"/>
    <w:multiLevelType w:val="hybridMultilevel"/>
    <w:tmpl w:val="A644F2E6"/>
    <w:lvl w:ilvl="0" w:tplc="3FFAD55C">
      <w:start w:val="1"/>
      <w:numFmt w:val="upperRoman"/>
      <w:lvlText w:val="%1."/>
      <w:lvlJc w:val="left"/>
      <w:pPr>
        <w:tabs>
          <w:tab w:val="num" w:pos="720"/>
        </w:tabs>
        <w:ind w:left="0" w:firstLine="0"/>
      </w:pPr>
      <w:rPr>
        <w:rFonts w:hint="default"/>
      </w:rPr>
    </w:lvl>
    <w:lvl w:ilvl="1" w:tplc="A93A9582">
      <w:start w:val="1"/>
      <w:numFmt w:val="upperLetter"/>
      <w:lvlText w:val="%2."/>
      <w:lvlJc w:val="left"/>
      <w:pPr>
        <w:tabs>
          <w:tab w:val="num" w:pos="360"/>
        </w:tabs>
        <w:ind w:left="0" w:firstLine="0"/>
      </w:pPr>
      <w:rPr>
        <w:rFonts w:hint="default"/>
      </w:rPr>
    </w:lvl>
    <w:lvl w:ilvl="2" w:tplc="006A1B26">
      <w:start w:val="1"/>
      <w:numFmt w:val="decimal"/>
      <w:lvlText w:val="%3."/>
      <w:lvlJc w:val="left"/>
      <w:pPr>
        <w:tabs>
          <w:tab w:val="num" w:pos="360"/>
        </w:tabs>
        <w:ind w:left="0" w:firstLine="0"/>
      </w:pPr>
      <w:rPr>
        <w:rFonts w:hint="default"/>
      </w:rPr>
    </w:lvl>
    <w:lvl w:ilvl="3" w:tplc="D64EF784">
      <w:start w:val="1"/>
      <w:numFmt w:val="decimal"/>
      <w:lvlText w:val="1.%4"/>
      <w:lvlJc w:val="left"/>
      <w:pPr>
        <w:tabs>
          <w:tab w:val="num" w:pos="360"/>
        </w:tabs>
        <w:ind w:left="0" w:firstLine="0"/>
      </w:pPr>
      <w:rPr>
        <w:rFonts w:hint="default"/>
      </w:rPr>
    </w:lvl>
    <w:lvl w:ilvl="4" w:tplc="1ADCB9BA">
      <w:start w:val="1"/>
      <w:numFmt w:val="lowerRoman"/>
      <w:lvlText w:val="(%5)"/>
      <w:lvlJc w:val="left"/>
      <w:pPr>
        <w:tabs>
          <w:tab w:val="num" w:pos="720"/>
        </w:tabs>
        <w:ind w:left="0" w:firstLine="0"/>
      </w:pPr>
      <w:rPr>
        <w:rFonts w:hint="default"/>
      </w:rPr>
    </w:lvl>
    <w:lvl w:ilvl="5" w:tplc="9B2EDEF6">
      <w:start w:val="1"/>
      <w:numFmt w:val="lowerLetter"/>
      <w:lvlText w:val="(%6)"/>
      <w:lvlJc w:val="left"/>
      <w:pPr>
        <w:tabs>
          <w:tab w:val="num" w:pos="1080"/>
        </w:tabs>
        <w:ind w:left="720" w:firstLine="0"/>
      </w:pPr>
      <w:rPr>
        <w:rFonts w:hint="default"/>
      </w:rPr>
    </w:lvl>
    <w:lvl w:ilvl="6" w:tplc="2A4C1728">
      <w:start w:val="1"/>
      <w:numFmt w:val="lowerRoman"/>
      <w:lvlText w:val="(%7)"/>
      <w:lvlJc w:val="left"/>
      <w:pPr>
        <w:tabs>
          <w:tab w:val="num" w:pos="4680"/>
        </w:tabs>
        <w:ind w:left="4320" w:firstLine="0"/>
      </w:pPr>
      <w:rPr>
        <w:rFonts w:hint="default"/>
      </w:rPr>
    </w:lvl>
    <w:lvl w:ilvl="7" w:tplc="E23CA69A">
      <w:start w:val="1"/>
      <w:numFmt w:val="lowerLetter"/>
      <w:lvlText w:val="(%8)"/>
      <w:lvlJc w:val="left"/>
      <w:pPr>
        <w:tabs>
          <w:tab w:val="num" w:pos="-360"/>
        </w:tabs>
        <w:ind w:left="-720" w:firstLine="0"/>
      </w:pPr>
      <w:rPr>
        <w:rFonts w:hint="default"/>
      </w:rPr>
    </w:lvl>
    <w:lvl w:ilvl="8" w:tplc="D4F2F454">
      <w:start w:val="1"/>
      <w:numFmt w:val="lowerRoman"/>
      <w:lvlText w:val="(%9)"/>
      <w:lvlJc w:val="left"/>
      <w:pPr>
        <w:tabs>
          <w:tab w:val="num" w:pos="6120"/>
        </w:tabs>
        <w:ind w:left="5760" w:firstLine="0"/>
      </w:pPr>
      <w:rPr>
        <w:rFonts w:hint="default"/>
      </w:rPr>
    </w:lvl>
  </w:abstractNum>
  <w:abstractNum w:abstractNumId="15" w15:restartNumberingAfterBreak="0">
    <w:nsid w:val="333E010C"/>
    <w:multiLevelType w:val="hybridMultilevel"/>
    <w:tmpl w:val="0BCE5206"/>
    <w:lvl w:ilvl="0" w:tplc="04090015">
      <w:start w:val="1"/>
      <w:numFmt w:val="upperLetter"/>
      <w:pStyle w:val="Para1-Annex"/>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9800D2"/>
    <w:multiLevelType w:val="multilevel"/>
    <w:tmpl w:val="6FD0FC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EB0B1E"/>
    <w:multiLevelType w:val="hybridMultilevel"/>
    <w:tmpl w:val="E07EC098"/>
    <w:lvl w:ilvl="0" w:tplc="2B1E69E4">
      <w:start w:val="1"/>
      <w:numFmt w:val="decimal"/>
      <w:lvlText w:val="%1."/>
      <w:lvlJc w:val="left"/>
      <w:pPr>
        <w:tabs>
          <w:tab w:val="num" w:pos="360"/>
        </w:tabs>
        <w:ind w:left="0" w:firstLine="0"/>
      </w:pPr>
      <w:rPr>
        <w:rFonts w:hint="default"/>
      </w:rPr>
    </w:lvl>
    <w:lvl w:ilvl="1" w:tplc="D820C858">
      <w:start w:val="1"/>
      <w:numFmt w:val="lowerLetter"/>
      <w:lvlText w:val="(%2)"/>
      <w:lvlJc w:val="left"/>
      <w:pPr>
        <w:tabs>
          <w:tab w:val="num" w:pos="1080"/>
        </w:tabs>
        <w:ind w:left="0" w:firstLine="720"/>
      </w:pPr>
      <w:rPr>
        <w:rFonts w:hint="default"/>
      </w:rPr>
    </w:lvl>
    <w:lvl w:ilvl="2" w:tplc="960CD5DE">
      <w:start w:val="1"/>
      <w:numFmt w:val="lowerRoman"/>
      <w:lvlText w:val="(%3)"/>
      <w:lvlJc w:val="right"/>
      <w:pPr>
        <w:tabs>
          <w:tab w:val="num" w:pos="2736"/>
        </w:tabs>
        <w:ind w:left="2736" w:hanging="432"/>
      </w:pPr>
      <w:rPr>
        <w:rFonts w:hint="default"/>
      </w:rPr>
    </w:lvl>
    <w:lvl w:ilvl="3" w:tplc="4E4AE2AE">
      <w:start w:val="1"/>
      <w:numFmt w:val="decimal"/>
      <w:lvlText w:val="a."/>
      <w:lvlJc w:val="left"/>
      <w:pPr>
        <w:tabs>
          <w:tab w:val="num" w:pos="2160"/>
        </w:tabs>
        <w:ind w:left="2160" w:hanging="360"/>
      </w:pPr>
      <w:rPr>
        <w:rFonts w:hint="default"/>
      </w:rPr>
    </w:lvl>
    <w:lvl w:ilvl="4" w:tplc="F238ECA4">
      <w:start w:val="1"/>
      <w:numFmt w:val="lowerLetter"/>
      <w:lvlText w:val="(%5)"/>
      <w:lvlJc w:val="left"/>
      <w:pPr>
        <w:tabs>
          <w:tab w:val="num" w:pos="2520"/>
        </w:tabs>
        <w:ind w:left="2520" w:hanging="360"/>
      </w:pPr>
      <w:rPr>
        <w:rFonts w:hint="default"/>
      </w:rPr>
    </w:lvl>
    <w:lvl w:ilvl="5" w:tplc="D17AF626">
      <w:start w:val="1"/>
      <w:numFmt w:val="lowerRoman"/>
      <w:lvlText w:val="(%6)"/>
      <w:lvlJc w:val="left"/>
      <w:pPr>
        <w:tabs>
          <w:tab w:val="num" w:pos="2880"/>
        </w:tabs>
        <w:ind w:left="2880" w:hanging="360"/>
      </w:pPr>
      <w:rPr>
        <w:rFonts w:hint="default"/>
      </w:rPr>
    </w:lvl>
    <w:lvl w:ilvl="6" w:tplc="D6923D72">
      <w:start w:val="1"/>
      <w:numFmt w:val="decimal"/>
      <w:lvlText w:val="%7."/>
      <w:lvlJc w:val="left"/>
      <w:pPr>
        <w:tabs>
          <w:tab w:val="num" w:pos="3240"/>
        </w:tabs>
        <w:ind w:left="3240" w:hanging="360"/>
      </w:pPr>
      <w:rPr>
        <w:rFonts w:hint="default"/>
      </w:rPr>
    </w:lvl>
    <w:lvl w:ilvl="7" w:tplc="CBB8CC10">
      <w:start w:val="1"/>
      <w:numFmt w:val="lowerLetter"/>
      <w:lvlText w:val="%8."/>
      <w:lvlJc w:val="left"/>
      <w:pPr>
        <w:tabs>
          <w:tab w:val="num" w:pos="3600"/>
        </w:tabs>
        <w:ind w:left="3600" w:hanging="360"/>
      </w:pPr>
      <w:rPr>
        <w:rFonts w:hint="default"/>
      </w:rPr>
    </w:lvl>
    <w:lvl w:ilvl="8" w:tplc="063816F0">
      <w:start w:val="1"/>
      <w:numFmt w:val="lowerRoman"/>
      <w:lvlText w:val="%9."/>
      <w:lvlJc w:val="left"/>
      <w:pPr>
        <w:tabs>
          <w:tab w:val="num" w:pos="3960"/>
        </w:tabs>
        <w:ind w:left="3960" w:hanging="360"/>
      </w:pPr>
      <w:rPr>
        <w:rFonts w:hint="default"/>
      </w:rPr>
    </w:lvl>
  </w:abstractNum>
  <w:abstractNum w:abstractNumId="18" w15:restartNumberingAfterBreak="0">
    <w:nsid w:val="3CAB1CFB"/>
    <w:multiLevelType w:val="hybridMultilevel"/>
    <w:tmpl w:val="2258006A"/>
    <w:lvl w:ilvl="0" w:tplc="4F4A49A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para4"/>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E43C91"/>
    <w:multiLevelType w:val="multilevel"/>
    <w:tmpl w:val="B36A8C58"/>
    <w:lvl w:ilvl="0">
      <w:start w:val="1"/>
      <w:numFmt w:val="decimal"/>
      <w:lvlText w:val="%1."/>
      <w:lvlJc w:val="left"/>
      <w:pPr>
        <w:tabs>
          <w:tab w:val="num" w:pos="36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022188"/>
    <w:multiLevelType w:val="multilevel"/>
    <w:tmpl w:val="075CBF8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rFonts w:hint="default"/>
        <w:b w:val="0"/>
        <w:bCs/>
        <w:i w:val="0"/>
      </w:rPr>
    </w:lvl>
    <w:lvl w:ilvl="2">
      <w:start w:val="1"/>
      <w:numFmt w:val="lowerRoman"/>
      <w:lvlText w:val="(%3)"/>
      <w:lvlJc w:val="right"/>
      <w:pPr>
        <w:tabs>
          <w:tab w:val="num" w:pos="1440"/>
        </w:tabs>
        <w:ind w:left="1440" w:hanging="360"/>
      </w:pPr>
      <w:rPr>
        <w:rFonts w:cs="Times New Roman" w:hint="default"/>
      </w:rPr>
    </w:lvl>
    <w:lvl w:ilvl="3">
      <w:start w:val="1"/>
      <w:numFmt w:val="lowerRoman"/>
      <w:lvlText w:val="%4."/>
      <w:lvlJc w:val="right"/>
      <w:pPr>
        <w:ind w:left="1800" w:hanging="360"/>
      </w:pPr>
      <w:rPr>
        <w:rFonts w:hint="default"/>
        <w:color w:val="auto"/>
        <w:sz w:val="22"/>
        <w:szCs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42074866"/>
    <w:multiLevelType w:val="hybridMultilevel"/>
    <w:tmpl w:val="F13059A8"/>
    <w:lvl w:ilvl="0" w:tplc="55A88F12">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tplc="08DE90A6">
      <w:start w:val="1"/>
      <w:numFmt w:val="lowerLetter"/>
      <w:pStyle w:val="Style1"/>
      <w:lvlText w:val="(%2)"/>
      <w:lvlJc w:val="left"/>
      <w:pPr>
        <w:tabs>
          <w:tab w:val="num" w:pos="1571"/>
        </w:tabs>
        <w:ind w:left="131" w:firstLine="720"/>
      </w:pPr>
      <w:rPr>
        <w:rFonts w:cs="Times New Roman" w:hint="default"/>
        <w:b w:val="0"/>
        <w:bCs/>
        <w:i w:val="0"/>
      </w:rPr>
    </w:lvl>
    <w:lvl w:ilvl="2" w:tplc="C00AB8C8">
      <w:start w:val="1"/>
      <w:numFmt w:val="lowerRoman"/>
      <w:lvlText w:val="(%3)"/>
      <w:lvlJc w:val="right"/>
      <w:pPr>
        <w:tabs>
          <w:tab w:val="num" w:pos="1440"/>
        </w:tabs>
        <w:ind w:left="1440" w:hanging="360"/>
      </w:pPr>
      <w:rPr>
        <w:rFonts w:cs="Times New Roman" w:hint="default"/>
      </w:rPr>
    </w:lvl>
    <w:lvl w:ilvl="3" w:tplc="4AAC1F46">
      <w:start w:val="1"/>
      <w:numFmt w:val="lowerLetter"/>
      <w:lvlText w:val="(%4)"/>
      <w:lvlJc w:val="left"/>
      <w:pPr>
        <w:ind w:left="1800" w:hanging="360"/>
      </w:pPr>
      <w:rPr>
        <w:rFonts w:hint="default"/>
        <w:b w:val="0"/>
        <w:color w:val="auto"/>
        <w:sz w:val="22"/>
        <w:szCs w:val="22"/>
      </w:rPr>
    </w:lvl>
    <w:lvl w:ilvl="4" w:tplc="3FD2C8D8">
      <w:start w:val="1"/>
      <w:numFmt w:val="lowerLetter"/>
      <w:lvlText w:val="(%5)"/>
      <w:lvlJc w:val="left"/>
      <w:pPr>
        <w:tabs>
          <w:tab w:val="num" w:pos="1800"/>
        </w:tabs>
        <w:ind w:left="1800" w:hanging="360"/>
      </w:pPr>
      <w:rPr>
        <w:rFonts w:cs="Times New Roman" w:hint="default"/>
      </w:rPr>
    </w:lvl>
    <w:lvl w:ilvl="5" w:tplc="AA249942">
      <w:start w:val="1"/>
      <w:numFmt w:val="lowerRoman"/>
      <w:lvlText w:val="(%6)"/>
      <w:lvlJc w:val="left"/>
      <w:pPr>
        <w:tabs>
          <w:tab w:val="num" w:pos="2160"/>
        </w:tabs>
        <w:ind w:left="2160" w:hanging="360"/>
      </w:pPr>
      <w:rPr>
        <w:rFonts w:cs="Times New Roman" w:hint="default"/>
      </w:rPr>
    </w:lvl>
    <w:lvl w:ilvl="6" w:tplc="262491E0">
      <w:start w:val="1"/>
      <w:numFmt w:val="decimal"/>
      <w:lvlText w:val="%7."/>
      <w:lvlJc w:val="left"/>
      <w:pPr>
        <w:tabs>
          <w:tab w:val="num" w:pos="2520"/>
        </w:tabs>
        <w:ind w:left="2520" w:hanging="360"/>
      </w:pPr>
      <w:rPr>
        <w:rFonts w:cs="Times New Roman" w:hint="default"/>
      </w:rPr>
    </w:lvl>
    <w:lvl w:ilvl="7" w:tplc="A6A0CCDC">
      <w:start w:val="1"/>
      <w:numFmt w:val="lowerLetter"/>
      <w:lvlText w:val="%8."/>
      <w:lvlJc w:val="left"/>
      <w:pPr>
        <w:tabs>
          <w:tab w:val="num" w:pos="2880"/>
        </w:tabs>
        <w:ind w:left="2880" w:hanging="360"/>
      </w:pPr>
      <w:rPr>
        <w:rFonts w:cs="Times New Roman" w:hint="default"/>
      </w:rPr>
    </w:lvl>
    <w:lvl w:ilvl="8" w:tplc="C1508C80">
      <w:start w:val="1"/>
      <w:numFmt w:val="lowerRoman"/>
      <w:lvlText w:val="%9."/>
      <w:lvlJc w:val="left"/>
      <w:pPr>
        <w:tabs>
          <w:tab w:val="num" w:pos="3240"/>
        </w:tabs>
        <w:ind w:left="3240" w:hanging="360"/>
      </w:pPr>
      <w:rPr>
        <w:rFonts w:cs="Times New Roman" w:hint="default"/>
      </w:rPr>
    </w:lvl>
  </w:abstractNum>
  <w:abstractNum w:abstractNumId="22" w15:restartNumberingAfterBreak="0">
    <w:nsid w:val="44CC7FBB"/>
    <w:multiLevelType w:val="hybridMultilevel"/>
    <w:tmpl w:val="80D60170"/>
    <w:lvl w:ilvl="0" w:tplc="1CECD010">
      <w:start w:val="1"/>
      <w:numFmt w:val="lowerLetter"/>
      <w:lvlRestart w:val="0"/>
      <w:pStyle w:val="para2"/>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462C565C"/>
    <w:multiLevelType w:val="hybridMultilevel"/>
    <w:tmpl w:val="FFFFFFFF"/>
    <w:lvl w:ilvl="0" w:tplc="B8DEA4AE">
      <w:start w:val="1"/>
      <w:numFmt w:val="decimal"/>
      <w:lvlText w:val="%1."/>
      <w:lvlJc w:val="left"/>
      <w:pPr>
        <w:ind w:left="360" w:hanging="360"/>
      </w:pPr>
    </w:lvl>
    <w:lvl w:ilvl="1" w:tplc="39780586">
      <w:start w:val="1"/>
      <w:numFmt w:val="lowerLetter"/>
      <w:lvlText w:val="%2."/>
      <w:lvlJc w:val="left"/>
      <w:pPr>
        <w:ind w:left="1080" w:hanging="360"/>
      </w:pPr>
    </w:lvl>
    <w:lvl w:ilvl="2" w:tplc="482AF324">
      <w:start w:val="1"/>
      <w:numFmt w:val="lowerRoman"/>
      <w:lvlText w:val="%3."/>
      <w:lvlJc w:val="right"/>
      <w:pPr>
        <w:ind w:left="1800" w:hanging="180"/>
      </w:pPr>
    </w:lvl>
    <w:lvl w:ilvl="3" w:tplc="6E14821E">
      <w:start w:val="1"/>
      <w:numFmt w:val="decimal"/>
      <w:lvlText w:val="%4."/>
      <w:lvlJc w:val="left"/>
      <w:pPr>
        <w:ind w:left="2520" w:hanging="360"/>
      </w:pPr>
    </w:lvl>
    <w:lvl w:ilvl="4" w:tplc="332EF846">
      <w:start w:val="1"/>
      <w:numFmt w:val="lowerLetter"/>
      <w:lvlText w:val="%5."/>
      <w:lvlJc w:val="left"/>
      <w:pPr>
        <w:ind w:left="3240" w:hanging="360"/>
      </w:pPr>
    </w:lvl>
    <w:lvl w:ilvl="5" w:tplc="1AAEE110">
      <w:start w:val="1"/>
      <w:numFmt w:val="lowerRoman"/>
      <w:lvlText w:val="%6."/>
      <w:lvlJc w:val="right"/>
      <w:pPr>
        <w:ind w:left="3960" w:hanging="180"/>
      </w:pPr>
    </w:lvl>
    <w:lvl w:ilvl="6" w:tplc="D2208EFC">
      <w:start w:val="1"/>
      <w:numFmt w:val="decimal"/>
      <w:lvlText w:val="%7."/>
      <w:lvlJc w:val="left"/>
      <w:pPr>
        <w:ind w:left="4680" w:hanging="360"/>
      </w:pPr>
    </w:lvl>
    <w:lvl w:ilvl="7" w:tplc="D54EB6D6">
      <w:start w:val="1"/>
      <w:numFmt w:val="lowerLetter"/>
      <w:lvlText w:val="%8."/>
      <w:lvlJc w:val="left"/>
      <w:pPr>
        <w:ind w:left="5400" w:hanging="360"/>
      </w:pPr>
    </w:lvl>
    <w:lvl w:ilvl="8" w:tplc="C650A588">
      <w:start w:val="1"/>
      <w:numFmt w:val="lowerRoman"/>
      <w:lvlText w:val="%9."/>
      <w:lvlJc w:val="right"/>
      <w:pPr>
        <w:ind w:left="6120" w:hanging="180"/>
      </w:pPr>
    </w:lvl>
  </w:abstractNum>
  <w:abstractNum w:abstractNumId="24" w15:restartNumberingAfterBreak="0">
    <w:nsid w:val="48E4287B"/>
    <w:multiLevelType w:val="multilevel"/>
    <w:tmpl w:val="DA489A90"/>
    <w:lvl w:ilvl="0">
      <w:start w:val="1"/>
      <w:numFmt w:val="decimal"/>
      <w:pStyle w:val="Para"/>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6" w15:restartNumberingAfterBreak="0">
    <w:nsid w:val="4E0442B4"/>
    <w:multiLevelType w:val="hybridMultilevel"/>
    <w:tmpl w:val="6406B29E"/>
    <w:lvl w:ilvl="0" w:tplc="99DCFD36">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tplc="9C2246A8">
      <w:start w:val="1"/>
      <w:numFmt w:val="lowerLetter"/>
      <w:lvlText w:val="(%2)"/>
      <w:lvlJc w:val="left"/>
      <w:pPr>
        <w:tabs>
          <w:tab w:val="num" w:pos="1440"/>
        </w:tabs>
        <w:ind w:left="0" w:firstLine="720"/>
      </w:pPr>
      <w:rPr>
        <w:rFonts w:hint="default"/>
        <w:b w:val="0"/>
        <w:i w:val="0"/>
      </w:rPr>
    </w:lvl>
    <w:lvl w:ilvl="2" w:tplc="0AF48B8E">
      <w:start w:val="1"/>
      <w:numFmt w:val="lowerRoman"/>
      <w:lvlText w:val="(%3)"/>
      <w:lvlJc w:val="right"/>
      <w:pPr>
        <w:tabs>
          <w:tab w:val="num" w:pos="1260"/>
        </w:tabs>
        <w:ind w:left="1260" w:hanging="360"/>
      </w:pPr>
      <w:rPr>
        <w:rFonts w:hint="default"/>
      </w:rPr>
    </w:lvl>
    <w:lvl w:ilvl="3" w:tplc="3EEC33BE">
      <w:start w:val="1"/>
      <w:numFmt w:val="lowerRoman"/>
      <w:lvlText w:val="%4."/>
      <w:lvlJc w:val="right"/>
      <w:pPr>
        <w:tabs>
          <w:tab w:val="num" w:pos="2160"/>
        </w:tabs>
        <w:ind w:left="2160" w:hanging="720"/>
      </w:pPr>
      <w:rPr>
        <w:rFonts w:hint="default"/>
        <w:color w:val="auto"/>
        <w:sz w:val="28"/>
      </w:rPr>
    </w:lvl>
    <w:lvl w:ilvl="4" w:tplc="7C74D496">
      <w:start w:val="1"/>
      <w:numFmt w:val="lowerLetter"/>
      <w:lvlText w:val="(%5)"/>
      <w:lvlJc w:val="left"/>
      <w:pPr>
        <w:tabs>
          <w:tab w:val="num" w:pos="1800"/>
        </w:tabs>
        <w:ind w:left="1800" w:hanging="360"/>
      </w:pPr>
      <w:rPr>
        <w:rFonts w:hint="default"/>
      </w:rPr>
    </w:lvl>
    <w:lvl w:ilvl="5" w:tplc="3A1CBF56">
      <w:start w:val="1"/>
      <w:numFmt w:val="lowerRoman"/>
      <w:lvlText w:val="(%6)"/>
      <w:lvlJc w:val="left"/>
      <w:pPr>
        <w:tabs>
          <w:tab w:val="num" w:pos="2160"/>
        </w:tabs>
        <w:ind w:left="2160" w:hanging="360"/>
      </w:pPr>
      <w:rPr>
        <w:rFonts w:hint="default"/>
      </w:rPr>
    </w:lvl>
    <w:lvl w:ilvl="6" w:tplc="D66C8622">
      <w:start w:val="1"/>
      <w:numFmt w:val="decimal"/>
      <w:lvlText w:val="%7."/>
      <w:lvlJc w:val="left"/>
      <w:pPr>
        <w:tabs>
          <w:tab w:val="num" w:pos="360"/>
        </w:tabs>
        <w:ind w:left="360" w:hanging="360"/>
      </w:pPr>
      <w:rPr>
        <w:rFonts w:hint="default"/>
      </w:rPr>
    </w:lvl>
    <w:lvl w:ilvl="7" w:tplc="3902631A">
      <w:start w:val="1"/>
      <w:numFmt w:val="lowerLetter"/>
      <w:lvlText w:val="%8."/>
      <w:lvlJc w:val="left"/>
      <w:pPr>
        <w:tabs>
          <w:tab w:val="num" w:pos="2880"/>
        </w:tabs>
        <w:ind w:left="2880" w:hanging="360"/>
      </w:pPr>
      <w:rPr>
        <w:rFonts w:hint="default"/>
      </w:rPr>
    </w:lvl>
    <w:lvl w:ilvl="8" w:tplc="6E948A28">
      <w:start w:val="1"/>
      <w:numFmt w:val="lowerRoman"/>
      <w:lvlText w:val="%9."/>
      <w:lvlJc w:val="left"/>
      <w:pPr>
        <w:tabs>
          <w:tab w:val="num" w:pos="3240"/>
        </w:tabs>
        <w:ind w:left="3240" w:hanging="360"/>
      </w:pPr>
      <w:rPr>
        <w:rFonts w:hint="default"/>
      </w:rPr>
    </w:lvl>
  </w:abstractNum>
  <w:abstractNum w:abstractNumId="27" w15:restartNumberingAfterBreak="0">
    <w:nsid w:val="4E8C19CB"/>
    <w:multiLevelType w:val="hybridMultilevel"/>
    <w:tmpl w:val="35741298"/>
    <w:lvl w:ilvl="0" w:tplc="64F8DB94">
      <w:start w:val="1"/>
      <w:numFmt w:val="upperRoman"/>
      <w:pStyle w:val="Paraofficial"/>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2FA0D9A"/>
    <w:multiLevelType w:val="hybridMultilevel"/>
    <w:tmpl w:val="187822A4"/>
    <w:lvl w:ilvl="0" w:tplc="24321D6C">
      <w:start w:val="1"/>
      <w:numFmt w:val="decimal"/>
      <w:lvlText w:val="%1."/>
      <w:lvlJc w:val="left"/>
      <w:pPr>
        <w:tabs>
          <w:tab w:val="num" w:pos="360"/>
        </w:tabs>
        <w:ind w:left="0" w:firstLine="0"/>
      </w:pPr>
      <w:rPr>
        <w:rFonts w:ascii="Times New Roman" w:hAnsi="Times New Roman" w:hint="default"/>
        <w:b w:val="0"/>
        <w:i w:val="0"/>
        <w:sz w:val="22"/>
      </w:rPr>
    </w:lvl>
    <w:lvl w:ilvl="1" w:tplc="FE1644B6">
      <w:start w:val="1"/>
      <w:numFmt w:val="lowerLetter"/>
      <w:lvlText w:val="(%2)"/>
      <w:lvlJc w:val="left"/>
      <w:pPr>
        <w:tabs>
          <w:tab w:val="num" w:pos="1440"/>
        </w:tabs>
        <w:ind w:left="0" w:firstLine="720"/>
      </w:pPr>
      <w:rPr>
        <w:rFonts w:hint="default"/>
        <w:b w:val="0"/>
        <w:i w:val="0"/>
      </w:rPr>
    </w:lvl>
    <w:lvl w:ilvl="2" w:tplc="5C8E2456">
      <w:start w:val="1"/>
      <w:numFmt w:val="lowerRoman"/>
      <w:lvlText w:val="(%3)"/>
      <w:lvlJc w:val="right"/>
      <w:pPr>
        <w:tabs>
          <w:tab w:val="num" w:pos="1440"/>
        </w:tabs>
        <w:ind w:left="1440" w:hanging="360"/>
      </w:pPr>
      <w:rPr>
        <w:rFonts w:hint="default"/>
      </w:rPr>
    </w:lvl>
    <w:lvl w:ilvl="3" w:tplc="4210CD84">
      <w:start w:val="1"/>
      <w:numFmt w:val="bullet"/>
      <w:lvlText w:val=""/>
      <w:lvlJc w:val="left"/>
      <w:pPr>
        <w:tabs>
          <w:tab w:val="num" w:pos="2160"/>
        </w:tabs>
        <w:ind w:left="2160" w:hanging="720"/>
      </w:pPr>
      <w:rPr>
        <w:rFonts w:ascii="Symbol" w:hAnsi="Symbol" w:hint="default"/>
        <w:color w:val="auto"/>
        <w:sz w:val="28"/>
      </w:rPr>
    </w:lvl>
    <w:lvl w:ilvl="4" w:tplc="FF060D92">
      <w:start w:val="1"/>
      <w:numFmt w:val="lowerLetter"/>
      <w:lvlText w:val="(%5)"/>
      <w:lvlJc w:val="left"/>
      <w:pPr>
        <w:tabs>
          <w:tab w:val="num" w:pos="1800"/>
        </w:tabs>
        <w:ind w:left="1800" w:hanging="360"/>
      </w:pPr>
      <w:rPr>
        <w:rFonts w:hint="default"/>
      </w:rPr>
    </w:lvl>
    <w:lvl w:ilvl="5" w:tplc="DA0C9974">
      <w:start w:val="1"/>
      <w:numFmt w:val="lowerRoman"/>
      <w:lvlText w:val="(%6)"/>
      <w:lvlJc w:val="left"/>
      <w:pPr>
        <w:tabs>
          <w:tab w:val="num" w:pos="2160"/>
        </w:tabs>
        <w:ind w:left="2160" w:hanging="360"/>
      </w:pPr>
      <w:rPr>
        <w:rFonts w:hint="default"/>
      </w:rPr>
    </w:lvl>
    <w:lvl w:ilvl="6" w:tplc="68FE5778">
      <w:start w:val="1"/>
      <w:numFmt w:val="decimal"/>
      <w:lvlText w:val="%7."/>
      <w:lvlJc w:val="left"/>
      <w:pPr>
        <w:tabs>
          <w:tab w:val="num" w:pos="2520"/>
        </w:tabs>
        <w:ind w:left="2520" w:hanging="360"/>
      </w:pPr>
      <w:rPr>
        <w:rFonts w:hint="default"/>
      </w:rPr>
    </w:lvl>
    <w:lvl w:ilvl="7" w:tplc="1DBC11F6">
      <w:start w:val="1"/>
      <w:numFmt w:val="lowerLetter"/>
      <w:lvlText w:val="%8."/>
      <w:lvlJc w:val="left"/>
      <w:pPr>
        <w:tabs>
          <w:tab w:val="num" w:pos="2880"/>
        </w:tabs>
        <w:ind w:left="2880" w:hanging="360"/>
      </w:pPr>
      <w:rPr>
        <w:rFonts w:hint="default"/>
      </w:rPr>
    </w:lvl>
    <w:lvl w:ilvl="8" w:tplc="53566A92">
      <w:start w:val="1"/>
      <w:numFmt w:val="lowerRoman"/>
      <w:lvlText w:val="%9."/>
      <w:lvlJc w:val="left"/>
      <w:pPr>
        <w:tabs>
          <w:tab w:val="num" w:pos="3240"/>
        </w:tabs>
        <w:ind w:left="3240" w:hanging="360"/>
      </w:pPr>
      <w:rPr>
        <w:rFonts w:hint="default"/>
      </w:rPr>
    </w:lvl>
  </w:abstractNum>
  <w:abstractNum w:abstractNumId="29" w15:restartNumberingAfterBreak="0">
    <w:nsid w:val="57D95734"/>
    <w:multiLevelType w:val="hybridMultilevel"/>
    <w:tmpl w:val="FD66D2EA"/>
    <w:lvl w:ilvl="0" w:tplc="B1D0E7B8">
      <w:start w:val="1"/>
      <w:numFmt w:val="lowerLetter"/>
      <w:pStyle w:val="Paranum"/>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0282362"/>
    <w:multiLevelType w:val="multilevel"/>
    <w:tmpl w:val="3506B314"/>
    <w:lvl w:ilvl="0">
      <w:start w:val="1"/>
      <w:numFmt w:val="lowerLetter"/>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Letter"/>
      <w:lvlText w:val="(%3)"/>
      <w:lvlJc w:val="lef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20D6AEB"/>
    <w:multiLevelType w:val="hybridMultilevel"/>
    <w:tmpl w:val="8902B9FE"/>
    <w:lvl w:ilvl="0" w:tplc="3FDA1C22">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tplc="9104B550">
      <w:start w:val="1"/>
      <w:numFmt w:val="lowerLetter"/>
      <w:lvlText w:val="(%2)"/>
      <w:lvlJc w:val="left"/>
      <w:pPr>
        <w:tabs>
          <w:tab w:val="num" w:pos="1571"/>
        </w:tabs>
        <w:ind w:left="131" w:firstLine="720"/>
      </w:pPr>
      <w:rPr>
        <w:rFonts w:cs="Times New Roman" w:hint="default"/>
        <w:b w:val="0"/>
        <w:i w:val="0"/>
      </w:rPr>
    </w:lvl>
    <w:lvl w:ilvl="2" w:tplc="56DCA85E">
      <w:start w:val="1"/>
      <w:numFmt w:val="lowerRoman"/>
      <w:lvlText w:val="(%3)"/>
      <w:lvlJc w:val="right"/>
      <w:pPr>
        <w:tabs>
          <w:tab w:val="num" w:pos="1440"/>
        </w:tabs>
        <w:ind w:left="1440" w:hanging="360"/>
      </w:pPr>
      <w:rPr>
        <w:rFonts w:cs="Times New Roman" w:hint="default"/>
      </w:rPr>
    </w:lvl>
    <w:lvl w:ilvl="3" w:tplc="AB0C9A16">
      <w:start w:val="1"/>
      <w:numFmt w:val="bullet"/>
      <w:lvlText w:val=""/>
      <w:lvlJc w:val="left"/>
      <w:pPr>
        <w:tabs>
          <w:tab w:val="num" w:pos="2160"/>
        </w:tabs>
        <w:ind w:left="2160" w:hanging="720"/>
      </w:pPr>
      <w:rPr>
        <w:rFonts w:ascii="Symbol" w:hAnsi="Symbol" w:hint="default"/>
        <w:color w:val="auto"/>
        <w:sz w:val="28"/>
      </w:rPr>
    </w:lvl>
    <w:lvl w:ilvl="4" w:tplc="D166D742">
      <w:start w:val="1"/>
      <w:numFmt w:val="lowerLetter"/>
      <w:lvlText w:val="(%5)"/>
      <w:lvlJc w:val="left"/>
      <w:pPr>
        <w:tabs>
          <w:tab w:val="num" w:pos="1800"/>
        </w:tabs>
        <w:ind w:left="1800" w:hanging="360"/>
      </w:pPr>
      <w:rPr>
        <w:rFonts w:cs="Times New Roman" w:hint="default"/>
      </w:rPr>
    </w:lvl>
    <w:lvl w:ilvl="5" w:tplc="A968969E">
      <w:start w:val="1"/>
      <w:numFmt w:val="lowerRoman"/>
      <w:lvlText w:val="(%6)"/>
      <w:lvlJc w:val="left"/>
      <w:pPr>
        <w:tabs>
          <w:tab w:val="num" w:pos="2160"/>
        </w:tabs>
        <w:ind w:left="2160" w:hanging="360"/>
      </w:pPr>
      <w:rPr>
        <w:rFonts w:cs="Times New Roman" w:hint="default"/>
      </w:rPr>
    </w:lvl>
    <w:lvl w:ilvl="6" w:tplc="A4FA7562">
      <w:start w:val="1"/>
      <w:numFmt w:val="decimal"/>
      <w:lvlText w:val="%7."/>
      <w:lvlJc w:val="left"/>
      <w:pPr>
        <w:tabs>
          <w:tab w:val="num" w:pos="2520"/>
        </w:tabs>
        <w:ind w:left="2520" w:hanging="360"/>
      </w:pPr>
      <w:rPr>
        <w:rFonts w:cs="Times New Roman" w:hint="default"/>
      </w:rPr>
    </w:lvl>
    <w:lvl w:ilvl="7" w:tplc="BDDC17BE">
      <w:start w:val="1"/>
      <w:numFmt w:val="lowerLetter"/>
      <w:lvlText w:val="%8."/>
      <w:lvlJc w:val="left"/>
      <w:pPr>
        <w:tabs>
          <w:tab w:val="num" w:pos="2880"/>
        </w:tabs>
        <w:ind w:left="2880" w:hanging="360"/>
      </w:pPr>
      <w:rPr>
        <w:rFonts w:cs="Times New Roman" w:hint="default"/>
      </w:rPr>
    </w:lvl>
    <w:lvl w:ilvl="8" w:tplc="49A837CC">
      <w:start w:val="1"/>
      <w:numFmt w:val="lowerRoman"/>
      <w:lvlText w:val="%9."/>
      <w:lvlJc w:val="left"/>
      <w:pPr>
        <w:tabs>
          <w:tab w:val="num" w:pos="3240"/>
        </w:tabs>
        <w:ind w:left="3240" w:hanging="360"/>
      </w:pPr>
      <w:rPr>
        <w:rFonts w:cs="Times New Roman" w:hint="default"/>
      </w:rPr>
    </w:lvl>
  </w:abstractNum>
  <w:abstractNum w:abstractNumId="33" w15:restartNumberingAfterBreak="0">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357F78"/>
    <w:multiLevelType w:val="hybridMultilevel"/>
    <w:tmpl w:val="E59652FE"/>
    <w:lvl w:ilvl="0" w:tplc="FFFFFFFF">
      <w:start w:val="1"/>
      <w:numFmt w:val="decim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5" w15:restartNumberingAfterBreak="0">
    <w:nsid w:val="678A6D34"/>
    <w:multiLevelType w:val="hybridMultilevel"/>
    <w:tmpl w:val="FFFFFFFF"/>
    <w:lvl w:ilvl="0" w:tplc="84A65566">
      <w:start w:val="1"/>
      <w:numFmt w:val="decimal"/>
      <w:lvlText w:val="%1."/>
      <w:lvlJc w:val="left"/>
      <w:pPr>
        <w:ind w:left="720" w:hanging="360"/>
      </w:pPr>
    </w:lvl>
    <w:lvl w:ilvl="1" w:tplc="A3CAECF6">
      <w:start w:val="1"/>
      <w:numFmt w:val="lowerLetter"/>
      <w:lvlText w:val="%2."/>
      <w:lvlJc w:val="left"/>
      <w:pPr>
        <w:ind w:left="1440" w:hanging="360"/>
      </w:pPr>
    </w:lvl>
    <w:lvl w:ilvl="2" w:tplc="4112E42C">
      <w:start w:val="1"/>
      <w:numFmt w:val="lowerRoman"/>
      <w:lvlText w:val="%3."/>
      <w:lvlJc w:val="right"/>
      <w:pPr>
        <w:ind w:left="2160" w:hanging="180"/>
      </w:pPr>
    </w:lvl>
    <w:lvl w:ilvl="3" w:tplc="21B2EF04">
      <w:start w:val="1"/>
      <w:numFmt w:val="decimal"/>
      <w:lvlText w:val="%4."/>
      <w:lvlJc w:val="left"/>
      <w:pPr>
        <w:ind w:left="2880" w:hanging="360"/>
      </w:pPr>
    </w:lvl>
    <w:lvl w:ilvl="4" w:tplc="14B245A0">
      <w:start w:val="1"/>
      <w:numFmt w:val="lowerLetter"/>
      <w:lvlText w:val="%5."/>
      <w:lvlJc w:val="left"/>
      <w:pPr>
        <w:ind w:left="3600" w:hanging="360"/>
      </w:pPr>
    </w:lvl>
    <w:lvl w:ilvl="5" w:tplc="A15237EE">
      <w:start w:val="1"/>
      <w:numFmt w:val="lowerRoman"/>
      <w:lvlText w:val="%6."/>
      <w:lvlJc w:val="right"/>
      <w:pPr>
        <w:ind w:left="4320" w:hanging="180"/>
      </w:pPr>
    </w:lvl>
    <w:lvl w:ilvl="6" w:tplc="351CF61E">
      <w:start w:val="1"/>
      <w:numFmt w:val="decimal"/>
      <w:lvlText w:val="%7."/>
      <w:lvlJc w:val="left"/>
      <w:pPr>
        <w:ind w:left="5040" w:hanging="360"/>
      </w:pPr>
    </w:lvl>
    <w:lvl w:ilvl="7" w:tplc="A4D28AB2">
      <w:start w:val="1"/>
      <w:numFmt w:val="lowerLetter"/>
      <w:lvlText w:val="%8."/>
      <w:lvlJc w:val="left"/>
      <w:pPr>
        <w:ind w:left="5760" w:hanging="360"/>
      </w:pPr>
    </w:lvl>
    <w:lvl w:ilvl="8" w:tplc="70E0CB6A">
      <w:start w:val="1"/>
      <w:numFmt w:val="lowerRoman"/>
      <w:lvlText w:val="%9."/>
      <w:lvlJc w:val="right"/>
      <w:pPr>
        <w:ind w:left="6480" w:hanging="180"/>
      </w:pPr>
    </w:lvl>
  </w:abstractNum>
  <w:abstractNum w:abstractNumId="36" w15:restartNumberingAfterBreak="0">
    <w:nsid w:val="6CAD6547"/>
    <w:multiLevelType w:val="hybridMultilevel"/>
    <w:tmpl w:val="A0F675EC"/>
    <w:lvl w:ilvl="0" w:tplc="2A38F9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E23244"/>
    <w:multiLevelType w:val="hybridMultilevel"/>
    <w:tmpl w:val="B3C03A26"/>
    <w:lvl w:ilvl="0" w:tplc="B9EE5EC2">
      <w:start w:val="1"/>
      <w:numFmt w:val="decimal"/>
      <w:lvlText w:val="%1."/>
      <w:lvlJc w:val="left"/>
      <w:pPr>
        <w:tabs>
          <w:tab w:val="num" w:pos="360"/>
        </w:tabs>
        <w:ind w:left="0" w:firstLine="0"/>
      </w:pPr>
      <w:rPr>
        <w:rFonts w:ascii="Times New Roman" w:hAnsi="Times New Roman" w:hint="default"/>
        <w:b w:val="0"/>
        <w:i w:val="0"/>
        <w:sz w:val="22"/>
      </w:rPr>
    </w:lvl>
    <w:lvl w:ilvl="1" w:tplc="93664104">
      <w:start w:val="1"/>
      <w:numFmt w:val="lowerLetter"/>
      <w:lvlText w:val="(%2)"/>
      <w:lvlJc w:val="left"/>
      <w:pPr>
        <w:tabs>
          <w:tab w:val="num" w:pos="1440"/>
        </w:tabs>
        <w:ind w:left="0" w:firstLine="720"/>
      </w:pPr>
      <w:rPr>
        <w:rFonts w:hint="default"/>
        <w:b w:val="0"/>
        <w:i w:val="0"/>
      </w:rPr>
    </w:lvl>
    <w:lvl w:ilvl="2" w:tplc="AC12A67E">
      <w:start w:val="1"/>
      <w:numFmt w:val="lowerRoman"/>
      <w:lvlText w:val="(%3)"/>
      <w:lvlJc w:val="right"/>
      <w:pPr>
        <w:tabs>
          <w:tab w:val="num" w:pos="1440"/>
        </w:tabs>
        <w:ind w:left="1440" w:hanging="360"/>
      </w:pPr>
      <w:rPr>
        <w:rFonts w:hint="default"/>
      </w:rPr>
    </w:lvl>
    <w:lvl w:ilvl="3" w:tplc="D262A356">
      <w:start w:val="1"/>
      <w:numFmt w:val="bullet"/>
      <w:lvlText w:val=""/>
      <w:lvlJc w:val="left"/>
      <w:pPr>
        <w:tabs>
          <w:tab w:val="num" w:pos="2160"/>
        </w:tabs>
        <w:ind w:left="2160" w:hanging="720"/>
      </w:pPr>
      <w:rPr>
        <w:rFonts w:ascii="Symbol" w:hAnsi="Symbol" w:hint="default"/>
        <w:color w:val="auto"/>
        <w:sz w:val="28"/>
      </w:rPr>
    </w:lvl>
    <w:lvl w:ilvl="4" w:tplc="9FF27F68">
      <w:start w:val="1"/>
      <w:numFmt w:val="lowerLetter"/>
      <w:lvlText w:val="(%5)"/>
      <w:lvlJc w:val="left"/>
      <w:pPr>
        <w:tabs>
          <w:tab w:val="num" w:pos="1800"/>
        </w:tabs>
        <w:ind w:left="1800" w:hanging="360"/>
      </w:pPr>
      <w:rPr>
        <w:rFonts w:hint="default"/>
      </w:rPr>
    </w:lvl>
    <w:lvl w:ilvl="5" w:tplc="41967380">
      <w:start w:val="1"/>
      <w:numFmt w:val="lowerRoman"/>
      <w:lvlText w:val="(%6)"/>
      <w:lvlJc w:val="left"/>
      <w:pPr>
        <w:tabs>
          <w:tab w:val="num" w:pos="2160"/>
        </w:tabs>
        <w:ind w:left="2160" w:hanging="360"/>
      </w:pPr>
      <w:rPr>
        <w:rFonts w:hint="default"/>
      </w:rPr>
    </w:lvl>
    <w:lvl w:ilvl="6" w:tplc="8B64F8AC">
      <w:start w:val="1"/>
      <w:numFmt w:val="decimal"/>
      <w:lvlText w:val="%7."/>
      <w:lvlJc w:val="left"/>
      <w:pPr>
        <w:tabs>
          <w:tab w:val="num" w:pos="2520"/>
        </w:tabs>
        <w:ind w:left="2520" w:hanging="360"/>
      </w:pPr>
      <w:rPr>
        <w:rFonts w:hint="default"/>
      </w:rPr>
    </w:lvl>
    <w:lvl w:ilvl="7" w:tplc="71263C32">
      <w:start w:val="1"/>
      <w:numFmt w:val="lowerLetter"/>
      <w:lvlText w:val="%8."/>
      <w:lvlJc w:val="left"/>
      <w:pPr>
        <w:tabs>
          <w:tab w:val="num" w:pos="2880"/>
        </w:tabs>
        <w:ind w:left="2880" w:hanging="360"/>
      </w:pPr>
      <w:rPr>
        <w:rFonts w:hint="default"/>
      </w:rPr>
    </w:lvl>
    <w:lvl w:ilvl="8" w:tplc="BCFEE21C">
      <w:start w:val="1"/>
      <w:numFmt w:val="lowerRoman"/>
      <w:lvlText w:val="%9."/>
      <w:lvlJc w:val="left"/>
      <w:pPr>
        <w:tabs>
          <w:tab w:val="num" w:pos="3240"/>
        </w:tabs>
        <w:ind w:left="3240" w:hanging="360"/>
      </w:pPr>
      <w:rPr>
        <w:rFonts w:hint="default"/>
      </w:rPr>
    </w:lvl>
  </w:abstractNum>
  <w:abstractNum w:abstractNumId="38" w15:restartNumberingAfterBreak="0">
    <w:nsid w:val="72A31643"/>
    <w:multiLevelType w:val="multilevel"/>
    <w:tmpl w:val="7A7A3C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B7506B"/>
    <w:multiLevelType w:val="hybridMultilevel"/>
    <w:tmpl w:val="EE2E23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750975"/>
    <w:multiLevelType w:val="hybridMultilevel"/>
    <w:tmpl w:val="1FD46B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FEC5B78"/>
    <w:multiLevelType w:val="hybridMultilevel"/>
    <w:tmpl w:val="8D44E134"/>
    <w:lvl w:ilvl="0" w:tplc="504281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5"/>
  </w:num>
  <w:num w:numId="3">
    <w:abstractNumId w:val="22"/>
    <w:lvlOverride w:ilvl="0">
      <w:startOverride w:val="1"/>
    </w:lvlOverride>
  </w:num>
  <w:num w:numId="4">
    <w:abstractNumId w:val="5"/>
  </w:num>
  <w:num w:numId="5">
    <w:abstractNumId w:val="14"/>
  </w:num>
  <w:num w:numId="6">
    <w:abstractNumId w:val="34"/>
  </w:num>
  <w:num w:numId="7">
    <w:abstractNumId w:val="28"/>
  </w:num>
  <w:num w:numId="8">
    <w:abstractNumId w:val="17"/>
  </w:num>
  <w:num w:numId="9">
    <w:abstractNumId w:val="24"/>
  </w:num>
  <w:num w:numId="10">
    <w:abstractNumId w:val="19"/>
  </w:num>
  <w:num w:numId="11">
    <w:abstractNumId w:val="30"/>
  </w:num>
  <w:num w:numId="12">
    <w:abstractNumId w:val="11"/>
  </w:num>
  <w:num w:numId="13">
    <w:abstractNumId w:val="26"/>
  </w:num>
  <w:num w:numId="14">
    <w:abstractNumId w:val="33"/>
  </w:num>
  <w:num w:numId="15">
    <w:abstractNumId w:val="37"/>
  </w:num>
  <w:num w:numId="16">
    <w:abstractNumId w:val="32"/>
  </w:num>
  <w:num w:numId="17">
    <w:abstractNumId w:val="9"/>
  </w:num>
  <w:num w:numId="18">
    <w:abstractNumId w:val="31"/>
  </w:num>
  <w:num w:numId="19">
    <w:abstractNumId w:val="21"/>
  </w:num>
  <w:num w:numId="20">
    <w:abstractNumId w:val="20"/>
  </w:num>
  <w:num w:numId="21">
    <w:abstractNumId w:val="22"/>
  </w:num>
  <w:num w:numId="22">
    <w:abstractNumId w:val="2"/>
  </w:num>
  <w:num w:numId="23">
    <w:abstractNumId w:val="0"/>
  </w:num>
  <w:num w:numId="24">
    <w:abstractNumId w:val="36"/>
  </w:num>
  <w:num w:numId="25">
    <w:abstractNumId w:val="6"/>
  </w:num>
  <w:num w:numId="26">
    <w:abstractNumId w:val="39"/>
  </w:num>
  <w:num w:numId="27">
    <w:abstractNumId w:val="15"/>
  </w:num>
  <w:num w:numId="28">
    <w:abstractNumId w:val="18"/>
  </w:num>
  <w:num w:numId="29">
    <w:abstractNumId w:val="29"/>
  </w:num>
  <w:num w:numId="30">
    <w:abstractNumId w:val="41"/>
  </w:num>
  <w:num w:numId="31">
    <w:abstractNumId w:val="8"/>
  </w:num>
  <w:num w:numId="32">
    <w:abstractNumId w:val="7"/>
  </w:num>
  <w:num w:numId="33">
    <w:abstractNumId w:val="10"/>
  </w:num>
  <w:num w:numId="34">
    <w:abstractNumId w:val="12"/>
  </w:num>
  <w:num w:numId="35">
    <w:abstractNumId w:val="1"/>
  </w:num>
  <w:num w:numId="36">
    <w:abstractNumId w:val="27"/>
  </w:num>
  <w:num w:numId="37">
    <w:abstractNumId w:val="4"/>
  </w:num>
  <w:num w:numId="38">
    <w:abstractNumId w:val="23"/>
  </w:num>
  <w:num w:numId="39">
    <w:abstractNumId w:val="35"/>
  </w:num>
  <w:num w:numId="40">
    <w:abstractNumId w:val="4"/>
    <w:lvlOverride w:ilvl="0">
      <w:startOverride w:val="1"/>
    </w:lvlOverride>
  </w:num>
  <w:num w:numId="41">
    <w:abstractNumId w:val="3"/>
  </w:num>
  <w:num w:numId="42">
    <w:abstractNumId w:val="40"/>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num>
  <w:num w:numId="45">
    <w:abstractNumId w:val="3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nl-NL" w:vendorID="64" w:dllVersion="0" w:nlCheck="1" w:checkStyle="0"/>
  <w:activeWritingStyle w:appName="MSWord" w:lang="fr-CA" w:vendorID="64" w:dllVersion="6" w:nlCheck="1" w:checkStyle="1"/>
  <w:activeWritingStyle w:appName="MSWord" w:lang="fr-CA"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495B7A"/>
    <w:rsid w:val="00001C54"/>
    <w:rsid w:val="00003982"/>
    <w:rsid w:val="00003A24"/>
    <w:rsid w:val="0000403C"/>
    <w:rsid w:val="00004220"/>
    <w:rsid w:val="000100F1"/>
    <w:rsid w:val="00010D26"/>
    <w:rsid w:val="0001147F"/>
    <w:rsid w:val="00011502"/>
    <w:rsid w:val="00016614"/>
    <w:rsid w:val="00016C89"/>
    <w:rsid w:val="00017E49"/>
    <w:rsid w:val="00017F4C"/>
    <w:rsid w:val="0002053A"/>
    <w:rsid w:val="00020C18"/>
    <w:rsid w:val="00020DD3"/>
    <w:rsid w:val="00022CD2"/>
    <w:rsid w:val="00022D55"/>
    <w:rsid w:val="00023ADA"/>
    <w:rsid w:val="00024929"/>
    <w:rsid w:val="00024C63"/>
    <w:rsid w:val="000275C5"/>
    <w:rsid w:val="0002760C"/>
    <w:rsid w:val="00027DEE"/>
    <w:rsid w:val="00031793"/>
    <w:rsid w:val="000349F6"/>
    <w:rsid w:val="00034DE5"/>
    <w:rsid w:val="00037687"/>
    <w:rsid w:val="0004149D"/>
    <w:rsid w:val="000420D6"/>
    <w:rsid w:val="00042736"/>
    <w:rsid w:val="000431AF"/>
    <w:rsid w:val="000443BB"/>
    <w:rsid w:val="00044A04"/>
    <w:rsid w:val="0005681F"/>
    <w:rsid w:val="00064B39"/>
    <w:rsid w:val="00075471"/>
    <w:rsid w:val="000763CF"/>
    <w:rsid w:val="00076878"/>
    <w:rsid w:val="00076A32"/>
    <w:rsid w:val="00076E21"/>
    <w:rsid w:val="00076EC7"/>
    <w:rsid w:val="000773D7"/>
    <w:rsid w:val="000801BF"/>
    <w:rsid w:val="0008073B"/>
    <w:rsid w:val="00081CE3"/>
    <w:rsid w:val="0008301D"/>
    <w:rsid w:val="00083FE9"/>
    <w:rsid w:val="000842B7"/>
    <w:rsid w:val="00085D42"/>
    <w:rsid w:val="00090F24"/>
    <w:rsid w:val="000923AE"/>
    <w:rsid w:val="000963B3"/>
    <w:rsid w:val="000963BC"/>
    <w:rsid w:val="00096E06"/>
    <w:rsid w:val="0009764F"/>
    <w:rsid w:val="000A11D5"/>
    <w:rsid w:val="000A2A1E"/>
    <w:rsid w:val="000A2AAA"/>
    <w:rsid w:val="000A2B3C"/>
    <w:rsid w:val="000A59A5"/>
    <w:rsid w:val="000A6A34"/>
    <w:rsid w:val="000A6E37"/>
    <w:rsid w:val="000A745C"/>
    <w:rsid w:val="000B0A27"/>
    <w:rsid w:val="000B5CFF"/>
    <w:rsid w:val="000B5E33"/>
    <w:rsid w:val="000B6984"/>
    <w:rsid w:val="000C1DE9"/>
    <w:rsid w:val="000C66DB"/>
    <w:rsid w:val="000C7D0D"/>
    <w:rsid w:val="000D30D8"/>
    <w:rsid w:val="000D3150"/>
    <w:rsid w:val="000D60C4"/>
    <w:rsid w:val="000E1BD7"/>
    <w:rsid w:val="000E366A"/>
    <w:rsid w:val="000E4C03"/>
    <w:rsid w:val="000E5304"/>
    <w:rsid w:val="000E6375"/>
    <w:rsid w:val="000E6D8C"/>
    <w:rsid w:val="000E7809"/>
    <w:rsid w:val="000F2BA7"/>
    <w:rsid w:val="000F35A4"/>
    <w:rsid w:val="000F3AFB"/>
    <w:rsid w:val="000F3E99"/>
    <w:rsid w:val="000F4F43"/>
    <w:rsid w:val="000F6089"/>
    <w:rsid w:val="001007A8"/>
    <w:rsid w:val="001007BC"/>
    <w:rsid w:val="00102E63"/>
    <w:rsid w:val="00106E50"/>
    <w:rsid w:val="00110A63"/>
    <w:rsid w:val="00111698"/>
    <w:rsid w:val="001119A3"/>
    <w:rsid w:val="00115056"/>
    <w:rsid w:val="00115966"/>
    <w:rsid w:val="0011782E"/>
    <w:rsid w:val="00117A7B"/>
    <w:rsid w:val="0012071F"/>
    <w:rsid w:val="00121157"/>
    <w:rsid w:val="00121663"/>
    <w:rsid w:val="00122771"/>
    <w:rsid w:val="00123C0A"/>
    <w:rsid w:val="00124799"/>
    <w:rsid w:val="0012612E"/>
    <w:rsid w:val="00127040"/>
    <w:rsid w:val="00127846"/>
    <w:rsid w:val="00127B38"/>
    <w:rsid w:val="001301D9"/>
    <w:rsid w:val="0013140B"/>
    <w:rsid w:val="00132116"/>
    <w:rsid w:val="001324B1"/>
    <w:rsid w:val="00132D1E"/>
    <w:rsid w:val="00132F37"/>
    <w:rsid w:val="00133124"/>
    <w:rsid w:val="00133EFC"/>
    <w:rsid w:val="00134501"/>
    <w:rsid w:val="00136B0F"/>
    <w:rsid w:val="00136FDC"/>
    <w:rsid w:val="00140CE8"/>
    <w:rsid w:val="0014276A"/>
    <w:rsid w:val="00144099"/>
    <w:rsid w:val="001442FF"/>
    <w:rsid w:val="00145548"/>
    <w:rsid w:val="00146323"/>
    <w:rsid w:val="00147527"/>
    <w:rsid w:val="00150417"/>
    <w:rsid w:val="00150A00"/>
    <w:rsid w:val="00150A29"/>
    <w:rsid w:val="001514B9"/>
    <w:rsid w:val="00151568"/>
    <w:rsid w:val="001517C4"/>
    <w:rsid w:val="00151B29"/>
    <w:rsid w:val="00152CDC"/>
    <w:rsid w:val="00153D79"/>
    <w:rsid w:val="00154EC8"/>
    <w:rsid w:val="00156D0E"/>
    <w:rsid w:val="001573F8"/>
    <w:rsid w:val="0016209E"/>
    <w:rsid w:val="0016231A"/>
    <w:rsid w:val="001623F5"/>
    <w:rsid w:val="001629EF"/>
    <w:rsid w:val="00162FD5"/>
    <w:rsid w:val="001648A5"/>
    <w:rsid w:val="00165ADA"/>
    <w:rsid w:val="00166A50"/>
    <w:rsid w:val="0016711F"/>
    <w:rsid w:val="00167732"/>
    <w:rsid w:val="00170AAC"/>
    <w:rsid w:val="00173343"/>
    <w:rsid w:val="00174489"/>
    <w:rsid w:val="00174E49"/>
    <w:rsid w:val="001756FC"/>
    <w:rsid w:val="001766AB"/>
    <w:rsid w:val="00177F4E"/>
    <w:rsid w:val="00181249"/>
    <w:rsid w:val="001858F0"/>
    <w:rsid w:val="0018734F"/>
    <w:rsid w:val="0019170D"/>
    <w:rsid w:val="00193915"/>
    <w:rsid w:val="00196082"/>
    <w:rsid w:val="001A0069"/>
    <w:rsid w:val="001A06D9"/>
    <w:rsid w:val="001A1F43"/>
    <w:rsid w:val="001A1FE2"/>
    <w:rsid w:val="001A2A36"/>
    <w:rsid w:val="001A46B0"/>
    <w:rsid w:val="001A560C"/>
    <w:rsid w:val="001A6166"/>
    <w:rsid w:val="001A78D1"/>
    <w:rsid w:val="001B0B9E"/>
    <w:rsid w:val="001B2E9B"/>
    <w:rsid w:val="001B349A"/>
    <w:rsid w:val="001B6056"/>
    <w:rsid w:val="001B7E62"/>
    <w:rsid w:val="001C0FF8"/>
    <w:rsid w:val="001C4325"/>
    <w:rsid w:val="001C663A"/>
    <w:rsid w:val="001C6E22"/>
    <w:rsid w:val="001C7AC7"/>
    <w:rsid w:val="001D161F"/>
    <w:rsid w:val="001D1ED4"/>
    <w:rsid w:val="001D46E2"/>
    <w:rsid w:val="001D4C85"/>
    <w:rsid w:val="001D52FE"/>
    <w:rsid w:val="001E0BBF"/>
    <w:rsid w:val="001E17D4"/>
    <w:rsid w:val="001E6755"/>
    <w:rsid w:val="001E74FC"/>
    <w:rsid w:val="001F0249"/>
    <w:rsid w:val="001F24B4"/>
    <w:rsid w:val="001F39CE"/>
    <w:rsid w:val="001F54A1"/>
    <w:rsid w:val="001F578A"/>
    <w:rsid w:val="001F63FE"/>
    <w:rsid w:val="001F7C30"/>
    <w:rsid w:val="00200F6E"/>
    <w:rsid w:val="002025AF"/>
    <w:rsid w:val="00202DA1"/>
    <w:rsid w:val="0020515F"/>
    <w:rsid w:val="00213D51"/>
    <w:rsid w:val="00215A22"/>
    <w:rsid w:val="00221906"/>
    <w:rsid w:val="00221E76"/>
    <w:rsid w:val="002225C0"/>
    <w:rsid w:val="00225085"/>
    <w:rsid w:val="002251CB"/>
    <w:rsid w:val="00225EC8"/>
    <w:rsid w:val="00226076"/>
    <w:rsid w:val="002263D0"/>
    <w:rsid w:val="002268DC"/>
    <w:rsid w:val="0022707B"/>
    <w:rsid w:val="00227462"/>
    <w:rsid w:val="00227C87"/>
    <w:rsid w:val="0023064D"/>
    <w:rsid w:val="002313B5"/>
    <w:rsid w:val="002317B7"/>
    <w:rsid w:val="00232135"/>
    <w:rsid w:val="00232BF0"/>
    <w:rsid w:val="002378BF"/>
    <w:rsid w:val="00237A66"/>
    <w:rsid w:val="00237A74"/>
    <w:rsid w:val="00237DAC"/>
    <w:rsid w:val="002404AF"/>
    <w:rsid w:val="00240B76"/>
    <w:rsid w:val="00243141"/>
    <w:rsid w:val="002443C1"/>
    <w:rsid w:val="00245137"/>
    <w:rsid w:val="00245806"/>
    <w:rsid w:val="002478D2"/>
    <w:rsid w:val="002510E7"/>
    <w:rsid w:val="002514D0"/>
    <w:rsid w:val="002519F7"/>
    <w:rsid w:val="00252BE3"/>
    <w:rsid w:val="002535E6"/>
    <w:rsid w:val="002543D3"/>
    <w:rsid w:val="0026001D"/>
    <w:rsid w:val="00266A39"/>
    <w:rsid w:val="00266B0A"/>
    <w:rsid w:val="00266ED1"/>
    <w:rsid w:val="002724A9"/>
    <w:rsid w:val="00272C9E"/>
    <w:rsid w:val="00274DD7"/>
    <w:rsid w:val="00275182"/>
    <w:rsid w:val="00275234"/>
    <w:rsid w:val="002812BA"/>
    <w:rsid w:val="0028414C"/>
    <w:rsid w:val="002906BD"/>
    <w:rsid w:val="002913C6"/>
    <w:rsid w:val="00293143"/>
    <w:rsid w:val="00294D2B"/>
    <w:rsid w:val="00296D8E"/>
    <w:rsid w:val="00296E5E"/>
    <w:rsid w:val="002975D4"/>
    <w:rsid w:val="002A1CF9"/>
    <w:rsid w:val="002A223F"/>
    <w:rsid w:val="002A30A5"/>
    <w:rsid w:val="002A49EF"/>
    <w:rsid w:val="002A6070"/>
    <w:rsid w:val="002A7AAF"/>
    <w:rsid w:val="002B13E7"/>
    <w:rsid w:val="002B3D73"/>
    <w:rsid w:val="002B7A9B"/>
    <w:rsid w:val="002C0847"/>
    <w:rsid w:val="002C0EC3"/>
    <w:rsid w:val="002C28A1"/>
    <w:rsid w:val="002C3055"/>
    <w:rsid w:val="002C4D4E"/>
    <w:rsid w:val="002C69D0"/>
    <w:rsid w:val="002C78CF"/>
    <w:rsid w:val="002C7A31"/>
    <w:rsid w:val="002C7BF9"/>
    <w:rsid w:val="002D042A"/>
    <w:rsid w:val="002D0B1C"/>
    <w:rsid w:val="002D14CA"/>
    <w:rsid w:val="002D32F4"/>
    <w:rsid w:val="002D4BCB"/>
    <w:rsid w:val="002D73EA"/>
    <w:rsid w:val="002E15C2"/>
    <w:rsid w:val="002E3E60"/>
    <w:rsid w:val="002E5657"/>
    <w:rsid w:val="002E5D58"/>
    <w:rsid w:val="002E6345"/>
    <w:rsid w:val="002F091A"/>
    <w:rsid w:val="002F42CB"/>
    <w:rsid w:val="002F43F1"/>
    <w:rsid w:val="002F5797"/>
    <w:rsid w:val="002F6CC5"/>
    <w:rsid w:val="00301285"/>
    <w:rsid w:val="0030593E"/>
    <w:rsid w:val="0030708E"/>
    <w:rsid w:val="0031003C"/>
    <w:rsid w:val="003114F0"/>
    <w:rsid w:val="00312A31"/>
    <w:rsid w:val="003144BA"/>
    <w:rsid w:val="00316E99"/>
    <w:rsid w:val="00317AE1"/>
    <w:rsid w:val="00322D17"/>
    <w:rsid w:val="00322FA3"/>
    <w:rsid w:val="00323F1E"/>
    <w:rsid w:val="00324011"/>
    <w:rsid w:val="003250E4"/>
    <w:rsid w:val="0032562A"/>
    <w:rsid w:val="00325EAF"/>
    <w:rsid w:val="003269EA"/>
    <w:rsid w:val="003335C0"/>
    <w:rsid w:val="00336218"/>
    <w:rsid w:val="003408D6"/>
    <w:rsid w:val="00341F8A"/>
    <w:rsid w:val="00343C24"/>
    <w:rsid w:val="00344BFF"/>
    <w:rsid w:val="00346B03"/>
    <w:rsid w:val="0034794E"/>
    <w:rsid w:val="00347CEF"/>
    <w:rsid w:val="00352EFE"/>
    <w:rsid w:val="00353EBE"/>
    <w:rsid w:val="003542A8"/>
    <w:rsid w:val="00355DBB"/>
    <w:rsid w:val="003639E4"/>
    <w:rsid w:val="0036513F"/>
    <w:rsid w:val="0036596A"/>
    <w:rsid w:val="0036622C"/>
    <w:rsid w:val="00367E61"/>
    <w:rsid w:val="003705CC"/>
    <w:rsid w:val="00372DBF"/>
    <w:rsid w:val="00372EB0"/>
    <w:rsid w:val="003739F4"/>
    <w:rsid w:val="00377484"/>
    <w:rsid w:val="00382BA5"/>
    <w:rsid w:val="00384200"/>
    <w:rsid w:val="00384296"/>
    <w:rsid w:val="0038462F"/>
    <w:rsid w:val="00386E9C"/>
    <w:rsid w:val="00387D5D"/>
    <w:rsid w:val="00394CAA"/>
    <w:rsid w:val="003968CA"/>
    <w:rsid w:val="003A23B4"/>
    <w:rsid w:val="003A3AA5"/>
    <w:rsid w:val="003A41C3"/>
    <w:rsid w:val="003A45B9"/>
    <w:rsid w:val="003B066B"/>
    <w:rsid w:val="003B0CDB"/>
    <w:rsid w:val="003B2F59"/>
    <w:rsid w:val="003B3E88"/>
    <w:rsid w:val="003B417B"/>
    <w:rsid w:val="003B5F09"/>
    <w:rsid w:val="003B7682"/>
    <w:rsid w:val="003C409E"/>
    <w:rsid w:val="003C53EF"/>
    <w:rsid w:val="003C6672"/>
    <w:rsid w:val="003D0867"/>
    <w:rsid w:val="003D0C07"/>
    <w:rsid w:val="003D1BD3"/>
    <w:rsid w:val="003D3720"/>
    <w:rsid w:val="003D67A6"/>
    <w:rsid w:val="003E280C"/>
    <w:rsid w:val="003E5DE5"/>
    <w:rsid w:val="003E6231"/>
    <w:rsid w:val="003E695F"/>
    <w:rsid w:val="003E780E"/>
    <w:rsid w:val="003F05F6"/>
    <w:rsid w:val="003F0B82"/>
    <w:rsid w:val="003F3CB1"/>
    <w:rsid w:val="003F512D"/>
    <w:rsid w:val="003F6913"/>
    <w:rsid w:val="003F7075"/>
    <w:rsid w:val="00400821"/>
    <w:rsid w:val="004009FA"/>
    <w:rsid w:val="00412D9B"/>
    <w:rsid w:val="00412FB0"/>
    <w:rsid w:val="00413945"/>
    <w:rsid w:val="00415DAB"/>
    <w:rsid w:val="00420C67"/>
    <w:rsid w:val="0042156D"/>
    <w:rsid w:val="0042507A"/>
    <w:rsid w:val="00430A25"/>
    <w:rsid w:val="004327C2"/>
    <w:rsid w:val="00432B33"/>
    <w:rsid w:val="00433DFA"/>
    <w:rsid w:val="004340F4"/>
    <w:rsid w:val="004343B8"/>
    <w:rsid w:val="004348BB"/>
    <w:rsid w:val="00435CCB"/>
    <w:rsid w:val="004403F2"/>
    <w:rsid w:val="00442B33"/>
    <w:rsid w:val="0044339B"/>
    <w:rsid w:val="004529B3"/>
    <w:rsid w:val="0045303C"/>
    <w:rsid w:val="00455CE8"/>
    <w:rsid w:val="00456AB2"/>
    <w:rsid w:val="00460924"/>
    <w:rsid w:val="004637B6"/>
    <w:rsid w:val="004656BC"/>
    <w:rsid w:val="00473D1D"/>
    <w:rsid w:val="00475EFC"/>
    <w:rsid w:val="00476294"/>
    <w:rsid w:val="004767AF"/>
    <w:rsid w:val="00477094"/>
    <w:rsid w:val="00480CE7"/>
    <w:rsid w:val="00480E3B"/>
    <w:rsid w:val="00481527"/>
    <w:rsid w:val="00486E42"/>
    <w:rsid w:val="004876C9"/>
    <w:rsid w:val="00494F68"/>
    <w:rsid w:val="00495B7A"/>
    <w:rsid w:val="004974CB"/>
    <w:rsid w:val="004A12DD"/>
    <w:rsid w:val="004A1C25"/>
    <w:rsid w:val="004A26C8"/>
    <w:rsid w:val="004A2748"/>
    <w:rsid w:val="004A3448"/>
    <w:rsid w:val="004A3F57"/>
    <w:rsid w:val="004A5EB4"/>
    <w:rsid w:val="004A60BE"/>
    <w:rsid w:val="004A7881"/>
    <w:rsid w:val="004B1D19"/>
    <w:rsid w:val="004B3A9D"/>
    <w:rsid w:val="004B6CD7"/>
    <w:rsid w:val="004C06C5"/>
    <w:rsid w:val="004C1746"/>
    <w:rsid w:val="004C224E"/>
    <w:rsid w:val="004C4EFC"/>
    <w:rsid w:val="004C5D67"/>
    <w:rsid w:val="004C6020"/>
    <w:rsid w:val="004C61A5"/>
    <w:rsid w:val="004C64F6"/>
    <w:rsid w:val="004D24C7"/>
    <w:rsid w:val="004D6468"/>
    <w:rsid w:val="004D69E8"/>
    <w:rsid w:val="004D7B31"/>
    <w:rsid w:val="004E1768"/>
    <w:rsid w:val="004E22C2"/>
    <w:rsid w:val="004E2912"/>
    <w:rsid w:val="004E2B19"/>
    <w:rsid w:val="004E2F2B"/>
    <w:rsid w:val="004E3700"/>
    <w:rsid w:val="004E4D41"/>
    <w:rsid w:val="004E7576"/>
    <w:rsid w:val="004F1D23"/>
    <w:rsid w:val="004F1DDF"/>
    <w:rsid w:val="004F4FDC"/>
    <w:rsid w:val="004F64C5"/>
    <w:rsid w:val="004F7841"/>
    <w:rsid w:val="005008BD"/>
    <w:rsid w:val="005018EE"/>
    <w:rsid w:val="0050326F"/>
    <w:rsid w:val="005051AD"/>
    <w:rsid w:val="00506232"/>
    <w:rsid w:val="00507CC1"/>
    <w:rsid w:val="00507D6B"/>
    <w:rsid w:val="0051034A"/>
    <w:rsid w:val="00512012"/>
    <w:rsid w:val="00514414"/>
    <w:rsid w:val="0051644E"/>
    <w:rsid w:val="005166C0"/>
    <w:rsid w:val="00516917"/>
    <w:rsid w:val="00520E18"/>
    <w:rsid w:val="00521D69"/>
    <w:rsid w:val="005227F7"/>
    <w:rsid w:val="005239F5"/>
    <w:rsid w:val="005244A1"/>
    <w:rsid w:val="00525FF2"/>
    <w:rsid w:val="0052674C"/>
    <w:rsid w:val="00532979"/>
    <w:rsid w:val="005332C7"/>
    <w:rsid w:val="00533533"/>
    <w:rsid w:val="00533D1A"/>
    <w:rsid w:val="00534479"/>
    <w:rsid w:val="00535805"/>
    <w:rsid w:val="00536E25"/>
    <w:rsid w:val="00536ED5"/>
    <w:rsid w:val="00537E44"/>
    <w:rsid w:val="00537EC3"/>
    <w:rsid w:val="005409B2"/>
    <w:rsid w:val="00541CB5"/>
    <w:rsid w:val="00541FF6"/>
    <w:rsid w:val="00543D33"/>
    <w:rsid w:val="00543E6A"/>
    <w:rsid w:val="00546E22"/>
    <w:rsid w:val="00551805"/>
    <w:rsid w:val="00551B51"/>
    <w:rsid w:val="005525DA"/>
    <w:rsid w:val="005532FA"/>
    <w:rsid w:val="00553438"/>
    <w:rsid w:val="00553910"/>
    <w:rsid w:val="005550C0"/>
    <w:rsid w:val="00556572"/>
    <w:rsid w:val="00560362"/>
    <w:rsid w:val="00560783"/>
    <w:rsid w:val="00561C3C"/>
    <w:rsid w:val="00561CAB"/>
    <w:rsid w:val="00562D08"/>
    <w:rsid w:val="00567348"/>
    <w:rsid w:val="005715BE"/>
    <w:rsid w:val="00571FFF"/>
    <w:rsid w:val="005724C9"/>
    <w:rsid w:val="00573E2F"/>
    <w:rsid w:val="00575B8E"/>
    <w:rsid w:val="0057630C"/>
    <w:rsid w:val="005768AF"/>
    <w:rsid w:val="00576EB8"/>
    <w:rsid w:val="005827CA"/>
    <w:rsid w:val="005830D8"/>
    <w:rsid w:val="005857DF"/>
    <w:rsid w:val="00587084"/>
    <w:rsid w:val="00587213"/>
    <w:rsid w:val="00587F21"/>
    <w:rsid w:val="0059242D"/>
    <w:rsid w:val="0059257E"/>
    <w:rsid w:val="00592ED1"/>
    <w:rsid w:val="00593D80"/>
    <w:rsid w:val="00593F12"/>
    <w:rsid w:val="00596162"/>
    <w:rsid w:val="005A0368"/>
    <w:rsid w:val="005A2070"/>
    <w:rsid w:val="005A3196"/>
    <w:rsid w:val="005A3854"/>
    <w:rsid w:val="005A4C02"/>
    <w:rsid w:val="005A5671"/>
    <w:rsid w:val="005A584A"/>
    <w:rsid w:val="005B06FD"/>
    <w:rsid w:val="005B07B0"/>
    <w:rsid w:val="005B2EFF"/>
    <w:rsid w:val="005B3729"/>
    <w:rsid w:val="005B4978"/>
    <w:rsid w:val="005B4D87"/>
    <w:rsid w:val="005B63F3"/>
    <w:rsid w:val="005C34C4"/>
    <w:rsid w:val="005C3FF7"/>
    <w:rsid w:val="005C5B7C"/>
    <w:rsid w:val="005C721D"/>
    <w:rsid w:val="005C7DD9"/>
    <w:rsid w:val="005D275F"/>
    <w:rsid w:val="005D342F"/>
    <w:rsid w:val="005D3BD4"/>
    <w:rsid w:val="005D40AD"/>
    <w:rsid w:val="005D4B86"/>
    <w:rsid w:val="005E084D"/>
    <w:rsid w:val="005E0C99"/>
    <w:rsid w:val="005E5C2F"/>
    <w:rsid w:val="005E5D4F"/>
    <w:rsid w:val="005E62F2"/>
    <w:rsid w:val="005F0C9D"/>
    <w:rsid w:val="005F10B2"/>
    <w:rsid w:val="005F32F1"/>
    <w:rsid w:val="005F42C8"/>
    <w:rsid w:val="005F4C8B"/>
    <w:rsid w:val="005F5377"/>
    <w:rsid w:val="005F67FC"/>
    <w:rsid w:val="00607AC9"/>
    <w:rsid w:val="00611913"/>
    <w:rsid w:val="00612004"/>
    <w:rsid w:val="00612D91"/>
    <w:rsid w:val="00613ACA"/>
    <w:rsid w:val="006148EB"/>
    <w:rsid w:val="006158F9"/>
    <w:rsid w:val="00626C79"/>
    <w:rsid w:val="0063021D"/>
    <w:rsid w:val="00630E6F"/>
    <w:rsid w:val="006329BF"/>
    <w:rsid w:val="00632CF5"/>
    <w:rsid w:val="0063304D"/>
    <w:rsid w:val="006334F8"/>
    <w:rsid w:val="006349F0"/>
    <w:rsid w:val="00635018"/>
    <w:rsid w:val="006436B7"/>
    <w:rsid w:val="00643B0A"/>
    <w:rsid w:val="00643DD8"/>
    <w:rsid w:val="00643E9B"/>
    <w:rsid w:val="00644D4B"/>
    <w:rsid w:val="00645EFB"/>
    <w:rsid w:val="006472D1"/>
    <w:rsid w:val="00650684"/>
    <w:rsid w:val="00652B3D"/>
    <w:rsid w:val="00654C68"/>
    <w:rsid w:val="00661548"/>
    <w:rsid w:val="006616DE"/>
    <w:rsid w:val="00662DD3"/>
    <w:rsid w:val="00663793"/>
    <w:rsid w:val="00671091"/>
    <w:rsid w:val="006718F7"/>
    <w:rsid w:val="00672B8D"/>
    <w:rsid w:val="00673434"/>
    <w:rsid w:val="006734A2"/>
    <w:rsid w:val="006755E8"/>
    <w:rsid w:val="0067714A"/>
    <w:rsid w:val="00680367"/>
    <w:rsid w:val="00681079"/>
    <w:rsid w:val="0068120E"/>
    <w:rsid w:val="00681249"/>
    <w:rsid w:val="00682101"/>
    <w:rsid w:val="0068261F"/>
    <w:rsid w:val="006858D3"/>
    <w:rsid w:val="00693A8D"/>
    <w:rsid w:val="00695EB3"/>
    <w:rsid w:val="00696DD7"/>
    <w:rsid w:val="00697248"/>
    <w:rsid w:val="00697349"/>
    <w:rsid w:val="00697474"/>
    <w:rsid w:val="006A0217"/>
    <w:rsid w:val="006A040E"/>
    <w:rsid w:val="006A1488"/>
    <w:rsid w:val="006A4058"/>
    <w:rsid w:val="006A4929"/>
    <w:rsid w:val="006A5AC9"/>
    <w:rsid w:val="006A5D68"/>
    <w:rsid w:val="006A61EF"/>
    <w:rsid w:val="006A7199"/>
    <w:rsid w:val="006A79E8"/>
    <w:rsid w:val="006B06A7"/>
    <w:rsid w:val="006B12B0"/>
    <w:rsid w:val="006B34A1"/>
    <w:rsid w:val="006B76C9"/>
    <w:rsid w:val="006B774E"/>
    <w:rsid w:val="006C2B54"/>
    <w:rsid w:val="006C350A"/>
    <w:rsid w:val="006C3AD6"/>
    <w:rsid w:val="006C40F1"/>
    <w:rsid w:val="006C60BB"/>
    <w:rsid w:val="006C624E"/>
    <w:rsid w:val="006C6C47"/>
    <w:rsid w:val="006C7009"/>
    <w:rsid w:val="006C78FB"/>
    <w:rsid w:val="006D012D"/>
    <w:rsid w:val="006D093D"/>
    <w:rsid w:val="006D0F06"/>
    <w:rsid w:val="006D303C"/>
    <w:rsid w:val="006D70D0"/>
    <w:rsid w:val="006D7A3E"/>
    <w:rsid w:val="006E0EFA"/>
    <w:rsid w:val="006E72AC"/>
    <w:rsid w:val="006F0C2C"/>
    <w:rsid w:val="006F11AC"/>
    <w:rsid w:val="006F250A"/>
    <w:rsid w:val="006F3EE2"/>
    <w:rsid w:val="006F63A0"/>
    <w:rsid w:val="006F6F10"/>
    <w:rsid w:val="006F7366"/>
    <w:rsid w:val="00701263"/>
    <w:rsid w:val="00702482"/>
    <w:rsid w:val="007035F3"/>
    <w:rsid w:val="007041A0"/>
    <w:rsid w:val="00705A8F"/>
    <w:rsid w:val="00705F04"/>
    <w:rsid w:val="007066B3"/>
    <w:rsid w:val="00707ECE"/>
    <w:rsid w:val="00707EFF"/>
    <w:rsid w:val="00711C05"/>
    <w:rsid w:val="00714608"/>
    <w:rsid w:val="007148A2"/>
    <w:rsid w:val="00715D7B"/>
    <w:rsid w:val="007168BB"/>
    <w:rsid w:val="007207F5"/>
    <w:rsid w:val="00722F8C"/>
    <w:rsid w:val="00723D37"/>
    <w:rsid w:val="00724544"/>
    <w:rsid w:val="00725921"/>
    <w:rsid w:val="00726242"/>
    <w:rsid w:val="00726585"/>
    <w:rsid w:val="00727038"/>
    <w:rsid w:val="00727D8D"/>
    <w:rsid w:val="0073203F"/>
    <w:rsid w:val="00733A69"/>
    <w:rsid w:val="00733DFC"/>
    <w:rsid w:val="00740D7A"/>
    <w:rsid w:val="00741604"/>
    <w:rsid w:val="00743F07"/>
    <w:rsid w:val="0074435B"/>
    <w:rsid w:val="00745A0D"/>
    <w:rsid w:val="00747B85"/>
    <w:rsid w:val="00747FCB"/>
    <w:rsid w:val="00750FF4"/>
    <w:rsid w:val="0075208D"/>
    <w:rsid w:val="007525B1"/>
    <w:rsid w:val="007526F2"/>
    <w:rsid w:val="0075395F"/>
    <w:rsid w:val="00757807"/>
    <w:rsid w:val="00760E28"/>
    <w:rsid w:val="007624BF"/>
    <w:rsid w:val="00762AF2"/>
    <w:rsid w:val="00763D99"/>
    <w:rsid w:val="0076414E"/>
    <w:rsid w:val="0076481B"/>
    <w:rsid w:val="00766092"/>
    <w:rsid w:val="007706DA"/>
    <w:rsid w:val="00770D2E"/>
    <w:rsid w:val="00770E71"/>
    <w:rsid w:val="00771DC8"/>
    <w:rsid w:val="00772250"/>
    <w:rsid w:val="0077354E"/>
    <w:rsid w:val="00774079"/>
    <w:rsid w:val="00774C94"/>
    <w:rsid w:val="007752D9"/>
    <w:rsid w:val="00777BEE"/>
    <w:rsid w:val="00777FEF"/>
    <w:rsid w:val="0078047D"/>
    <w:rsid w:val="0078230D"/>
    <w:rsid w:val="00787655"/>
    <w:rsid w:val="0079216F"/>
    <w:rsid w:val="00792268"/>
    <w:rsid w:val="00792CCA"/>
    <w:rsid w:val="00793E52"/>
    <w:rsid w:val="007940E4"/>
    <w:rsid w:val="00795662"/>
    <w:rsid w:val="007956D7"/>
    <w:rsid w:val="00797CE2"/>
    <w:rsid w:val="007A0CCB"/>
    <w:rsid w:val="007A1126"/>
    <w:rsid w:val="007A12FA"/>
    <w:rsid w:val="007A1373"/>
    <w:rsid w:val="007A265A"/>
    <w:rsid w:val="007A3C80"/>
    <w:rsid w:val="007A5F8E"/>
    <w:rsid w:val="007A668F"/>
    <w:rsid w:val="007B4BC9"/>
    <w:rsid w:val="007B7863"/>
    <w:rsid w:val="007C6E7C"/>
    <w:rsid w:val="007C77AE"/>
    <w:rsid w:val="007C7DB0"/>
    <w:rsid w:val="007D08D2"/>
    <w:rsid w:val="007D346A"/>
    <w:rsid w:val="007D46E7"/>
    <w:rsid w:val="007D54B3"/>
    <w:rsid w:val="007D7B0F"/>
    <w:rsid w:val="007E04CF"/>
    <w:rsid w:val="007E30E3"/>
    <w:rsid w:val="007E4C9D"/>
    <w:rsid w:val="007E5719"/>
    <w:rsid w:val="007E5CAD"/>
    <w:rsid w:val="007F04FF"/>
    <w:rsid w:val="007F12AA"/>
    <w:rsid w:val="007F1AB7"/>
    <w:rsid w:val="007F23FE"/>
    <w:rsid w:val="007F5B18"/>
    <w:rsid w:val="008016BB"/>
    <w:rsid w:val="00801783"/>
    <w:rsid w:val="00802076"/>
    <w:rsid w:val="00810574"/>
    <w:rsid w:val="0081455A"/>
    <w:rsid w:val="00814921"/>
    <w:rsid w:val="00821774"/>
    <w:rsid w:val="0082437D"/>
    <w:rsid w:val="008260BB"/>
    <w:rsid w:val="00827161"/>
    <w:rsid w:val="00830089"/>
    <w:rsid w:val="00831AA4"/>
    <w:rsid w:val="00833238"/>
    <w:rsid w:val="00834119"/>
    <w:rsid w:val="0084107C"/>
    <w:rsid w:val="00845223"/>
    <w:rsid w:val="00845ECE"/>
    <w:rsid w:val="00850DA7"/>
    <w:rsid w:val="00852B4C"/>
    <w:rsid w:val="00854478"/>
    <w:rsid w:val="00854BBF"/>
    <w:rsid w:val="00855233"/>
    <w:rsid w:val="00860CD0"/>
    <w:rsid w:val="008616F3"/>
    <w:rsid w:val="00863258"/>
    <w:rsid w:val="0086336B"/>
    <w:rsid w:val="008647CE"/>
    <w:rsid w:val="00865881"/>
    <w:rsid w:val="00865E8E"/>
    <w:rsid w:val="008660BB"/>
    <w:rsid w:val="00867053"/>
    <w:rsid w:val="00867469"/>
    <w:rsid w:val="00867850"/>
    <w:rsid w:val="00870F04"/>
    <w:rsid w:val="00872D12"/>
    <w:rsid w:val="00873809"/>
    <w:rsid w:val="0087446E"/>
    <w:rsid w:val="00875A8F"/>
    <w:rsid w:val="008806B4"/>
    <w:rsid w:val="00880B51"/>
    <w:rsid w:val="00880B80"/>
    <w:rsid w:val="0088110B"/>
    <w:rsid w:val="008837B9"/>
    <w:rsid w:val="00883BDE"/>
    <w:rsid w:val="00887EF9"/>
    <w:rsid w:val="008927F4"/>
    <w:rsid w:val="0089313A"/>
    <w:rsid w:val="008A074F"/>
    <w:rsid w:val="008A1D92"/>
    <w:rsid w:val="008A2C0C"/>
    <w:rsid w:val="008A4DE1"/>
    <w:rsid w:val="008A72A1"/>
    <w:rsid w:val="008A78A6"/>
    <w:rsid w:val="008B0347"/>
    <w:rsid w:val="008B0EA1"/>
    <w:rsid w:val="008B557B"/>
    <w:rsid w:val="008B5DAA"/>
    <w:rsid w:val="008B65E7"/>
    <w:rsid w:val="008B6D9B"/>
    <w:rsid w:val="008C23AD"/>
    <w:rsid w:val="008C4B4D"/>
    <w:rsid w:val="008C721E"/>
    <w:rsid w:val="008C72A9"/>
    <w:rsid w:val="008D5485"/>
    <w:rsid w:val="008D7332"/>
    <w:rsid w:val="008D73D3"/>
    <w:rsid w:val="008D7D94"/>
    <w:rsid w:val="008E2CC0"/>
    <w:rsid w:val="008E5E85"/>
    <w:rsid w:val="008E6370"/>
    <w:rsid w:val="008E6B98"/>
    <w:rsid w:val="008E6D40"/>
    <w:rsid w:val="008E7703"/>
    <w:rsid w:val="008F09C2"/>
    <w:rsid w:val="008F1BB7"/>
    <w:rsid w:val="008F2645"/>
    <w:rsid w:val="008F2F11"/>
    <w:rsid w:val="008F375E"/>
    <w:rsid w:val="008F3B57"/>
    <w:rsid w:val="008F4C9A"/>
    <w:rsid w:val="009009E2"/>
    <w:rsid w:val="00901D30"/>
    <w:rsid w:val="00904CE4"/>
    <w:rsid w:val="009062D4"/>
    <w:rsid w:val="00910E95"/>
    <w:rsid w:val="0091171C"/>
    <w:rsid w:val="00911D22"/>
    <w:rsid w:val="00911DCD"/>
    <w:rsid w:val="00912C0F"/>
    <w:rsid w:val="00912D5A"/>
    <w:rsid w:val="00913A04"/>
    <w:rsid w:val="009173D9"/>
    <w:rsid w:val="00917B6B"/>
    <w:rsid w:val="0092032C"/>
    <w:rsid w:val="0092315B"/>
    <w:rsid w:val="00923B37"/>
    <w:rsid w:val="00927C7C"/>
    <w:rsid w:val="00930C61"/>
    <w:rsid w:val="009311ED"/>
    <w:rsid w:val="00931940"/>
    <w:rsid w:val="00931BEC"/>
    <w:rsid w:val="00932108"/>
    <w:rsid w:val="0093281D"/>
    <w:rsid w:val="00933CA6"/>
    <w:rsid w:val="00935F6B"/>
    <w:rsid w:val="00936842"/>
    <w:rsid w:val="00937FA4"/>
    <w:rsid w:val="00937FC0"/>
    <w:rsid w:val="00941E78"/>
    <w:rsid w:val="00943B91"/>
    <w:rsid w:val="009445D0"/>
    <w:rsid w:val="0094486C"/>
    <w:rsid w:val="00944BD0"/>
    <w:rsid w:val="009472C4"/>
    <w:rsid w:val="00952678"/>
    <w:rsid w:val="00954892"/>
    <w:rsid w:val="00956761"/>
    <w:rsid w:val="009577C8"/>
    <w:rsid w:val="009616D5"/>
    <w:rsid w:val="00965492"/>
    <w:rsid w:val="009657A5"/>
    <w:rsid w:val="00967A51"/>
    <w:rsid w:val="0097238E"/>
    <w:rsid w:val="00975104"/>
    <w:rsid w:val="00976FE4"/>
    <w:rsid w:val="009770FC"/>
    <w:rsid w:val="0098019D"/>
    <w:rsid w:val="00980D31"/>
    <w:rsid w:val="009823F4"/>
    <w:rsid w:val="009827AC"/>
    <w:rsid w:val="00982924"/>
    <w:rsid w:val="00982984"/>
    <w:rsid w:val="00984086"/>
    <w:rsid w:val="0098483F"/>
    <w:rsid w:val="00984D1C"/>
    <w:rsid w:val="00986E09"/>
    <w:rsid w:val="00987507"/>
    <w:rsid w:val="009900E1"/>
    <w:rsid w:val="00991678"/>
    <w:rsid w:val="009921B5"/>
    <w:rsid w:val="00997F33"/>
    <w:rsid w:val="009A2AFA"/>
    <w:rsid w:val="009A2E5C"/>
    <w:rsid w:val="009A319A"/>
    <w:rsid w:val="009A329C"/>
    <w:rsid w:val="009A45FF"/>
    <w:rsid w:val="009A5409"/>
    <w:rsid w:val="009A64DA"/>
    <w:rsid w:val="009A751A"/>
    <w:rsid w:val="009A7A61"/>
    <w:rsid w:val="009A7F74"/>
    <w:rsid w:val="009B1376"/>
    <w:rsid w:val="009B1631"/>
    <w:rsid w:val="009B5084"/>
    <w:rsid w:val="009B574C"/>
    <w:rsid w:val="009B5A29"/>
    <w:rsid w:val="009B688D"/>
    <w:rsid w:val="009B7DC4"/>
    <w:rsid w:val="009B7F22"/>
    <w:rsid w:val="009C2016"/>
    <w:rsid w:val="009C4AF2"/>
    <w:rsid w:val="009C5CE8"/>
    <w:rsid w:val="009C683C"/>
    <w:rsid w:val="009C72A9"/>
    <w:rsid w:val="009D0261"/>
    <w:rsid w:val="009D100F"/>
    <w:rsid w:val="009D1037"/>
    <w:rsid w:val="009D7E23"/>
    <w:rsid w:val="009E33CC"/>
    <w:rsid w:val="009E450A"/>
    <w:rsid w:val="009E72C9"/>
    <w:rsid w:val="009F39BD"/>
    <w:rsid w:val="009F4B10"/>
    <w:rsid w:val="009F5441"/>
    <w:rsid w:val="00A01EDD"/>
    <w:rsid w:val="00A04979"/>
    <w:rsid w:val="00A062A6"/>
    <w:rsid w:val="00A06DDD"/>
    <w:rsid w:val="00A07286"/>
    <w:rsid w:val="00A122A9"/>
    <w:rsid w:val="00A12429"/>
    <w:rsid w:val="00A12895"/>
    <w:rsid w:val="00A12C2F"/>
    <w:rsid w:val="00A14152"/>
    <w:rsid w:val="00A220A2"/>
    <w:rsid w:val="00A22717"/>
    <w:rsid w:val="00A22FD5"/>
    <w:rsid w:val="00A23CCC"/>
    <w:rsid w:val="00A35ADC"/>
    <w:rsid w:val="00A35BC9"/>
    <w:rsid w:val="00A35C2D"/>
    <w:rsid w:val="00A41730"/>
    <w:rsid w:val="00A420AF"/>
    <w:rsid w:val="00A42211"/>
    <w:rsid w:val="00A44690"/>
    <w:rsid w:val="00A451F9"/>
    <w:rsid w:val="00A471E8"/>
    <w:rsid w:val="00A47A89"/>
    <w:rsid w:val="00A55301"/>
    <w:rsid w:val="00A558DD"/>
    <w:rsid w:val="00A56098"/>
    <w:rsid w:val="00A56E8F"/>
    <w:rsid w:val="00A57228"/>
    <w:rsid w:val="00A5723F"/>
    <w:rsid w:val="00A57A2D"/>
    <w:rsid w:val="00A602CC"/>
    <w:rsid w:val="00A610B2"/>
    <w:rsid w:val="00A628C9"/>
    <w:rsid w:val="00A6554A"/>
    <w:rsid w:val="00A6589F"/>
    <w:rsid w:val="00A6669B"/>
    <w:rsid w:val="00A712A6"/>
    <w:rsid w:val="00A72019"/>
    <w:rsid w:val="00A75E09"/>
    <w:rsid w:val="00A7626A"/>
    <w:rsid w:val="00A814B8"/>
    <w:rsid w:val="00A81E48"/>
    <w:rsid w:val="00A85C3E"/>
    <w:rsid w:val="00A94569"/>
    <w:rsid w:val="00A955CC"/>
    <w:rsid w:val="00A973FA"/>
    <w:rsid w:val="00AA2AD8"/>
    <w:rsid w:val="00AA30B9"/>
    <w:rsid w:val="00AA310D"/>
    <w:rsid w:val="00AA411A"/>
    <w:rsid w:val="00AA4921"/>
    <w:rsid w:val="00AB031E"/>
    <w:rsid w:val="00AB0E55"/>
    <w:rsid w:val="00AB0EEB"/>
    <w:rsid w:val="00AB2C18"/>
    <w:rsid w:val="00AB2C58"/>
    <w:rsid w:val="00AB3B6B"/>
    <w:rsid w:val="00AB53AC"/>
    <w:rsid w:val="00AB6243"/>
    <w:rsid w:val="00AB689B"/>
    <w:rsid w:val="00AB6F67"/>
    <w:rsid w:val="00AC0466"/>
    <w:rsid w:val="00AC0518"/>
    <w:rsid w:val="00AC07FB"/>
    <w:rsid w:val="00AC229B"/>
    <w:rsid w:val="00AC2F26"/>
    <w:rsid w:val="00AC441C"/>
    <w:rsid w:val="00AD1196"/>
    <w:rsid w:val="00AD4305"/>
    <w:rsid w:val="00AD4379"/>
    <w:rsid w:val="00AD46C5"/>
    <w:rsid w:val="00AD5B76"/>
    <w:rsid w:val="00AD6385"/>
    <w:rsid w:val="00AD77E2"/>
    <w:rsid w:val="00AE0819"/>
    <w:rsid w:val="00AE0EA2"/>
    <w:rsid w:val="00AE128B"/>
    <w:rsid w:val="00AE13A6"/>
    <w:rsid w:val="00AE2836"/>
    <w:rsid w:val="00AE51FF"/>
    <w:rsid w:val="00AF3FA6"/>
    <w:rsid w:val="00AF6BC5"/>
    <w:rsid w:val="00AF748C"/>
    <w:rsid w:val="00AF7746"/>
    <w:rsid w:val="00B0153A"/>
    <w:rsid w:val="00B05DED"/>
    <w:rsid w:val="00B073C0"/>
    <w:rsid w:val="00B0795D"/>
    <w:rsid w:val="00B07CF6"/>
    <w:rsid w:val="00B10120"/>
    <w:rsid w:val="00B13549"/>
    <w:rsid w:val="00B14BBB"/>
    <w:rsid w:val="00B168DB"/>
    <w:rsid w:val="00B20914"/>
    <w:rsid w:val="00B21F95"/>
    <w:rsid w:val="00B22163"/>
    <w:rsid w:val="00B238E8"/>
    <w:rsid w:val="00B26134"/>
    <w:rsid w:val="00B262F4"/>
    <w:rsid w:val="00B263E2"/>
    <w:rsid w:val="00B3236C"/>
    <w:rsid w:val="00B32DBE"/>
    <w:rsid w:val="00B32EBB"/>
    <w:rsid w:val="00B3702B"/>
    <w:rsid w:val="00B41E1A"/>
    <w:rsid w:val="00B423BE"/>
    <w:rsid w:val="00B42601"/>
    <w:rsid w:val="00B447C5"/>
    <w:rsid w:val="00B4608D"/>
    <w:rsid w:val="00B46B6D"/>
    <w:rsid w:val="00B504D3"/>
    <w:rsid w:val="00B5052F"/>
    <w:rsid w:val="00B51768"/>
    <w:rsid w:val="00B52122"/>
    <w:rsid w:val="00B53AA0"/>
    <w:rsid w:val="00B53C10"/>
    <w:rsid w:val="00B541EA"/>
    <w:rsid w:val="00B5479F"/>
    <w:rsid w:val="00B54E70"/>
    <w:rsid w:val="00B55E0F"/>
    <w:rsid w:val="00B618AA"/>
    <w:rsid w:val="00B62B7E"/>
    <w:rsid w:val="00B632AE"/>
    <w:rsid w:val="00B67DD3"/>
    <w:rsid w:val="00B7029C"/>
    <w:rsid w:val="00B711F2"/>
    <w:rsid w:val="00B72C3E"/>
    <w:rsid w:val="00B80446"/>
    <w:rsid w:val="00B8227C"/>
    <w:rsid w:val="00B82DDE"/>
    <w:rsid w:val="00B84ED9"/>
    <w:rsid w:val="00B878B2"/>
    <w:rsid w:val="00B9089D"/>
    <w:rsid w:val="00B9273E"/>
    <w:rsid w:val="00B93823"/>
    <w:rsid w:val="00B9517E"/>
    <w:rsid w:val="00B9772D"/>
    <w:rsid w:val="00B97859"/>
    <w:rsid w:val="00BA1826"/>
    <w:rsid w:val="00BA1B49"/>
    <w:rsid w:val="00BA226F"/>
    <w:rsid w:val="00BA246A"/>
    <w:rsid w:val="00BA24A0"/>
    <w:rsid w:val="00BA389F"/>
    <w:rsid w:val="00BA40A0"/>
    <w:rsid w:val="00BA4528"/>
    <w:rsid w:val="00BA5B6B"/>
    <w:rsid w:val="00BB1652"/>
    <w:rsid w:val="00BB17C9"/>
    <w:rsid w:val="00BB2EAC"/>
    <w:rsid w:val="00BB4475"/>
    <w:rsid w:val="00BB4CDB"/>
    <w:rsid w:val="00BB6081"/>
    <w:rsid w:val="00BC0959"/>
    <w:rsid w:val="00BC1BD4"/>
    <w:rsid w:val="00BC3C69"/>
    <w:rsid w:val="00BC55E4"/>
    <w:rsid w:val="00BC65AB"/>
    <w:rsid w:val="00BC697B"/>
    <w:rsid w:val="00BC7B0C"/>
    <w:rsid w:val="00BD2674"/>
    <w:rsid w:val="00BD2FE5"/>
    <w:rsid w:val="00BD4BAA"/>
    <w:rsid w:val="00BD5B29"/>
    <w:rsid w:val="00BD72E0"/>
    <w:rsid w:val="00BE094C"/>
    <w:rsid w:val="00BE3EBA"/>
    <w:rsid w:val="00BE42BD"/>
    <w:rsid w:val="00BE575F"/>
    <w:rsid w:val="00BF02DF"/>
    <w:rsid w:val="00BF14B0"/>
    <w:rsid w:val="00BF1772"/>
    <w:rsid w:val="00BF1A5F"/>
    <w:rsid w:val="00BF2B91"/>
    <w:rsid w:val="00BF599C"/>
    <w:rsid w:val="00BF5D35"/>
    <w:rsid w:val="00BF6DCC"/>
    <w:rsid w:val="00C0250F"/>
    <w:rsid w:val="00C02514"/>
    <w:rsid w:val="00C02885"/>
    <w:rsid w:val="00C029F3"/>
    <w:rsid w:val="00C02BDC"/>
    <w:rsid w:val="00C03986"/>
    <w:rsid w:val="00C04938"/>
    <w:rsid w:val="00C051A0"/>
    <w:rsid w:val="00C0588D"/>
    <w:rsid w:val="00C07BDE"/>
    <w:rsid w:val="00C14819"/>
    <w:rsid w:val="00C14C41"/>
    <w:rsid w:val="00C16BA5"/>
    <w:rsid w:val="00C170A4"/>
    <w:rsid w:val="00C20A92"/>
    <w:rsid w:val="00C20F5D"/>
    <w:rsid w:val="00C20F60"/>
    <w:rsid w:val="00C24AEF"/>
    <w:rsid w:val="00C2567F"/>
    <w:rsid w:val="00C302D1"/>
    <w:rsid w:val="00C33D95"/>
    <w:rsid w:val="00C3482F"/>
    <w:rsid w:val="00C348D8"/>
    <w:rsid w:val="00C35ACE"/>
    <w:rsid w:val="00C35F2B"/>
    <w:rsid w:val="00C372AA"/>
    <w:rsid w:val="00C37E81"/>
    <w:rsid w:val="00C407E6"/>
    <w:rsid w:val="00C40AC8"/>
    <w:rsid w:val="00C4443C"/>
    <w:rsid w:val="00C44C57"/>
    <w:rsid w:val="00C4525B"/>
    <w:rsid w:val="00C45B47"/>
    <w:rsid w:val="00C45E50"/>
    <w:rsid w:val="00C50AD1"/>
    <w:rsid w:val="00C50C1A"/>
    <w:rsid w:val="00C52F7B"/>
    <w:rsid w:val="00C5493E"/>
    <w:rsid w:val="00C55686"/>
    <w:rsid w:val="00C5600A"/>
    <w:rsid w:val="00C57E8E"/>
    <w:rsid w:val="00C60D77"/>
    <w:rsid w:val="00C60F07"/>
    <w:rsid w:val="00C61C4E"/>
    <w:rsid w:val="00C65D95"/>
    <w:rsid w:val="00C664EC"/>
    <w:rsid w:val="00C7094E"/>
    <w:rsid w:val="00C70E26"/>
    <w:rsid w:val="00C71EF2"/>
    <w:rsid w:val="00C729F6"/>
    <w:rsid w:val="00C73C3D"/>
    <w:rsid w:val="00C758FC"/>
    <w:rsid w:val="00C75F6B"/>
    <w:rsid w:val="00C83C59"/>
    <w:rsid w:val="00C84AD0"/>
    <w:rsid w:val="00C86BCF"/>
    <w:rsid w:val="00C8747A"/>
    <w:rsid w:val="00C87BE2"/>
    <w:rsid w:val="00C87DF3"/>
    <w:rsid w:val="00C90978"/>
    <w:rsid w:val="00C92FE8"/>
    <w:rsid w:val="00C93A02"/>
    <w:rsid w:val="00C95B5B"/>
    <w:rsid w:val="00C95D4E"/>
    <w:rsid w:val="00C95D8C"/>
    <w:rsid w:val="00C978E9"/>
    <w:rsid w:val="00CA016F"/>
    <w:rsid w:val="00CA03DD"/>
    <w:rsid w:val="00CA0E00"/>
    <w:rsid w:val="00CA0EDD"/>
    <w:rsid w:val="00CA3898"/>
    <w:rsid w:val="00CA4DCF"/>
    <w:rsid w:val="00CA5231"/>
    <w:rsid w:val="00CA5D63"/>
    <w:rsid w:val="00CA7A49"/>
    <w:rsid w:val="00CB1355"/>
    <w:rsid w:val="00CB1A49"/>
    <w:rsid w:val="00CB24BD"/>
    <w:rsid w:val="00CB40EB"/>
    <w:rsid w:val="00CB50FA"/>
    <w:rsid w:val="00CB62AA"/>
    <w:rsid w:val="00CB7F8F"/>
    <w:rsid w:val="00CC38D1"/>
    <w:rsid w:val="00CC4721"/>
    <w:rsid w:val="00CC5B84"/>
    <w:rsid w:val="00CC690B"/>
    <w:rsid w:val="00CD1728"/>
    <w:rsid w:val="00CD1761"/>
    <w:rsid w:val="00CD1C52"/>
    <w:rsid w:val="00CD2A41"/>
    <w:rsid w:val="00CD301A"/>
    <w:rsid w:val="00CD4896"/>
    <w:rsid w:val="00CD4ECE"/>
    <w:rsid w:val="00CD587E"/>
    <w:rsid w:val="00CE35B7"/>
    <w:rsid w:val="00CE39CB"/>
    <w:rsid w:val="00CE4E1B"/>
    <w:rsid w:val="00CE6481"/>
    <w:rsid w:val="00CE67CD"/>
    <w:rsid w:val="00CE6E20"/>
    <w:rsid w:val="00CF07CC"/>
    <w:rsid w:val="00CF3318"/>
    <w:rsid w:val="00CF34CD"/>
    <w:rsid w:val="00CF61A7"/>
    <w:rsid w:val="00D00A02"/>
    <w:rsid w:val="00D00B8D"/>
    <w:rsid w:val="00D01A64"/>
    <w:rsid w:val="00D02288"/>
    <w:rsid w:val="00D02D88"/>
    <w:rsid w:val="00D04EAD"/>
    <w:rsid w:val="00D05C72"/>
    <w:rsid w:val="00D06761"/>
    <w:rsid w:val="00D074FE"/>
    <w:rsid w:val="00D0782C"/>
    <w:rsid w:val="00D122B7"/>
    <w:rsid w:val="00D13BDB"/>
    <w:rsid w:val="00D1415F"/>
    <w:rsid w:val="00D167B0"/>
    <w:rsid w:val="00D20FEA"/>
    <w:rsid w:val="00D2378B"/>
    <w:rsid w:val="00D238FF"/>
    <w:rsid w:val="00D324D4"/>
    <w:rsid w:val="00D32C39"/>
    <w:rsid w:val="00D32D1B"/>
    <w:rsid w:val="00D359C6"/>
    <w:rsid w:val="00D35DA8"/>
    <w:rsid w:val="00D3670C"/>
    <w:rsid w:val="00D3726A"/>
    <w:rsid w:val="00D41959"/>
    <w:rsid w:val="00D44A29"/>
    <w:rsid w:val="00D4633B"/>
    <w:rsid w:val="00D51461"/>
    <w:rsid w:val="00D53FA7"/>
    <w:rsid w:val="00D54B51"/>
    <w:rsid w:val="00D56152"/>
    <w:rsid w:val="00D57CF2"/>
    <w:rsid w:val="00D64AC8"/>
    <w:rsid w:val="00D677D0"/>
    <w:rsid w:val="00D714FD"/>
    <w:rsid w:val="00D7363D"/>
    <w:rsid w:val="00D7381C"/>
    <w:rsid w:val="00D7573F"/>
    <w:rsid w:val="00D76235"/>
    <w:rsid w:val="00D762B4"/>
    <w:rsid w:val="00D804A3"/>
    <w:rsid w:val="00D807B5"/>
    <w:rsid w:val="00D84070"/>
    <w:rsid w:val="00D846F8"/>
    <w:rsid w:val="00D852CD"/>
    <w:rsid w:val="00D869C1"/>
    <w:rsid w:val="00D92229"/>
    <w:rsid w:val="00D968DD"/>
    <w:rsid w:val="00D96E9D"/>
    <w:rsid w:val="00DA3134"/>
    <w:rsid w:val="00DA7644"/>
    <w:rsid w:val="00DB0E85"/>
    <w:rsid w:val="00DB16D2"/>
    <w:rsid w:val="00DB31DA"/>
    <w:rsid w:val="00DB4005"/>
    <w:rsid w:val="00DB4017"/>
    <w:rsid w:val="00DB6E05"/>
    <w:rsid w:val="00DC0C40"/>
    <w:rsid w:val="00DC294C"/>
    <w:rsid w:val="00DC4217"/>
    <w:rsid w:val="00DC4505"/>
    <w:rsid w:val="00DC59BB"/>
    <w:rsid w:val="00DC6947"/>
    <w:rsid w:val="00DC764F"/>
    <w:rsid w:val="00DD1258"/>
    <w:rsid w:val="00DD1CE5"/>
    <w:rsid w:val="00DD2C4E"/>
    <w:rsid w:val="00DD34F2"/>
    <w:rsid w:val="00DD4A18"/>
    <w:rsid w:val="00DD5E13"/>
    <w:rsid w:val="00DD6C4D"/>
    <w:rsid w:val="00DD6CE4"/>
    <w:rsid w:val="00DD7025"/>
    <w:rsid w:val="00DE029C"/>
    <w:rsid w:val="00DE3E08"/>
    <w:rsid w:val="00DE48F2"/>
    <w:rsid w:val="00DF0BBB"/>
    <w:rsid w:val="00DF1694"/>
    <w:rsid w:val="00DF2ADF"/>
    <w:rsid w:val="00DF56AD"/>
    <w:rsid w:val="00DF57B8"/>
    <w:rsid w:val="00DF5D7C"/>
    <w:rsid w:val="00DF78D0"/>
    <w:rsid w:val="00DF7E35"/>
    <w:rsid w:val="00E014CD"/>
    <w:rsid w:val="00E01E02"/>
    <w:rsid w:val="00E04C94"/>
    <w:rsid w:val="00E0546B"/>
    <w:rsid w:val="00E05500"/>
    <w:rsid w:val="00E06E84"/>
    <w:rsid w:val="00E0740A"/>
    <w:rsid w:val="00E10192"/>
    <w:rsid w:val="00E10B56"/>
    <w:rsid w:val="00E123D9"/>
    <w:rsid w:val="00E15F07"/>
    <w:rsid w:val="00E1648F"/>
    <w:rsid w:val="00E17B6B"/>
    <w:rsid w:val="00E17CED"/>
    <w:rsid w:val="00E17DD1"/>
    <w:rsid w:val="00E17FB1"/>
    <w:rsid w:val="00E2463E"/>
    <w:rsid w:val="00E24CE4"/>
    <w:rsid w:val="00E30529"/>
    <w:rsid w:val="00E34077"/>
    <w:rsid w:val="00E35FA2"/>
    <w:rsid w:val="00E37CF2"/>
    <w:rsid w:val="00E428D5"/>
    <w:rsid w:val="00E44EED"/>
    <w:rsid w:val="00E46412"/>
    <w:rsid w:val="00E4661D"/>
    <w:rsid w:val="00E469EC"/>
    <w:rsid w:val="00E5015B"/>
    <w:rsid w:val="00E50223"/>
    <w:rsid w:val="00E50864"/>
    <w:rsid w:val="00E52274"/>
    <w:rsid w:val="00E53E71"/>
    <w:rsid w:val="00E57337"/>
    <w:rsid w:val="00E5761B"/>
    <w:rsid w:val="00E61E76"/>
    <w:rsid w:val="00E62E3F"/>
    <w:rsid w:val="00E63F5A"/>
    <w:rsid w:val="00E64605"/>
    <w:rsid w:val="00E6468D"/>
    <w:rsid w:val="00E66E4E"/>
    <w:rsid w:val="00E67FF4"/>
    <w:rsid w:val="00E71E59"/>
    <w:rsid w:val="00E72A3E"/>
    <w:rsid w:val="00E73B63"/>
    <w:rsid w:val="00E73BA0"/>
    <w:rsid w:val="00E75F13"/>
    <w:rsid w:val="00E7678F"/>
    <w:rsid w:val="00E8033B"/>
    <w:rsid w:val="00E876F8"/>
    <w:rsid w:val="00E87DE0"/>
    <w:rsid w:val="00E9170F"/>
    <w:rsid w:val="00E91A48"/>
    <w:rsid w:val="00E91ACA"/>
    <w:rsid w:val="00E92381"/>
    <w:rsid w:val="00E926C9"/>
    <w:rsid w:val="00E9297A"/>
    <w:rsid w:val="00E943C2"/>
    <w:rsid w:val="00E95DEC"/>
    <w:rsid w:val="00E97A53"/>
    <w:rsid w:val="00EA15EA"/>
    <w:rsid w:val="00EA1677"/>
    <w:rsid w:val="00EA17A2"/>
    <w:rsid w:val="00EA21A7"/>
    <w:rsid w:val="00EA24BF"/>
    <w:rsid w:val="00EA3B12"/>
    <w:rsid w:val="00EA547F"/>
    <w:rsid w:val="00EA696F"/>
    <w:rsid w:val="00EA6E97"/>
    <w:rsid w:val="00EB10E7"/>
    <w:rsid w:val="00EB1943"/>
    <w:rsid w:val="00EB1CE0"/>
    <w:rsid w:val="00EB27EA"/>
    <w:rsid w:val="00EB30E4"/>
    <w:rsid w:val="00EB561A"/>
    <w:rsid w:val="00EB56F4"/>
    <w:rsid w:val="00EB5CC6"/>
    <w:rsid w:val="00EB69F3"/>
    <w:rsid w:val="00EB6CE4"/>
    <w:rsid w:val="00EB7600"/>
    <w:rsid w:val="00EC1C5C"/>
    <w:rsid w:val="00EC1E26"/>
    <w:rsid w:val="00EC1E3A"/>
    <w:rsid w:val="00EC22EB"/>
    <w:rsid w:val="00EC385C"/>
    <w:rsid w:val="00EC6B25"/>
    <w:rsid w:val="00EC6F34"/>
    <w:rsid w:val="00EC72F3"/>
    <w:rsid w:val="00EC7444"/>
    <w:rsid w:val="00EC7857"/>
    <w:rsid w:val="00ED11EF"/>
    <w:rsid w:val="00ED150E"/>
    <w:rsid w:val="00ED23E1"/>
    <w:rsid w:val="00ED453D"/>
    <w:rsid w:val="00ED50E9"/>
    <w:rsid w:val="00ED6BC5"/>
    <w:rsid w:val="00EE08A7"/>
    <w:rsid w:val="00EE09DA"/>
    <w:rsid w:val="00EE263F"/>
    <w:rsid w:val="00EE2E7A"/>
    <w:rsid w:val="00EE32B9"/>
    <w:rsid w:val="00EE3607"/>
    <w:rsid w:val="00EE4D6B"/>
    <w:rsid w:val="00EF1B1D"/>
    <w:rsid w:val="00EF3A5B"/>
    <w:rsid w:val="00EF6396"/>
    <w:rsid w:val="00F03BF5"/>
    <w:rsid w:val="00F05F25"/>
    <w:rsid w:val="00F0633D"/>
    <w:rsid w:val="00F07890"/>
    <w:rsid w:val="00F07CA2"/>
    <w:rsid w:val="00F107CC"/>
    <w:rsid w:val="00F10C86"/>
    <w:rsid w:val="00F11198"/>
    <w:rsid w:val="00F121BF"/>
    <w:rsid w:val="00F1279C"/>
    <w:rsid w:val="00F16FB6"/>
    <w:rsid w:val="00F24519"/>
    <w:rsid w:val="00F258A2"/>
    <w:rsid w:val="00F25AD2"/>
    <w:rsid w:val="00F25FCB"/>
    <w:rsid w:val="00F2705C"/>
    <w:rsid w:val="00F31432"/>
    <w:rsid w:val="00F35AEC"/>
    <w:rsid w:val="00F4122A"/>
    <w:rsid w:val="00F41EC3"/>
    <w:rsid w:val="00F43C9E"/>
    <w:rsid w:val="00F43F42"/>
    <w:rsid w:val="00F44871"/>
    <w:rsid w:val="00F44961"/>
    <w:rsid w:val="00F458FC"/>
    <w:rsid w:val="00F4702D"/>
    <w:rsid w:val="00F47C2C"/>
    <w:rsid w:val="00F52DE5"/>
    <w:rsid w:val="00F5361A"/>
    <w:rsid w:val="00F54F6E"/>
    <w:rsid w:val="00F55EFB"/>
    <w:rsid w:val="00F56BE8"/>
    <w:rsid w:val="00F6180E"/>
    <w:rsid w:val="00F67784"/>
    <w:rsid w:val="00F67B66"/>
    <w:rsid w:val="00F67C59"/>
    <w:rsid w:val="00F70BF1"/>
    <w:rsid w:val="00F70EB9"/>
    <w:rsid w:val="00F71817"/>
    <w:rsid w:val="00F726B5"/>
    <w:rsid w:val="00F730F5"/>
    <w:rsid w:val="00F74963"/>
    <w:rsid w:val="00F74F6B"/>
    <w:rsid w:val="00F774E2"/>
    <w:rsid w:val="00F812DF"/>
    <w:rsid w:val="00F81732"/>
    <w:rsid w:val="00F82887"/>
    <w:rsid w:val="00F8306E"/>
    <w:rsid w:val="00F844F5"/>
    <w:rsid w:val="00F867F4"/>
    <w:rsid w:val="00F87F76"/>
    <w:rsid w:val="00F87F91"/>
    <w:rsid w:val="00F90B2E"/>
    <w:rsid w:val="00F948A6"/>
    <w:rsid w:val="00F95052"/>
    <w:rsid w:val="00F957F6"/>
    <w:rsid w:val="00F963AB"/>
    <w:rsid w:val="00FA0B15"/>
    <w:rsid w:val="00FA1543"/>
    <w:rsid w:val="00FA166F"/>
    <w:rsid w:val="00FA1ACD"/>
    <w:rsid w:val="00FA21B9"/>
    <w:rsid w:val="00FA4098"/>
    <w:rsid w:val="00FA4BED"/>
    <w:rsid w:val="00FA524A"/>
    <w:rsid w:val="00FA661D"/>
    <w:rsid w:val="00FA7222"/>
    <w:rsid w:val="00FB3975"/>
    <w:rsid w:val="00FB3D9B"/>
    <w:rsid w:val="00FB7124"/>
    <w:rsid w:val="00FC085B"/>
    <w:rsid w:val="00FC0ACF"/>
    <w:rsid w:val="00FC17F3"/>
    <w:rsid w:val="00FC55DD"/>
    <w:rsid w:val="00FC78EB"/>
    <w:rsid w:val="00FD03E2"/>
    <w:rsid w:val="00FD0CF1"/>
    <w:rsid w:val="00FD5063"/>
    <w:rsid w:val="00FD5212"/>
    <w:rsid w:val="00FD7B33"/>
    <w:rsid w:val="00FE1BC0"/>
    <w:rsid w:val="00FE54DF"/>
    <w:rsid w:val="00FF04BF"/>
    <w:rsid w:val="00FF07D1"/>
    <w:rsid w:val="00FF184E"/>
    <w:rsid w:val="00FF2F41"/>
    <w:rsid w:val="00FF3C3B"/>
    <w:rsid w:val="00FF45F3"/>
    <w:rsid w:val="00FF46A7"/>
    <w:rsid w:val="00FF515D"/>
    <w:rsid w:val="00FF69B3"/>
    <w:rsid w:val="00FF6CDB"/>
    <w:rsid w:val="00FF7B59"/>
    <w:rsid w:val="028BF72E"/>
    <w:rsid w:val="03332A8A"/>
    <w:rsid w:val="034F3318"/>
    <w:rsid w:val="036A7C21"/>
    <w:rsid w:val="049B8A72"/>
    <w:rsid w:val="04BA6527"/>
    <w:rsid w:val="051075CE"/>
    <w:rsid w:val="06A1B83C"/>
    <w:rsid w:val="07DFA9D7"/>
    <w:rsid w:val="0855E6B1"/>
    <w:rsid w:val="08EAF112"/>
    <w:rsid w:val="092A2493"/>
    <w:rsid w:val="0931975A"/>
    <w:rsid w:val="094CAD25"/>
    <w:rsid w:val="0A9734CA"/>
    <w:rsid w:val="0BA28C33"/>
    <w:rsid w:val="0C8849F6"/>
    <w:rsid w:val="0E1BC0D7"/>
    <w:rsid w:val="0E29445B"/>
    <w:rsid w:val="0EE4BB38"/>
    <w:rsid w:val="10A63607"/>
    <w:rsid w:val="11444A00"/>
    <w:rsid w:val="11ABC135"/>
    <w:rsid w:val="12DA37C6"/>
    <w:rsid w:val="147E8C2A"/>
    <w:rsid w:val="17388CD8"/>
    <w:rsid w:val="17644A2A"/>
    <w:rsid w:val="17B5ABC9"/>
    <w:rsid w:val="181707A5"/>
    <w:rsid w:val="18905129"/>
    <w:rsid w:val="18AC1AEE"/>
    <w:rsid w:val="192F431C"/>
    <w:rsid w:val="1AD19F42"/>
    <w:rsid w:val="1AF681F4"/>
    <w:rsid w:val="1B3620B2"/>
    <w:rsid w:val="1C67F1AF"/>
    <w:rsid w:val="1C85CDB7"/>
    <w:rsid w:val="1CB2CB39"/>
    <w:rsid w:val="1E5C0364"/>
    <w:rsid w:val="1F71A7F2"/>
    <w:rsid w:val="1F858F14"/>
    <w:rsid w:val="20D32154"/>
    <w:rsid w:val="22821EAB"/>
    <w:rsid w:val="23CA7FCD"/>
    <w:rsid w:val="2429DEC0"/>
    <w:rsid w:val="24C9DF65"/>
    <w:rsid w:val="250FF2B1"/>
    <w:rsid w:val="26779B39"/>
    <w:rsid w:val="27B2802A"/>
    <w:rsid w:val="2ADF3F09"/>
    <w:rsid w:val="2CB3FCA0"/>
    <w:rsid w:val="2D476AA0"/>
    <w:rsid w:val="2D56C38E"/>
    <w:rsid w:val="2EC94E3E"/>
    <w:rsid w:val="2F390106"/>
    <w:rsid w:val="2FEB9D62"/>
    <w:rsid w:val="328F8BA1"/>
    <w:rsid w:val="33BFF356"/>
    <w:rsid w:val="3404EA45"/>
    <w:rsid w:val="34A45A80"/>
    <w:rsid w:val="36281F67"/>
    <w:rsid w:val="36401140"/>
    <w:rsid w:val="36595142"/>
    <w:rsid w:val="365C3FAC"/>
    <w:rsid w:val="37C2ED96"/>
    <w:rsid w:val="37E61A3F"/>
    <w:rsid w:val="383950EF"/>
    <w:rsid w:val="388BDC95"/>
    <w:rsid w:val="3957CC0A"/>
    <w:rsid w:val="39F78C72"/>
    <w:rsid w:val="3B558C11"/>
    <w:rsid w:val="3B567A3B"/>
    <w:rsid w:val="3BE26730"/>
    <w:rsid w:val="3C2212FC"/>
    <w:rsid w:val="3FD7E3BE"/>
    <w:rsid w:val="44B6C372"/>
    <w:rsid w:val="45A37FA4"/>
    <w:rsid w:val="47D67C8B"/>
    <w:rsid w:val="47E4B5A5"/>
    <w:rsid w:val="48DB2066"/>
    <w:rsid w:val="49D72D71"/>
    <w:rsid w:val="4A5DC86A"/>
    <w:rsid w:val="4A9874EE"/>
    <w:rsid w:val="4C3F8BD9"/>
    <w:rsid w:val="4DBF2DCE"/>
    <w:rsid w:val="4DC719E7"/>
    <w:rsid w:val="4DDB5C3A"/>
    <w:rsid w:val="4EEB5183"/>
    <w:rsid w:val="4F9904B2"/>
    <w:rsid w:val="500B2BF4"/>
    <w:rsid w:val="528B170D"/>
    <w:rsid w:val="54C616D9"/>
    <w:rsid w:val="55C257AB"/>
    <w:rsid w:val="560E9F2A"/>
    <w:rsid w:val="5712095D"/>
    <w:rsid w:val="5769AE96"/>
    <w:rsid w:val="57CD0CEC"/>
    <w:rsid w:val="583C5BA6"/>
    <w:rsid w:val="584A081A"/>
    <w:rsid w:val="5CEED900"/>
    <w:rsid w:val="5D037F88"/>
    <w:rsid w:val="5E607ACE"/>
    <w:rsid w:val="5F74C07B"/>
    <w:rsid w:val="5FA4CB2B"/>
    <w:rsid w:val="61BDC84E"/>
    <w:rsid w:val="64530C67"/>
    <w:rsid w:val="6795D006"/>
    <w:rsid w:val="67D8CD98"/>
    <w:rsid w:val="695814B2"/>
    <w:rsid w:val="6B6D5EDA"/>
    <w:rsid w:val="6DF233F8"/>
    <w:rsid w:val="6FC5D081"/>
    <w:rsid w:val="706D7B9B"/>
    <w:rsid w:val="7097FA51"/>
    <w:rsid w:val="71A07A21"/>
    <w:rsid w:val="71A0D5F3"/>
    <w:rsid w:val="72B39FFB"/>
    <w:rsid w:val="72C779AC"/>
    <w:rsid w:val="72EB1AB9"/>
    <w:rsid w:val="7304EB45"/>
    <w:rsid w:val="73493FB1"/>
    <w:rsid w:val="73A2BB90"/>
    <w:rsid w:val="77497757"/>
    <w:rsid w:val="7A0C6121"/>
    <w:rsid w:val="7ABDA1F4"/>
    <w:rsid w:val="7B9F0455"/>
    <w:rsid w:val="7C774597"/>
    <w:rsid w:val="7D2AD986"/>
    <w:rsid w:val="7D647F53"/>
    <w:rsid w:val="7DB804E7"/>
    <w:rsid w:val="7EB1ED80"/>
    <w:rsid w:val="7F004FB4"/>
    <w:rsid w:val="7FB30F9A"/>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D4BF74"/>
  <w15:docId w15:val="{EB3787D0-4B5E-48CD-B44E-7A3098C5C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077"/>
    <w:pPr>
      <w:jc w:val="both"/>
    </w:pPr>
    <w:rPr>
      <w:rFonts w:cs="Angsana New"/>
      <w:sz w:val="22"/>
      <w:szCs w:val="24"/>
      <w:lang w:val="fr-CA"/>
    </w:rPr>
  </w:style>
  <w:style w:type="paragraph" w:styleId="Heading1">
    <w:name w:val="heading 1"/>
    <w:basedOn w:val="Normal"/>
    <w:next w:val="Heading2"/>
    <w:link w:val="Heading1Char"/>
    <w:qFormat/>
    <w:rsid w:val="00E34077"/>
    <w:pPr>
      <w:keepNext/>
      <w:tabs>
        <w:tab w:val="left" w:pos="720"/>
      </w:tabs>
      <w:spacing w:before="240" w:after="120"/>
      <w:jc w:val="center"/>
      <w:outlineLvl w:val="0"/>
    </w:pPr>
    <w:rPr>
      <w:b/>
      <w:caps/>
    </w:rPr>
  </w:style>
  <w:style w:type="paragraph" w:styleId="Heading2">
    <w:name w:val="heading 2"/>
    <w:basedOn w:val="Normal"/>
    <w:qFormat/>
    <w:rsid w:val="00E34077"/>
    <w:pPr>
      <w:keepNext/>
      <w:tabs>
        <w:tab w:val="left" w:pos="720"/>
      </w:tabs>
      <w:spacing w:before="120" w:after="120"/>
      <w:jc w:val="center"/>
      <w:outlineLvl w:val="1"/>
    </w:pPr>
    <w:rPr>
      <w:b/>
      <w:bCs/>
      <w:i/>
      <w:iCs/>
    </w:rPr>
  </w:style>
  <w:style w:type="paragraph" w:styleId="Heading3">
    <w:name w:val="heading 3"/>
    <w:basedOn w:val="Normal"/>
    <w:next w:val="Normal"/>
    <w:qFormat/>
    <w:rsid w:val="00E34077"/>
    <w:pPr>
      <w:keepNext/>
      <w:tabs>
        <w:tab w:val="left" w:pos="567"/>
      </w:tabs>
      <w:spacing w:before="120" w:after="120"/>
      <w:jc w:val="center"/>
      <w:outlineLvl w:val="2"/>
    </w:pPr>
    <w:rPr>
      <w:i/>
      <w:iCs/>
    </w:rPr>
  </w:style>
  <w:style w:type="paragraph" w:styleId="Heading4">
    <w:name w:val="heading 4"/>
    <w:basedOn w:val="Normal"/>
    <w:qFormat/>
    <w:rsid w:val="00E34077"/>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E34077"/>
    <w:pPr>
      <w:keepNext/>
      <w:numPr>
        <w:ilvl w:val="4"/>
        <w:numId w:val="14"/>
      </w:numPr>
      <w:spacing w:before="120" w:after="120"/>
      <w:jc w:val="left"/>
      <w:outlineLvl w:val="4"/>
    </w:pPr>
    <w:rPr>
      <w:bCs/>
      <w:i/>
      <w:szCs w:val="26"/>
      <w:lang w:val="en-CA"/>
    </w:rPr>
  </w:style>
  <w:style w:type="paragraph" w:styleId="Heading6">
    <w:name w:val="heading 6"/>
    <w:basedOn w:val="Normal"/>
    <w:next w:val="Normal"/>
    <w:qFormat/>
    <w:rsid w:val="00E34077"/>
    <w:pPr>
      <w:keepNext/>
      <w:spacing w:after="240" w:line="240" w:lineRule="exact"/>
      <w:ind w:left="720"/>
      <w:outlineLvl w:val="5"/>
    </w:pPr>
    <w:rPr>
      <w:u w:val="single"/>
    </w:rPr>
  </w:style>
  <w:style w:type="paragraph" w:styleId="Heading7">
    <w:name w:val="heading 7"/>
    <w:basedOn w:val="Normal"/>
    <w:next w:val="Normal"/>
    <w:qFormat/>
    <w:rsid w:val="00E34077"/>
    <w:pPr>
      <w:keepNext/>
      <w:jc w:val="right"/>
      <w:outlineLvl w:val="6"/>
    </w:pPr>
    <w:rPr>
      <w:rFonts w:ascii="Univers" w:hAnsi="Univers"/>
      <w:b/>
      <w:sz w:val="28"/>
    </w:rPr>
  </w:style>
  <w:style w:type="paragraph" w:styleId="Heading8">
    <w:name w:val="heading 8"/>
    <w:basedOn w:val="Normal"/>
    <w:next w:val="Normal"/>
    <w:qFormat/>
    <w:rsid w:val="00E34077"/>
    <w:pPr>
      <w:keepNext/>
      <w:jc w:val="right"/>
      <w:outlineLvl w:val="7"/>
    </w:pPr>
    <w:rPr>
      <w:rFonts w:ascii="Univers" w:hAnsi="Univers"/>
      <w:b/>
      <w:sz w:val="32"/>
    </w:rPr>
  </w:style>
  <w:style w:type="paragraph" w:styleId="Heading9">
    <w:name w:val="heading 9"/>
    <w:basedOn w:val="Normal"/>
    <w:next w:val="Normal"/>
    <w:qFormat/>
    <w:rsid w:val="00E34077"/>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E34077"/>
    <w:rPr>
      <w:sz w:val="18"/>
      <w:u w:val="single"/>
      <w:vertAlign w:val="baseline"/>
    </w:rPr>
  </w:style>
  <w:style w:type="character" w:styleId="PageNumber">
    <w:name w:val="page number"/>
    <w:rsid w:val="00E34077"/>
    <w:rPr>
      <w:rFonts w:ascii="Times New Roman" w:hAnsi="Times New Roman"/>
      <w:sz w:val="22"/>
    </w:rPr>
  </w:style>
  <w:style w:type="paragraph" w:styleId="BodyText">
    <w:name w:val="Body Text"/>
    <w:basedOn w:val="Normal"/>
    <w:rsid w:val="00E34077"/>
    <w:pPr>
      <w:spacing w:before="120" w:after="120"/>
      <w:ind w:firstLine="720"/>
    </w:pPr>
    <w:rPr>
      <w:iCs/>
    </w:rPr>
  </w:style>
  <w:style w:type="paragraph" w:styleId="Caption">
    <w:name w:val="caption"/>
    <w:basedOn w:val="Normal"/>
    <w:next w:val="Normal"/>
    <w:qFormat/>
    <w:rsid w:val="00E34077"/>
    <w:pPr>
      <w:widowControl w:val="0"/>
    </w:pPr>
    <w:rPr>
      <w:rFonts w:ascii="Courier New" w:hAnsi="Courier New"/>
    </w:rPr>
  </w:style>
  <w:style w:type="paragraph" w:styleId="Header">
    <w:name w:val="header"/>
    <w:basedOn w:val="Normal"/>
    <w:link w:val="HeaderChar"/>
    <w:rsid w:val="00E34077"/>
    <w:pPr>
      <w:tabs>
        <w:tab w:val="center" w:pos="4320"/>
        <w:tab w:val="right" w:pos="8640"/>
      </w:tabs>
    </w:pPr>
    <w:rPr>
      <w:rFonts w:cs="Times New Roman"/>
    </w:rPr>
  </w:style>
  <w:style w:type="paragraph" w:styleId="Footer">
    <w:name w:val="footer"/>
    <w:basedOn w:val="Normal"/>
    <w:link w:val="FooterChar"/>
    <w:rsid w:val="00E34077"/>
    <w:pPr>
      <w:tabs>
        <w:tab w:val="center" w:pos="4320"/>
        <w:tab w:val="right" w:pos="8640"/>
      </w:tabs>
      <w:ind w:firstLine="720"/>
      <w:jc w:val="right"/>
    </w:pPr>
    <w:rPr>
      <w:rFonts w:cs="Times New Roman"/>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E34077"/>
    <w:pPr>
      <w:keepLines/>
      <w:spacing w:after="60"/>
      <w:ind w:firstLine="720"/>
    </w:pPr>
    <w:rPr>
      <w:rFonts w:cs="Times New Roman"/>
      <w:sz w:val="18"/>
    </w:rPr>
  </w:style>
  <w:style w:type="paragraph" w:styleId="BodyText2">
    <w:name w:val="Body Text 2"/>
    <w:basedOn w:val="Normal"/>
    <w:uiPriority w:val="99"/>
    <w:rsid w:val="00E34077"/>
    <w:rPr>
      <w:i/>
      <w:iCs/>
    </w:rPr>
  </w:style>
  <w:style w:type="paragraph" w:styleId="BodyText3">
    <w:name w:val="Body Text 3"/>
    <w:basedOn w:val="Normal"/>
    <w:rsid w:val="00E34077"/>
    <w:pPr>
      <w:jc w:val="center"/>
    </w:pPr>
    <w:rPr>
      <w:sz w:val="28"/>
    </w:rPr>
  </w:style>
  <w:style w:type="paragraph" w:styleId="BodyTextIndent2">
    <w:name w:val="Body Text Indent 2"/>
    <w:basedOn w:val="Normal"/>
    <w:rsid w:val="00E34077"/>
    <w:pPr>
      <w:ind w:firstLine="720"/>
    </w:pPr>
  </w:style>
  <w:style w:type="paragraph" w:styleId="BodyTextIndent3">
    <w:name w:val="Body Text Indent 3"/>
    <w:basedOn w:val="Normal"/>
    <w:rsid w:val="00E34077"/>
    <w:pPr>
      <w:ind w:left="1080" w:hanging="360"/>
    </w:pPr>
    <w:rPr>
      <w:rFonts w:ascii="Courier" w:hAnsi="Courier"/>
      <w:sz w:val="20"/>
    </w:rPr>
  </w:style>
  <w:style w:type="paragraph" w:customStyle="1" w:styleId="BodyText21">
    <w:name w:val="Body Text 21"/>
    <w:basedOn w:val="Normal"/>
    <w:rsid w:val="00E34077"/>
  </w:style>
  <w:style w:type="paragraph" w:styleId="BlockText">
    <w:name w:val="Block Text"/>
    <w:basedOn w:val="Normal"/>
    <w:rsid w:val="00E34077"/>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rsid w:val="00E34077"/>
    <w:pPr>
      <w:numPr>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E34077"/>
    <w:pPr>
      <w:spacing w:before="120" w:after="120"/>
      <w:ind w:left="1440" w:hanging="720"/>
      <w:jc w:val="left"/>
    </w:pPr>
  </w:style>
  <w:style w:type="character" w:styleId="EndnoteReference">
    <w:name w:val="endnote reference"/>
    <w:semiHidden/>
    <w:rsid w:val="00E34077"/>
    <w:rPr>
      <w:vertAlign w:val="superscript"/>
    </w:rPr>
  </w:style>
  <w:style w:type="paragraph" w:styleId="Title">
    <w:name w:val="Title"/>
    <w:basedOn w:val="Normal"/>
    <w:qFormat/>
    <w:rsid w:val="00E34077"/>
    <w:pPr>
      <w:jc w:val="center"/>
    </w:pPr>
    <w:rPr>
      <w:i/>
      <w:iCs/>
    </w:rPr>
  </w:style>
  <w:style w:type="character" w:styleId="Hyperlink">
    <w:name w:val="Hyperlink"/>
    <w:uiPriority w:val="99"/>
    <w:rsid w:val="00E34077"/>
    <w:rPr>
      <w:color w:val="0000FF"/>
      <w:u w:val="single"/>
    </w:rPr>
  </w:style>
  <w:style w:type="paragraph" w:styleId="DocumentMap">
    <w:name w:val="Document Map"/>
    <w:basedOn w:val="Normal"/>
    <w:semiHidden/>
    <w:rsid w:val="00E34077"/>
    <w:pPr>
      <w:shd w:val="clear" w:color="auto" w:fill="000080"/>
    </w:pPr>
    <w:rPr>
      <w:rFonts w:ascii="Tahoma" w:hAnsi="Tahoma"/>
    </w:rPr>
  </w:style>
  <w:style w:type="paragraph" w:customStyle="1" w:styleId="HEADING">
    <w:name w:val="HEADING"/>
    <w:basedOn w:val="Normal"/>
    <w:rsid w:val="00E34077"/>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E34077"/>
    <w:pPr>
      <w:ind w:left="284" w:right="4398" w:hanging="284"/>
      <w:jc w:val="left"/>
    </w:pPr>
  </w:style>
  <w:style w:type="paragraph" w:customStyle="1" w:styleId="Para1">
    <w:name w:val="Para1"/>
    <w:basedOn w:val="Normal"/>
    <w:link w:val="Para1Char1"/>
    <w:rsid w:val="00E34077"/>
    <w:pPr>
      <w:spacing w:after="120"/>
    </w:pPr>
    <w:rPr>
      <w:snapToGrid w:val="0"/>
      <w:szCs w:val="18"/>
    </w:rPr>
  </w:style>
  <w:style w:type="paragraph" w:customStyle="1" w:styleId="para2">
    <w:name w:val="para2"/>
    <w:basedOn w:val="Normal"/>
    <w:rsid w:val="00E34077"/>
    <w:pPr>
      <w:numPr>
        <w:numId w:val="21"/>
      </w:numPr>
      <w:spacing w:before="120" w:after="120"/>
    </w:pPr>
    <w:rPr>
      <w:szCs w:val="20"/>
    </w:rPr>
  </w:style>
  <w:style w:type="paragraph" w:customStyle="1" w:styleId="Para3">
    <w:name w:val="Para3"/>
    <w:basedOn w:val="Normal"/>
    <w:rsid w:val="00E34077"/>
    <w:pPr>
      <w:tabs>
        <w:tab w:val="left" w:pos="1980"/>
      </w:tabs>
      <w:spacing w:before="80" w:after="80"/>
    </w:pPr>
    <w:rPr>
      <w:szCs w:val="20"/>
    </w:rPr>
  </w:style>
  <w:style w:type="paragraph" w:customStyle="1" w:styleId="para4">
    <w:name w:val="para4"/>
    <w:basedOn w:val="Normal"/>
    <w:rsid w:val="00E34077"/>
    <w:pPr>
      <w:numPr>
        <w:ilvl w:val="3"/>
        <w:numId w:val="28"/>
      </w:numPr>
      <w:tabs>
        <w:tab w:val="num" w:pos="1440"/>
      </w:tabs>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rsid w:val="00E34077"/>
  </w:style>
  <w:style w:type="paragraph" w:customStyle="1" w:styleId="Heading4indent">
    <w:name w:val="Heading 4 indent"/>
    <w:basedOn w:val="Heading4"/>
    <w:rsid w:val="00E34077"/>
    <w:pPr>
      <w:ind w:left="720"/>
    </w:pPr>
  </w:style>
  <w:style w:type="paragraph" w:styleId="PlainText">
    <w:name w:val="Plain Text"/>
    <w:basedOn w:val="Normal"/>
    <w:link w:val="PlainTextChar"/>
    <w:uiPriority w:val="99"/>
    <w:rsid w:val="00E34077"/>
    <w:rPr>
      <w:rFonts w:ascii="Courier New" w:hAnsi="Courier New" w:cs="Times New Roman"/>
      <w:sz w:val="20"/>
    </w:rPr>
  </w:style>
  <w:style w:type="paragraph" w:customStyle="1" w:styleId="xl24">
    <w:name w:val="xl24"/>
    <w:basedOn w:val="Normal"/>
    <w:rsid w:val="00E34077"/>
    <w:pPr>
      <w:spacing w:before="100" w:beforeAutospacing="1" w:after="100" w:afterAutospacing="1"/>
    </w:pPr>
    <w:rPr>
      <w:rFonts w:eastAsia="Arial Unicode MS"/>
      <w:b/>
      <w:bCs/>
      <w:szCs w:val="22"/>
    </w:rPr>
  </w:style>
  <w:style w:type="paragraph" w:customStyle="1" w:styleId="xl25">
    <w:name w:val="xl25"/>
    <w:basedOn w:val="Normal"/>
    <w:rsid w:val="00E34077"/>
    <w:pPr>
      <w:spacing w:before="100" w:beforeAutospacing="1" w:after="100" w:afterAutospacing="1"/>
    </w:pPr>
    <w:rPr>
      <w:rFonts w:eastAsia="Arial Unicode MS"/>
      <w:b/>
      <w:bCs/>
      <w:szCs w:val="22"/>
    </w:rPr>
  </w:style>
  <w:style w:type="paragraph" w:customStyle="1" w:styleId="xl26">
    <w:name w:val="xl26"/>
    <w:basedOn w:val="Normal"/>
    <w:rsid w:val="00E34077"/>
    <w:pPr>
      <w:spacing w:before="100" w:beforeAutospacing="1" w:after="100" w:afterAutospacing="1"/>
      <w:jc w:val="center"/>
    </w:pPr>
    <w:rPr>
      <w:rFonts w:eastAsia="Arial Unicode MS"/>
      <w:b/>
      <w:bCs/>
      <w:szCs w:val="22"/>
    </w:rPr>
  </w:style>
  <w:style w:type="paragraph" w:customStyle="1" w:styleId="xl27">
    <w:name w:val="xl27"/>
    <w:basedOn w:val="Normal"/>
    <w:rsid w:val="00E34077"/>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rsid w:val="00E34077"/>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rsid w:val="00E34077"/>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rsid w:val="00E34077"/>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rsid w:val="00E34077"/>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rsid w:val="00E34077"/>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rsid w:val="00E34077"/>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rsid w:val="00E34077"/>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rsid w:val="00E34077"/>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rsid w:val="00E34077"/>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rsid w:val="00E34077"/>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rsid w:val="00E34077"/>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rsid w:val="00E34077"/>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rsid w:val="00E34077"/>
    <w:pPr>
      <w:spacing w:before="100" w:beforeAutospacing="1" w:after="100" w:afterAutospacing="1"/>
      <w:jc w:val="center"/>
      <w:textAlignment w:val="top"/>
    </w:pPr>
    <w:rPr>
      <w:rFonts w:eastAsia="Arial Unicode MS"/>
      <w:szCs w:val="22"/>
    </w:rPr>
  </w:style>
  <w:style w:type="paragraph" w:customStyle="1" w:styleId="xl41">
    <w:name w:val="xl41"/>
    <w:basedOn w:val="Normal"/>
    <w:rsid w:val="00E34077"/>
    <w:pPr>
      <w:spacing w:before="100" w:beforeAutospacing="1" w:after="100" w:afterAutospacing="1"/>
      <w:textAlignment w:val="top"/>
    </w:pPr>
    <w:rPr>
      <w:rFonts w:eastAsia="Arial Unicode MS"/>
      <w:szCs w:val="22"/>
    </w:rPr>
  </w:style>
  <w:style w:type="paragraph" w:customStyle="1" w:styleId="xl42">
    <w:name w:val="xl42"/>
    <w:basedOn w:val="Normal"/>
    <w:rsid w:val="00E34077"/>
    <w:pPr>
      <w:spacing w:before="100" w:beforeAutospacing="1" w:after="100" w:afterAutospacing="1"/>
      <w:jc w:val="center"/>
    </w:pPr>
    <w:rPr>
      <w:rFonts w:eastAsia="Arial Unicode MS"/>
      <w:szCs w:val="22"/>
    </w:rPr>
  </w:style>
  <w:style w:type="paragraph" w:customStyle="1" w:styleId="xl43">
    <w:name w:val="xl43"/>
    <w:basedOn w:val="Normal"/>
    <w:rsid w:val="00E34077"/>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rsid w:val="00E34077"/>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rsid w:val="00E34077"/>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rsid w:val="00E34077"/>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rsid w:val="00E34077"/>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rsid w:val="00E34077"/>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rsid w:val="00E34077"/>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rsid w:val="00E34077"/>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rsid w:val="00E34077"/>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rsid w:val="00E34077"/>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rsid w:val="00E34077"/>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rsid w:val="00E34077"/>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rsid w:val="00E34077"/>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rsid w:val="00E34077"/>
    <w:pPr>
      <w:spacing w:before="100" w:beforeAutospacing="1" w:after="100" w:afterAutospacing="1"/>
    </w:pPr>
    <w:rPr>
      <w:rFonts w:eastAsia="Arial Unicode MS"/>
      <w:szCs w:val="22"/>
    </w:rPr>
  </w:style>
  <w:style w:type="paragraph" w:customStyle="1" w:styleId="xl57">
    <w:name w:val="xl57"/>
    <w:basedOn w:val="Normal"/>
    <w:rsid w:val="00E34077"/>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rsid w:val="00E3407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rsid w:val="00E34077"/>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rsid w:val="00E34077"/>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rsid w:val="00E34077"/>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rsid w:val="00E34077"/>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rsid w:val="00E34077"/>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rsid w:val="00E34077"/>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rsid w:val="00E34077"/>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rsid w:val="00E34077"/>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rsid w:val="00E34077"/>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rsid w:val="00E340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rsid w:val="00E34077"/>
    <w:pPr>
      <w:widowControl w:val="0"/>
      <w:tabs>
        <w:tab w:val="left" w:pos="720"/>
      </w:tabs>
      <w:spacing w:before="120" w:after="120"/>
    </w:pPr>
  </w:style>
  <w:style w:type="paragraph" w:styleId="NormalWeb">
    <w:name w:val="Normal (Web)"/>
    <w:basedOn w:val="Normal"/>
    <w:uiPriority w:val="99"/>
    <w:rsid w:val="00E34077"/>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rsid w:val="00E34077"/>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E34077"/>
    <w:rPr>
      <w:color w:val="800080"/>
      <w:u w:val="single"/>
    </w:rPr>
  </w:style>
  <w:style w:type="paragraph" w:customStyle="1" w:styleId="xl22">
    <w:name w:val="xl22"/>
    <w:basedOn w:val="Normal"/>
    <w:rsid w:val="00E340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E3407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E34077"/>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E34077"/>
    <w:pPr>
      <w:autoSpaceDE w:val="0"/>
      <w:autoSpaceDN w:val="0"/>
    </w:pPr>
  </w:style>
  <w:style w:type="paragraph" w:customStyle="1" w:styleId="HEADINGNOTFORTOC">
    <w:name w:val="HEADING (NOT FOR TOC)"/>
    <w:basedOn w:val="Heading1"/>
    <w:next w:val="Heading2"/>
    <w:rsid w:val="00E34077"/>
  </w:style>
  <w:style w:type="paragraph" w:styleId="Subtitle">
    <w:name w:val="Subtitle"/>
    <w:basedOn w:val="Normal"/>
    <w:qFormat/>
    <w:rsid w:val="00E34077"/>
    <w:rPr>
      <w:b/>
      <w:bCs/>
    </w:rPr>
  </w:style>
  <w:style w:type="character" w:styleId="Strong">
    <w:name w:val="Strong"/>
    <w:qFormat/>
    <w:rsid w:val="00E34077"/>
    <w:rPr>
      <w:b/>
      <w:bCs/>
    </w:rPr>
  </w:style>
  <w:style w:type="paragraph" w:customStyle="1" w:styleId="Para10">
    <w:name w:val="Para 1"/>
    <w:basedOn w:val="BodyText"/>
    <w:rsid w:val="00E34077"/>
    <w:pPr>
      <w:ind w:firstLine="0"/>
    </w:pPr>
    <w:rPr>
      <w:bCs/>
      <w:iCs w:val="0"/>
      <w:szCs w:val="22"/>
    </w:rPr>
  </w:style>
  <w:style w:type="paragraph" w:customStyle="1" w:styleId="Style1">
    <w:name w:val="Style1"/>
    <w:basedOn w:val="Para10"/>
    <w:rsid w:val="00E34077"/>
    <w:pPr>
      <w:numPr>
        <w:ilvl w:val="1"/>
        <w:numId w:val="19"/>
      </w:numPr>
    </w:pPr>
  </w:style>
  <w:style w:type="paragraph" w:customStyle="1" w:styleId="aident">
    <w:name w:val="(a) ident"/>
    <w:basedOn w:val="Normal"/>
    <w:rsid w:val="00E34077"/>
    <w:pPr>
      <w:numPr>
        <w:numId w:val="40"/>
      </w:numPr>
      <w:autoSpaceDE w:val="0"/>
      <w:autoSpaceDN w:val="0"/>
      <w:spacing w:before="120" w:after="120"/>
    </w:pPr>
    <w:rPr>
      <w:snapToGrid w:val="0"/>
      <w:szCs w:val="18"/>
    </w:rPr>
  </w:style>
  <w:style w:type="paragraph" w:styleId="BalloonText">
    <w:name w:val="Balloon Text"/>
    <w:basedOn w:val="Normal"/>
    <w:semiHidden/>
    <w:rsid w:val="00E34077"/>
    <w:rPr>
      <w:rFonts w:ascii="Tahoma" w:hAnsi="Tahoma" w:cs="Tahoma"/>
      <w:sz w:val="16"/>
      <w:szCs w:val="16"/>
    </w:rPr>
  </w:style>
  <w:style w:type="paragraph" w:customStyle="1" w:styleId="Paranum">
    <w:name w:val="Paranum"/>
    <w:basedOn w:val="Para1"/>
    <w:rsid w:val="00E34077"/>
    <w:pPr>
      <w:numPr>
        <w:numId w:val="29"/>
      </w:numPr>
      <w:spacing w:line="240" w:lineRule="exact"/>
    </w:pPr>
    <w:rPr>
      <w:snapToGrid/>
      <w:szCs w:val="20"/>
      <w:lang w:val="en-US"/>
    </w:rPr>
  </w:style>
  <w:style w:type="paragraph" w:customStyle="1" w:styleId="Document1">
    <w:name w:val="Document 1"/>
    <w:basedOn w:val="Normal"/>
    <w:next w:val="Normal"/>
    <w:rsid w:val="00E34077"/>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rsid w:val="00E34077"/>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rsid w:val="00E34077"/>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rsid w:val="00E34077"/>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rsid w:val="00E34077"/>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rsid w:val="00E34077"/>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E34077"/>
    <w:rPr>
      <w:iCs/>
      <w:sz w:val="22"/>
      <w:szCs w:val="24"/>
      <w:lang w:val="en-GB" w:eastAsia="en-US" w:bidi="ar-SA"/>
    </w:rPr>
  </w:style>
  <w:style w:type="paragraph" w:styleId="HTMLPreformatted">
    <w:name w:val="HTML Preformatted"/>
    <w:basedOn w:val="Normal"/>
    <w:rsid w:val="00E340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rsid w:val="00E34077"/>
    <w:pPr>
      <w:numPr>
        <w:numId w:val="1"/>
      </w:numPr>
      <w:spacing w:before="120" w:after="120"/>
    </w:pPr>
    <w:rPr>
      <w:snapToGrid w:val="0"/>
      <w:szCs w:val="18"/>
    </w:rPr>
  </w:style>
  <w:style w:type="paragraph" w:customStyle="1" w:styleId="MainParanoChapter">
    <w:name w:val="Main Para no Chapter #"/>
    <w:basedOn w:val="Normal"/>
    <w:rsid w:val="00E34077"/>
    <w:pPr>
      <w:tabs>
        <w:tab w:val="left" w:pos="810"/>
      </w:tabs>
      <w:overflowPunct w:val="0"/>
      <w:autoSpaceDE w:val="0"/>
      <w:autoSpaceDN w:val="0"/>
      <w:adjustRightInd w:val="0"/>
      <w:spacing w:after="240"/>
      <w:textAlignment w:val="baseline"/>
    </w:pPr>
  </w:style>
  <w:style w:type="character" w:customStyle="1" w:styleId="content1">
    <w:name w:val="content1"/>
    <w:rsid w:val="00E34077"/>
    <w:rPr>
      <w:rFonts w:ascii="Arial" w:hAnsi="Arial" w:cs="Arial" w:hint="default"/>
      <w:b w:val="0"/>
      <w:bCs w:val="0"/>
      <w:color w:val="000000"/>
      <w:sz w:val="24"/>
      <w:szCs w:val="24"/>
    </w:rPr>
  </w:style>
  <w:style w:type="character" w:styleId="CommentReference">
    <w:name w:val="annotation reference"/>
    <w:semiHidden/>
    <w:rsid w:val="00E34077"/>
    <w:rPr>
      <w:sz w:val="16"/>
      <w:szCs w:val="16"/>
    </w:rPr>
  </w:style>
  <w:style w:type="paragraph" w:styleId="CommentText">
    <w:name w:val="annotation text"/>
    <w:basedOn w:val="Normal"/>
    <w:link w:val="CommentTextChar"/>
    <w:uiPriority w:val="99"/>
    <w:semiHidden/>
    <w:rsid w:val="00E34077"/>
    <w:rPr>
      <w:sz w:val="20"/>
    </w:rPr>
  </w:style>
  <w:style w:type="character" w:customStyle="1" w:styleId="BodyText2Char">
    <w:name w:val="Body Text 2 Char"/>
    <w:uiPriority w:val="99"/>
    <w:rsid w:val="00E34077"/>
    <w:rPr>
      <w:sz w:val="22"/>
      <w:lang w:val="en-US" w:eastAsia="en-US" w:bidi="ar-SA"/>
    </w:rPr>
  </w:style>
  <w:style w:type="character" w:customStyle="1" w:styleId="BodyText2CharCharChar">
    <w:name w:val="Body Text 2 Char Char Char"/>
    <w:rsid w:val="00E34077"/>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E34077"/>
    <w:rPr>
      <w:sz w:val="22"/>
      <w:lang w:val="en-US" w:eastAsia="en-US" w:bidi="ar-SA"/>
    </w:rPr>
  </w:style>
  <w:style w:type="paragraph" w:customStyle="1" w:styleId="StylePara1Firstline127cm">
    <w:name w:val="Style Para1 + First line:  1.27 cm"/>
    <w:basedOn w:val="Para1"/>
    <w:rsid w:val="00E34077"/>
    <w:pPr>
      <w:tabs>
        <w:tab w:val="num" w:pos="360"/>
      </w:tabs>
    </w:pPr>
    <w:rPr>
      <w:szCs w:val="20"/>
    </w:rPr>
  </w:style>
  <w:style w:type="character" w:customStyle="1" w:styleId="Heading2Char">
    <w:name w:val="Heading 2 Char"/>
    <w:rsid w:val="00E34077"/>
    <w:rPr>
      <w:b/>
      <w:bCs/>
      <w:i/>
      <w:iCs/>
      <w:sz w:val="22"/>
      <w:szCs w:val="24"/>
      <w:lang w:val="en-GB" w:eastAsia="en-US" w:bidi="ar-SA"/>
    </w:rPr>
  </w:style>
  <w:style w:type="paragraph" w:customStyle="1" w:styleId="subhead">
    <w:name w:val="subhead"/>
    <w:basedOn w:val="Normal"/>
    <w:next w:val="Para1"/>
    <w:rsid w:val="00E34077"/>
    <w:pPr>
      <w:spacing w:before="120" w:after="120"/>
      <w:jc w:val="center"/>
    </w:pPr>
    <w:rPr>
      <w:i/>
    </w:rPr>
  </w:style>
  <w:style w:type="character" w:styleId="Emphasis">
    <w:name w:val="Emphasis"/>
    <w:uiPriority w:val="20"/>
    <w:qFormat/>
    <w:rsid w:val="00E34077"/>
    <w:rPr>
      <w:i/>
      <w:iCs/>
    </w:rPr>
  </w:style>
  <w:style w:type="character" w:customStyle="1" w:styleId="BlockTextChar">
    <w:name w:val="Block Text Char"/>
    <w:rsid w:val="00E34077"/>
    <w:rPr>
      <w:sz w:val="24"/>
      <w:szCs w:val="24"/>
      <w:lang w:val="en-US" w:eastAsia="en-US" w:bidi="ar-SA"/>
    </w:rPr>
  </w:style>
  <w:style w:type="paragraph" w:customStyle="1" w:styleId="bodytext210">
    <w:name w:val="bodytext21"/>
    <w:basedOn w:val="Normal"/>
    <w:rsid w:val="00E34077"/>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E34077"/>
    <w:rPr>
      <w:sz w:val="22"/>
      <w:lang w:val="en-US" w:eastAsia="en-US" w:bidi="ar-SA"/>
    </w:rPr>
  </w:style>
  <w:style w:type="paragraph" w:styleId="TOC1">
    <w:name w:val="toc 1"/>
    <w:basedOn w:val="Normal"/>
    <w:next w:val="Normal"/>
    <w:autoRedefine/>
    <w:semiHidden/>
    <w:rsid w:val="00E34077"/>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sid w:val="00E34077"/>
    <w:rPr>
      <w:b/>
      <w:bCs/>
    </w:rPr>
  </w:style>
  <w:style w:type="character" w:customStyle="1" w:styleId="MathieuRgnier">
    <w:name w:val="Mathieu Régnier"/>
    <w:semiHidden/>
    <w:rsid w:val="00E34077"/>
    <w:rPr>
      <w:rFonts w:ascii="Arial" w:hAnsi="Arial" w:cs="Arial"/>
      <w:color w:val="auto"/>
      <w:sz w:val="20"/>
      <w:szCs w:val="20"/>
    </w:rPr>
  </w:style>
  <w:style w:type="paragraph" w:customStyle="1" w:styleId="bodytextnoindent">
    <w:name w:val="body text (no indent)"/>
    <w:basedOn w:val="Normal"/>
    <w:rsid w:val="00E34077"/>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E34077"/>
    <w:rPr>
      <w:i/>
      <w:iCs w:val="0"/>
    </w:rPr>
  </w:style>
  <w:style w:type="paragraph" w:customStyle="1" w:styleId="boxbody">
    <w:name w:val="boxbody"/>
    <w:basedOn w:val="Normal"/>
    <w:rsid w:val="00E34077"/>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E34077"/>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E34077"/>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E34077"/>
    <w:pPr>
      <w:ind w:left="1843" w:hanging="1134"/>
      <w:jc w:val="left"/>
    </w:pPr>
  </w:style>
  <w:style w:type="paragraph" w:customStyle="1" w:styleId="Heading1multiline">
    <w:name w:val="Heading 1 (multiline)"/>
    <w:basedOn w:val="Heading1"/>
    <w:rsid w:val="00E34077"/>
    <w:pPr>
      <w:ind w:left="1843" w:right="996" w:hanging="567"/>
      <w:jc w:val="left"/>
    </w:pPr>
  </w:style>
  <w:style w:type="paragraph" w:customStyle="1" w:styleId="Heading2multiline">
    <w:name w:val="Heading 2 (multiline)"/>
    <w:basedOn w:val="Heading1"/>
    <w:next w:val="Normal"/>
    <w:rsid w:val="00E34077"/>
    <w:pPr>
      <w:spacing w:before="120"/>
      <w:ind w:left="1843" w:right="998" w:hanging="567"/>
      <w:jc w:val="left"/>
    </w:pPr>
    <w:rPr>
      <w:i/>
      <w:iCs/>
      <w:caps w:val="0"/>
    </w:rPr>
  </w:style>
  <w:style w:type="paragraph" w:customStyle="1" w:styleId="Heading2longmultiline">
    <w:name w:val="Heading 2 (long multiline)"/>
    <w:basedOn w:val="Heading2multiline"/>
    <w:rsid w:val="00E34077"/>
    <w:pPr>
      <w:ind w:left="2127" w:hanging="1276"/>
    </w:pPr>
  </w:style>
  <w:style w:type="paragraph" w:customStyle="1" w:styleId="Heading2noletter">
    <w:name w:val="Heading 2 (no letter)"/>
    <w:basedOn w:val="Heading2"/>
    <w:rsid w:val="00E34077"/>
    <w:pPr>
      <w:tabs>
        <w:tab w:val="clear" w:pos="720"/>
      </w:tabs>
    </w:pPr>
    <w:rPr>
      <w:rFonts w:cs="Times New Roman"/>
    </w:rPr>
  </w:style>
  <w:style w:type="character" w:customStyle="1" w:styleId="Heading2CharChar">
    <w:name w:val="Heading 2 Char Char"/>
    <w:rsid w:val="00E34077"/>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E34077"/>
    <w:pPr>
      <w:ind w:left="1418" w:hanging="425"/>
      <w:jc w:val="left"/>
    </w:pPr>
  </w:style>
  <w:style w:type="paragraph" w:customStyle="1" w:styleId="Heading-plain0">
    <w:name w:val="Heading-plain"/>
    <w:basedOn w:val="Normal"/>
    <w:rsid w:val="00E34077"/>
    <w:pPr>
      <w:spacing w:before="120" w:after="120"/>
      <w:jc w:val="center"/>
      <w:outlineLvl w:val="0"/>
    </w:pPr>
    <w:rPr>
      <w:i/>
      <w:szCs w:val="20"/>
    </w:rPr>
  </w:style>
  <w:style w:type="paragraph" w:customStyle="1" w:styleId="Heading-plainbold">
    <w:name w:val="Heading-plain bold"/>
    <w:basedOn w:val="BodyText"/>
    <w:rsid w:val="00E34077"/>
    <w:pPr>
      <w:ind w:firstLine="0"/>
      <w:jc w:val="center"/>
    </w:pPr>
    <w:rPr>
      <w:b/>
      <w:bCs/>
      <w:i/>
      <w:iCs w:val="0"/>
    </w:rPr>
  </w:style>
  <w:style w:type="paragraph" w:customStyle="1" w:styleId="Heading-plainitalic">
    <w:name w:val="Heading-plain italic"/>
    <w:basedOn w:val="Heading-plainbold"/>
    <w:rsid w:val="00E34077"/>
    <w:rPr>
      <w:b w:val="0"/>
      <w:bCs w:val="0"/>
    </w:rPr>
  </w:style>
  <w:style w:type="character" w:customStyle="1" w:styleId="Para1Char">
    <w:name w:val="Para 1 Char"/>
    <w:rsid w:val="00E34077"/>
    <w:rPr>
      <w:rFonts w:eastAsia="MS Mincho"/>
      <w:bCs/>
      <w:iCs/>
      <w:sz w:val="22"/>
      <w:szCs w:val="22"/>
      <w:lang w:val="en-GB" w:eastAsia="en-US" w:bidi="ar-SA"/>
    </w:rPr>
  </w:style>
  <w:style w:type="paragraph" w:customStyle="1" w:styleId="Para2rev">
    <w:name w:val="Para 2 (rev)"/>
    <w:basedOn w:val="Normal"/>
    <w:rsid w:val="00E34077"/>
    <w:pPr>
      <w:tabs>
        <w:tab w:val="num" w:pos="720"/>
      </w:tabs>
      <w:spacing w:after="120"/>
      <w:ind w:left="720" w:hanging="360"/>
    </w:pPr>
  </w:style>
  <w:style w:type="paragraph" w:customStyle="1" w:styleId="Paraofficial">
    <w:name w:val="Para official"/>
    <w:basedOn w:val="Normal"/>
    <w:rsid w:val="00E34077"/>
    <w:pPr>
      <w:framePr w:hSpace="187" w:vSpace="187" w:wrap="notBeside" w:vAnchor="text" w:hAnchor="text" w:y="1"/>
      <w:numPr>
        <w:numId w:val="36"/>
      </w:numPr>
      <w:spacing w:before="240" w:after="240"/>
      <w:jc w:val="left"/>
    </w:pPr>
    <w:rPr>
      <w:szCs w:val="20"/>
    </w:rPr>
  </w:style>
  <w:style w:type="paragraph" w:customStyle="1" w:styleId="Para1Char0">
    <w:name w:val="Para1 Char"/>
    <w:basedOn w:val="Normal"/>
    <w:rsid w:val="00E34077"/>
    <w:pPr>
      <w:tabs>
        <w:tab w:val="num" w:pos="720"/>
      </w:tabs>
      <w:spacing w:before="120" w:after="120"/>
      <w:ind w:left="360"/>
    </w:pPr>
    <w:rPr>
      <w:snapToGrid w:val="0"/>
      <w:szCs w:val="18"/>
    </w:rPr>
  </w:style>
  <w:style w:type="paragraph" w:customStyle="1" w:styleId="Para1-Annex">
    <w:name w:val="Para1-Annex"/>
    <w:basedOn w:val="Normal"/>
    <w:rsid w:val="00E34077"/>
    <w:pPr>
      <w:numPr>
        <w:numId w:val="27"/>
      </w:numPr>
      <w:spacing w:after="120"/>
    </w:pPr>
    <w:rPr>
      <w:rFonts w:cs="Times New Roman"/>
      <w:szCs w:val="22"/>
      <w:lang w:val="en-US"/>
    </w:rPr>
  </w:style>
  <w:style w:type="paragraph" w:customStyle="1" w:styleId="Para40">
    <w:name w:val="Para4"/>
    <w:basedOn w:val="Para3"/>
    <w:rsid w:val="00E34077"/>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E34077"/>
    <w:rPr>
      <w:iCs w:val="0"/>
      <w:snapToGrid w:val="0"/>
      <w:color w:val="000000"/>
      <w:szCs w:val="22"/>
      <w:lang w:val="en-US"/>
    </w:rPr>
  </w:style>
  <w:style w:type="character" w:customStyle="1" w:styleId="StyleBodyTextTimesNewRoman11ptCharCharChar">
    <w:name w:val="Style Body Text + Times New Roman 11 pt Char Char Char"/>
    <w:rsid w:val="00E34077"/>
    <w:rPr>
      <w:rFonts w:cs="Angsana New"/>
      <w:iCs/>
      <w:snapToGrid w:val="0"/>
      <w:color w:val="000000"/>
      <w:sz w:val="22"/>
      <w:szCs w:val="22"/>
      <w:lang w:val="en-US" w:eastAsia="en-US" w:bidi="ar-SA"/>
    </w:rPr>
  </w:style>
  <w:style w:type="paragraph" w:styleId="TOC2">
    <w:name w:val="toc 2"/>
    <w:basedOn w:val="Normal"/>
    <w:next w:val="Normal"/>
    <w:autoRedefine/>
    <w:semiHidden/>
    <w:rsid w:val="00E34077"/>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E34077"/>
    <w:pPr>
      <w:ind w:left="2160" w:hanging="720"/>
    </w:pPr>
  </w:style>
  <w:style w:type="paragraph" w:styleId="TOC5">
    <w:name w:val="toc 5"/>
    <w:basedOn w:val="Normal"/>
    <w:next w:val="Normal"/>
    <w:autoRedefine/>
    <w:semiHidden/>
    <w:rsid w:val="00E34077"/>
    <w:pPr>
      <w:ind w:left="880"/>
    </w:pPr>
  </w:style>
  <w:style w:type="character" w:customStyle="1" w:styleId="Heading1Char">
    <w:name w:val="Heading 1 Char"/>
    <w:link w:val="Heading1"/>
    <w:rsid w:val="00E34077"/>
    <w:rPr>
      <w:rFonts w:cs="Angsana New"/>
      <w:b/>
      <w:caps/>
      <w:sz w:val="22"/>
      <w:szCs w:val="24"/>
      <w:lang w:val="en-GB" w:eastAsia="en-US" w:bidi="ar-SA"/>
    </w:rPr>
  </w:style>
  <w:style w:type="numbering" w:styleId="111111">
    <w:name w:val="Outline List 2"/>
    <w:basedOn w:val="NoList"/>
    <w:rsid w:val="00E34077"/>
    <w:pPr>
      <w:numPr>
        <w:numId w:val="11"/>
      </w:numPr>
    </w:pPr>
  </w:style>
  <w:style w:type="numbering" w:customStyle="1" w:styleId="Style2">
    <w:name w:val="Style2"/>
    <w:rsid w:val="00E34077"/>
    <w:pPr>
      <w:numPr>
        <w:numId w:val="12"/>
      </w:numPr>
    </w:pPr>
  </w:style>
  <w:style w:type="character" w:customStyle="1" w:styleId="Heading1longmultilineChar">
    <w:name w:val="Heading 1 (long multiline) Char"/>
    <w:link w:val="Heading1longmultiline"/>
    <w:rsid w:val="00E34077"/>
    <w:rPr>
      <w:rFonts w:cs="Angsana New"/>
      <w:b/>
      <w:caps/>
      <w:sz w:val="22"/>
      <w:szCs w:val="24"/>
      <w:lang w:val="en-GB" w:eastAsia="en-US" w:bidi="ar-SA"/>
    </w:rPr>
  </w:style>
  <w:style w:type="paragraph" w:customStyle="1" w:styleId="ColorfulList-Accent11">
    <w:name w:val="Colorful List - Accent 11"/>
    <w:basedOn w:val="Normal"/>
    <w:uiPriority w:val="34"/>
    <w:qFormat/>
    <w:rsid w:val="00E34077"/>
    <w:pPr>
      <w:ind w:left="720"/>
    </w:pPr>
  </w:style>
  <w:style w:type="paragraph" w:customStyle="1" w:styleId="Default">
    <w:name w:val="Default"/>
    <w:basedOn w:val="Normal"/>
    <w:rsid w:val="00E34077"/>
    <w:pPr>
      <w:autoSpaceDE w:val="0"/>
      <w:autoSpaceDN w:val="0"/>
      <w:jc w:val="left"/>
    </w:pPr>
    <w:rPr>
      <w:rFonts w:eastAsia="Calibri" w:cs="Times New Roman"/>
      <w:color w:val="000000"/>
      <w:sz w:val="24"/>
      <w:lang w:val="en-US"/>
    </w:rPr>
  </w:style>
  <w:style w:type="character" w:customStyle="1" w:styleId="apple-style-span">
    <w:name w:val="apple-style-span"/>
    <w:rsid w:val="00E34077"/>
  </w:style>
  <w:style w:type="character" w:customStyle="1" w:styleId="HeaderChar">
    <w:name w:val="Header Char"/>
    <w:link w:val="Header"/>
    <w:rsid w:val="00E34077"/>
    <w:rPr>
      <w:rFonts w:cs="Angsana New"/>
      <w:sz w:val="22"/>
      <w:szCs w:val="24"/>
      <w:lang w:val="en-GB" w:eastAsia="en-US"/>
    </w:rPr>
  </w:style>
  <w:style w:type="character" w:customStyle="1" w:styleId="PlainTextChar">
    <w:name w:val="Plain Text Char"/>
    <w:link w:val="PlainText"/>
    <w:uiPriority w:val="99"/>
    <w:rsid w:val="00E34077"/>
    <w:rPr>
      <w:rFonts w:ascii="Courier New" w:hAnsi="Courier New" w:cs="Courier New"/>
      <w:szCs w:val="24"/>
      <w:lang w:eastAsia="en-US"/>
    </w:rPr>
  </w:style>
  <w:style w:type="character" w:customStyle="1" w:styleId="FooterChar">
    <w:name w:val="Footer Char"/>
    <w:link w:val="Footer"/>
    <w:rsid w:val="00E34077"/>
    <w:rPr>
      <w:rFonts w:cs="Angsana New"/>
      <w:sz w:val="22"/>
      <w:szCs w:val="24"/>
      <w:lang w:eastAsia="en-US"/>
    </w:rPr>
  </w:style>
  <w:style w:type="paragraph" w:customStyle="1" w:styleId="SubtleEmphasis1">
    <w:name w:val="Subtle Emphasis1"/>
    <w:basedOn w:val="Normal"/>
    <w:uiPriority w:val="34"/>
    <w:qFormat/>
    <w:rsid w:val="00E34077"/>
    <w:pPr>
      <w:ind w:left="720"/>
    </w:pPr>
  </w:style>
  <w:style w:type="paragraph" w:customStyle="1" w:styleId="StyleHeading3TimesNewRomanBoldBoldNotItalicAllcaps">
    <w:name w:val="Style Heading 3 + Times New Roman Bold Bold Not Italic All caps"/>
    <w:basedOn w:val="Heading3"/>
    <w:next w:val="Heading2"/>
    <w:rsid w:val="00E34077"/>
    <w:rPr>
      <w:rFonts w:ascii="Times New Roman Bold" w:hAnsi="Times New Roman Bold"/>
      <w:b/>
      <w:bCs/>
      <w:i w:val="0"/>
      <w:iCs w:val="0"/>
      <w:caps/>
    </w:rPr>
  </w:style>
  <w:style w:type="paragraph" w:customStyle="1" w:styleId="DarkList-Accent61">
    <w:name w:val="Dark List - Accent 61"/>
    <w:uiPriority w:val="1"/>
    <w:qFormat/>
    <w:rsid w:val="00E34077"/>
    <w:rPr>
      <w:rFonts w:ascii="Calibri" w:hAnsi="Calibri"/>
      <w:sz w:val="22"/>
      <w:szCs w:val="22"/>
    </w:rPr>
  </w:style>
  <w:style w:type="paragraph" w:customStyle="1" w:styleId="Paraa">
    <w:name w:val="Para (a)"/>
    <w:basedOn w:val="Normal"/>
    <w:rsid w:val="00E340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077"/>
    <w:rPr>
      <w:rFonts w:cs="Angsana New"/>
      <w:sz w:val="18"/>
      <w:szCs w:val="24"/>
      <w:lang w:val="en-GB"/>
    </w:rPr>
  </w:style>
  <w:style w:type="character" w:customStyle="1" w:styleId="StyleFootnoteReferenceNounderlineSuperscriptKernat10pt">
    <w:name w:val="Style Footnote Reference + No underline Superscript Kern at 10 pt"/>
    <w:rsid w:val="00E34077"/>
    <w:rPr>
      <w:kern w:val="20"/>
      <w:sz w:val="22"/>
      <w:u w:val="none"/>
      <w:vertAlign w:val="superscript"/>
    </w:rPr>
  </w:style>
  <w:style w:type="character" w:customStyle="1" w:styleId="s13">
    <w:name w:val="s13"/>
    <w:rsid w:val="00E34077"/>
  </w:style>
  <w:style w:type="paragraph" w:customStyle="1" w:styleId="ColorfulGrid-Accent61">
    <w:name w:val="Colorful Grid - Accent 61"/>
    <w:hidden/>
    <w:uiPriority w:val="99"/>
    <w:semiHidden/>
    <w:rsid w:val="00E34077"/>
    <w:rPr>
      <w:rFonts w:cs="Angsana New"/>
      <w:sz w:val="22"/>
      <w:szCs w:val="24"/>
      <w:lang w:val="en-GB"/>
    </w:rPr>
  </w:style>
  <w:style w:type="paragraph" w:customStyle="1" w:styleId="ColorfulGrid-Accent62">
    <w:name w:val="Colorful Grid - Accent 62"/>
    <w:hidden/>
    <w:uiPriority w:val="99"/>
    <w:semiHidden/>
    <w:rsid w:val="00E34077"/>
    <w:rPr>
      <w:rFonts w:cs="Angsana New"/>
      <w:sz w:val="22"/>
      <w:szCs w:val="24"/>
      <w:lang w:val="en-GB"/>
    </w:rPr>
  </w:style>
  <w:style w:type="paragraph" w:customStyle="1" w:styleId="SubtleEmphasis2">
    <w:name w:val="Subtle Emphasis2"/>
    <w:basedOn w:val="Normal"/>
    <w:uiPriority w:val="34"/>
    <w:qFormat/>
    <w:rsid w:val="00E34077"/>
    <w:pPr>
      <w:ind w:left="720"/>
    </w:pPr>
  </w:style>
  <w:style w:type="paragraph" w:customStyle="1" w:styleId="LightGrid-Accent31">
    <w:name w:val="Light Grid - Accent 31"/>
    <w:basedOn w:val="Normal"/>
    <w:uiPriority w:val="34"/>
    <w:qFormat/>
    <w:rsid w:val="00E34077"/>
    <w:pPr>
      <w:ind w:left="720"/>
    </w:pPr>
  </w:style>
  <w:style w:type="paragraph" w:styleId="Revision">
    <w:name w:val="Revision"/>
    <w:hidden/>
    <w:uiPriority w:val="99"/>
    <w:semiHidden/>
    <w:rsid w:val="00E34077"/>
    <w:rPr>
      <w:rFonts w:cs="Angsana New"/>
      <w:sz w:val="22"/>
      <w:szCs w:val="24"/>
      <w:lang w:val="en-GB"/>
    </w:rPr>
  </w:style>
  <w:style w:type="paragraph" w:customStyle="1" w:styleId="meetingname">
    <w:name w:val="meeting name"/>
    <w:basedOn w:val="Normal"/>
    <w:qFormat/>
    <w:rsid w:val="00E34077"/>
    <w:pPr>
      <w:ind w:left="170" w:right="3119" w:hanging="170"/>
      <w:jc w:val="left"/>
    </w:pPr>
    <w:rPr>
      <w:rFonts w:eastAsia="Malgun Gothic" w:cs="Times New Roman"/>
      <w:caps/>
      <w:snapToGrid w:val="0"/>
    </w:rPr>
  </w:style>
  <w:style w:type="paragraph" w:styleId="TOC9">
    <w:name w:val="toc 9"/>
    <w:basedOn w:val="Normal"/>
    <w:next w:val="Normal"/>
    <w:autoRedefine/>
    <w:rsid w:val="00E34077"/>
    <w:pPr>
      <w:tabs>
        <w:tab w:val="num" w:pos="1440"/>
      </w:tabs>
      <w:spacing w:before="120" w:after="120"/>
      <w:ind w:left="1440" w:hanging="360"/>
      <w:jc w:val="left"/>
    </w:pPr>
    <w:rPr>
      <w:rFonts w:eastAsia="Times New Roman" w:cs="Times New Roman"/>
    </w:rPr>
  </w:style>
  <w:style w:type="paragraph" w:styleId="ListParagraph">
    <w:name w:val="List Paragraph"/>
    <w:basedOn w:val="Normal"/>
    <w:uiPriority w:val="34"/>
    <w:qFormat/>
    <w:rsid w:val="00E34077"/>
    <w:pPr>
      <w:ind w:left="720"/>
    </w:pPr>
  </w:style>
  <w:style w:type="character" w:customStyle="1" w:styleId="CommentTextChar">
    <w:name w:val="Comment Text Char"/>
    <w:link w:val="CommentText"/>
    <w:uiPriority w:val="99"/>
    <w:semiHidden/>
    <w:rsid w:val="00E34077"/>
    <w:rPr>
      <w:rFonts w:cs="Angsana New"/>
      <w:szCs w:val="24"/>
      <w:lang w:val="en-GB"/>
    </w:rPr>
  </w:style>
  <w:style w:type="table" w:styleId="TableGrid">
    <w:name w:val="Table Grid"/>
    <w:basedOn w:val="TableNormal"/>
    <w:uiPriority w:val="39"/>
    <w:qFormat/>
    <w:rsid w:val="00E34077"/>
    <w:rPr>
      <w:rFonts w:ascii="Cambria"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uiPriority w:val="99"/>
    <w:unhideWhenUsed/>
    <w:rsid w:val="00E34077"/>
    <w:rPr>
      <w:i/>
      <w:iCs/>
    </w:rPr>
  </w:style>
  <w:style w:type="character" w:customStyle="1" w:styleId="apple-converted-space">
    <w:name w:val="apple-converted-space"/>
    <w:rsid w:val="00E34077"/>
  </w:style>
  <w:style w:type="character" w:customStyle="1" w:styleId="st">
    <w:name w:val="st"/>
    <w:rsid w:val="00E34077"/>
  </w:style>
  <w:style w:type="character" w:customStyle="1" w:styleId="Para1Char1">
    <w:name w:val="Para1 Char1"/>
    <w:link w:val="Para1"/>
    <w:rsid w:val="00C4525B"/>
    <w:rPr>
      <w:rFonts w:cs="Angsana New"/>
      <w:snapToGrid w:val="0"/>
      <w:sz w:val="22"/>
      <w:szCs w:val="18"/>
      <w:lang w:val="en-GB"/>
    </w:rPr>
  </w:style>
  <w:style w:type="character" w:styleId="PlaceholderText">
    <w:name w:val="Placeholder Text"/>
    <w:uiPriority w:val="99"/>
    <w:semiHidden/>
    <w:rsid w:val="0084107C"/>
    <w:rPr>
      <w:color w:val="808080"/>
    </w:rPr>
  </w:style>
  <w:style w:type="table" w:customStyle="1" w:styleId="TableGrid1">
    <w:name w:val="Table Grid1"/>
    <w:basedOn w:val="TableNormal"/>
    <w:next w:val="TableGrid"/>
    <w:uiPriority w:val="59"/>
    <w:rsid w:val="0084107C"/>
    <w:rPr>
      <w:rFonts w:ascii="Calibri" w:eastAsia="SimSun"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EA1677"/>
    <w:rPr>
      <w:color w:val="808080"/>
      <w:shd w:val="clear" w:color="auto" w:fill="E6E6E6"/>
    </w:rPr>
  </w:style>
  <w:style w:type="character" w:customStyle="1" w:styleId="UnresolvedMention2">
    <w:name w:val="Unresolved Mention2"/>
    <w:uiPriority w:val="99"/>
    <w:semiHidden/>
    <w:unhideWhenUsed/>
    <w:rsid w:val="008B0347"/>
    <w:rPr>
      <w:color w:val="808080"/>
      <w:shd w:val="clear" w:color="auto" w:fill="E6E6E6"/>
    </w:rPr>
  </w:style>
  <w:style w:type="character" w:customStyle="1" w:styleId="UnresolvedMention3">
    <w:name w:val="Unresolved Mention3"/>
    <w:basedOn w:val="DefaultParagraphFont"/>
    <w:uiPriority w:val="99"/>
    <w:semiHidden/>
    <w:unhideWhenUsed/>
    <w:rsid w:val="00076A32"/>
    <w:rPr>
      <w:color w:val="808080"/>
      <w:shd w:val="clear" w:color="auto" w:fill="E6E6E6"/>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B3A9D"/>
    <w:pPr>
      <w:spacing w:after="160" w:line="240" w:lineRule="exact"/>
      <w:jc w:val="left"/>
    </w:pPr>
    <w:rPr>
      <w:rFonts w:cs="Times New Roman"/>
      <w:sz w:val="18"/>
      <w:szCs w:val="20"/>
      <w:u w:val="single"/>
      <w:lang w:val="en-US"/>
    </w:rPr>
  </w:style>
  <w:style w:type="character" w:customStyle="1" w:styleId="UnresolvedMention4">
    <w:name w:val="Unresolved Mention4"/>
    <w:basedOn w:val="DefaultParagraphFont"/>
    <w:uiPriority w:val="99"/>
    <w:semiHidden/>
    <w:unhideWhenUsed/>
    <w:rsid w:val="00952678"/>
    <w:rPr>
      <w:color w:val="605E5C"/>
      <w:shd w:val="clear" w:color="auto" w:fill="E1DFDD"/>
    </w:rPr>
  </w:style>
  <w:style w:type="paragraph" w:customStyle="1" w:styleId="paragraph">
    <w:name w:val="paragraph"/>
    <w:basedOn w:val="Normal"/>
    <w:rsid w:val="00E75F13"/>
    <w:pPr>
      <w:spacing w:before="100" w:beforeAutospacing="1" w:after="100" w:afterAutospacing="1"/>
      <w:jc w:val="left"/>
    </w:pPr>
    <w:rPr>
      <w:rFonts w:eastAsia="Times New Roman" w:cs="Times New Roman"/>
      <w:sz w:val="24"/>
      <w:lang w:val="en-US" w:eastAsia="zh-CN"/>
    </w:rPr>
  </w:style>
  <w:style w:type="character" w:customStyle="1" w:styleId="normaltextrun">
    <w:name w:val="normaltextrun"/>
    <w:basedOn w:val="DefaultParagraphFont"/>
    <w:rsid w:val="00E75F13"/>
  </w:style>
  <w:style w:type="character" w:customStyle="1" w:styleId="eop">
    <w:name w:val="eop"/>
    <w:basedOn w:val="DefaultParagraphFont"/>
    <w:rsid w:val="00E75F13"/>
  </w:style>
  <w:style w:type="character" w:customStyle="1" w:styleId="preferred">
    <w:name w:val="preferred"/>
    <w:basedOn w:val="DefaultParagraphFont"/>
    <w:rsid w:val="00E71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1918122">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26431583">
      <w:bodyDiv w:val="1"/>
      <w:marLeft w:val="0"/>
      <w:marRight w:val="0"/>
      <w:marTop w:val="0"/>
      <w:marBottom w:val="0"/>
      <w:divBdr>
        <w:top w:val="none" w:sz="0" w:space="0" w:color="auto"/>
        <w:left w:val="none" w:sz="0" w:space="0" w:color="auto"/>
        <w:bottom w:val="none" w:sz="0" w:space="0" w:color="auto"/>
        <w:right w:val="none" w:sz="0" w:space="0" w:color="auto"/>
      </w:divBdr>
      <w:divsChild>
        <w:div w:id="1313480743">
          <w:marLeft w:val="0"/>
          <w:marRight w:val="0"/>
          <w:marTop w:val="0"/>
          <w:marBottom w:val="0"/>
          <w:divBdr>
            <w:top w:val="none" w:sz="0" w:space="0" w:color="auto"/>
            <w:left w:val="none" w:sz="0" w:space="0" w:color="auto"/>
            <w:bottom w:val="none" w:sz="0" w:space="0" w:color="auto"/>
            <w:right w:val="none" w:sz="0" w:space="0" w:color="auto"/>
          </w:divBdr>
          <w:divsChild>
            <w:div w:id="276059701">
              <w:marLeft w:val="0"/>
              <w:marRight w:val="0"/>
              <w:marTop w:val="0"/>
              <w:marBottom w:val="0"/>
              <w:divBdr>
                <w:top w:val="none" w:sz="0" w:space="0" w:color="auto"/>
                <w:left w:val="none" w:sz="0" w:space="0" w:color="auto"/>
                <w:bottom w:val="none" w:sz="0" w:space="0" w:color="auto"/>
                <w:right w:val="none" w:sz="0" w:space="0" w:color="auto"/>
              </w:divBdr>
              <w:divsChild>
                <w:div w:id="1246495077">
                  <w:marLeft w:val="0"/>
                  <w:marRight w:val="300"/>
                  <w:marTop w:val="0"/>
                  <w:marBottom w:val="0"/>
                  <w:divBdr>
                    <w:top w:val="none" w:sz="0" w:space="0" w:color="auto"/>
                    <w:left w:val="none" w:sz="0" w:space="0" w:color="auto"/>
                    <w:bottom w:val="none" w:sz="0" w:space="0" w:color="auto"/>
                    <w:right w:val="none" w:sz="0" w:space="0" w:color="auto"/>
                  </w:divBdr>
                  <w:divsChild>
                    <w:div w:id="110783501">
                      <w:marLeft w:val="0"/>
                      <w:marRight w:val="0"/>
                      <w:marTop w:val="0"/>
                      <w:marBottom w:val="0"/>
                      <w:divBdr>
                        <w:top w:val="none" w:sz="0" w:space="0" w:color="auto"/>
                        <w:left w:val="none" w:sz="0" w:space="0" w:color="auto"/>
                        <w:bottom w:val="none" w:sz="0" w:space="0" w:color="auto"/>
                        <w:right w:val="none" w:sz="0" w:space="0" w:color="auto"/>
                      </w:divBdr>
                      <w:divsChild>
                        <w:div w:id="221454745">
                          <w:marLeft w:val="0"/>
                          <w:marRight w:val="0"/>
                          <w:marTop w:val="0"/>
                          <w:marBottom w:val="0"/>
                          <w:divBdr>
                            <w:top w:val="none" w:sz="0" w:space="0" w:color="auto"/>
                            <w:left w:val="none" w:sz="0" w:space="0" w:color="auto"/>
                            <w:bottom w:val="none" w:sz="0" w:space="0" w:color="auto"/>
                            <w:right w:val="none" w:sz="0" w:space="0" w:color="auto"/>
                          </w:divBdr>
                          <w:divsChild>
                            <w:div w:id="2112582171">
                              <w:marLeft w:val="0"/>
                              <w:marRight w:val="0"/>
                              <w:marTop w:val="0"/>
                              <w:marBottom w:val="0"/>
                              <w:divBdr>
                                <w:top w:val="none" w:sz="0" w:space="0" w:color="auto"/>
                                <w:left w:val="none" w:sz="0" w:space="0" w:color="auto"/>
                                <w:bottom w:val="none" w:sz="0" w:space="0" w:color="auto"/>
                                <w:right w:val="none" w:sz="0" w:space="0" w:color="auto"/>
                              </w:divBdr>
                              <w:divsChild>
                                <w:div w:id="1082291725">
                                  <w:marLeft w:val="0"/>
                                  <w:marRight w:val="0"/>
                                  <w:marTop w:val="0"/>
                                  <w:marBottom w:val="0"/>
                                  <w:divBdr>
                                    <w:top w:val="none" w:sz="0" w:space="0" w:color="auto"/>
                                    <w:left w:val="none" w:sz="0" w:space="0" w:color="auto"/>
                                    <w:bottom w:val="none" w:sz="0" w:space="0" w:color="auto"/>
                                    <w:right w:val="none" w:sz="0" w:space="0" w:color="auto"/>
                                  </w:divBdr>
                                  <w:divsChild>
                                    <w:div w:id="372581071">
                                      <w:marLeft w:val="0"/>
                                      <w:marRight w:val="0"/>
                                      <w:marTop w:val="0"/>
                                      <w:marBottom w:val="0"/>
                                      <w:divBdr>
                                        <w:top w:val="none" w:sz="0" w:space="0" w:color="auto"/>
                                        <w:left w:val="none" w:sz="0" w:space="0" w:color="auto"/>
                                        <w:bottom w:val="none" w:sz="0" w:space="0" w:color="auto"/>
                                        <w:right w:val="none" w:sz="0" w:space="0" w:color="auto"/>
                                      </w:divBdr>
                                    </w:div>
                                    <w:div w:id="462119864">
                                      <w:marLeft w:val="0"/>
                                      <w:marRight w:val="0"/>
                                      <w:marTop w:val="0"/>
                                      <w:marBottom w:val="0"/>
                                      <w:divBdr>
                                        <w:top w:val="none" w:sz="0" w:space="0" w:color="auto"/>
                                        <w:left w:val="none" w:sz="0" w:space="0" w:color="auto"/>
                                        <w:bottom w:val="none" w:sz="0" w:space="0" w:color="auto"/>
                                        <w:right w:val="none" w:sz="0" w:space="0" w:color="auto"/>
                                      </w:divBdr>
                                    </w:div>
                                    <w:div w:id="937447470">
                                      <w:marLeft w:val="0"/>
                                      <w:marRight w:val="0"/>
                                      <w:marTop w:val="0"/>
                                      <w:marBottom w:val="0"/>
                                      <w:divBdr>
                                        <w:top w:val="none" w:sz="0" w:space="0" w:color="auto"/>
                                        <w:left w:val="none" w:sz="0" w:space="0" w:color="auto"/>
                                        <w:bottom w:val="none" w:sz="0" w:space="0" w:color="auto"/>
                                        <w:right w:val="none" w:sz="0" w:space="0" w:color="auto"/>
                                      </w:divBdr>
                                    </w:div>
                                    <w:div w:id="164438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26979194">
      <w:bodyDiv w:val="1"/>
      <w:marLeft w:val="0"/>
      <w:marRight w:val="0"/>
      <w:marTop w:val="0"/>
      <w:marBottom w:val="0"/>
      <w:divBdr>
        <w:top w:val="none" w:sz="0" w:space="0" w:color="auto"/>
        <w:left w:val="none" w:sz="0" w:space="0" w:color="auto"/>
        <w:bottom w:val="none" w:sz="0" w:space="0" w:color="auto"/>
        <w:right w:val="none" w:sz="0" w:space="0" w:color="auto"/>
      </w:divBdr>
    </w:div>
    <w:div w:id="387651687">
      <w:bodyDiv w:val="1"/>
      <w:marLeft w:val="0"/>
      <w:marRight w:val="0"/>
      <w:marTop w:val="0"/>
      <w:marBottom w:val="0"/>
      <w:divBdr>
        <w:top w:val="none" w:sz="0" w:space="0" w:color="auto"/>
        <w:left w:val="none" w:sz="0" w:space="0" w:color="auto"/>
        <w:bottom w:val="none" w:sz="0" w:space="0" w:color="auto"/>
        <w:right w:val="none" w:sz="0" w:space="0" w:color="auto"/>
      </w:divBdr>
    </w:div>
    <w:div w:id="800461592">
      <w:bodyDiv w:val="1"/>
      <w:marLeft w:val="0"/>
      <w:marRight w:val="0"/>
      <w:marTop w:val="0"/>
      <w:marBottom w:val="0"/>
      <w:divBdr>
        <w:top w:val="none" w:sz="0" w:space="0" w:color="auto"/>
        <w:left w:val="none" w:sz="0" w:space="0" w:color="auto"/>
        <w:bottom w:val="none" w:sz="0" w:space="0" w:color="auto"/>
        <w:right w:val="none" w:sz="0" w:space="0" w:color="auto"/>
      </w:divBdr>
      <w:divsChild>
        <w:div w:id="196817021">
          <w:marLeft w:val="0"/>
          <w:marRight w:val="0"/>
          <w:marTop w:val="0"/>
          <w:marBottom w:val="0"/>
          <w:divBdr>
            <w:top w:val="none" w:sz="0" w:space="0" w:color="auto"/>
            <w:left w:val="none" w:sz="0" w:space="0" w:color="auto"/>
            <w:bottom w:val="none" w:sz="0" w:space="0" w:color="auto"/>
            <w:right w:val="none" w:sz="0" w:space="0" w:color="auto"/>
          </w:divBdr>
          <w:divsChild>
            <w:div w:id="1825391173">
              <w:marLeft w:val="0"/>
              <w:marRight w:val="0"/>
              <w:marTop w:val="0"/>
              <w:marBottom w:val="0"/>
              <w:divBdr>
                <w:top w:val="none" w:sz="0" w:space="0" w:color="auto"/>
                <w:left w:val="none" w:sz="0" w:space="0" w:color="auto"/>
                <w:bottom w:val="none" w:sz="0" w:space="0" w:color="auto"/>
                <w:right w:val="none" w:sz="0" w:space="0" w:color="auto"/>
              </w:divBdr>
            </w:div>
            <w:div w:id="1949003233">
              <w:marLeft w:val="0"/>
              <w:marRight w:val="0"/>
              <w:marTop w:val="0"/>
              <w:marBottom w:val="0"/>
              <w:divBdr>
                <w:top w:val="none" w:sz="0" w:space="0" w:color="auto"/>
                <w:left w:val="none" w:sz="0" w:space="0" w:color="auto"/>
                <w:bottom w:val="none" w:sz="0" w:space="0" w:color="auto"/>
                <w:right w:val="none" w:sz="0" w:space="0" w:color="auto"/>
              </w:divBdr>
            </w:div>
          </w:divsChild>
        </w:div>
        <w:div w:id="1006590431">
          <w:marLeft w:val="0"/>
          <w:marRight w:val="0"/>
          <w:marTop w:val="0"/>
          <w:marBottom w:val="0"/>
          <w:divBdr>
            <w:top w:val="none" w:sz="0" w:space="0" w:color="auto"/>
            <w:left w:val="none" w:sz="0" w:space="0" w:color="auto"/>
            <w:bottom w:val="none" w:sz="0" w:space="0" w:color="auto"/>
            <w:right w:val="none" w:sz="0" w:space="0" w:color="auto"/>
          </w:divBdr>
        </w:div>
        <w:div w:id="1312949714">
          <w:marLeft w:val="0"/>
          <w:marRight w:val="0"/>
          <w:marTop w:val="0"/>
          <w:marBottom w:val="0"/>
          <w:divBdr>
            <w:top w:val="none" w:sz="0" w:space="0" w:color="auto"/>
            <w:left w:val="none" w:sz="0" w:space="0" w:color="auto"/>
            <w:bottom w:val="none" w:sz="0" w:space="0" w:color="auto"/>
            <w:right w:val="none" w:sz="0" w:space="0" w:color="auto"/>
          </w:divBdr>
        </w:div>
        <w:div w:id="1363021463">
          <w:marLeft w:val="0"/>
          <w:marRight w:val="0"/>
          <w:marTop w:val="0"/>
          <w:marBottom w:val="0"/>
          <w:divBdr>
            <w:top w:val="none" w:sz="0" w:space="0" w:color="auto"/>
            <w:left w:val="none" w:sz="0" w:space="0" w:color="auto"/>
            <w:bottom w:val="none" w:sz="0" w:space="0" w:color="auto"/>
            <w:right w:val="none" w:sz="0" w:space="0" w:color="auto"/>
          </w:divBdr>
        </w:div>
        <w:div w:id="1902015308">
          <w:marLeft w:val="0"/>
          <w:marRight w:val="0"/>
          <w:marTop w:val="0"/>
          <w:marBottom w:val="0"/>
          <w:divBdr>
            <w:top w:val="none" w:sz="0" w:space="0" w:color="auto"/>
            <w:left w:val="none" w:sz="0" w:space="0" w:color="auto"/>
            <w:bottom w:val="none" w:sz="0" w:space="0" w:color="auto"/>
            <w:right w:val="none" w:sz="0" w:space="0" w:color="auto"/>
          </w:divBdr>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943533640">
      <w:bodyDiv w:val="1"/>
      <w:marLeft w:val="0"/>
      <w:marRight w:val="0"/>
      <w:marTop w:val="0"/>
      <w:marBottom w:val="0"/>
      <w:divBdr>
        <w:top w:val="none" w:sz="0" w:space="0" w:color="auto"/>
        <w:left w:val="none" w:sz="0" w:space="0" w:color="auto"/>
        <w:bottom w:val="none" w:sz="0" w:space="0" w:color="auto"/>
        <w:right w:val="none" w:sz="0" w:space="0" w:color="auto"/>
      </w:divBdr>
      <w:divsChild>
        <w:div w:id="64888195">
          <w:marLeft w:val="0"/>
          <w:marRight w:val="0"/>
          <w:marTop w:val="0"/>
          <w:marBottom w:val="0"/>
          <w:divBdr>
            <w:top w:val="none" w:sz="0" w:space="0" w:color="auto"/>
            <w:left w:val="none" w:sz="0" w:space="0" w:color="auto"/>
            <w:bottom w:val="none" w:sz="0" w:space="0" w:color="auto"/>
            <w:right w:val="none" w:sz="0" w:space="0" w:color="auto"/>
          </w:divBdr>
          <w:divsChild>
            <w:div w:id="2127695923">
              <w:marLeft w:val="0"/>
              <w:marRight w:val="0"/>
              <w:marTop w:val="0"/>
              <w:marBottom w:val="0"/>
              <w:divBdr>
                <w:top w:val="none" w:sz="0" w:space="0" w:color="auto"/>
                <w:left w:val="none" w:sz="0" w:space="0" w:color="auto"/>
                <w:bottom w:val="none" w:sz="0" w:space="0" w:color="auto"/>
                <w:right w:val="none" w:sz="0" w:space="0" w:color="auto"/>
              </w:divBdr>
              <w:divsChild>
                <w:div w:id="1073308312">
                  <w:marLeft w:val="0"/>
                  <w:marRight w:val="300"/>
                  <w:marTop w:val="0"/>
                  <w:marBottom w:val="0"/>
                  <w:divBdr>
                    <w:top w:val="none" w:sz="0" w:space="0" w:color="auto"/>
                    <w:left w:val="none" w:sz="0" w:space="0" w:color="auto"/>
                    <w:bottom w:val="none" w:sz="0" w:space="0" w:color="auto"/>
                    <w:right w:val="none" w:sz="0" w:space="0" w:color="auto"/>
                  </w:divBdr>
                  <w:divsChild>
                    <w:div w:id="320500646">
                      <w:marLeft w:val="0"/>
                      <w:marRight w:val="0"/>
                      <w:marTop w:val="0"/>
                      <w:marBottom w:val="0"/>
                      <w:divBdr>
                        <w:top w:val="none" w:sz="0" w:space="0" w:color="auto"/>
                        <w:left w:val="none" w:sz="0" w:space="0" w:color="auto"/>
                        <w:bottom w:val="none" w:sz="0" w:space="0" w:color="auto"/>
                        <w:right w:val="none" w:sz="0" w:space="0" w:color="auto"/>
                      </w:divBdr>
                      <w:divsChild>
                        <w:div w:id="1805270024">
                          <w:marLeft w:val="0"/>
                          <w:marRight w:val="0"/>
                          <w:marTop w:val="0"/>
                          <w:marBottom w:val="0"/>
                          <w:divBdr>
                            <w:top w:val="none" w:sz="0" w:space="0" w:color="auto"/>
                            <w:left w:val="none" w:sz="0" w:space="0" w:color="auto"/>
                            <w:bottom w:val="none" w:sz="0" w:space="0" w:color="auto"/>
                            <w:right w:val="none" w:sz="0" w:space="0" w:color="auto"/>
                          </w:divBdr>
                          <w:divsChild>
                            <w:div w:id="548807772">
                              <w:marLeft w:val="0"/>
                              <w:marRight w:val="0"/>
                              <w:marTop w:val="0"/>
                              <w:marBottom w:val="0"/>
                              <w:divBdr>
                                <w:top w:val="none" w:sz="0" w:space="0" w:color="auto"/>
                                <w:left w:val="none" w:sz="0" w:space="0" w:color="auto"/>
                                <w:bottom w:val="none" w:sz="0" w:space="0" w:color="auto"/>
                                <w:right w:val="none" w:sz="0" w:space="0" w:color="auto"/>
                              </w:divBdr>
                              <w:divsChild>
                                <w:div w:id="773549218">
                                  <w:marLeft w:val="0"/>
                                  <w:marRight w:val="0"/>
                                  <w:marTop w:val="0"/>
                                  <w:marBottom w:val="0"/>
                                  <w:divBdr>
                                    <w:top w:val="none" w:sz="0" w:space="0" w:color="auto"/>
                                    <w:left w:val="none" w:sz="0" w:space="0" w:color="auto"/>
                                    <w:bottom w:val="none" w:sz="0" w:space="0" w:color="auto"/>
                                    <w:right w:val="none" w:sz="0" w:space="0" w:color="auto"/>
                                  </w:divBdr>
                                  <w:divsChild>
                                    <w:div w:id="1506045567">
                                      <w:marLeft w:val="0"/>
                                      <w:marRight w:val="0"/>
                                      <w:marTop w:val="0"/>
                                      <w:marBottom w:val="0"/>
                                      <w:divBdr>
                                        <w:top w:val="none" w:sz="0" w:space="0" w:color="auto"/>
                                        <w:left w:val="none" w:sz="0" w:space="0" w:color="auto"/>
                                        <w:bottom w:val="none" w:sz="0" w:space="0" w:color="auto"/>
                                        <w:right w:val="none" w:sz="0" w:space="0" w:color="auto"/>
                                      </w:divBdr>
                                      <w:divsChild>
                                        <w:div w:id="726731402">
                                          <w:marLeft w:val="0"/>
                                          <w:marRight w:val="0"/>
                                          <w:marTop w:val="0"/>
                                          <w:marBottom w:val="0"/>
                                          <w:divBdr>
                                            <w:top w:val="none" w:sz="0" w:space="0" w:color="auto"/>
                                            <w:left w:val="none" w:sz="0" w:space="0" w:color="auto"/>
                                            <w:bottom w:val="none" w:sz="0" w:space="0" w:color="auto"/>
                                            <w:right w:val="none" w:sz="0" w:space="0" w:color="auto"/>
                                          </w:divBdr>
                                          <w:divsChild>
                                            <w:div w:id="348289330">
                                              <w:marLeft w:val="0"/>
                                              <w:marRight w:val="0"/>
                                              <w:marTop w:val="105"/>
                                              <w:marBottom w:val="105"/>
                                              <w:divBdr>
                                                <w:top w:val="none" w:sz="0" w:space="0" w:color="auto"/>
                                                <w:left w:val="none" w:sz="0" w:space="0" w:color="auto"/>
                                                <w:bottom w:val="none" w:sz="0" w:space="0" w:color="auto"/>
                                                <w:right w:val="none" w:sz="0" w:space="0" w:color="auto"/>
                                              </w:divBdr>
                                              <w:divsChild>
                                                <w:div w:id="362943196">
                                                  <w:marLeft w:val="0"/>
                                                  <w:marRight w:val="0"/>
                                                  <w:marTop w:val="105"/>
                                                  <w:marBottom w:val="105"/>
                                                  <w:divBdr>
                                                    <w:top w:val="none" w:sz="0" w:space="0" w:color="auto"/>
                                                    <w:left w:val="none" w:sz="0" w:space="0" w:color="auto"/>
                                                    <w:bottom w:val="none" w:sz="0" w:space="0" w:color="auto"/>
                                                    <w:right w:val="none" w:sz="0" w:space="0" w:color="auto"/>
                                                  </w:divBdr>
                                                </w:div>
                                                <w:div w:id="530921151">
                                                  <w:marLeft w:val="0"/>
                                                  <w:marRight w:val="0"/>
                                                  <w:marTop w:val="105"/>
                                                  <w:marBottom w:val="105"/>
                                                  <w:divBdr>
                                                    <w:top w:val="none" w:sz="0" w:space="0" w:color="auto"/>
                                                    <w:left w:val="none" w:sz="0" w:space="0" w:color="auto"/>
                                                    <w:bottom w:val="none" w:sz="0" w:space="0" w:color="auto"/>
                                                    <w:right w:val="none" w:sz="0" w:space="0" w:color="auto"/>
                                                  </w:divBdr>
                                                </w:div>
                                                <w:div w:id="619531423">
                                                  <w:marLeft w:val="0"/>
                                                  <w:marRight w:val="0"/>
                                                  <w:marTop w:val="105"/>
                                                  <w:marBottom w:val="105"/>
                                                  <w:divBdr>
                                                    <w:top w:val="none" w:sz="0" w:space="0" w:color="auto"/>
                                                    <w:left w:val="none" w:sz="0" w:space="0" w:color="auto"/>
                                                    <w:bottom w:val="none" w:sz="0" w:space="0" w:color="auto"/>
                                                    <w:right w:val="none" w:sz="0" w:space="0" w:color="auto"/>
                                                  </w:divBdr>
                                                </w:div>
                                                <w:div w:id="1659649569">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19296143">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36222770">
      <w:bodyDiv w:val="1"/>
      <w:marLeft w:val="0"/>
      <w:marRight w:val="0"/>
      <w:marTop w:val="0"/>
      <w:marBottom w:val="0"/>
      <w:divBdr>
        <w:top w:val="none" w:sz="0" w:space="0" w:color="auto"/>
        <w:left w:val="none" w:sz="0" w:space="0" w:color="auto"/>
        <w:bottom w:val="none" w:sz="0" w:space="0" w:color="auto"/>
        <w:right w:val="none" w:sz="0" w:space="0" w:color="auto"/>
      </w:divBdr>
    </w:div>
    <w:div w:id="2038045420">
      <w:bodyDiv w:val="1"/>
      <w:marLeft w:val="0"/>
      <w:marRight w:val="0"/>
      <w:marTop w:val="0"/>
      <w:marBottom w:val="0"/>
      <w:divBdr>
        <w:top w:val="none" w:sz="0" w:space="0" w:color="auto"/>
        <w:left w:val="none" w:sz="0" w:space="0" w:color="auto"/>
        <w:bottom w:val="none" w:sz="0" w:space="0" w:color="auto"/>
        <w:right w:val="none" w:sz="0" w:space="0" w:color="auto"/>
      </w:divBdr>
    </w:div>
    <w:div w:id="2048605843">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context.reverso.net/traduction/francais-anglais/de+surveiller+et+faciliter+le+commerce+licite"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ginius.eu/" TargetMode="External"/><Relationship Id="rId2" Type="http://schemas.openxmlformats.org/officeDocument/2006/relationships/hyperlink" Target="https://bch.cbd.int/onlineconferences/portal_art23/actionagendaforum/" TargetMode="External"/><Relationship Id="rId1" Type="http://schemas.openxmlformats.org/officeDocument/2006/relationships/hyperlink" Target="https://bch.cbd.int/onlineconferences/portal_art23/resources.shtml" TargetMode="External"/><Relationship Id="rId5" Type="http://schemas.openxmlformats.org/officeDocument/2006/relationships/hyperlink" Target="https://youtu.be/eQu4hVv0DAI" TargetMode="External"/><Relationship Id="rId4" Type="http://schemas.openxmlformats.org/officeDocument/2006/relationships/hyperlink" Target="https://bmcbioinformatics.biomedcentral.com/articles/10.1186/s12859-020-03880-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4C1799CA70C4F1EBF04CB827C43DA87"/>
        <w:category>
          <w:name w:val="General"/>
          <w:gallery w:val="placeholder"/>
        </w:category>
        <w:types>
          <w:type w:val="bbPlcHdr"/>
        </w:types>
        <w:behaviors>
          <w:behavior w:val="content"/>
        </w:behaviors>
        <w:guid w:val="{63E19E13-B1DE-4DAA-A0BD-3C27935BE170}"/>
      </w:docPartPr>
      <w:docPartBody>
        <w:p w:rsidR="00154217" w:rsidRDefault="00CA4DCF" w:rsidP="00CA4DCF">
          <w:pPr>
            <w:pStyle w:val="54C1799CA70C4F1EBF04CB827C43DA87"/>
          </w:pPr>
          <w:r w:rsidRPr="007E02EB">
            <w:rPr>
              <w:rStyle w:val="PlaceholderText"/>
            </w:rPr>
            <w:t>[Subject]</w:t>
          </w:r>
        </w:p>
      </w:docPartBody>
    </w:docPart>
    <w:docPart>
      <w:docPartPr>
        <w:name w:val="0D552703BF534108BB0A551A63F794E1"/>
        <w:category>
          <w:name w:val="General"/>
          <w:gallery w:val="placeholder"/>
        </w:category>
        <w:types>
          <w:type w:val="bbPlcHdr"/>
        </w:types>
        <w:behaviors>
          <w:behavior w:val="content"/>
        </w:behaviors>
        <w:guid w:val="{BA6E4141-FCDD-4641-A66B-FE0BF62B2E6F}"/>
      </w:docPartPr>
      <w:docPartBody>
        <w:p w:rsidR="003A7961" w:rsidRDefault="003B0DA6" w:rsidP="003B0DA6">
          <w:pPr>
            <w:pStyle w:val="0D552703BF534108BB0A551A63F794E1"/>
          </w:pPr>
          <w:r w:rsidRPr="007E02EB">
            <w:rPr>
              <w:rStyle w:val="PlaceholderText"/>
            </w:rPr>
            <w:t>[Subject]</w:t>
          </w:r>
        </w:p>
      </w:docPartBody>
    </w:docPart>
    <w:docPart>
      <w:docPartPr>
        <w:name w:val="EB52E98FA9A54A059A825A69E9B442BA"/>
        <w:category>
          <w:name w:val="General"/>
          <w:gallery w:val="placeholder"/>
        </w:category>
        <w:types>
          <w:type w:val="bbPlcHdr"/>
        </w:types>
        <w:behaviors>
          <w:behavior w:val="content"/>
        </w:behaviors>
        <w:guid w:val="{099FCCB2-3AD8-4E99-A2B3-A5E83E891B79}"/>
      </w:docPartPr>
      <w:docPartBody>
        <w:p w:rsidR="003A7961" w:rsidRDefault="003B0DA6" w:rsidP="003B0DA6">
          <w:pPr>
            <w:pStyle w:val="EB52E98FA9A54A059A825A69E9B442BA"/>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A4DCF"/>
    <w:rsid w:val="0000071E"/>
    <w:rsid w:val="000146D0"/>
    <w:rsid w:val="00025DAC"/>
    <w:rsid w:val="00054009"/>
    <w:rsid w:val="00076B9B"/>
    <w:rsid w:val="000D5212"/>
    <w:rsid w:val="000F3725"/>
    <w:rsid w:val="00143800"/>
    <w:rsid w:val="001533BD"/>
    <w:rsid w:val="00154217"/>
    <w:rsid w:val="00163B55"/>
    <w:rsid w:val="001A32F9"/>
    <w:rsid w:val="001C4505"/>
    <w:rsid w:val="00264C04"/>
    <w:rsid w:val="00332D52"/>
    <w:rsid w:val="00336532"/>
    <w:rsid w:val="003761CE"/>
    <w:rsid w:val="003A7961"/>
    <w:rsid w:val="003B0DA6"/>
    <w:rsid w:val="00407D87"/>
    <w:rsid w:val="00430D62"/>
    <w:rsid w:val="004F58A1"/>
    <w:rsid w:val="00500438"/>
    <w:rsid w:val="00515E3C"/>
    <w:rsid w:val="0055467C"/>
    <w:rsid w:val="00580B16"/>
    <w:rsid w:val="005854C1"/>
    <w:rsid w:val="00586B1C"/>
    <w:rsid w:val="006C1DAF"/>
    <w:rsid w:val="007C5A5C"/>
    <w:rsid w:val="00814D85"/>
    <w:rsid w:val="00870CE7"/>
    <w:rsid w:val="008C1269"/>
    <w:rsid w:val="008C671B"/>
    <w:rsid w:val="00910685"/>
    <w:rsid w:val="00956761"/>
    <w:rsid w:val="009F5933"/>
    <w:rsid w:val="00A51E37"/>
    <w:rsid w:val="00AD32D5"/>
    <w:rsid w:val="00AF14D3"/>
    <w:rsid w:val="00B129CC"/>
    <w:rsid w:val="00B23D56"/>
    <w:rsid w:val="00B3751E"/>
    <w:rsid w:val="00BA3DF0"/>
    <w:rsid w:val="00BB0ED9"/>
    <w:rsid w:val="00BB2B07"/>
    <w:rsid w:val="00C16D5A"/>
    <w:rsid w:val="00C71D1F"/>
    <w:rsid w:val="00CA4DCF"/>
    <w:rsid w:val="00CB4410"/>
    <w:rsid w:val="00CF0497"/>
    <w:rsid w:val="00DE3089"/>
    <w:rsid w:val="00E4714C"/>
    <w:rsid w:val="00F6293D"/>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4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B0DA6"/>
    <w:rPr>
      <w:color w:val="808080"/>
    </w:rPr>
  </w:style>
  <w:style w:type="paragraph" w:customStyle="1" w:styleId="54C1799CA70C4F1EBF04CB827C43DA87">
    <w:name w:val="54C1799CA70C4F1EBF04CB827C43DA87"/>
    <w:rsid w:val="00CA4DCF"/>
  </w:style>
  <w:style w:type="paragraph" w:customStyle="1" w:styleId="0D552703BF534108BB0A551A63F794E1">
    <w:name w:val="0D552703BF534108BB0A551A63F794E1"/>
    <w:rsid w:val="003B0DA6"/>
    <w:pPr>
      <w:spacing w:after="160" w:line="259" w:lineRule="auto"/>
    </w:pPr>
  </w:style>
  <w:style w:type="paragraph" w:customStyle="1" w:styleId="EB52E98FA9A54A059A825A69E9B442BA">
    <w:name w:val="EB52E98FA9A54A059A825A69E9B442BA"/>
    <w:rsid w:val="003B0DA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David Cooper</DisplayName>
        <AccountId>99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B38156-AF88-4DA8-A3A7-FEDEDB6FEDB0}">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E9132C65-235A-4232-89B0-EF04BBCEAB7C}">
  <ds:schemaRefs>
    <ds:schemaRef ds:uri="http://schemas.microsoft.com/sharepoint/v3/contenttype/forms"/>
  </ds:schemaRefs>
</ds:datastoreItem>
</file>

<file path=customXml/itemProps4.xml><?xml version="1.0" encoding="utf-8"?>
<ds:datastoreItem xmlns:ds="http://schemas.openxmlformats.org/officeDocument/2006/customXml" ds:itemID="{BEC4140E-1262-4E3F-9E8B-5096AA3A2A40}">
  <ds:schemaRefs>
    <ds:schemaRef ds:uri="http://schemas.openxmlformats.org/officeDocument/2006/bibliography"/>
  </ds:schemaRefs>
</ds:datastoreItem>
</file>

<file path=customXml/itemProps5.xml><?xml version="1.0" encoding="utf-8"?>
<ds:datastoreItem xmlns:ds="http://schemas.openxmlformats.org/officeDocument/2006/customXml" ds:itemID="{49D4CDFA-F5C0-4B5F-B58F-B7BBBF88E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445</TotalTime>
  <Pages>6</Pages>
  <Words>2954</Words>
  <Characters>16841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Cooperation with other conventions, international organizations and initiatives</vt:lpstr>
    </vt:vector>
  </TitlesOfParts>
  <Company>SCBD</Company>
  <LinksUpToDate>false</LinksUpToDate>
  <CharactersWithSpaces>19756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international organizations and initiatives</dc:title>
  <dc:subject>CBD/CP/MOP/10/8</dc:subject>
  <dc:creator>SCBD</dc:creator>
  <cp:keywords>Conference of the Parties serving as the meeting of the Parties to the Cartagena Protocol on Biosafety, tenth meeting</cp:keywords>
  <cp:lastModifiedBy>Xue He Yan</cp:lastModifiedBy>
  <cp:revision>21</cp:revision>
  <cp:lastPrinted>2018-09-21T04:48:00Z</cp:lastPrinted>
  <dcterms:created xsi:type="dcterms:W3CDTF">2022-11-01T15:56:00Z</dcterms:created>
  <dcterms:modified xsi:type="dcterms:W3CDTF">2022-11-02T20:21:00Z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diaServiceImageTags">
    <vt:lpwstr/>
  </property>
</Properties>
</file>