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6"/>
        <w:gridCol w:w="5141"/>
        <w:gridCol w:w="4090"/>
      </w:tblGrid>
      <w:tr w:rsidR="00207A6E" w:rsidRPr="00385560" w:rsidTr="003D5B83">
        <w:trPr>
          <w:trHeight w:val="709"/>
        </w:trPr>
        <w:tc>
          <w:tcPr>
            <w:tcW w:w="976" w:type="dxa"/>
            <w:tcBorders>
              <w:bottom w:val="single" w:sz="12" w:space="0" w:color="auto"/>
            </w:tcBorders>
            <w:shd w:val="clear" w:color="auto" w:fill="auto"/>
          </w:tcPr>
          <w:p w:rsidR="00207A6E" w:rsidRPr="00385560" w:rsidRDefault="008605ED" w:rsidP="00385560">
            <w:pPr>
              <w:suppressLineNumbers/>
              <w:suppressAutoHyphens/>
              <w:kinsoku w:val="0"/>
              <w:overflowPunct w:val="0"/>
              <w:autoSpaceDE w:val="0"/>
              <w:autoSpaceDN w:val="0"/>
              <w:adjustRightInd w:val="0"/>
              <w:snapToGrid w:val="0"/>
              <w:rPr>
                <w:rFonts w:ascii="Cambria" w:eastAsia="MS Mincho" w:hAnsi="Cambria"/>
                <w:snapToGrid w:val="0"/>
                <w:kern w:val="22"/>
              </w:rPr>
            </w:pPr>
            <w:r w:rsidRPr="00385560">
              <w:rPr>
                <w:rFonts w:ascii="Cambria" w:eastAsia="MS Mincho" w:hAnsi="Cambria"/>
                <w:noProof/>
                <w:snapToGrid w:val="0"/>
                <w:kern w:val="22"/>
                <w:lang w:eastAsia="zh-CN"/>
              </w:rPr>
              <w:drawing>
                <wp:inline distT="0" distB="0" distL="0" distR="0" wp14:anchorId="475957E4" wp14:editId="498DA68F">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207A6E" w:rsidRPr="00385560" w:rsidRDefault="008605ED" w:rsidP="00385560">
            <w:pPr>
              <w:suppressLineNumbers/>
              <w:suppressAutoHyphens/>
              <w:kinsoku w:val="0"/>
              <w:overflowPunct w:val="0"/>
              <w:autoSpaceDE w:val="0"/>
              <w:autoSpaceDN w:val="0"/>
              <w:adjustRightInd w:val="0"/>
              <w:snapToGrid w:val="0"/>
              <w:rPr>
                <w:rFonts w:ascii="Cambria" w:eastAsia="MS Mincho" w:hAnsi="Cambria"/>
                <w:snapToGrid w:val="0"/>
                <w:kern w:val="22"/>
              </w:rPr>
            </w:pPr>
            <w:r w:rsidRPr="00385560">
              <w:rPr>
                <w:rFonts w:ascii="Cambria" w:eastAsia="MS Mincho" w:hAnsi="Cambria"/>
                <w:noProof/>
                <w:snapToGrid w:val="0"/>
                <w:kern w:val="22"/>
                <w:lang w:eastAsia="zh-CN"/>
              </w:rPr>
              <w:drawing>
                <wp:inline distT="0" distB="0" distL="0" distR="0" wp14:anchorId="380CC498" wp14:editId="5CDEDC40">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bottom w:val="single" w:sz="12" w:space="0" w:color="auto"/>
            </w:tcBorders>
            <w:shd w:val="clear" w:color="auto" w:fill="auto"/>
          </w:tcPr>
          <w:p w:rsidR="00207A6E" w:rsidRPr="00385560" w:rsidRDefault="00207A6E" w:rsidP="00385560">
            <w:pPr>
              <w:suppressLineNumbers/>
              <w:suppressAutoHyphens/>
              <w:kinsoku w:val="0"/>
              <w:overflowPunct w:val="0"/>
              <w:autoSpaceDE w:val="0"/>
              <w:autoSpaceDN w:val="0"/>
              <w:adjustRightInd w:val="0"/>
              <w:snapToGrid w:val="0"/>
              <w:jc w:val="right"/>
              <w:rPr>
                <w:rFonts w:ascii="Arial" w:eastAsia="MS Mincho" w:hAnsi="Arial" w:cs="Arial"/>
                <w:b/>
                <w:snapToGrid w:val="0"/>
                <w:kern w:val="22"/>
                <w:sz w:val="32"/>
                <w:szCs w:val="32"/>
              </w:rPr>
            </w:pPr>
            <w:r w:rsidRPr="00385560">
              <w:rPr>
                <w:rFonts w:ascii="Arial" w:eastAsia="MS Mincho" w:hAnsi="Arial" w:cs="Arial"/>
                <w:b/>
                <w:snapToGrid w:val="0"/>
                <w:kern w:val="22"/>
                <w:sz w:val="32"/>
                <w:szCs w:val="32"/>
              </w:rPr>
              <w:t>CBD</w:t>
            </w:r>
          </w:p>
        </w:tc>
      </w:tr>
    </w:tbl>
    <w:p w:rsidR="003D5B83" w:rsidRPr="00385560" w:rsidRDefault="003D5B83" w:rsidP="00385560">
      <w:pPr>
        <w:suppressLineNumbers/>
        <w:suppressAutoHyphens/>
        <w:kinsoku w:val="0"/>
        <w:overflowPunct w:val="0"/>
        <w:autoSpaceDE w:val="0"/>
        <w:autoSpaceDN w:val="0"/>
        <w:adjustRightInd w:val="0"/>
        <w:snapToGrid w:val="0"/>
        <w:rPr>
          <w:snapToGrid w:val="0"/>
          <w:vanish/>
          <w:kern w:val="22"/>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385560" w:rsidTr="009554D5">
        <w:trPr>
          <w:trHeight w:val="1693"/>
        </w:trPr>
        <w:tc>
          <w:tcPr>
            <w:tcW w:w="6227" w:type="dxa"/>
            <w:tcBorders>
              <w:top w:val="nil"/>
              <w:bottom w:val="single" w:sz="36" w:space="0" w:color="000000"/>
            </w:tcBorders>
          </w:tcPr>
          <w:p w:rsidR="00F16F02" w:rsidRPr="00385560" w:rsidRDefault="00F16F02" w:rsidP="00385560">
            <w:pPr>
              <w:suppressLineNumbers/>
              <w:suppressAutoHyphens/>
              <w:kinsoku w:val="0"/>
              <w:overflowPunct w:val="0"/>
              <w:autoSpaceDE w:val="0"/>
              <w:autoSpaceDN w:val="0"/>
              <w:adjustRightInd w:val="0"/>
              <w:snapToGrid w:val="0"/>
              <w:rPr>
                <w:snapToGrid w:val="0"/>
                <w:kern w:val="22"/>
              </w:rPr>
            </w:pPr>
          </w:p>
          <w:p w:rsidR="00F16F02" w:rsidRPr="00EE4574" w:rsidRDefault="008605ED" w:rsidP="00385560">
            <w:pPr>
              <w:suppressLineNumbers/>
              <w:suppressAutoHyphens/>
              <w:kinsoku w:val="0"/>
              <w:overflowPunct w:val="0"/>
              <w:autoSpaceDE w:val="0"/>
              <w:autoSpaceDN w:val="0"/>
              <w:adjustRightInd w:val="0"/>
              <w:snapToGrid w:val="0"/>
              <w:rPr>
                <w:snapToGrid w:val="0"/>
                <w:kern w:val="22"/>
              </w:rPr>
            </w:pPr>
            <w:r w:rsidRPr="00385560">
              <w:rPr>
                <w:noProof/>
                <w:snapToGrid w:val="0"/>
                <w:kern w:val="22"/>
                <w:lang w:eastAsia="zh-CN"/>
              </w:rPr>
              <w:drawing>
                <wp:inline distT="0" distB="0" distL="0" distR="0" wp14:anchorId="2866DA5C" wp14:editId="0CD3B2CC">
                  <wp:extent cx="2886075" cy="10858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rsidR="00F16F02" w:rsidRPr="0070113D" w:rsidRDefault="00F16F02" w:rsidP="00385560">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385560" w:rsidRDefault="00F16F02" w:rsidP="00385560">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385560" w:rsidRDefault="00F16F02" w:rsidP="00385560">
            <w:pPr>
              <w:suppressLineNumbers/>
              <w:suppressAutoHyphens/>
              <w:kinsoku w:val="0"/>
              <w:overflowPunct w:val="0"/>
              <w:autoSpaceDE w:val="0"/>
              <w:autoSpaceDN w:val="0"/>
              <w:adjustRightInd w:val="0"/>
              <w:snapToGrid w:val="0"/>
              <w:ind w:left="210"/>
              <w:rPr>
                <w:snapToGrid w:val="0"/>
                <w:kern w:val="22"/>
                <w:szCs w:val="22"/>
              </w:rPr>
            </w:pPr>
            <w:r w:rsidRPr="00385560">
              <w:rPr>
                <w:snapToGrid w:val="0"/>
                <w:kern w:val="22"/>
                <w:szCs w:val="22"/>
              </w:rPr>
              <w:t>Distr.</w:t>
            </w:r>
          </w:p>
          <w:p w:rsidR="00F16F02" w:rsidRPr="00385560" w:rsidRDefault="00F16F02" w:rsidP="00385560">
            <w:pPr>
              <w:suppressLineNumbers/>
              <w:suppressAutoHyphens/>
              <w:kinsoku w:val="0"/>
              <w:overflowPunct w:val="0"/>
              <w:autoSpaceDE w:val="0"/>
              <w:autoSpaceDN w:val="0"/>
              <w:adjustRightInd w:val="0"/>
              <w:snapToGrid w:val="0"/>
              <w:ind w:left="210"/>
              <w:rPr>
                <w:snapToGrid w:val="0"/>
                <w:kern w:val="22"/>
                <w:szCs w:val="22"/>
              </w:rPr>
            </w:pPr>
            <w:r w:rsidRPr="00385560">
              <w:rPr>
                <w:snapToGrid w:val="0"/>
                <w:kern w:val="22"/>
                <w:szCs w:val="22"/>
              </w:rPr>
              <w:t>GENERAL</w:t>
            </w:r>
          </w:p>
          <w:p w:rsidR="00F16F02" w:rsidRPr="00385560" w:rsidRDefault="00F16F02" w:rsidP="00385560">
            <w:pPr>
              <w:suppressLineNumbers/>
              <w:suppressAutoHyphens/>
              <w:kinsoku w:val="0"/>
              <w:overflowPunct w:val="0"/>
              <w:autoSpaceDE w:val="0"/>
              <w:autoSpaceDN w:val="0"/>
              <w:adjustRightInd w:val="0"/>
              <w:snapToGrid w:val="0"/>
              <w:ind w:left="210"/>
              <w:rPr>
                <w:snapToGrid w:val="0"/>
                <w:kern w:val="22"/>
                <w:szCs w:val="22"/>
              </w:rPr>
            </w:pPr>
          </w:p>
          <w:p w:rsidR="00F16F02" w:rsidRPr="00385560" w:rsidRDefault="00D51069" w:rsidP="00385560">
            <w:pPr>
              <w:suppressLineNumbers/>
              <w:suppressAutoHyphens/>
              <w:kinsoku w:val="0"/>
              <w:overflowPunct w:val="0"/>
              <w:autoSpaceDE w:val="0"/>
              <w:autoSpaceDN w:val="0"/>
              <w:adjustRightInd w:val="0"/>
              <w:snapToGrid w:val="0"/>
              <w:ind w:left="210"/>
              <w:rPr>
                <w:snapToGrid w:val="0"/>
                <w:kern w:val="22"/>
                <w:szCs w:val="22"/>
              </w:rPr>
            </w:pPr>
            <w:r w:rsidRPr="00385560">
              <w:rPr>
                <w:snapToGrid w:val="0"/>
                <w:kern w:val="22"/>
                <w:szCs w:val="22"/>
                <w:lang w:val="en-US"/>
              </w:rPr>
              <w:t>CBD/SB</w:t>
            </w:r>
            <w:r w:rsidR="00843FF1" w:rsidRPr="00385560">
              <w:rPr>
                <w:snapToGrid w:val="0"/>
                <w:kern w:val="22"/>
                <w:szCs w:val="22"/>
                <w:lang w:val="en-US"/>
              </w:rPr>
              <w:t>I/</w:t>
            </w:r>
            <w:r w:rsidR="002E0627" w:rsidRPr="00385560">
              <w:rPr>
                <w:snapToGrid w:val="0"/>
                <w:kern w:val="22"/>
                <w:szCs w:val="22"/>
                <w:lang w:val="en-US"/>
              </w:rPr>
              <w:t>2/</w:t>
            </w:r>
            <w:r w:rsidR="00C91927" w:rsidRPr="00385560">
              <w:rPr>
                <w:snapToGrid w:val="0"/>
                <w:kern w:val="22"/>
                <w:szCs w:val="22"/>
                <w:lang w:val="en-US"/>
              </w:rPr>
              <w:t>1</w:t>
            </w:r>
            <w:r w:rsidR="00F25CEE" w:rsidRPr="00385560">
              <w:rPr>
                <w:snapToGrid w:val="0"/>
                <w:kern w:val="22"/>
                <w:szCs w:val="22"/>
                <w:lang w:val="en-US"/>
              </w:rPr>
              <w:t>5</w:t>
            </w:r>
          </w:p>
          <w:p w:rsidR="00F16F02" w:rsidRPr="00385560" w:rsidRDefault="00B26763" w:rsidP="00385560">
            <w:pPr>
              <w:suppressLineNumbers/>
              <w:suppressAutoHyphens/>
              <w:kinsoku w:val="0"/>
              <w:overflowPunct w:val="0"/>
              <w:autoSpaceDE w:val="0"/>
              <w:autoSpaceDN w:val="0"/>
              <w:adjustRightInd w:val="0"/>
              <w:snapToGrid w:val="0"/>
              <w:ind w:left="210"/>
              <w:rPr>
                <w:snapToGrid w:val="0"/>
                <w:kern w:val="22"/>
                <w:szCs w:val="22"/>
              </w:rPr>
            </w:pPr>
            <w:r w:rsidRPr="00385560">
              <w:rPr>
                <w:snapToGrid w:val="0"/>
                <w:kern w:val="22"/>
                <w:szCs w:val="22"/>
              </w:rPr>
              <w:t>2</w:t>
            </w:r>
            <w:r w:rsidR="0073740F" w:rsidRPr="00385560">
              <w:rPr>
                <w:snapToGrid w:val="0"/>
                <w:kern w:val="22"/>
                <w:szCs w:val="22"/>
              </w:rPr>
              <w:t>5</w:t>
            </w:r>
            <w:r w:rsidRPr="00385560">
              <w:rPr>
                <w:snapToGrid w:val="0"/>
                <w:kern w:val="22"/>
                <w:szCs w:val="22"/>
              </w:rPr>
              <w:t xml:space="preserve"> May</w:t>
            </w:r>
            <w:r w:rsidR="00D15589" w:rsidRPr="00385560">
              <w:rPr>
                <w:snapToGrid w:val="0"/>
                <w:kern w:val="22"/>
                <w:szCs w:val="22"/>
              </w:rPr>
              <w:t xml:space="preserve"> 2018</w:t>
            </w:r>
          </w:p>
          <w:p w:rsidR="00F16F02" w:rsidRPr="00385560" w:rsidRDefault="00F16F02" w:rsidP="00385560">
            <w:pPr>
              <w:suppressLineNumbers/>
              <w:suppressAutoHyphens/>
              <w:kinsoku w:val="0"/>
              <w:overflowPunct w:val="0"/>
              <w:autoSpaceDE w:val="0"/>
              <w:autoSpaceDN w:val="0"/>
              <w:adjustRightInd w:val="0"/>
              <w:snapToGrid w:val="0"/>
              <w:ind w:left="210"/>
              <w:rPr>
                <w:snapToGrid w:val="0"/>
                <w:kern w:val="22"/>
                <w:szCs w:val="22"/>
              </w:rPr>
            </w:pPr>
          </w:p>
          <w:p w:rsidR="00F16F02" w:rsidRPr="00385560" w:rsidRDefault="00F16F02" w:rsidP="00385560">
            <w:pPr>
              <w:suppressLineNumbers/>
              <w:suppressAutoHyphens/>
              <w:kinsoku w:val="0"/>
              <w:overflowPunct w:val="0"/>
              <w:autoSpaceDE w:val="0"/>
              <w:autoSpaceDN w:val="0"/>
              <w:adjustRightInd w:val="0"/>
              <w:snapToGrid w:val="0"/>
              <w:ind w:left="210"/>
              <w:rPr>
                <w:snapToGrid w:val="0"/>
                <w:kern w:val="22"/>
                <w:szCs w:val="22"/>
                <w:u w:val="single"/>
              </w:rPr>
            </w:pPr>
            <w:r w:rsidRPr="00385560">
              <w:rPr>
                <w:snapToGrid w:val="0"/>
                <w:kern w:val="22"/>
                <w:szCs w:val="22"/>
              </w:rPr>
              <w:t>ORIGINAL:  ENGLISH</w:t>
            </w:r>
          </w:p>
        </w:tc>
      </w:tr>
    </w:tbl>
    <w:p w:rsidR="00CA6B87" w:rsidRPr="00EE4574" w:rsidRDefault="00D51069" w:rsidP="00385560">
      <w:pPr>
        <w:pStyle w:val="meetingname"/>
        <w:suppressLineNumbers/>
        <w:suppressAutoHyphens/>
        <w:kinsoku w:val="0"/>
        <w:overflowPunct w:val="0"/>
        <w:autoSpaceDE w:val="0"/>
        <w:autoSpaceDN w:val="0"/>
        <w:adjustRightInd w:val="0"/>
        <w:snapToGrid w:val="0"/>
        <w:ind w:right="4398"/>
        <w:rPr>
          <w:kern w:val="22"/>
          <w:szCs w:val="22"/>
        </w:rPr>
      </w:pPr>
      <w:bookmarkStart w:id="0" w:name="Meeting"/>
      <w:r w:rsidRPr="00EE4574">
        <w:rPr>
          <w:kern w:val="22"/>
        </w:rPr>
        <w:t xml:space="preserve">SUBSIDIARY BODY ON </w:t>
      </w:r>
      <w:r w:rsidR="002E0627" w:rsidRPr="00EE4574">
        <w:rPr>
          <w:kern w:val="22"/>
        </w:rPr>
        <w:t>IMPLEMENTATION</w:t>
      </w:r>
      <w:bookmarkEnd w:id="0"/>
    </w:p>
    <w:p w:rsidR="00D51069" w:rsidRPr="00CD337E" w:rsidRDefault="002E0627" w:rsidP="00385560">
      <w:pPr>
        <w:suppressLineNumbers/>
        <w:suppressAutoHyphens/>
        <w:kinsoku w:val="0"/>
        <w:overflowPunct w:val="0"/>
        <w:autoSpaceDE w:val="0"/>
        <w:autoSpaceDN w:val="0"/>
        <w:adjustRightInd w:val="0"/>
        <w:snapToGrid w:val="0"/>
        <w:rPr>
          <w:snapToGrid w:val="0"/>
          <w:kern w:val="22"/>
          <w:szCs w:val="22"/>
          <w:lang w:eastAsia="nb-NO"/>
        </w:rPr>
      </w:pPr>
      <w:r w:rsidRPr="0070113D">
        <w:rPr>
          <w:snapToGrid w:val="0"/>
          <w:kern w:val="22"/>
          <w:szCs w:val="22"/>
          <w:lang w:eastAsia="nb-NO"/>
        </w:rPr>
        <w:t>S</w:t>
      </w:r>
      <w:r w:rsidR="00FB3B70" w:rsidRPr="0070113D">
        <w:rPr>
          <w:snapToGrid w:val="0"/>
          <w:kern w:val="22"/>
          <w:szCs w:val="22"/>
          <w:lang w:eastAsia="nb-NO"/>
        </w:rPr>
        <w:t>econd</w:t>
      </w:r>
      <w:r w:rsidR="00D51069" w:rsidRPr="0070113D">
        <w:rPr>
          <w:snapToGrid w:val="0"/>
          <w:kern w:val="22"/>
          <w:szCs w:val="22"/>
          <w:lang w:eastAsia="nb-NO"/>
        </w:rPr>
        <w:t xml:space="preserve"> meeting</w:t>
      </w:r>
    </w:p>
    <w:p w:rsidR="00CA6B87" w:rsidRPr="00385560" w:rsidRDefault="00D51069" w:rsidP="00385560">
      <w:pPr>
        <w:suppressLineNumbers/>
        <w:suppressAutoHyphens/>
        <w:kinsoku w:val="0"/>
        <w:overflowPunct w:val="0"/>
        <w:autoSpaceDE w:val="0"/>
        <w:autoSpaceDN w:val="0"/>
        <w:adjustRightInd w:val="0"/>
        <w:snapToGrid w:val="0"/>
        <w:rPr>
          <w:snapToGrid w:val="0"/>
          <w:kern w:val="22"/>
          <w:szCs w:val="22"/>
          <w:lang w:eastAsia="nb-NO"/>
        </w:rPr>
      </w:pPr>
      <w:r w:rsidRPr="00385560">
        <w:rPr>
          <w:snapToGrid w:val="0"/>
          <w:kern w:val="22"/>
          <w:szCs w:val="22"/>
          <w:lang w:eastAsia="nb-NO"/>
        </w:rPr>
        <w:t>Montreal</w:t>
      </w:r>
      <w:r w:rsidR="00CA6B87" w:rsidRPr="00385560">
        <w:rPr>
          <w:snapToGrid w:val="0"/>
          <w:kern w:val="22"/>
          <w:szCs w:val="22"/>
          <w:lang w:eastAsia="nb-NO"/>
        </w:rPr>
        <w:t xml:space="preserve">, </w:t>
      </w:r>
      <w:r w:rsidRPr="00385560">
        <w:rPr>
          <w:snapToGrid w:val="0"/>
          <w:kern w:val="22"/>
          <w:szCs w:val="22"/>
          <w:lang w:eastAsia="nb-NO"/>
        </w:rPr>
        <w:t xml:space="preserve">Canada, </w:t>
      </w:r>
      <w:r w:rsidR="002E0627" w:rsidRPr="00385560">
        <w:rPr>
          <w:snapToGrid w:val="0"/>
          <w:kern w:val="22"/>
          <w:szCs w:val="22"/>
          <w:lang w:eastAsia="nb-NO"/>
        </w:rPr>
        <w:t>9-13</w:t>
      </w:r>
      <w:r w:rsidR="00D15589" w:rsidRPr="00385560">
        <w:rPr>
          <w:snapToGrid w:val="0"/>
          <w:kern w:val="22"/>
          <w:szCs w:val="22"/>
          <w:lang w:eastAsia="nb-NO"/>
        </w:rPr>
        <w:t xml:space="preserve"> July 2018</w:t>
      </w:r>
    </w:p>
    <w:p w:rsidR="00CA6B87" w:rsidRPr="00385560" w:rsidRDefault="00D51069" w:rsidP="00385560">
      <w:pPr>
        <w:suppressLineNumbers/>
        <w:suppressAutoHyphens/>
        <w:kinsoku w:val="0"/>
        <w:overflowPunct w:val="0"/>
        <w:autoSpaceDE w:val="0"/>
        <w:autoSpaceDN w:val="0"/>
        <w:adjustRightInd w:val="0"/>
        <w:snapToGrid w:val="0"/>
        <w:rPr>
          <w:snapToGrid w:val="0"/>
          <w:kern w:val="22"/>
          <w:szCs w:val="22"/>
          <w:lang w:eastAsia="nb-NO"/>
        </w:rPr>
      </w:pPr>
      <w:r w:rsidRPr="00385560">
        <w:rPr>
          <w:snapToGrid w:val="0"/>
          <w:kern w:val="22"/>
          <w:szCs w:val="22"/>
          <w:lang w:eastAsia="nb-NO"/>
        </w:rPr>
        <w:t>I</w:t>
      </w:r>
      <w:r w:rsidR="00CA6B87" w:rsidRPr="00385560">
        <w:rPr>
          <w:snapToGrid w:val="0"/>
          <w:kern w:val="22"/>
          <w:szCs w:val="22"/>
          <w:lang w:eastAsia="nb-NO"/>
        </w:rPr>
        <w:t xml:space="preserve">tem </w:t>
      </w:r>
      <w:r w:rsidR="00CE3C3C" w:rsidRPr="00385560">
        <w:rPr>
          <w:snapToGrid w:val="0"/>
          <w:kern w:val="22"/>
          <w:szCs w:val="22"/>
          <w:lang w:eastAsia="nb-NO"/>
        </w:rPr>
        <w:t>14</w:t>
      </w:r>
      <w:r w:rsidRPr="00385560">
        <w:rPr>
          <w:snapToGrid w:val="0"/>
          <w:kern w:val="22"/>
          <w:szCs w:val="22"/>
          <w:lang w:eastAsia="nb-NO"/>
        </w:rPr>
        <w:t xml:space="preserve"> of the provisional agenda</w:t>
      </w:r>
      <w:r w:rsidRPr="00385560">
        <w:rPr>
          <w:rStyle w:val="FootnoteReference"/>
          <w:snapToGrid w:val="0"/>
          <w:kern w:val="22"/>
          <w:szCs w:val="22"/>
          <w:u w:val="none"/>
          <w:lang w:eastAsia="nb-NO"/>
        </w:rPr>
        <w:footnoteReference w:customMarkFollows="1" w:id="1"/>
        <w:t>*</w:t>
      </w:r>
    </w:p>
    <w:p w:rsidR="00406BC6" w:rsidRPr="00385560" w:rsidRDefault="001B0612" w:rsidP="00385560">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lang w:val="en-US"/>
        </w:rPr>
      </w:pPr>
      <w:sdt>
        <w:sdtPr>
          <w:rPr>
            <w:rFonts w:ascii="Times New Roman Bold" w:hAnsi="Times New Roman Bold" w:cs="Times New Roman Bold"/>
            <w:snapToGrid w:val="0"/>
            <w:kern w:val="22"/>
            <w:szCs w:val="22"/>
          </w:rPr>
          <w:alias w:val="Title"/>
          <w:tag w:val=""/>
          <w:id w:val="848682589"/>
          <w:placeholder>
            <w:docPart w:val="F4AFBC8C6548485C98839CC7DBDC9B73"/>
          </w:placeholder>
          <w:dataBinding w:prefixMappings="xmlns:ns0='http://purl.org/dc/elements/1.1/' xmlns:ns1='http://schemas.openxmlformats.org/package/2006/metadata/core-properties' " w:xpath="/ns1:coreProperties[1]/ns0:title[1]" w:storeItemID="{6C3C8BC8-F283-45AE-878A-BAB7291924A1}"/>
          <w:text/>
        </w:sdtPr>
        <w:sdtContent>
          <w:r w:rsidRPr="001B0612">
            <w:rPr>
              <w:rFonts w:ascii="Times New Roman Bold" w:hAnsi="Times New Roman Bold" w:cs="Times New Roman Bold"/>
              <w:snapToGrid w:val="0"/>
              <w:kern w:val="22"/>
              <w:szCs w:val="22"/>
            </w:rPr>
            <w:t xml:space="preserve">Integrated approaches to issues at the interface between the biosafety-related provisions of the Convention </w:t>
          </w:r>
          <w:r>
            <w:rPr>
              <w:rFonts w:ascii="Times New Roman Bold" w:hAnsi="Times New Roman Bold" w:cs="Times New Roman Bold"/>
              <w:snapToGrid w:val="0"/>
              <w:kern w:val="22"/>
              <w:szCs w:val="22"/>
            </w:rPr>
            <w:t>and the provisions </w:t>
          </w:r>
          <w:r w:rsidRPr="001B0612">
            <w:rPr>
              <w:rFonts w:ascii="Times New Roman Bold" w:hAnsi="Times New Roman Bold" w:cs="Times New Roman Bold"/>
              <w:snapToGrid w:val="0"/>
              <w:kern w:val="22"/>
              <w:szCs w:val="22"/>
            </w:rPr>
            <w:t>of</w:t>
          </w:r>
          <w:r>
            <w:rPr>
              <w:rFonts w:ascii="Times New Roman Bold" w:hAnsi="Times New Roman Bold" w:cs="Times New Roman Bold"/>
              <w:snapToGrid w:val="0"/>
              <w:kern w:val="22"/>
              <w:szCs w:val="22"/>
            </w:rPr>
            <w:t> </w:t>
          </w:r>
          <w:r w:rsidRPr="001B0612">
            <w:rPr>
              <w:rFonts w:ascii="Times New Roman Bold" w:hAnsi="Times New Roman Bold" w:cs="Times New Roman Bold"/>
              <w:snapToGrid w:val="0"/>
              <w:kern w:val="22"/>
              <w:szCs w:val="22"/>
            </w:rPr>
            <w:t>the Cartagena Protocol</w:t>
          </w:r>
        </w:sdtContent>
      </w:sdt>
    </w:p>
    <w:p w:rsidR="00EF44CA" w:rsidRDefault="00C85EA4" w:rsidP="00385560">
      <w:pPr>
        <w:pStyle w:val="Heading2"/>
        <w:suppressLineNumbers/>
        <w:suppressAutoHyphens/>
        <w:kinsoku w:val="0"/>
        <w:overflowPunct w:val="0"/>
        <w:autoSpaceDE w:val="0"/>
        <w:autoSpaceDN w:val="0"/>
        <w:adjustRightInd w:val="0"/>
        <w:snapToGrid w:val="0"/>
        <w:rPr>
          <w:b w:val="0"/>
          <w:i/>
          <w:snapToGrid w:val="0"/>
          <w:kern w:val="22"/>
          <w:lang w:val="en-US"/>
        </w:rPr>
      </w:pPr>
      <w:r w:rsidRPr="00385560">
        <w:rPr>
          <w:b w:val="0"/>
          <w:i/>
          <w:snapToGrid w:val="0"/>
          <w:kern w:val="22"/>
          <w:lang w:val="en-US"/>
        </w:rPr>
        <w:t>Note by the Executive Secretary</w:t>
      </w:r>
    </w:p>
    <w:p w:rsidR="00246E61" w:rsidRPr="00385560" w:rsidRDefault="00246E61" w:rsidP="00385560">
      <w:pPr>
        <w:keepNext/>
        <w:kinsoku w:val="0"/>
        <w:overflowPunct w:val="0"/>
        <w:autoSpaceDE w:val="0"/>
        <w:autoSpaceDN w:val="0"/>
        <w:adjustRightInd w:val="0"/>
        <w:snapToGrid w:val="0"/>
        <w:spacing w:before="120" w:after="120"/>
        <w:jc w:val="center"/>
        <w:rPr>
          <w:rFonts w:ascii="Times New Roman Bold" w:hAnsi="Times New Roman Bold" w:cs="Times New Roman Bold"/>
          <w:b/>
          <w:bCs/>
          <w:caps/>
          <w:lang w:val="en-US"/>
        </w:rPr>
      </w:pPr>
      <w:r w:rsidRPr="00385560">
        <w:rPr>
          <w:rFonts w:ascii="Times New Roman Bold" w:hAnsi="Times New Roman Bold" w:cs="Times New Roman Bold"/>
          <w:b/>
          <w:bCs/>
          <w:caps/>
          <w:lang w:val="en-US"/>
        </w:rPr>
        <w:t>Introduction</w:t>
      </w:r>
    </w:p>
    <w:p w:rsidR="009E5F7E" w:rsidRPr="00246E61" w:rsidRDefault="009E5F7E"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246E61">
        <w:rPr>
          <w:kern w:val="22"/>
        </w:rPr>
        <w:t xml:space="preserve">In decision </w:t>
      </w:r>
      <w:hyperlink r:id="rId12" w:history="1">
        <w:r w:rsidRPr="00385560">
          <w:rPr>
            <w:rStyle w:val="Hyperlink"/>
            <w:kern w:val="22"/>
          </w:rPr>
          <w:t>BS-VII/5</w:t>
        </w:r>
      </w:hyperlink>
      <w:r w:rsidRPr="00EE4574">
        <w:rPr>
          <w:kern w:val="22"/>
        </w:rPr>
        <w:t>, paragraph 10, the C</w:t>
      </w:r>
      <w:bookmarkStart w:id="1" w:name="_GoBack"/>
      <w:bookmarkEnd w:id="1"/>
      <w:r w:rsidRPr="00EE4574">
        <w:rPr>
          <w:kern w:val="22"/>
        </w:rPr>
        <w:t>onference of the Parties serving as the meeting of the Parties to the Cartagena Protocol on Biosafety urged Parties and invited other Governments to integrate and prioritize biosafety within their national biodiversity strategies and action plans</w:t>
      </w:r>
      <w:r w:rsidR="00BA3820">
        <w:rPr>
          <w:kern w:val="22"/>
        </w:rPr>
        <w:t xml:space="preserve"> (NBSAPs)</w:t>
      </w:r>
      <w:r w:rsidRPr="00EE4574">
        <w:rPr>
          <w:kern w:val="22"/>
        </w:rPr>
        <w:t>, and national development plans and programm</w:t>
      </w:r>
      <w:r w:rsidRPr="001B0612">
        <w:rPr>
          <w:kern w:val="22"/>
        </w:rPr>
        <w:t>es, as appropriate.</w:t>
      </w:r>
    </w:p>
    <w:p w:rsidR="009E5F7E" w:rsidRPr="00385560" w:rsidRDefault="009E5F7E"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246E61">
        <w:rPr>
          <w:kern w:val="22"/>
        </w:rPr>
        <w:t xml:space="preserve">In decision </w:t>
      </w:r>
      <w:hyperlink r:id="rId13" w:history="1">
        <w:r w:rsidRPr="00385560">
          <w:rPr>
            <w:rStyle w:val="Hyperlink"/>
            <w:kern w:val="22"/>
          </w:rPr>
          <w:t>XII/29</w:t>
        </w:r>
      </w:hyperlink>
      <w:r w:rsidRPr="00EE4574">
        <w:rPr>
          <w:kern w:val="22"/>
        </w:rPr>
        <w:t xml:space="preserve">, paragraph 9, the Conference of the Parties encouraged Parties to integrate biosafety and access and benefit-sharing into </w:t>
      </w:r>
      <w:r w:rsidR="00BA3820">
        <w:rPr>
          <w:kern w:val="22"/>
        </w:rPr>
        <w:t>NBSAPs</w:t>
      </w:r>
      <w:r w:rsidRPr="0070113D">
        <w:rPr>
          <w:kern w:val="22"/>
        </w:rPr>
        <w:t>, national development plans and other relevant sectoral and cross-sectoral policies, plans and programmes</w:t>
      </w:r>
      <w:r w:rsidR="00786B2B" w:rsidRPr="00385560">
        <w:rPr>
          <w:rFonts w:eastAsia="MS Mincho"/>
          <w:iCs/>
          <w:kern w:val="22"/>
          <w:szCs w:val="22"/>
        </w:rPr>
        <w:t>, as appropriate, taking into account national circumstances, legislation and priorities.</w:t>
      </w:r>
    </w:p>
    <w:p w:rsidR="009E5F7E" w:rsidRPr="00CD337E" w:rsidRDefault="009E5F7E"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Furthermore, in </w:t>
      </w:r>
      <w:r w:rsidR="00786B2B" w:rsidRPr="00385560">
        <w:rPr>
          <w:kern w:val="22"/>
        </w:rPr>
        <w:t>paragraph 1 of</w:t>
      </w:r>
      <w:r w:rsidRPr="00385560">
        <w:rPr>
          <w:kern w:val="22"/>
        </w:rPr>
        <w:t xml:space="preserve"> decision </w:t>
      </w:r>
      <w:hyperlink r:id="rId14" w:history="1">
        <w:r w:rsidRPr="00385560">
          <w:rPr>
            <w:rStyle w:val="Hyperlink"/>
            <w:kern w:val="22"/>
          </w:rPr>
          <w:t>XIII/26</w:t>
        </w:r>
      </w:hyperlink>
      <w:r w:rsidRPr="00EE4574">
        <w:rPr>
          <w:kern w:val="22"/>
        </w:rPr>
        <w:t xml:space="preserve"> on enhancing integration among the Convention and its Protocols and the organization of meetings, the Conference of the Parties requested the Executive Secr</w:t>
      </w:r>
      <w:r w:rsidRPr="0070113D">
        <w:rPr>
          <w:kern w:val="22"/>
        </w:rPr>
        <w:t xml:space="preserve">etary to prepare a note on possible ways and means to promote integrated approaches to issues at the interface between the biosafety-related provisions of the </w:t>
      </w:r>
      <w:hyperlink r:id="rId15" w:history="1">
        <w:r w:rsidRPr="00473C62">
          <w:rPr>
            <w:rStyle w:val="Hyperlink"/>
            <w:kern w:val="22"/>
          </w:rPr>
          <w:t>Convention</w:t>
        </w:r>
      </w:hyperlink>
      <w:r w:rsidRPr="0070113D">
        <w:rPr>
          <w:kern w:val="22"/>
        </w:rPr>
        <w:t xml:space="preserve"> and the provisions of the </w:t>
      </w:r>
      <w:hyperlink r:id="rId16" w:history="1">
        <w:r w:rsidRPr="00473C62">
          <w:rPr>
            <w:rStyle w:val="Hyperlink"/>
            <w:kern w:val="22"/>
          </w:rPr>
          <w:t>Cartagena Protocol</w:t>
        </w:r>
      </w:hyperlink>
      <w:r w:rsidRPr="0070113D">
        <w:rPr>
          <w:kern w:val="22"/>
        </w:rPr>
        <w:t>, taking into account Article 8(g) and Art</w:t>
      </w:r>
      <w:r w:rsidRPr="00385560">
        <w:rPr>
          <w:kern w:val="22"/>
        </w:rPr>
        <w:t>icle 19, paragraph 4, of the Convention, and other issues of relevance to both the Convention and the Cartagena Protocol, for consideration by the Subsidiary Body o</w:t>
      </w:r>
      <w:r w:rsidRPr="00CD337E">
        <w:rPr>
          <w:kern w:val="22"/>
        </w:rPr>
        <w:t>n Implementation at its second meeting and the Conference of the Parties at its fourteenth meeting</w:t>
      </w:r>
      <w:r w:rsidR="00591BC9" w:rsidRPr="00CD337E">
        <w:rPr>
          <w:kern w:val="22"/>
        </w:rPr>
        <w:t>.</w:t>
      </w:r>
    </w:p>
    <w:p w:rsidR="00495DED" w:rsidRPr="00CD337E" w:rsidRDefault="00CD337E"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Pr>
          <w:kern w:val="22"/>
        </w:rPr>
        <w:t>The present</w:t>
      </w:r>
      <w:r w:rsidRPr="00CD337E">
        <w:rPr>
          <w:kern w:val="22"/>
        </w:rPr>
        <w:t xml:space="preserve"> </w:t>
      </w:r>
      <w:r w:rsidR="00222E55" w:rsidRPr="00CD337E">
        <w:rPr>
          <w:kern w:val="22"/>
        </w:rPr>
        <w:t>docu</w:t>
      </w:r>
      <w:r w:rsidR="00495DED" w:rsidRPr="00CD337E">
        <w:rPr>
          <w:kern w:val="22"/>
        </w:rPr>
        <w:t>ment addresses</w:t>
      </w:r>
      <w:r w:rsidR="00222E55" w:rsidRPr="00CD337E">
        <w:rPr>
          <w:kern w:val="22"/>
        </w:rPr>
        <w:t xml:space="preserve"> the relationship between the </w:t>
      </w:r>
      <w:r w:rsidR="009E5F7E" w:rsidRPr="00CD337E">
        <w:rPr>
          <w:kern w:val="22"/>
        </w:rPr>
        <w:t>biosafety</w:t>
      </w:r>
      <w:r w:rsidR="00222E55" w:rsidRPr="00CD337E">
        <w:rPr>
          <w:kern w:val="22"/>
        </w:rPr>
        <w:t>-related provisions of the C</w:t>
      </w:r>
      <w:r w:rsidR="0009324F" w:rsidRPr="00CD337E">
        <w:rPr>
          <w:kern w:val="22"/>
        </w:rPr>
        <w:t>onvention</w:t>
      </w:r>
      <w:r w:rsidR="00222E55" w:rsidRPr="00CD337E">
        <w:rPr>
          <w:kern w:val="22"/>
        </w:rPr>
        <w:t xml:space="preserve"> and the </w:t>
      </w:r>
      <w:r w:rsidR="009E5F7E" w:rsidRPr="00CD337E">
        <w:rPr>
          <w:kern w:val="22"/>
        </w:rPr>
        <w:t>Cartagena</w:t>
      </w:r>
      <w:r w:rsidR="00222E55" w:rsidRPr="00CD337E">
        <w:rPr>
          <w:kern w:val="22"/>
        </w:rPr>
        <w:t xml:space="preserve"> Protocol. </w:t>
      </w:r>
      <w:r w:rsidR="00A35A22">
        <w:rPr>
          <w:kern w:val="22"/>
        </w:rPr>
        <w:t>Pursuant</w:t>
      </w:r>
      <w:r w:rsidR="00A35A22" w:rsidRPr="00CD337E">
        <w:rPr>
          <w:kern w:val="22"/>
        </w:rPr>
        <w:t xml:space="preserve"> </w:t>
      </w:r>
      <w:r w:rsidR="00171E5A" w:rsidRPr="00CD337E">
        <w:rPr>
          <w:kern w:val="22"/>
        </w:rPr>
        <w:t>to</w:t>
      </w:r>
      <w:r w:rsidR="003115C2" w:rsidRPr="00CD337E">
        <w:rPr>
          <w:kern w:val="22"/>
        </w:rPr>
        <w:t xml:space="preserve"> decision XIII/26, paragraph 2, c</w:t>
      </w:r>
      <w:r w:rsidR="00222E55" w:rsidRPr="00CD337E">
        <w:rPr>
          <w:kern w:val="22"/>
        </w:rPr>
        <w:t>ross-cutting issues under the Convention and its Proto</w:t>
      </w:r>
      <w:r w:rsidR="003F159B" w:rsidRPr="0075049D">
        <w:rPr>
          <w:kern w:val="22"/>
        </w:rPr>
        <w:t>cols, such as capacity-building</w:t>
      </w:r>
      <w:r w:rsidR="005B6A14" w:rsidRPr="0075049D">
        <w:rPr>
          <w:kern w:val="22"/>
        </w:rPr>
        <w:t xml:space="preserve">, </w:t>
      </w:r>
      <w:r w:rsidR="0067304D" w:rsidRPr="0075049D">
        <w:rPr>
          <w:kern w:val="22"/>
        </w:rPr>
        <w:t xml:space="preserve">the </w:t>
      </w:r>
      <w:r w:rsidR="00222E55" w:rsidRPr="0075049D">
        <w:rPr>
          <w:kern w:val="22"/>
        </w:rPr>
        <w:t>financial mechanism and resource mobilization</w:t>
      </w:r>
      <w:r w:rsidR="00BB4BD0" w:rsidRPr="0075049D">
        <w:rPr>
          <w:kern w:val="22"/>
        </w:rPr>
        <w:t>, and national reporting</w:t>
      </w:r>
      <w:r w:rsidR="00222E55" w:rsidRPr="0075049D">
        <w:rPr>
          <w:kern w:val="22"/>
        </w:rPr>
        <w:t xml:space="preserve"> </w:t>
      </w:r>
      <w:r w:rsidR="00495DED" w:rsidRPr="0075049D">
        <w:rPr>
          <w:kern w:val="22"/>
        </w:rPr>
        <w:t>will be</w:t>
      </w:r>
      <w:r w:rsidR="00222E55" w:rsidRPr="0075049D">
        <w:rPr>
          <w:kern w:val="22"/>
        </w:rPr>
        <w:t xml:space="preserve"> addressed </w:t>
      </w:r>
      <w:r w:rsidR="003F159B" w:rsidRPr="0075049D">
        <w:rPr>
          <w:kern w:val="22"/>
        </w:rPr>
        <w:t xml:space="preserve">by </w:t>
      </w:r>
      <w:r w:rsidR="0027701F" w:rsidRPr="0075049D">
        <w:rPr>
          <w:kern w:val="22"/>
        </w:rPr>
        <w:t>the Subsidiary Body on Implementation</w:t>
      </w:r>
      <w:r w:rsidR="003F159B" w:rsidRPr="0075049D">
        <w:rPr>
          <w:kern w:val="22"/>
        </w:rPr>
        <w:t xml:space="preserve"> </w:t>
      </w:r>
      <w:r w:rsidR="0075049D">
        <w:rPr>
          <w:kern w:val="22"/>
        </w:rPr>
        <w:t>at its second meeting</w:t>
      </w:r>
      <w:r w:rsidR="0075049D" w:rsidRPr="0075049D">
        <w:rPr>
          <w:kern w:val="22"/>
        </w:rPr>
        <w:t xml:space="preserve"> </w:t>
      </w:r>
      <w:r w:rsidR="003F159B" w:rsidRPr="0075049D">
        <w:rPr>
          <w:kern w:val="22"/>
        </w:rPr>
        <w:t xml:space="preserve">under agenda items </w:t>
      </w:r>
      <w:r w:rsidR="005B6A14" w:rsidRPr="0075049D">
        <w:rPr>
          <w:kern w:val="22"/>
        </w:rPr>
        <w:t>10, 9</w:t>
      </w:r>
      <w:r w:rsidR="00BB4BD0" w:rsidRPr="0075049D">
        <w:rPr>
          <w:kern w:val="22"/>
        </w:rPr>
        <w:t xml:space="preserve">, </w:t>
      </w:r>
      <w:r w:rsidR="005B6A14" w:rsidRPr="0075049D">
        <w:rPr>
          <w:kern w:val="22"/>
        </w:rPr>
        <w:t>8</w:t>
      </w:r>
      <w:r w:rsidR="003F159B" w:rsidRPr="0075049D">
        <w:rPr>
          <w:kern w:val="22"/>
        </w:rPr>
        <w:t xml:space="preserve"> </w:t>
      </w:r>
      <w:r w:rsidR="00BB4BD0" w:rsidRPr="0075049D">
        <w:rPr>
          <w:kern w:val="22"/>
        </w:rPr>
        <w:t xml:space="preserve">and </w:t>
      </w:r>
      <w:r w:rsidR="00387D13" w:rsidRPr="0075049D">
        <w:rPr>
          <w:kern w:val="22"/>
        </w:rPr>
        <w:t>13</w:t>
      </w:r>
      <w:r w:rsidR="00BB4BD0" w:rsidRPr="0075049D">
        <w:rPr>
          <w:kern w:val="22"/>
        </w:rPr>
        <w:t xml:space="preserve"> </w:t>
      </w:r>
      <w:r w:rsidR="003F159B" w:rsidRPr="0075049D">
        <w:rPr>
          <w:kern w:val="22"/>
        </w:rPr>
        <w:t>respectively</w:t>
      </w:r>
      <w:r w:rsidR="00042999" w:rsidRPr="0075049D">
        <w:rPr>
          <w:kern w:val="22"/>
        </w:rPr>
        <w:t xml:space="preserve">. </w:t>
      </w:r>
      <w:r w:rsidR="00A35A22">
        <w:rPr>
          <w:kern w:val="22"/>
        </w:rPr>
        <w:t>Pursuant</w:t>
      </w:r>
      <w:r w:rsidR="00A35A22" w:rsidRPr="0075049D">
        <w:rPr>
          <w:kern w:val="22"/>
        </w:rPr>
        <w:t xml:space="preserve"> </w:t>
      </w:r>
      <w:r w:rsidR="00C1704F" w:rsidRPr="0075049D">
        <w:rPr>
          <w:kern w:val="22"/>
        </w:rPr>
        <w:t>to</w:t>
      </w:r>
      <w:r w:rsidR="00042999" w:rsidRPr="0075049D">
        <w:rPr>
          <w:kern w:val="22"/>
        </w:rPr>
        <w:t xml:space="preserve"> decision </w:t>
      </w:r>
      <w:hyperlink r:id="rId17" w:history="1">
        <w:r w:rsidR="00042999" w:rsidRPr="00385560">
          <w:rPr>
            <w:rStyle w:val="Hyperlink"/>
            <w:kern w:val="22"/>
          </w:rPr>
          <w:t>XII/31</w:t>
        </w:r>
      </w:hyperlink>
      <w:r w:rsidR="00042999" w:rsidRPr="00EE4574">
        <w:rPr>
          <w:kern w:val="22"/>
        </w:rPr>
        <w:t>, i</w:t>
      </w:r>
      <w:r w:rsidR="002848EB" w:rsidRPr="00EE4574">
        <w:rPr>
          <w:kern w:val="22"/>
        </w:rPr>
        <w:t xml:space="preserve">ssues related to the effectiveness of </w:t>
      </w:r>
      <w:r w:rsidR="00287606" w:rsidRPr="0070113D">
        <w:rPr>
          <w:kern w:val="22"/>
        </w:rPr>
        <w:t xml:space="preserve">the </w:t>
      </w:r>
      <w:r w:rsidR="002848EB" w:rsidRPr="0070113D">
        <w:rPr>
          <w:kern w:val="22"/>
        </w:rPr>
        <w:t>processes under the</w:t>
      </w:r>
      <w:r w:rsidR="00495DED" w:rsidRPr="0070113D">
        <w:rPr>
          <w:kern w:val="22"/>
        </w:rPr>
        <w:t xml:space="preserve"> Convention and its Protocols </w:t>
      </w:r>
      <w:r w:rsidR="003115C2" w:rsidRPr="00CD337E">
        <w:rPr>
          <w:kern w:val="22"/>
        </w:rPr>
        <w:t xml:space="preserve">will be </w:t>
      </w:r>
      <w:r w:rsidR="002848EB" w:rsidRPr="00CD337E">
        <w:rPr>
          <w:kern w:val="22"/>
        </w:rPr>
        <w:t xml:space="preserve">addressed </w:t>
      </w:r>
      <w:r w:rsidR="003115C2" w:rsidRPr="00CD337E">
        <w:rPr>
          <w:kern w:val="22"/>
        </w:rPr>
        <w:t xml:space="preserve">by the Subsidiary Body on Implementation </w:t>
      </w:r>
      <w:r w:rsidR="006B75E6">
        <w:rPr>
          <w:kern w:val="22"/>
        </w:rPr>
        <w:t>at its second meeting</w:t>
      </w:r>
      <w:r w:rsidR="006B75E6" w:rsidRPr="00CD337E">
        <w:rPr>
          <w:kern w:val="22"/>
        </w:rPr>
        <w:t xml:space="preserve"> </w:t>
      </w:r>
      <w:r w:rsidR="00495DED" w:rsidRPr="00CD337E">
        <w:rPr>
          <w:kern w:val="22"/>
        </w:rPr>
        <w:t>under agenda item</w:t>
      </w:r>
      <w:r w:rsidR="00EE75F9" w:rsidRPr="00CD337E">
        <w:rPr>
          <w:kern w:val="22"/>
        </w:rPr>
        <w:t> </w:t>
      </w:r>
      <w:r w:rsidR="00495DED" w:rsidRPr="00CD337E">
        <w:rPr>
          <w:kern w:val="22"/>
        </w:rPr>
        <w:t>15.</w:t>
      </w:r>
    </w:p>
    <w:p w:rsidR="000A62EE" w:rsidRPr="00385560" w:rsidRDefault="000A62EE" w:rsidP="00385560">
      <w:pPr>
        <w:pStyle w:val="Heading1"/>
        <w:numPr>
          <w:ilvl w:val="0"/>
          <w:numId w:val="6"/>
        </w:numPr>
        <w:suppressLineNumbers/>
        <w:tabs>
          <w:tab w:val="clear" w:pos="720"/>
        </w:tabs>
        <w:suppressAutoHyphens/>
        <w:kinsoku w:val="0"/>
        <w:overflowPunct w:val="0"/>
        <w:autoSpaceDE w:val="0"/>
        <w:autoSpaceDN w:val="0"/>
        <w:adjustRightInd w:val="0"/>
        <w:snapToGrid w:val="0"/>
        <w:spacing w:before="120"/>
        <w:ind w:left="1152" w:hanging="432"/>
        <w:jc w:val="left"/>
        <w:rPr>
          <w:rFonts w:ascii="Times New Roman Bold" w:hAnsi="Times New Roman Bold" w:cs="Times New Roman Bold"/>
          <w:bCs/>
          <w:snapToGrid w:val="0"/>
          <w:kern w:val="22"/>
        </w:rPr>
      </w:pPr>
      <w:r w:rsidRPr="00385560">
        <w:rPr>
          <w:rFonts w:ascii="Times New Roman Bold" w:hAnsi="Times New Roman Bold" w:cs="Times New Roman Bold"/>
          <w:bCs/>
          <w:snapToGrid w:val="0"/>
          <w:kern w:val="22"/>
        </w:rPr>
        <w:t xml:space="preserve">Relationship between the </w:t>
      </w:r>
      <w:r w:rsidR="00EE75F9" w:rsidRPr="00385560">
        <w:rPr>
          <w:rFonts w:ascii="Times New Roman Bold" w:hAnsi="Times New Roman Bold" w:cs="Times New Roman Bold"/>
          <w:bCs/>
          <w:snapToGrid w:val="0"/>
          <w:kern w:val="22"/>
        </w:rPr>
        <w:t>biosafety</w:t>
      </w:r>
      <w:r w:rsidR="009A1E1D" w:rsidRPr="00385560">
        <w:rPr>
          <w:rFonts w:ascii="Times New Roman Bold" w:hAnsi="Times New Roman Bold" w:cs="Times New Roman Bold"/>
          <w:bCs/>
          <w:snapToGrid w:val="0"/>
          <w:kern w:val="22"/>
        </w:rPr>
        <w:t xml:space="preserve">-related </w:t>
      </w:r>
      <w:r w:rsidR="003812A5" w:rsidRPr="00385560">
        <w:rPr>
          <w:rFonts w:ascii="Times New Roman Bold" w:hAnsi="Times New Roman Bold" w:cs="Times New Roman Bold"/>
          <w:bCs/>
          <w:snapToGrid w:val="0"/>
          <w:kern w:val="22"/>
        </w:rPr>
        <w:t>provisions of</w:t>
      </w:r>
      <w:r w:rsidR="00BC7AD6">
        <w:rPr>
          <w:rFonts w:ascii="Times New Roman Bold" w:hAnsi="Times New Roman Bold" w:cs="Times New Roman Bold"/>
          <w:bCs/>
          <w:snapToGrid w:val="0"/>
          <w:kern w:val="22"/>
        </w:rPr>
        <w:t xml:space="preserve"> </w:t>
      </w:r>
      <w:r w:rsidRPr="00385560">
        <w:rPr>
          <w:rFonts w:ascii="Times New Roman Bold" w:hAnsi="Times New Roman Bold" w:cs="Times New Roman Bold"/>
          <w:bCs/>
          <w:snapToGrid w:val="0"/>
          <w:kern w:val="22"/>
        </w:rPr>
        <w:t xml:space="preserve">the </w:t>
      </w:r>
      <w:r w:rsidR="00294541" w:rsidRPr="00385560">
        <w:rPr>
          <w:rFonts w:ascii="Times New Roman Bold" w:hAnsi="Times New Roman Bold" w:cs="Times New Roman Bold"/>
          <w:bCs/>
          <w:snapToGrid w:val="0"/>
          <w:kern w:val="22"/>
        </w:rPr>
        <w:t xml:space="preserve">Convention </w:t>
      </w:r>
      <w:r w:rsidRPr="00385560">
        <w:rPr>
          <w:rFonts w:ascii="Times New Roman Bold" w:hAnsi="Times New Roman Bold" w:cs="Times New Roman Bold"/>
          <w:bCs/>
          <w:snapToGrid w:val="0"/>
          <w:kern w:val="22"/>
        </w:rPr>
        <w:t xml:space="preserve">and the </w:t>
      </w:r>
      <w:r w:rsidR="00EE75F9" w:rsidRPr="00385560">
        <w:rPr>
          <w:rFonts w:ascii="Times New Roman Bold" w:hAnsi="Times New Roman Bold" w:cs="Times New Roman Bold"/>
          <w:bCs/>
          <w:snapToGrid w:val="0"/>
          <w:kern w:val="22"/>
        </w:rPr>
        <w:t xml:space="preserve">Cartagena </w:t>
      </w:r>
      <w:r w:rsidRPr="00385560">
        <w:rPr>
          <w:rFonts w:ascii="Times New Roman Bold" w:hAnsi="Times New Roman Bold" w:cs="Times New Roman Bold"/>
          <w:bCs/>
          <w:snapToGrid w:val="0"/>
          <w:kern w:val="22"/>
        </w:rPr>
        <w:t>Protocol</w:t>
      </w:r>
    </w:p>
    <w:p w:rsidR="00294541" w:rsidRPr="00385560" w:rsidRDefault="00CD7F09" w:rsidP="00385560">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sidRPr="00385560">
        <w:rPr>
          <w:snapToGrid w:val="0"/>
          <w:kern w:val="22"/>
        </w:rPr>
        <w:t>A.</w:t>
      </w:r>
      <w:r w:rsidRPr="00385560">
        <w:rPr>
          <w:snapToGrid w:val="0"/>
          <w:kern w:val="22"/>
        </w:rPr>
        <w:tab/>
      </w:r>
      <w:r w:rsidR="00B26763" w:rsidRPr="00385560">
        <w:rPr>
          <w:snapToGrid w:val="0"/>
          <w:kern w:val="22"/>
        </w:rPr>
        <w:t>Overview of biosafety-related provisions under the Convention and the Cartagena Protocol</w:t>
      </w:r>
    </w:p>
    <w:p w:rsidR="00082D29" w:rsidRPr="00385560" w:rsidRDefault="00BE3CE9"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Article </w:t>
      </w:r>
      <w:r w:rsidR="00786B2B" w:rsidRPr="00385560">
        <w:rPr>
          <w:kern w:val="22"/>
        </w:rPr>
        <w:t xml:space="preserve">8(g) </w:t>
      </w:r>
      <w:r w:rsidR="003157E2" w:rsidRPr="00385560">
        <w:rPr>
          <w:kern w:val="22"/>
        </w:rPr>
        <w:t>of the Convention sets out obligations</w:t>
      </w:r>
      <w:r w:rsidR="00370E97" w:rsidRPr="00385560">
        <w:rPr>
          <w:kern w:val="22"/>
        </w:rPr>
        <w:t xml:space="preserve"> to es</w:t>
      </w:r>
      <w:r w:rsidR="003157E2" w:rsidRPr="00385560">
        <w:rPr>
          <w:kern w:val="22"/>
        </w:rPr>
        <w:t xml:space="preserve">tablish or maintain means to regulate, manage or control the risks associated with the use and release of living modified organisms resulting from biotechnology which are likely to have adverse environmental impacts that could affect the </w:t>
      </w:r>
      <w:r w:rsidR="003157E2" w:rsidRPr="00385560">
        <w:rPr>
          <w:kern w:val="22"/>
        </w:rPr>
        <w:lastRenderedPageBreak/>
        <w:t>conservation and sustainable use of biological diversity, taking also into account the risks to human health</w:t>
      </w:r>
      <w:r w:rsidR="00370E97" w:rsidRPr="00385560">
        <w:rPr>
          <w:kern w:val="22"/>
        </w:rPr>
        <w:t>.</w:t>
      </w:r>
    </w:p>
    <w:p w:rsidR="00C1704F" w:rsidRPr="00385560" w:rsidRDefault="003157E2"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Article 19 of the Convention</w:t>
      </w:r>
      <w:r w:rsidR="00370E97" w:rsidRPr="00385560">
        <w:rPr>
          <w:kern w:val="22"/>
        </w:rPr>
        <w:t xml:space="preserve"> sets out </w:t>
      </w:r>
      <w:r w:rsidR="001660AB" w:rsidRPr="00385560">
        <w:rPr>
          <w:kern w:val="22"/>
        </w:rPr>
        <w:t xml:space="preserve">provisions for effective participation in biotechnological research activities </w:t>
      </w:r>
      <w:r w:rsidR="003D5B83" w:rsidRPr="00385560">
        <w:rPr>
          <w:kern w:val="22"/>
        </w:rPr>
        <w:t xml:space="preserve">by those Parties, especially developing countries, which provide the genetic resources for such research </w:t>
      </w:r>
      <w:r w:rsidR="002B40D2" w:rsidRPr="00385560">
        <w:rPr>
          <w:kern w:val="22"/>
        </w:rPr>
        <w:t>(para.</w:t>
      </w:r>
      <w:r w:rsidR="004D4B8E">
        <w:rPr>
          <w:kern w:val="22"/>
        </w:rPr>
        <w:t> </w:t>
      </w:r>
      <w:r w:rsidR="004431C9" w:rsidRPr="00385560">
        <w:rPr>
          <w:kern w:val="22"/>
        </w:rPr>
        <w:t xml:space="preserve">1), measures to promote and advance priority access on a fair and equitable basis </w:t>
      </w:r>
      <w:r w:rsidR="003D5B83" w:rsidRPr="00385560">
        <w:rPr>
          <w:kern w:val="22"/>
        </w:rPr>
        <w:t xml:space="preserve">by those Parties, especially developing countries, </w:t>
      </w:r>
      <w:r w:rsidR="004431C9" w:rsidRPr="00385560">
        <w:rPr>
          <w:kern w:val="22"/>
        </w:rPr>
        <w:t>to the results and benefits arising from biotechnologies based upon genetic resources</w:t>
      </w:r>
      <w:r w:rsidR="003D5B83" w:rsidRPr="00385560">
        <w:rPr>
          <w:kern w:val="22"/>
        </w:rPr>
        <w:t>, provided by those Parties</w:t>
      </w:r>
      <w:r w:rsidR="004431C9" w:rsidRPr="00385560">
        <w:rPr>
          <w:kern w:val="22"/>
        </w:rPr>
        <w:t xml:space="preserve"> </w:t>
      </w:r>
      <w:r w:rsidR="002B40D2" w:rsidRPr="00385560">
        <w:rPr>
          <w:kern w:val="22"/>
        </w:rPr>
        <w:t>(para.</w:t>
      </w:r>
      <w:r w:rsidR="004D4B8E">
        <w:rPr>
          <w:kern w:val="22"/>
        </w:rPr>
        <w:t> </w:t>
      </w:r>
      <w:r w:rsidR="004431C9" w:rsidRPr="00385560">
        <w:rPr>
          <w:kern w:val="22"/>
        </w:rPr>
        <w:t>2)</w:t>
      </w:r>
      <w:r w:rsidR="000A5DCB" w:rsidRPr="00385560">
        <w:rPr>
          <w:kern w:val="22"/>
        </w:rPr>
        <w:t xml:space="preserve">. </w:t>
      </w:r>
      <w:r w:rsidR="00C1704F" w:rsidRPr="00385560">
        <w:rPr>
          <w:kern w:val="22"/>
        </w:rPr>
        <w:t>It also</w:t>
      </w:r>
      <w:r w:rsidR="000A5DCB" w:rsidRPr="00385560">
        <w:rPr>
          <w:kern w:val="22"/>
        </w:rPr>
        <w:t xml:space="preserve"> requires Parties to provide </w:t>
      </w:r>
      <w:r w:rsidR="0071235F" w:rsidRPr="00385560">
        <w:rPr>
          <w:kern w:val="22"/>
        </w:rPr>
        <w:t xml:space="preserve">those Parties where living modified organisms are introduced </w:t>
      </w:r>
      <w:r w:rsidR="00C95AF5">
        <w:rPr>
          <w:kern w:val="22"/>
        </w:rPr>
        <w:t xml:space="preserve">with </w:t>
      </w:r>
      <w:r w:rsidR="000A5DCB" w:rsidRPr="00385560">
        <w:rPr>
          <w:kern w:val="22"/>
        </w:rPr>
        <w:t xml:space="preserve">any available information about </w:t>
      </w:r>
      <w:r w:rsidR="00126374" w:rsidRPr="00385560">
        <w:rPr>
          <w:kern w:val="22"/>
        </w:rPr>
        <w:t>the</w:t>
      </w:r>
      <w:r w:rsidR="009A3E71" w:rsidRPr="00385560">
        <w:rPr>
          <w:kern w:val="22"/>
        </w:rPr>
        <w:t xml:space="preserve"> </w:t>
      </w:r>
      <w:r w:rsidR="000A5DCB" w:rsidRPr="00385560">
        <w:rPr>
          <w:kern w:val="22"/>
        </w:rPr>
        <w:t xml:space="preserve">use and safety regulations </w:t>
      </w:r>
      <w:r w:rsidR="00C017A3">
        <w:rPr>
          <w:kern w:val="22"/>
        </w:rPr>
        <w:t xml:space="preserve">which </w:t>
      </w:r>
      <w:r w:rsidR="00742B23" w:rsidRPr="00385560">
        <w:rPr>
          <w:kern w:val="22"/>
        </w:rPr>
        <w:t xml:space="preserve">it </w:t>
      </w:r>
      <w:r w:rsidR="00C017A3">
        <w:rPr>
          <w:kern w:val="22"/>
        </w:rPr>
        <w:t xml:space="preserve">would </w:t>
      </w:r>
      <w:r w:rsidR="00742B23" w:rsidRPr="00385560">
        <w:rPr>
          <w:kern w:val="22"/>
        </w:rPr>
        <w:t xml:space="preserve">require </w:t>
      </w:r>
      <w:r w:rsidR="000A5DCB" w:rsidRPr="00385560">
        <w:rPr>
          <w:kern w:val="22"/>
        </w:rPr>
        <w:t xml:space="preserve">in handling living modified organisms as well as information on </w:t>
      </w:r>
      <w:r w:rsidR="00103095" w:rsidRPr="00385560">
        <w:rPr>
          <w:kern w:val="22"/>
        </w:rPr>
        <w:t>their</w:t>
      </w:r>
      <w:r w:rsidR="000A5DCB" w:rsidRPr="00385560">
        <w:rPr>
          <w:kern w:val="22"/>
        </w:rPr>
        <w:t xml:space="preserve"> pot</w:t>
      </w:r>
      <w:r w:rsidR="002B40D2" w:rsidRPr="00385560">
        <w:rPr>
          <w:kern w:val="22"/>
        </w:rPr>
        <w:t>ential adverse impact (para.</w:t>
      </w:r>
      <w:r w:rsidR="007F1878">
        <w:rPr>
          <w:kern w:val="22"/>
        </w:rPr>
        <w:t> </w:t>
      </w:r>
      <w:r w:rsidR="008B2EB1" w:rsidRPr="00385560">
        <w:rPr>
          <w:kern w:val="22"/>
        </w:rPr>
        <w:t>4</w:t>
      </w:r>
      <w:r w:rsidR="000A5DCB" w:rsidRPr="00385560">
        <w:rPr>
          <w:kern w:val="22"/>
        </w:rPr>
        <w:t>)</w:t>
      </w:r>
      <w:r w:rsidR="0071235F" w:rsidRPr="00385560">
        <w:rPr>
          <w:kern w:val="22"/>
        </w:rPr>
        <w:t>.</w:t>
      </w:r>
    </w:p>
    <w:p w:rsidR="00370E97" w:rsidRPr="00385560" w:rsidRDefault="00C1704F" w:rsidP="00385560">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385560">
        <w:rPr>
          <w:kern w:val="22"/>
          <w:szCs w:val="22"/>
        </w:rPr>
        <w:t>Article 19, paragraph 3, also provide</w:t>
      </w:r>
      <w:r w:rsidR="00D617B1" w:rsidRPr="00385560">
        <w:rPr>
          <w:kern w:val="22"/>
          <w:szCs w:val="22"/>
        </w:rPr>
        <w:t>s</w:t>
      </w:r>
      <w:r w:rsidRPr="00385560">
        <w:rPr>
          <w:kern w:val="22"/>
          <w:szCs w:val="22"/>
        </w:rPr>
        <w:t xml:space="preserve"> the basis for </w:t>
      </w:r>
      <w:r w:rsidR="002D05B6" w:rsidRPr="00385560">
        <w:rPr>
          <w:kern w:val="22"/>
          <w:szCs w:val="22"/>
        </w:rPr>
        <w:t xml:space="preserve">the </w:t>
      </w:r>
      <w:r w:rsidRPr="00385560">
        <w:rPr>
          <w:kern w:val="22"/>
          <w:szCs w:val="22"/>
        </w:rPr>
        <w:t xml:space="preserve">development of what became the </w:t>
      </w:r>
      <w:r w:rsidR="00370E97" w:rsidRPr="00385560">
        <w:rPr>
          <w:kern w:val="22"/>
          <w:szCs w:val="22"/>
        </w:rPr>
        <w:t>Cartagena Protocol</w:t>
      </w:r>
      <w:r w:rsidR="004431C9" w:rsidRPr="00385560">
        <w:rPr>
          <w:kern w:val="22"/>
          <w:szCs w:val="22"/>
        </w:rPr>
        <w:t>, which</w:t>
      </w:r>
      <w:r w:rsidR="00370E97" w:rsidRPr="00385560">
        <w:rPr>
          <w:kern w:val="22"/>
          <w:szCs w:val="22"/>
        </w:rPr>
        <w:t xml:space="preserve"> </w:t>
      </w:r>
      <w:r w:rsidR="004431C9" w:rsidRPr="00385560">
        <w:rPr>
          <w:kern w:val="22"/>
          <w:szCs w:val="22"/>
        </w:rPr>
        <w:t>entered into force in 2003</w:t>
      </w:r>
      <w:r w:rsidRPr="00385560">
        <w:rPr>
          <w:kern w:val="22"/>
          <w:szCs w:val="22"/>
        </w:rPr>
        <w:t>.</w:t>
      </w:r>
      <w:r w:rsidR="00144694" w:rsidRPr="00385560">
        <w:rPr>
          <w:rStyle w:val="FootnoteReference"/>
          <w:kern w:val="22"/>
          <w:sz w:val="22"/>
          <w:szCs w:val="22"/>
          <w:u w:val="none"/>
          <w:vertAlign w:val="superscript"/>
        </w:rPr>
        <w:footnoteReference w:id="2"/>
      </w:r>
      <w:r w:rsidRPr="00385560">
        <w:rPr>
          <w:kern w:val="22"/>
          <w:szCs w:val="22"/>
        </w:rPr>
        <w:t xml:space="preserve"> </w:t>
      </w:r>
      <w:r w:rsidR="004431C9" w:rsidRPr="00385560">
        <w:rPr>
          <w:kern w:val="22"/>
          <w:szCs w:val="22"/>
        </w:rPr>
        <w:t>Its</w:t>
      </w:r>
      <w:r w:rsidR="00C7493C" w:rsidRPr="00385560">
        <w:rPr>
          <w:kern w:val="22"/>
          <w:szCs w:val="22"/>
        </w:rPr>
        <w:t xml:space="preserve"> objective is</w:t>
      </w:r>
      <w:r w:rsidR="00370E97" w:rsidRPr="00385560">
        <w:rPr>
          <w:kern w:val="22"/>
          <w:szCs w:val="22"/>
        </w:rPr>
        <w:t xml:space="preserve"> to contribute to ensuring an adequate level of protection in the field of the safe transfer, handling and use of living modified organisms resulting from modern biotechnology that may have adverse effects on the conservation and sustainable use of biological diversity, taking also into account risks to human health, and specifically focusing on transboundary movements.</w:t>
      </w:r>
    </w:p>
    <w:p w:rsidR="00C1704F" w:rsidRPr="00385560" w:rsidRDefault="001660AB"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Against this background, the Cartagena Protocol builds upon and complement</w:t>
      </w:r>
      <w:r w:rsidR="004431C9" w:rsidRPr="00385560">
        <w:rPr>
          <w:kern w:val="22"/>
        </w:rPr>
        <w:t>s</w:t>
      </w:r>
      <w:r w:rsidR="002B40D2" w:rsidRPr="00385560">
        <w:rPr>
          <w:kern w:val="22"/>
        </w:rPr>
        <w:t xml:space="preserve"> the biosafety</w:t>
      </w:r>
      <w:r w:rsidR="002B40D2" w:rsidRPr="00385560">
        <w:rPr>
          <w:kern w:val="22"/>
        </w:rPr>
        <w:noBreakHyphen/>
      </w:r>
      <w:r w:rsidRPr="00385560">
        <w:rPr>
          <w:kern w:val="22"/>
        </w:rPr>
        <w:t>related</w:t>
      </w:r>
      <w:r w:rsidR="004431C9" w:rsidRPr="00385560">
        <w:rPr>
          <w:kern w:val="22"/>
        </w:rPr>
        <w:t xml:space="preserve"> provisions of the Convention. There are, however, distinctions in the scope of biosafety-related provisions under the Convention and the Protocol. On the one hand, the biosafety-related provisions </w:t>
      </w:r>
      <w:r w:rsidR="00696FE8" w:rsidRPr="00385560">
        <w:rPr>
          <w:kern w:val="22"/>
        </w:rPr>
        <w:t xml:space="preserve">of the Convention </w:t>
      </w:r>
      <w:r w:rsidR="004431C9" w:rsidRPr="00385560">
        <w:rPr>
          <w:kern w:val="22"/>
        </w:rPr>
        <w:t>relate to</w:t>
      </w:r>
      <w:r w:rsidR="00696FE8" w:rsidRPr="00385560">
        <w:rPr>
          <w:kern w:val="22"/>
        </w:rPr>
        <w:t xml:space="preserve"> both national and international measures to support the three objectives of the Convention in relation to living modified organisms </w:t>
      </w:r>
      <w:r w:rsidR="006100D1" w:rsidRPr="00385560">
        <w:rPr>
          <w:kern w:val="22"/>
        </w:rPr>
        <w:t>as well as</w:t>
      </w:r>
      <w:r w:rsidR="00696FE8" w:rsidRPr="00385560">
        <w:rPr>
          <w:kern w:val="22"/>
        </w:rPr>
        <w:t xml:space="preserve"> </w:t>
      </w:r>
      <w:r w:rsidR="006100D1" w:rsidRPr="00385560">
        <w:rPr>
          <w:kern w:val="22"/>
        </w:rPr>
        <w:t xml:space="preserve">the </w:t>
      </w:r>
      <w:r w:rsidR="00696FE8" w:rsidRPr="00385560">
        <w:rPr>
          <w:kern w:val="22"/>
        </w:rPr>
        <w:t xml:space="preserve">non-living components and products of biotechnology. On the other hand, the Cartagena Protocol </w:t>
      </w:r>
      <w:r w:rsidR="006100D1" w:rsidRPr="00385560">
        <w:rPr>
          <w:kern w:val="22"/>
        </w:rPr>
        <w:t>focuses on the transboundary movements of</w:t>
      </w:r>
      <w:r w:rsidR="00696FE8" w:rsidRPr="00385560">
        <w:rPr>
          <w:kern w:val="22"/>
        </w:rPr>
        <w:t xml:space="preserve"> living modified organisms that may have potential adverse effects to the conservation and sustainable use of biological diversity.</w:t>
      </w:r>
    </w:p>
    <w:p w:rsidR="001660AB" w:rsidRPr="00385560" w:rsidRDefault="00C1704F"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Other provisions of the Convention may be relevant to biosafety, including those under Articles 7 (Identification and </w:t>
      </w:r>
      <w:r w:rsidR="00727935">
        <w:rPr>
          <w:kern w:val="22"/>
        </w:rPr>
        <w:t>m</w:t>
      </w:r>
      <w:r w:rsidRPr="00385560">
        <w:rPr>
          <w:kern w:val="22"/>
        </w:rPr>
        <w:t xml:space="preserve">onitoring), 14 (Impact </w:t>
      </w:r>
      <w:r w:rsidR="00727935">
        <w:rPr>
          <w:kern w:val="22"/>
        </w:rPr>
        <w:t>a</w:t>
      </w:r>
      <w:r w:rsidRPr="00385560">
        <w:rPr>
          <w:kern w:val="22"/>
        </w:rPr>
        <w:t xml:space="preserve">ssessment and </w:t>
      </w:r>
      <w:r w:rsidR="00727935">
        <w:rPr>
          <w:kern w:val="22"/>
        </w:rPr>
        <w:t>m</w:t>
      </w:r>
      <w:r w:rsidRPr="00385560">
        <w:rPr>
          <w:kern w:val="22"/>
        </w:rPr>
        <w:t xml:space="preserve">inimizing </w:t>
      </w:r>
      <w:r w:rsidR="00727935">
        <w:rPr>
          <w:kern w:val="22"/>
        </w:rPr>
        <w:t>a</w:t>
      </w:r>
      <w:r w:rsidRPr="00385560">
        <w:rPr>
          <w:kern w:val="22"/>
        </w:rPr>
        <w:t xml:space="preserve">dverse </w:t>
      </w:r>
      <w:r w:rsidR="00727935">
        <w:rPr>
          <w:kern w:val="22"/>
        </w:rPr>
        <w:t>i</w:t>
      </w:r>
      <w:r w:rsidRPr="00385560">
        <w:rPr>
          <w:kern w:val="22"/>
        </w:rPr>
        <w:t xml:space="preserve">mpacts), 16 (Access to and </w:t>
      </w:r>
      <w:r w:rsidR="00727935">
        <w:rPr>
          <w:kern w:val="22"/>
        </w:rPr>
        <w:t>t</w:t>
      </w:r>
      <w:r w:rsidRPr="00385560">
        <w:rPr>
          <w:kern w:val="22"/>
        </w:rPr>
        <w:t xml:space="preserve">ransfer of </w:t>
      </w:r>
      <w:r w:rsidR="00727935">
        <w:rPr>
          <w:kern w:val="22"/>
        </w:rPr>
        <w:t>t</w:t>
      </w:r>
      <w:r w:rsidRPr="00385560">
        <w:rPr>
          <w:kern w:val="22"/>
        </w:rPr>
        <w:t xml:space="preserve">echnology), 18 (Technical and </w:t>
      </w:r>
      <w:r w:rsidR="00727935">
        <w:rPr>
          <w:kern w:val="22"/>
        </w:rPr>
        <w:t>s</w:t>
      </w:r>
      <w:r w:rsidRPr="00385560">
        <w:rPr>
          <w:kern w:val="22"/>
        </w:rPr>
        <w:t xml:space="preserve">cientific </w:t>
      </w:r>
      <w:r w:rsidR="00727935">
        <w:rPr>
          <w:kern w:val="22"/>
        </w:rPr>
        <w:t>c</w:t>
      </w:r>
      <w:r w:rsidRPr="00385560">
        <w:rPr>
          <w:kern w:val="22"/>
        </w:rPr>
        <w:t xml:space="preserve">ooperation), and 20 (Financial </w:t>
      </w:r>
      <w:r w:rsidR="00727935">
        <w:rPr>
          <w:kern w:val="22"/>
        </w:rPr>
        <w:t>r</w:t>
      </w:r>
      <w:r w:rsidRPr="00385560">
        <w:rPr>
          <w:kern w:val="22"/>
        </w:rPr>
        <w:t>esources).</w:t>
      </w:r>
    </w:p>
    <w:p w:rsidR="00B26763" w:rsidRPr="00385560" w:rsidRDefault="002B40D2" w:rsidP="00385560">
      <w:pPr>
        <w:pStyle w:val="Heading2"/>
        <w:suppressLineNumbers/>
        <w:tabs>
          <w:tab w:val="clear" w:pos="720"/>
          <w:tab w:val="left" w:pos="36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sidRPr="00385560">
        <w:rPr>
          <w:rFonts w:ascii="Times New Roman Bold" w:hAnsi="Times New Roman Bold" w:cs="Times New Roman Bold"/>
          <w:snapToGrid w:val="0"/>
          <w:kern w:val="22"/>
        </w:rPr>
        <w:t>B.</w:t>
      </w:r>
      <w:r w:rsidRPr="00385560">
        <w:rPr>
          <w:rFonts w:ascii="Times New Roman Bold" w:hAnsi="Times New Roman Bold" w:cs="Times New Roman Bold"/>
          <w:snapToGrid w:val="0"/>
          <w:kern w:val="22"/>
        </w:rPr>
        <w:tab/>
      </w:r>
      <w:r w:rsidR="00B26763" w:rsidRPr="00385560">
        <w:rPr>
          <w:rFonts w:ascii="Times New Roman Bold" w:hAnsi="Times New Roman Bold" w:cs="Times New Roman Bold"/>
          <w:snapToGrid w:val="0"/>
          <w:kern w:val="22"/>
        </w:rPr>
        <w:t>Status of ratification of the Cartagena Protocol</w:t>
      </w:r>
    </w:p>
    <w:p w:rsidR="002154DB" w:rsidRPr="00385560" w:rsidRDefault="00B26763" w:rsidP="00385560">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385560">
        <w:rPr>
          <w:kern w:val="22"/>
          <w:szCs w:val="22"/>
        </w:rPr>
        <w:t xml:space="preserve">As </w:t>
      </w:r>
      <w:r w:rsidR="006803CF" w:rsidRPr="00385560">
        <w:rPr>
          <w:kern w:val="22"/>
          <w:szCs w:val="22"/>
        </w:rPr>
        <w:t>o</w:t>
      </w:r>
      <w:r w:rsidR="006100D1" w:rsidRPr="00385560">
        <w:rPr>
          <w:kern w:val="22"/>
          <w:szCs w:val="22"/>
        </w:rPr>
        <w:t xml:space="preserve">f </w:t>
      </w:r>
      <w:r w:rsidR="008416B4" w:rsidRPr="00385560">
        <w:rPr>
          <w:kern w:val="22"/>
          <w:szCs w:val="22"/>
        </w:rPr>
        <w:t>May 2018</w:t>
      </w:r>
      <w:r w:rsidR="006100D1" w:rsidRPr="00385560">
        <w:rPr>
          <w:kern w:val="22"/>
          <w:szCs w:val="22"/>
        </w:rPr>
        <w:t>, the Cartagena Protocol on Biosafety had</w:t>
      </w:r>
      <w:r w:rsidR="006803CF" w:rsidRPr="00385560">
        <w:rPr>
          <w:kern w:val="22"/>
          <w:szCs w:val="22"/>
        </w:rPr>
        <w:t xml:space="preserve"> 171 Parties. A total of 25 Parties to the Convention are not Parties to the Cartagena Protocol</w:t>
      </w:r>
      <w:r w:rsidR="00551CCF" w:rsidRPr="00385560">
        <w:rPr>
          <w:kern w:val="22"/>
          <w:szCs w:val="22"/>
        </w:rPr>
        <w:t>.</w:t>
      </w:r>
      <w:r w:rsidR="00C1704F" w:rsidRPr="00385560">
        <w:rPr>
          <w:rStyle w:val="FootnoteReference"/>
          <w:kern w:val="22"/>
          <w:sz w:val="22"/>
          <w:szCs w:val="22"/>
          <w:u w:val="none"/>
          <w:vertAlign w:val="superscript"/>
        </w:rPr>
        <w:footnoteReference w:id="3"/>
      </w:r>
      <w:r w:rsidR="006803CF" w:rsidRPr="00385560">
        <w:rPr>
          <w:kern w:val="22"/>
          <w:szCs w:val="22"/>
        </w:rPr>
        <w:t xml:space="preserve"> </w:t>
      </w:r>
      <w:r w:rsidR="00C1704F" w:rsidRPr="00385560">
        <w:rPr>
          <w:kern w:val="22"/>
          <w:szCs w:val="22"/>
        </w:rPr>
        <w:t>Most of these</w:t>
      </w:r>
      <w:r w:rsidR="00855856" w:rsidRPr="00385560">
        <w:rPr>
          <w:kern w:val="22"/>
          <w:szCs w:val="22"/>
        </w:rPr>
        <w:t xml:space="preserve"> </w:t>
      </w:r>
      <w:r w:rsidR="00D50188" w:rsidRPr="00385560">
        <w:rPr>
          <w:kern w:val="22"/>
          <w:szCs w:val="22"/>
        </w:rPr>
        <w:t>are</w:t>
      </w:r>
      <w:r w:rsidR="00855856" w:rsidRPr="00385560">
        <w:rPr>
          <w:kern w:val="22"/>
          <w:szCs w:val="22"/>
        </w:rPr>
        <w:t xml:space="preserve"> </w:t>
      </w:r>
      <w:r w:rsidR="00673DD5" w:rsidRPr="00385560">
        <w:rPr>
          <w:kern w:val="22"/>
          <w:szCs w:val="22"/>
        </w:rPr>
        <w:t>located in</w:t>
      </w:r>
      <w:r w:rsidR="002154DB" w:rsidRPr="00385560">
        <w:rPr>
          <w:kern w:val="22"/>
          <w:szCs w:val="22"/>
        </w:rPr>
        <w:t xml:space="preserve"> </w:t>
      </w:r>
      <w:r w:rsidR="006100D1" w:rsidRPr="00385560">
        <w:rPr>
          <w:kern w:val="22"/>
          <w:szCs w:val="22"/>
        </w:rPr>
        <w:t xml:space="preserve">the </w:t>
      </w:r>
      <w:r w:rsidR="002154DB" w:rsidRPr="00385560">
        <w:rPr>
          <w:kern w:val="22"/>
          <w:szCs w:val="22"/>
        </w:rPr>
        <w:t>Asia</w:t>
      </w:r>
      <w:r w:rsidR="00C41958">
        <w:rPr>
          <w:kern w:val="22"/>
          <w:szCs w:val="22"/>
        </w:rPr>
        <w:t>n</w:t>
      </w:r>
      <w:r w:rsidR="00D50188" w:rsidRPr="00385560">
        <w:rPr>
          <w:kern w:val="22"/>
          <w:szCs w:val="22"/>
        </w:rPr>
        <w:t xml:space="preserve"> and </w:t>
      </w:r>
      <w:r w:rsidR="002154DB" w:rsidRPr="00385560">
        <w:rPr>
          <w:kern w:val="22"/>
          <w:szCs w:val="22"/>
        </w:rPr>
        <w:t>Pacific</w:t>
      </w:r>
      <w:r w:rsidR="006100D1" w:rsidRPr="00385560">
        <w:rPr>
          <w:kern w:val="22"/>
          <w:szCs w:val="22"/>
        </w:rPr>
        <w:t xml:space="preserve"> region</w:t>
      </w:r>
      <w:r w:rsidR="002154DB" w:rsidRPr="00385560">
        <w:rPr>
          <w:kern w:val="22"/>
          <w:szCs w:val="22"/>
        </w:rPr>
        <w:t xml:space="preserve"> </w:t>
      </w:r>
      <w:r w:rsidR="00C1704F" w:rsidRPr="00385560">
        <w:rPr>
          <w:kern w:val="22"/>
          <w:szCs w:val="22"/>
        </w:rPr>
        <w:t xml:space="preserve">(8 countries) </w:t>
      </w:r>
      <w:r w:rsidR="002154DB" w:rsidRPr="00385560">
        <w:rPr>
          <w:kern w:val="22"/>
          <w:szCs w:val="22"/>
        </w:rPr>
        <w:t>and</w:t>
      </w:r>
      <w:r w:rsidR="00673DD5" w:rsidRPr="00385560">
        <w:rPr>
          <w:kern w:val="22"/>
          <w:szCs w:val="22"/>
        </w:rPr>
        <w:t xml:space="preserve"> </w:t>
      </w:r>
      <w:r w:rsidR="006100D1" w:rsidRPr="00385560">
        <w:rPr>
          <w:kern w:val="22"/>
          <w:szCs w:val="22"/>
        </w:rPr>
        <w:t>the</w:t>
      </w:r>
      <w:r w:rsidR="002154DB" w:rsidRPr="00385560">
        <w:rPr>
          <w:kern w:val="22"/>
          <w:szCs w:val="22"/>
        </w:rPr>
        <w:t xml:space="preserve"> </w:t>
      </w:r>
      <w:r w:rsidR="006100D1" w:rsidRPr="00385560">
        <w:rPr>
          <w:kern w:val="22"/>
          <w:szCs w:val="22"/>
        </w:rPr>
        <w:t>Western Europe and Others Group (</w:t>
      </w:r>
      <w:r w:rsidR="00C1704F" w:rsidRPr="00385560">
        <w:rPr>
          <w:kern w:val="22"/>
          <w:szCs w:val="22"/>
        </w:rPr>
        <w:t>7 countries</w:t>
      </w:r>
      <w:r w:rsidR="006100D1" w:rsidRPr="00385560">
        <w:rPr>
          <w:kern w:val="22"/>
          <w:szCs w:val="22"/>
        </w:rPr>
        <w:t>)</w:t>
      </w:r>
      <w:r w:rsidR="0065770C" w:rsidRPr="00385560">
        <w:rPr>
          <w:kern w:val="22"/>
          <w:szCs w:val="22"/>
        </w:rPr>
        <w:t>.</w:t>
      </w:r>
    </w:p>
    <w:p w:rsidR="0065770C" w:rsidRPr="00385560" w:rsidRDefault="00C41958" w:rsidP="00385560">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lang w:val="en-US"/>
        </w:rPr>
        <w:t>In</w:t>
      </w:r>
      <w:r w:rsidRPr="00385560">
        <w:rPr>
          <w:kern w:val="22"/>
          <w:szCs w:val="22"/>
          <w:lang w:val="en-US"/>
        </w:rPr>
        <w:t xml:space="preserve"> </w:t>
      </w:r>
      <w:r w:rsidR="00475CE3" w:rsidRPr="00385560">
        <w:rPr>
          <w:kern w:val="22"/>
          <w:szCs w:val="22"/>
          <w:lang w:val="en-US"/>
        </w:rPr>
        <w:t xml:space="preserve">the past </w:t>
      </w:r>
      <w:r>
        <w:rPr>
          <w:kern w:val="22"/>
          <w:szCs w:val="22"/>
          <w:lang w:val="en-US"/>
        </w:rPr>
        <w:t xml:space="preserve">few </w:t>
      </w:r>
      <w:r w:rsidR="00475CE3" w:rsidRPr="00385560">
        <w:rPr>
          <w:kern w:val="22"/>
          <w:szCs w:val="22"/>
          <w:lang w:val="en-US"/>
        </w:rPr>
        <w:t xml:space="preserve">years, </w:t>
      </w:r>
      <w:r w:rsidR="0065770C" w:rsidRPr="00385560">
        <w:rPr>
          <w:kern w:val="22"/>
          <w:szCs w:val="22"/>
        </w:rPr>
        <w:t>progress</w:t>
      </w:r>
      <w:r w:rsidR="00C1704F" w:rsidRPr="00385560">
        <w:rPr>
          <w:kern w:val="22"/>
          <w:szCs w:val="22"/>
        </w:rPr>
        <w:t xml:space="preserve"> </w:t>
      </w:r>
      <w:r w:rsidR="0068607C" w:rsidRPr="00385560">
        <w:rPr>
          <w:kern w:val="22"/>
          <w:szCs w:val="22"/>
        </w:rPr>
        <w:t>by</w:t>
      </w:r>
      <w:r w:rsidR="002154DB" w:rsidRPr="00385560">
        <w:rPr>
          <w:kern w:val="22"/>
          <w:szCs w:val="22"/>
        </w:rPr>
        <w:t xml:space="preserve"> </w:t>
      </w:r>
      <w:r w:rsidR="0065770C" w:rsidRPr="00385560">
        <w:rPr>
          <w:kern w:val="22"/>
          <w:szCs w:val="22"/>
        </w:rPr>
        <w:t>countries</w:t>
      </w:r>
      <w:r w:rsidR="002154DB" w:rsidRPr="00385560">
        <w:rPr>
          <w:kern w:val="22"/>
          <w:szCs w:val="22"/>
        </w:rPr>
        <w:t xml:space="preserve"> </w:t>
      </w:r>
      <w:r w:rsidR="00C32427">
        <w:rPr>
          <w:kern w:val="22"/>
          <w:szCs w:val="22"/>
        </w:rPr>
        <w:t>in</w:t>
      </w:r>
      <w:r w:rsidR="00C32427" w:rsidRPr="00385560">
        <w:rPr>
          <w:kern w:val="22"/>
          <w:szCs w:val="22"/>
        </w:rPr>
        <w:t xml:space="preserve"> </w:t>
      </w:r>
      <w:r w:rsidR="002154DB" w:rsidRPr="00385560">
        <w:rPr>
          <w:kern w:val="22"/>
          <w:szCs w:val="22"/>
        </w:rPr>
        <w:t>ratify</w:t>
      </w:r>
      <w:r w:rsidR="00C32427">
        <w:rPr>
          <w:kern w:val="22"/>
          <w:szCs w:val="22"/>
        </w:rPr>
        <w:t>ing</w:t>
      </w:r>
      <w:r w:rsidR="002154DB" w:rsidRPr="00385560">
        <w:rPr>
          <w:kern w:val="22"/>
          <w:szCs w:val="22"/>
        </w:rPr>
        <w:t xml:space="preserve"> or </w:t>
      </w:r>
      <w:r w:rsidR="00C32427">
        <w:rPr>
          <w:kern w:val="22"/>
          <w:szCs w:val="22"/>
        </w:rPr>
        <w:t>acceding to</w:t>
      </w:r>
      <w:r w:rsidR="00C32427" w:rsidRPr="00385560">
        <w:rPr>
          <w:kern w:val="22"/>
          <w:szCs w:val="22"/>
        </w:rPr>
        <w:t xml:space="preserve"> </w:t>
      </w:r>
      <w:r w:rsidR="002154DB" w:rsidRPr="00385560">
        <w:rPr>
          <w:kern w:val="22"/>
          <w:szCs w:val="22"/>
        </w:rPr>
        <w:t>the Cartagena Protocol</w:t>
      </w:r>
      <w:r w:rsidR="0065770C" w:rsidRPr="00385560">
        <w:rPr>
          <w:kern w:val="22"/>
          <w:szCs w:val="22"/>
        </w:rPr>
        <w:t xml:space="preserve"> </w:t>
      </w:r>
      <w:r w:rsidR="00475CE3" w:rsidRPr="00385560">
        <w:rPr>
          <w:kern w:val="22"/>
          <w:szCs w:val="22"/>
        </w:rPr>
        <w:t>has been limited</w:t>
      </w:r>
      <w:r w:rsidR="0089149F">
        <w:rPr>
          <w:kern w:val="22"/>
          <w:szCs w:val="22"/>
        </w:rPr>
        <w:t>,</w:t>
      </w:r>
      <w:r w:rsidR="00475CE3" w:rsidRPr="00385560">
        <w:rPr>
          <w:kern w:val="22"/>
          <w:szCs w:val="22"/>
        </w:rPr>
        <w:t xml:space="preserve"> and</w:t>
      </w:r>
      <w:r w:rsidR="00475CE3" w:rsidRPr="00385560">
        <w:rPr>
          <w:kern w:val="22"/>
          <w:szCs w:val="22"/>
          <w:lang w:val="en-US"/>
        </w:rPr>
        <w:t xml:space="preserve"> the number of new ratifications has been very low: 2 Parties in 2013; 2 Parties in 2014; 2</w:t>
      </w:r>
      <w:r w:rsidR="00B46C93" w:rsidRPr="00385560">
        <w:rPr>
          <w:kern w:val="22"/>
          <w:szCs w:val="22"/>
          <w:lang w:val="en-US"/>
        </w:rPr>
        <w:t> </w:t>
      </w:r>
      <w:r w:rsidR="00475CE3" w:rsidRPr="00385560">
        <w:rPr>
          <w:kern w:val="22"/>
          <w:szCs w:val="22"/>
          <w:lang w:val="en-US"/>
        </w:rPr>
        <w:t>Parties in 2015; no Parties in 2016; and 1 Party in 2017.</w:t>
      </w:r>
    </w:p>
    <w:p w:rsidR="009029A0" w:rsidRPr="00385560" w:rsidRDefault="009E0D5C" w:rsidP="00385560">
      <w:pPr>
        <w:pStyle w:val="Para1"/>
        <w:suppressLineNumbers/>
        <w:tabs>
          <w:tab w:val="clear" w:pos="360"/>
          <w:tab w:val="num" w:pos="720"/>
        </w:tabs>
        <w:suppressAutoHyphens/>
        <w:kinsoku w:val="0"/>
        <w:overflowPunct w:val="0"/>
        <w:autoSpaceDE w:val="0"/>
        <w:autoSpaceDN w:val="0"/>
        <w:adjustRightInd w:val="0"/>
        <w:snapToGrid w:val="0"/>
        <w:rPr>
          <w:kern w:val="22"/>
          <w:szCs w:val="22"/>
        </w:rPr>
      </w:pPr>
      <w:r w:rsidRPr="00385560">
        <w:rPr>
          <w:kern w:val="22"/>
          <w:szCs w:val="22"/>
        </w:rPr>
        <w:t>As highlighted</w:t>
      </w:r>
      <w:r w:rsidR="00A2169A" w:rsidRPr="00385560">
        <w:rPr>
          <w:kern w:val="22"/>
          <w:szCs w:val="22"/>
        </w:rPr>
        <w:t xml:space="preserve"> in </w:t>
      </w:r>
      <w:r w:rsidR="00F93258" w:rsidRPr="00385560">
        <w:rPr>
          <w:kern w:val="22"/>
          <w:szCs w:val="22"/>
        </w:rPr>
        <w:t>a number of decisions</w:t>
      </w:r>
      <w:r w:rsidR="00365E9D" w:rsidRPr="00385560">
        <w:rPr>
          <w:kern w:val="22"/>
          <w:szCs w:val="22"/>
        </w:rPr>
        <w:t xml:space="preserve">, </w:t>
      </w:r>
      <w:r w:rsidR="00A2169A" w:rsidRPr="00385560">
        <w:rPr>
          <w:kern w:val="22"/>
          <w:szCs w:val="22"/>
        </w:rPr>
        <w:t xml:space="preserve">further </w:t>
      </w:r>
      <w:r w:rsidR="006F6F44" w:rsidRPr="00385560">
        <w:rPr>
          <w:kern w:val="22"/>
          <w:szCs w:val="22"/>
        </w:rPr>
        <w:t xml:space="preserve">technical </w:t>
      </w:r>
      <w:r w:rsidR="00FC6D52" w:rsidRPr="00385560">
        <w:rPr>
          <w:kern w:val="22"/>
          <w:szCs w:val="22"/>
        </w:rPr>
        <w:t>assistance</w:t>
      </w:r>
      <w:r w:rsidR="0041618C" w:rsidRPr="00385560">
        <w:rPr>
          <w:kern w:val="22"/>
          <w:szCs w:val="22"/>
        </w:rPr>
        <w:t xml:space="preserve">, </w:t>
      </w:r>
      <w:r w:rsidR="00A2169A" w:rsidRPr="00385560">
        <w:rPr>
          <w:kern w:val="22"/>
          <w:szCs w:val="22"/>
        </w:rPr>
        <w:t xml:space="preserve">capacity-building and financial resources are needed to </w:t>
      </w:r>
      <w:r w:rsidR="006F6F44" w:rsidRPr="00385560">
        <w:rPr>
          <w:kern w:val="22"/>
          <w:szCs w:val="22"/>
        </w:rPr>
        <w:t>support ratification and implementation</w:t>
      </w:r>
      <w:r w:rsidR="00B26763" w:rsidRPr="00385560">
        <w:rPr>
          <w:kern w:val="22"/>
          <w:szCs w:val="22"/>
        </w:rPr>
        <w:t xml:space="preserve"> of the Cartagena Protocol</w:t>
      </w:r>
      <w:r w:rsidR="006F6F44" w:rsidRPr="00385560">
        <w:rPr>
          <w:kern w:val="22"/>
          <w:szCs w:val="22"/>
        </w:rPr>
        <w:t>.</w:t>
      </w:r>
    </w:p>
    <w:p w:rsidR="00B26763" w:rsidRPr="00385560" w:rsidRDefault="00C1704F"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However, </w:t>
      </w:r>
      <w:r w:rsidR="00475CE3" w:rsidRPr="00385560">
        <w:rPr>
          <w:kern w:val="22"/>
        </w:rPr>
        <w:t>a</w:t>
      </w:r>
      <w:r w:rsidR="00A42832" w:rsidRPr="00385560">
        <w:rPr>
          <w:kern w:val="22"/>
        </w:rPr>
        <w:t xml:space="preserve"> number of Parties to the Convention that </w:t>
      </w:r>
      <w:r w:rsidR="004D2396" w:rsidRPr="00385560">
        <w:rPr>
          <w:kern w:val="22"/>
        </w:rPr>
        <w:t>are not</w:t>
      </w:r>
      <w:r w:rsidR="00A42832" w:rsidRPr="00385560">
        <w:rPr>
          <w:kern w:val="22"/>
        </w:rPr>
        <w:t xml:space="preserve"> </w:t>
      </w:r>
      <w:r w:rsidR="004D2396" w:rsidRPr="00385560">
        <w:rPr>
          <w:kern w:val="22"/>
        </w:rPr>
        <w:t xml:space="preserve">Party to the </w:t>
      </w:r>
      <w:r w:rsidR="00A42832" w:rsidRPr="00385560">
        <w:rPr>
          <w:kern w:val="22"/>
        </w:rPr>
        <w:t xml:space="preserve">Cartagena Protocol already have biosafety measures in place. </w:t>
      </w:r>
      <w:r w:rsidR="00B26763" w:rsidRPr="00385560">
        <w:rPr>
          <w:kern w:val="22"/>
        </w:rPr>
        <w:t xml:space="preserve">Among them, many countries have taken </w:t>
      </w:r>
      <w:r w:rsidR="00587051" w:rsidRPr="00385560">
        <w:rPr>
          <w:kern w:val="22"/>
        </w:rPr>
        <w:t>biosafety</w:t>
      </w:r>
      <w:r w:rsidR="004D2396" w:rsidRPr="00385560">
        <w:rPr>
          <w:kern w:val="22"/>
        </w:rPr>
        <w:t xml:space="preserve"> measures</w:t>
      </w:r>
      <w:r w:rsidR="0089149F">
        <w:rPr>
          <w:kern w:val="22"/>
        </w:rPr>
        <w:t>,</w:t>
      </w:r>
      <w:r w:rsidR="004D2396" w:rsidRPr="00385560">
        <w:rPr>
          <w:kern w:val="22"/>
        </w:rPr>
        <w:t xml:space="preserve"> thereby </w:t>
      </w:r>
      <w:r w:rsidR="004D2396" w:rsidRPr="00385560">
        <w:rPr>
          <w:i/>
          <w:kern w:val="22"/>
        </w:rPr>
        <w:t xml:space="preserve">de facto </w:t>
      </w:r>
      <w:r w:rsidR="00B26763" w:rsidRPr="00385560">
        <w:rPr>
          <w:kern w:val="22"/>
        </w:rPr>
        <w:t>implement</w:t>
      </w:r>
      <w:r w:rsidR="004D2396" w:rsidRPr="00385560">
        <w:rPr>
          <w:kern w:val="22"/>
        </w:rPr>
        <w:t>ing</w:t>
      </w:r>
      <w:r w:rsidR="00B26763" w:rsidRPr="00385560">
        <w:rPr>
          <w:kern w:val="22"/>
        </w:rPr>
        <w:t xml:space="preserve"> the Cartagena Protocol</w:t>
      </w:r>
      <w:r w:rsidR="00E637DB">
        <w:rPr>
          <w:kern w:val="22"/>
        </w:rPr>
        <w:t>,</w:t>
      </w:r>
      <w:r w:rsidR="00B26763" w:rsidRPr="00385560">
        <w:rPr>
          <w:kern w:val="22"/>
        </w:rPr>
        <w:t xml:space="preserve"> and have made information</w:t>
      </w:r>
      <w:r w:rsidR="00174CC9" w:rsidRPr="00174CC9">
        <w:rPr>
          <w:kern w:val="22"/>
        </w:rPr>
        <w:t xml:space="preserve"> </w:t>
      </w:r>
      <w:r w:rsidR="00174CC9" w:rsidRPr="00B4789C">
        <w:rPr>
          <w:kern w:val="22"/>
        </w:rPr>
        <w:t>available</w:t>
      </w:r>
      <w:r w:rsidR="00B26763" w:rsidRPr="00385560">
        <w:rPr>
          <w:kern w:val="22"/>
        </w:rPr>
        <w:t xml:space="preserve"> </w:t>
      </w:r>
      <w:r w:rsidR="00DB2CC6" w:rsidRPr="00385560">
        <w:rPr>
          <w:kern w:val="22"/>
        </w:rPr>
        <w:t>in this regard</w:t>
      </w:r>
      <w:r w:rsidR="00B26763" w:rsidRPr="00385560">
        <w:rPr>
          <w:kern w:val="22"/>
        </w:rPr>
        <w:t xml:space="preserve">, such as the establishment of institutional structures or the development or revision of national biosafety measures, through their </w:t>
      </w:r>
      <w:r w:rsidR="00BA3820">
        <w:rPr>
          <w:kern w:val="22"/>
        </w:rPr>
        <w:t>NBSAPs</w:t>
      </w:r>
      <w:r w:rsidR="00B26763" w:rsidRPr="00385560">
        <w:rPr>
          <w:kern w:val="22"/>
        </w:rPr>
        <w:t xml:space="preserve"> and/or the </w:t>
      </w:r>
      <w:hyperlink r:id="rId18" w:history="1">
        <w:r w:rsidR="00B26763" w:rsidRPr="00385560">
          <w:rPr>
            <w:rStyle w:val="Hyperlink"/>
            <w:kern w:val="22"/>
          </w:rPr>
          <w:t>Biosafety Clearing-House</w:t>
        </w:r>
      </w:hyperlink>
      <w:r w:rsidR="00B26763" w:rsidRPr="00385560">
        <w:rPr>
          <w:kern w:val="22"/>
        </w:rPr>
        <w:t>.</w:t>
      </w:r>
    </w:p>
    <w:p w:rsidR="00226406" w:rsidRPr="00385560" w:rsidRDefault="009029A0"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lastRenderedPageBreak/>
        <w:t>F</w:t>
      </w:r>
      <w:r w:rsidR="00525039" w:rsidRPr="00385560">
        <w:rPr>
          <w:kern w:val="22"/>
        </w:rPr>
        <w:t>urthermore,</w:t>
      </w:r>
      <w:r w:rsidRPr="00385560">
        <w:rPr>
          <w:kern w:val="22"/>
        </w:rPr>
        <w:t xml:space="preserve"> Parties</w:t>
      </w:r>
      <w:r w:rsidR="00A42832" w:rsidRPr="00385560">
        <w:rPr>
          <w:kern w:val="22"/>
        </w:rPr>
        <w:t xml:space="preserve"> to the Convention</w:t>
      </w:r>
      <w:r w:rsidR="00EF7A75" w:rsidRPr="00385560">
        <w:rPr>
          <w:kern w:val="22"/>
        </w:rPr>
        <w:t xml:space="preserve"> that </w:t>
      </w:r>
      <w:r w:rsidR="00DB2CC6" w:rsidRPr="00385560">
        <w:rPr>
          <w:kern w:val="22"/>
        </w:rPr>
        <w:t xml:space="preserve">are not Party to </w:t>
      </w:r>
      <w:r w:rsidR="00EF7A75" w:rsidRPr="00385560">
        <w:rPr>
          <w:kern w:val="22"/>
        </w:rPr>
        <w:t xml:space="preserve">the </w:t>
      </w:r>
      <w:r w:rsidR="00A42832" w:rsidRPr="00385560">
        <w:rPr>
          <w:kern w:val="22"/>
        </w:rPr>
        <w:t>Cartagena</w:t>
      </w:r>
      <w:r w:rsidR="00EF7A75" w:rsidRPr="00385560">
        <w:rPr>
          <w:kern w:val="22"/>
        </w:rPr>
        <w:t xml:space="preserve"> Protocol</w:t>
      </w:r>
      <w:r w:rsidR="00525039" w:rsidRPr="00385560">
        <w:rPr>
          <w:kern w:val="22"/>
        </w:rPr>
        <w:t xml:space="preserve"> </w:t>
      </w:r>
      <w:r w:rsidR="00DB2CC6" w:rsidRPr="00385560">
        <w:rPr>
          <w:kern w:val="22"/>
        </w:rPr>
        <w:t xml:space="preserve">are </w:t>
      </w:r>
      <w:r w:rsidR="006100D1" w:rsidRPr="00385560">
        <w:rPr>
          <w:kern w:val="22"/>
        </w:rPr>
        <w:t xml:space="preserve">nonetheless </w:t>
      </w:r>
      <w:r w:rsidR="00DB2CC6" w:rsidRPr="00385560">
        <w:rPr>
          <w:kern w:val="22"/>
        </w:rPr>
        <w:t xml:space="preserve">required to implement </w:t>
      </w:r>
      <w:r w:rsidR="002D1A9C">
        <w:rPr>
          <w:kern w:val="22"/>
        </w:rPr>
        <w:t xml:space="preserve">the </w:t>
      </w:r>
      <w:r w:rsidR="00A42832" w:rsidRPr="00385560">
        <w:rPr>
          <w:kern w:val="22"/>
        </w:rPr>
        <w:t>biosafety</w:t>
      </w:r>
      <w:r w:rsidR="00EF7A75" w:rsidRPr="00385560">
        <w:rPr>
          <w:kern w:val="22"/>
        </w:rPr>
        <w:t xml:space="preserve"> </w:t>
      </w:r>
      <w:r w:rsidR="00525039" w:rsidRPr="00385560">
        <w:rPr>
          <w:kern w:val="22"/>
        </w:rPr>
        <w:t xml:space="preserve">obligations </w:t>
      </w:r>
      <w:r w:rsidRPr="00385560">
        <w:rPr>
          <w:kern w:val="22"/>
        </w:rPr>
        <w:t>of the Convention</w:t>
      </w:r>
      <w:r w:rsidR="00525039" w:rsidRPr="00385560">
        <w:rPr>
          <w:kern w:val="22"/>
        </w:rPr>
        <w:t>,</w:t>
      </w:r>
      <w:r w:rsidRPr="00385560">
        <w:rPr>
          <w:kern w:val="22"/>
        </w:rPr>
        <w:t xml:space="preserve"> </w:t>
      </w:r>
      <w:r w:rsidR="00012364" w:rsidRPr="00385560">
        <w:rPr>
          <w:kern w:val="22"/>
        </w:rPr>
        <w:t xml:space="preserve">including </w:t>
      </w:r>
      <w:r w:rsidR="008A28DD" w:rsidRPr="00385560">
        <w:rPr>
          <w:kern w:val="22"/>
        </w:rPr>
        <w:t xml:space="preserve">those </w:t>
      </w:r>
      <w:r w:rsidR="00757E33" w:rsidRPr="00385560">
        <w:rPr>
          <w:kern w:val="22"/>
        </w:rPr>
        <w:t>contained in</w:t>
      </w:r>
      <w:r w:rsidR="00226406" w:rsidRPr="00385560">
        <w:rPr>
          <w:kern w:val="22"/>
        </w:rPr>
        <w:t xml:space="preserve"> Article</w:t>
      </w:r>
      <w:r w:rsidR="002D1A9C">
        <w:rPr>
          <w:kern w:val="22"/>
        </w:rPr>
        <w:t>s</w:t>
      </w:r>
      <w:r w:rsidR="00226406" w:rsidRPr="00385560">
        <w:rPr>
          <w:kern w:val="22"/>
        </w:rPr>
        <w:t xml:space="preserve"> </w:t>
      </w:r>
      <w:r w:rsidR="00A42832" w:rsidRPr="00385560">
        <w:rPr>
          <w:kern w:val="22"/>
        </w:rPr>
        <w:t>8</w:t>
      </w:r>
      <w:r w:rsidR="00226406" w:rsidRPr="00385560">
        <w:rPr>
          <w:kern w:val="22"/>
        </w:rPr>
        <w:t>(</w:t>
      </w:r>
      <w:r w:rsidR="00A42832" w:rsidRPr="00385560">
        <w:rPr>
          <w:kern w:val="22"/>
        </w:rPr>
        <w:t>g</w:t>
      </w:r>
      <w:r w:rsidR="00226406" w:rsidRPr="00385560">
        <w:rPr>
          <w:kern w:val="22"/>
        </w:rPr>
        <w:t>)</w:t>
      </w:r>
      <w:r w:rsidR="00525039" w:rsidRPr="00385560">
        <w:rPr>
          <w:kern w:val="22"/>
        </w:rPr>
        <w:t xml:space="preserve"> and</w:t>
      </w:r>
      <w:r w:rsidR="00A42832" w:rsidRPr="00385560">
        <w:rPr>
          <w:kern w:val="22"/>
        </w:rPr>
        <w:t xml:space="preserve"> 19</w:t>
      </w:r>
      <w:r w:rsidR="00FC6D52" w:rsidRPr="00385560">
        <w:rPr>
          <w:kern w:val="22"/>
        </w:rPr>
        <w:t>(</w:t>
      </w:r>
      <w:r w:rsidR="00B75568" w:rsidRPr="00385560">
        <w:rPr>
          <w:kern w:val="22"/>
        </w:rPr>
        <w:t>4</w:t>
      </w:r>
      <w:r w:rsidR="00FC6D52" w:rsidRPr="00385560">
        <w:rPr>
          <w:kern w:val="22"/>
        </w:rPr>
        <w:t>)</w:t>
      </w:r>
      <w:r w:rsidR="003E16AD" w:rsidRPr="00385560">
        <w:rPr>
          <w:kern w:val="22"/>
        </w:rPr>
        <w:t>.</w:t>
      </w:r>
    </w:p>
    <w:p w:rsidR="0036390F" w:rsidRPr="00385560" w:rsidRDefault="002B40D2" w:rsidP="00385560">
      <w:pPr>
        <w:pStyle w:val="Heading2"/>
        <w:suppressLineNumbers/>
        <w:tabs>
          <w:tab w:val="clear" w:pos="720"/>
        </w:tabs>
        <w:suppressAutoHyphens/>
        <w:kinsoku w:val="0"/>
        <w:overflowPunct w:val="0"/>
        <w:autoSpaceDE w:val="0"/>
        <w:autoSpaceDN w:val="0"/>
        <w:adjustRightInd w:val="0"/>
        <w:snapToGrid w:val="0"/>
        <w:ind w:left="1152" w:hanging="432"/>
        <w:jc w:val="left"/>
        <w:rPr>
          <w:snapToGrid w:val="0"/>
          <w:kern w:val="22"/>
        </w:rPr>
      </w:pPr>
      <w:r w:rsidRPr="00385560">
        <w:rPr>
          <w:snapToGrid w:val="0"/>
          <w:kern w:val="22"/>
        </w:rPr>
        <w:t>C.</w:t>
      </w:r>
      <w:r w:rsidRPr="00385560">
        <w:rPr>
          <w:snapToGrid w:val="0"/>
          <w:kern w:val="22"/>
        </w:rPr>
        <w:tab/>
      </w:r>
      <w:r w:rsidR="0036390F" w:rsidRPr="00385560">
        <w:rPr>
          <w:snapToGrid w:val="0"/>
          <w:kern w:val="22"/>
        </w:rPr>
        <w:t xml:space="preserve">Integration of </w:t>
      </w:r>
      <w:r w:rsidR="00C7493C" w:rsidRPr="00385560">
        <w:rPr>
          <w:snapToGrid w:val="0"/>
          <w:kern w:val="22"/>
        </w:rPr>
        <w:t>biosafety</w:t>
      </w:r>
      <w:r w:rsidR="0036390F" w:rsidRPr="00385560">
        <w:rPr>
          <w:snapToGrid w:val="0"/>
          <w:kern w:val="22"/>
        </w:rPr>
        <w:t xml:space="preserve"> </w:t>
      </w:r>
      <w:r w:rsidR="00C41A18" w:rsidRPr="00385560">
        <w:rPr>
          <w:snapToGrid w:val="0"/>
          <w:kern w:val="22"/>
        </w:rPr>
        <w:t xml:space="preserve">considerations </w:t>
      </w:r>
      <w:r w:rsidR="0036390F" w:rsidRPr="00385560">
        <w:rPr>
          <w:snapToGrid w:val="0"/>
          <w:kern w:val="22"/>
        </w:rPr>
        <w:t xml:space="preserve">across the </w:t>
      </w:r>
      <w:r w:rsidR="00467B6D" w:rsidRPr="00385560">
        <w:rPr>
          <w:snapToGrid w:val="0"/>
          <w:kern w:val="22"/>
        </w:rPr>
        <w:t xml:space="preserve">different programme areas under the </w:t>
      </w:r>
      <w:r w:rsidR="0036390F" w:rsidRPr="00385560">
        <w:rPr>
          <w:snapToGrid w:val="0"/>
          <w:kern w:val="22"/>
        </w:rPr>
        <w:t>Convention</w:t>
      </w:r>
      <w:r w:rsidR="001E59DD" w:rsidRPr="00385560">
        <w:rPr>
          <w:snapToGrid w:val="0"/>
          <w:kern w:val="22"/>
        </w:rPr>
        <w:t xml:space="preserve"> and activities undertaken towards this goal</w:t>
      </w:r>
    </w:p>
    <w:p w:rsidR="001D2387" w:rsidRPr="00385560" w:rsidRDefault="00CF2427"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Integration of biosafety across the Convention has implications at the </w:t>
      </w:r>
      <w:r w:rsidR="001D2387" w:rsidRPr="00385560">
        <w:rPr>
          <w:kern w:val="22"/>
        </w:rPr>
        <w:t>intergovernmental and domestic levels</w:t>
      </w:r>
      <w:r w:rsidRPr="00385560">
        <w:rPr>
          <w:kern w:val="22"/>
        </w:rPr>
        <w:t>.</w:t>
      </w:r>
    </w:p>
    <w:p w:rsidR="00B561EC" w:rsidRPr="00EE4574" w:rsidRDefault="00294541" w:rsidP="00385560">
      <w:pPr>
        <w:pStyle w:val="Para1"/>
        <w:suppressLineNumbers/>
        <w:tabs>
          <w:tab w:val="clear" w:pos="360"/>
          <w:tab w:val="left" w:pos="720"/>
        </w:tabs>
        <w:suppressAutoHyphens/>
        <w:kinsoku w:val="0"/>
        <w:overflowPunct w:val="0"/>
        <w:autoSpaceDE w:val="0"/>
        <w:autoSpaceDN w:val="0"/>
        <w:adjustRightInd w:val="0"/>
        <w:snapToGrid w:val="0"/>
        <w:rPr>
          <w:kern w:val="22"/>
        </w:rPr>
      </w:pPr>
      <w:r w:rsidRPr="00385560">
        <w:rPr>
          <w:kern w:val="22"/>
        </w:rPr>
        <w:t>Although</w:t>
      </w:r>
      <w:r w:rsidR="00B561EC" w:rsidRPr="00385560">
        <w:rPr>
          <w:kern w:val="22"/>
        </w:rPr>
        <w:t xml:space="preserve"> </w:t>
      </w:r>
      <w:r w:rsidRPr="00385560">
        <w:rPr>
          <w:kern w:val="22"/>
        </w:rPr>
        <w:t>biosafety</w:t>
      </w:r>
      <w:r w:rsidR="00B561EC" w:rsidRPr="00385560">
        <w:rPr>
          <w:kern w:val="22"/>
        </w:rPr>
        <w:t xml:space="preserve"> contribute</w:t>
      </w:r>
      <w:r w:rsidR="002154DB" w:rsidRPr="00385560">
        <w:rPr>
          <w:kern w:val="22"/>
        </w:rPr>
        <w:t>s</w:t>
      </w:r>
      <w:r w:rsidR="00B561EC" w:rsidRPr="00385560">
        <w:rPr>
          <w:kern w:val="22"/>
        </w:rPr>
        <w:t xml:space="preserve"> to the conservation of biological diversity and the sustainable use of its components</w:t>
      </w:r>
      <w:r w:rsidR="00505F32" w:rsidRPr="00385560">
        <w:rPr>
          <w:kern w:val="22"/>
        </w:rPr>
        <w:t>, and supports the fair and equitable sharing of benefits arising from the utilization of genetic resources, biosafety is, to a large exte</w:t>
      </w:r>
      <w:r w:rsidR="002B40D2" w:rsidRPr="00385560">
        <w:rPr>
          <w:kern w:val="22"/>
        </w:rPr>
        <w:t>nt, still considered as a stand</w:t>
      </w:r>
      <w:r w:rsidR="000376B1">
        <w:rPr>
          <w:kern w:val="22"/>
        </w:rPr>
        <w:t>-</w:t>
      </w:r>
      <w:r w:rsidR="00505F32" w:rsidRPr="00385560">
        <w:rPr>
          <w:kern w:val="22"/>
        </w:rPr>
        <w:t xml:space="preserve">alone issue </w:t>
      </w:r>
      <w:r w:rsidR="00A5218D" w:rsidRPr="00385560">
        <w:rPr>
          <w:kern w:val="22"/>
        </w:rPr>
        <w:t xml:space="preserve">dealt with solely </w:t>
      </w:r>
      <w:r w:rsidR="00777198" w:rsidRPr="00385560">
        <w:rPr>
          <w:kern w:val="22"/>
        </w:rPr>
        <w:t xml:space="preserve">or primarily </w:t>
      </w:r>
      <w:r w:rsidR="00505F32" w:rsidRPr="00385560">
        <w:rPr>
          <w:kern w:val="22"/>
        </w:rPr>
        <w:t>under the Cartagena Protocol</w:t>
      </w:r>
      <w:r w:rsidR="00777198" w:rsidRPr="00385560">
        <w:rPr>
          <w:kern w:val="22"/>
        </w:rPr>
        <w:t xml:space="preserve">. This has implications </w:t>
      </w:r>
      <w:r w:rsidR="00C81A43" w:rsidRPr="00385560">
        <w:rPr>
          <w:kern w:val="22"/>
        </w:rPr>
        <w:t xml:space="preserve">in particular </w:t>
      </w:r>
      <w:r w:rsidR="00777198" w:rsidRPr="00385560">
        <w:rPr>
          <w:kern w:val="22"/>
        </w:rPr>
        <w:t xml:space="preserve">for those </w:t>
      </w:r>
      <w:r w:rsidR="00C81A43" w:rsidRPr="00385560">
        <w:rPr>
          <w:kern w:val="22"/>
        </w:rPr>
        <w:t>Parties to the Convention that are not Parties to the Cartagena Protocol</w:t>
      </w:r>
      <w:r w:rsidR="00D7780B" w:rsidRPr="00385560">
        <w:rPr>
          <w:kern w:val="22"/>
        </w:rPr>
        <w:t>,</w:t>
      </w:r>
      <w:r w:rsidR="00475CE3" w:rsidRPr="00385560">
        <w:rPr>
          <w:kern w:val="22"/>
        </w:rPr>
        <w:t xml:space="preserve"> </w:t>
      </w:r>
      <w:r w:rsidR="009676E0" w:rsidRPr="00385560">
        <w:rPr>
          <w:kern w:val="22"/>
        </w:rPr>
        <w:t>as well as</w:t>
      </w:r>
      <w:r w:rsidR="00475CE3" w:rsidRPr="00385560">
        <w:rPr>
          <w:kern w:val="22"/>
        </w:rPr>
        <w:t xml:space="preserve"> for </w:t>
      </w:r>
      <w:r w:rsidR="009676E0" w:rsidRPr="00385560">
        <w:rPr>
          <w:kern w:val="22"/>
        </w:rPr>
        <w:t>matters</w:t>
      </w:r>
      <w:r w:rsidR="00475CE3" w:rsidRPr="00385560">
        <w:rPr>
          <w:kern w:val="22"/>
        </w:rPr>
        <w:t xml:space="preserve"> that </w:t>
      </w:r>
      <w:r w:rsidR="00551CCF" w:rsidRPr="00385560">
        <w:rPr>
          <w:kern w:val="22"/>
        </w:rPr>
        <w:t xml:space="preserve">do not </w:t>
      </w:r>
      <w:r w:rsidR="009676E0" w:rsidRPr="00385560">
        <w:rPr>
          <w:kern w:val="22"/>
        </w:rPr>
        <w:t>concern</w:t>
      </w:r>
      <w:r w:rsidR="00475CE3" w:rsidRPr="00385560">
        <w:rPr>
          <w:kern w:val="22"/>
        </w:rPr>
        <w:t xml:space="preserve"> transboundary movements</w:t>
      </w:r>
      <w:r w:rsidR="009676E0" w:rsidRPr="00385560">
        <w:rPr>
          <w:kern w:val="22"/>
        </w:rPr>
        <w:t xml:space="preserve"> or living modified organisms, which are the focus of the Cartagena Protocol</w:t>
      </w:r>
      <w:r w:rsidR="00C81A43" w:rsidRPr="00385560">
        <w:rPr>
          <w:kern w:val="22"/>
        </w:rPr>
        <w:t>.</w:t>
      </w:r>
      <w:r w:rsidR="00475CE3" w:rsidRPr="00385560">
        <w:rPr>
          <w:kern w:val="22"/>
        </w:rPr>
        <w:t xml:space="preserve"> Nevertheless, significant biosafety</w:t>
      </w:r>
      <w:r w:rsidR="008416B4" w:rsidRPr="00385560">
        <w:rPr>
          <w:kern w:val="22"/>
        </w:rPr>
        <w:t>-related</w:t>
      </w:r>
      <w:r w:rsidR="00475CE3" w:rsidRPr="00385560">
        <w:rPr>
          <w:kern w:val="22"/>
        </w:rPr>
        <w:t xml:space="preserve"> issues have been addressed under the Convention, including </w:t>
      </w:r>
      <w:r w:rsidR="009676E0" w:rsidRPr="00385560">
        <w:rPr>
          <w:kern w:val="22"/>
        </w:rPr>
        <w:t xml:space="preserve">genetic use restriction technologies (decision </w:t>
      </w:r>
      <w:hyperlink r:id="rId19" w:history="1">
        <w:r w:rsidR="009676E0" w:rsidRPr="00385560">
          <w:rPr>
            <w:rStyle w:val="Hyperlink"/>
            <w:kern w:val="22"/>
          </w:rPr>
          <w:t>V/5</w:t>
        </w:r>
      </w:hyperlink>
      <w:r w:rsidR="009676E0" w:rsidRPr="00EE4574">
        <w:rPr>
          <w:kern w:val="22"/>
        </w:rPr>
        <w:t>)</w:t>
      </w:r>
      <w:r w:rsidR="00475CE3" w:rsidRPr="00EE4574">
        <w:rPr>
          <w:kern w:val="22"/>
        </w:rPr>
        <w:t xml:space="preserve">, genetically modified trees </w:t>
      </w:r>
      <w:r w:rsidR="009676E0" w:rsidRPr="00EE4574">
        <w:rPr>
          <w:kern w:val="22"/>
        </w:rPr>
        <w:t xml:space="preserve">(decision </w:t>
      </w:r>
      <w:hyperlink r:id="rId20" w:history="1">
        <w:r w:rsidR="009676E0" w:rsidRPr="00385560">
          <w:rPr>
            <w:rStyle w:val="Hyperlink"/>
            <w:kern w:val="22"/>
          </w:rPr>
          <w:t>VIII/19</w:t>
        </w:r>
      </w:hyperlink>
      <w:r w:rsidR="009676E0" w:rsidRPr="00EE4574">
        <w:rPr>
          <w:kern w:val="22"/>
        </w:rPr>
        <w:t xml:space="preserve">) </w:t>
      </w:r>
      <w:r w:rsidR="00475CE3" w:rsidRPr="00EE4574">
        <w:rPr>
          <w:kern w:val="22"/>
        </w:rPr>
        <w:t>and, more recently, synthetic biology (decisions</w:t>
      </w:r>
      <w:r w:rsidR="009676E0" w:rsidRPr="00EE4574">
        <w:rPr>
          <w:kern w:val="22"/>
        </w:rPr>
        <w:t xml:space="preserve"> </w:t>
      </w:r>
      <w:hyperlink r:id="rId21" w:history="1">
        <w:r w:rsidR="009676E0" w:rsidRPr="00385560">
          <w:rPr>
            <w:rStyle w:val="Hyperlink"/>
            <w:kern w:val="22"/>
          </w:rPr>
          <w:t>XII/24</w:t>
        </w:r>
      </w:hyperlink>
      <w:r w:rsidR="009676E0" w:rsidRPr="00EE4574">
        <w:rPr>
          <w:kern w:val="22"/>
        </w:rPr>
        <w:t xml:space="preserve"> and </w:t>
      </w:r>
      <w:hyperlink r:id="rId22" w:history="1">
        <w:r w:rsidR="009676E0" w:rsidRPr="00385560">
          <w:rPr>
            <w:rStyle w:val="Hyperlink"/>
            <w:kern w:val="22"/>
          </w:rPr>
          <w:t>XIII/17</w:t>
        </w:r>
      </w:hyperlink>
      <w:r w:rsidR="00475CE3" w:rsidRPr="00EE4574">
        <w:rPr>
          <w:kern w:val="22"/>
        </w:rPr>
        <w:t>).</w:t>
      </w:r>
    </w:p>
    <w:p w:rsidR="000A0135" w:rsidRPr="00385560" w:rsidRDefault="000A0135"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70113D">
        <w:rPr>
          <w:kern w:val="22"/>
        </w:rPr>
        <w:t xml:space="preserve">Given </w:t>
      </w:r>
      <w:r w:rsidR="00777198" w:rsidRPr="00385560">
        <w:rPr>
          <w:kern w:val="22"/>
        </w:rPr>
        <w:t xml:space="preserve">their </w:t>
      </w:r>
      <w:r w:rsidRPr="00385560">
        <w:rPr>
          <w:kern w:val="22"/>
        </w:rPr>
        <w:t xml:space="preserve">cross-cutting nature, in order to support its full implementation at national level, issues related to biosafety should be considered </w:t>
      </w:r>
      <w:r w:rsidR="000241F5" w:rsidRPr="00385560">
        <w:rPr>
          <w:kern w:val="22"/>
        </w:rPr>
        <w:t>and addressed</w:t>
      </w:r>
      <w:r w:rsidRPr="00385560">
        <w:rPr>
          <w:kern w:val="22"/>
        </w:rPr>
        <w:t xml:space="preserve"> in the management and use of natural resources in different </w:t>
      </w:r>
      <w:r w:rsidR="000241F5" w:rsidRPr="00385560">
        <w:rPr>
          <w:kern w:val="22"/>
        </w:rPr>
        <w:t>sectors</w:t>
      </w:r>
      <w:r w:rsidRPr="00385560">
        <w:rPr>
          <w:kern w:val="22"/>
        </w:rPr>
        <w:t xml:space="preserve"> (e.g. </w:t>
      </w:r>
      <w:r w:rsidR="000241F5" w:rsidRPr="00385560">
        <w:rPr>
          <w:kern w:val="22"/>
        </w:rPr>
        <w:t xml:space="preserve">agriculture, </w:t>
      </w:r>
      <w:r w:rsidRPr="00385560">
        <w:rPr>
          <w:kern w:val="22"/>
        </w:rPr>
        <w:t>forest</w:t>
      </w:r>
      <w:r w:rsidR="000241F5" w:rsidRPr="00385560">
        <w:rPr>
          <w:kern w:val="22"/>
        </w:rPr>
        <w:t>ry</w:t>
      </w:r>
      <w:r w:rsidRPr="00385560">
        <w:rPr>
          <w:kern w:val="22"/>
        </w:rPr>
        <w:t xml:space="preserve">, </w:t>
      </w:r>
      <w:r w:rsidR="000241F5" w:rsidRPr="00385560">
        <w:rPr>
          <w:kern w:val="22"/>
        </w:rPr>
        <w:t>fisheries) and areas (</w:t>
      </w:r>
      <w:r w:rsidR="005232C0">
        <w:rPr>
          <w:kern w:val="22"/>
        </w:rPr>
        <w:t>for example</w:t>
      </w:r>
      <w:r w:rsidR="000241F5" w:rsidRPr="00385560">
        <w:rPr>
          <w:kern w:val="22"/>
        </w:rPr>
        <w:t xml:space="preserve"> </w:t>
      </w:r>
      <w:r w:rsidRPr="00385560">
        <w:rPr>
          <w:kern w:val="22"/>
        </w:rPr>
        <w:t xml:space="preserve">marine </w:t>
      </w:r>
      <w:r w:rsidR="000241F5" w:rsidRPr="00385560">
        <w:rPr>
          <w:kern w:val="22"/>
        </w:rPr>
        <w:t xml:space="preserve">and freshwater </w:t>
      </w:r>
      <w:r w:rsidRPr="00385560">
        <w:rPr>
          <w:kern w:val="22"/>
        </w:rPr>
        <w:t>areas, mountains, protected areas) as part of an integrated management approach that can contribute to conservation and sustainable use of biological diversity. Biosafety may also be regarded as a set of enabling measures for the adoption and use modern biotechnology in a manner that is supportive of the three objectives of the Convention.</w:t>
      </w:r>
    </w:p>
    <w:p w:rsidR="00294541" w:rsidRPr="00385560" w:rsidRDefault="00F17093"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Some efforts </w:t>
      </w:r>
      <w:r w:rsidR="007C4395" w:rsidRPr="00385560">
        <w:rPr>
          <w:kern w:val="22"/>
        </w:rPr>
        <w:t xml:space="preserve">to support Parties in this regard </w:t>
      </w:r>
      <w:r w:rsidRPr="00385560">
        <w:rPr>
          <w:kern w:val="22"/>
        </w:rPr>
        <w:t xml:space="preserve">have already been undertaken </w:t>
      </w:r>
      <w:r w:rsidR="00294541" w:rsidRPr="00385560">
        <w:rPr>
          <w:kern w:val="22"/>
        </w:rPr>
        <w:t>by the Secretariat</w:t>
      </w:r>
      <w:r w:rsidRPr="00385560">
        <w:rPr>
          <w:kern w:val="22"/>
        </w:rPr>
        <w:t xml:space="preserve">, including the </w:t>
      </w:r>
      <w:r w:rsidR="00505F32" w:rsidRPr="00385560">
        <w:rPr>
          <w:kern w:val="22"/>
        </w:rPr>
        <w:t>followin</w:t>
      </w:r>
      <w:r w:rsidRPr="00385560">
        <w:rPr>
          <w:kern w:val="22"/>
        </w:rPr>
        <w:t>g:</w:t>
      </w:r>
    </w:p>
    <w:p w:rsidR="001D66A9" w:rsidRPr="00385560" w:rsidRDefault="00D03B00" w:rsidP="00385560">
      <w:pPr>
        <w:pStyle w:val="Para1"/>
        <w:numPr>
          <w:ilvl w:val="1"/>
          <w:numId w:val="2"/>
        </w:numPr>
        <w:suppressLineNumbers/>
        <w:tabs>
          <w:tab w:val="clear" w:pos="1440"/>
          <w:tab w:val="left" w:pos="1170"/>
        </w:tabs>
        <w:suppressAutoHyphens/>
        <w:kinsoku w:val="0"/>
        <w:overflowPunct w:val="0"/>
        <w:autoSpaceDE w:val="0"/>
        <w:autoSpaceDN w:val="0"/>
        <w:adjustRightInd w:val="0"/>
        <w:snapToGrid w:val="0"/>
        <w:rPr>
          <w:kern w:val="22"/>
          <w:szCs w:val="22"/>
          <w:lang w:val="en-CA"/>
        </w:rPr>
      </w:pPr>
      <w:r w:rsidRPr="00385560">
        <w:rPr>
          <w:kern w:val="22"/>
          <w:szCs w:val="22"/>
          <w:lang w:val="en-CA"/>
        </w:rPr>
        <w:t xml:space="preserve">Activities to facilitate the </w:t>
      </w:r>
      <w:r w:rsidR="001D66A9" w:rsidRPr="00385560">
        <w:rPr>
          <w:kern w:val="22"/>
          <w:szCs w:val="22"/>
          <w:lang w:val="en-CA"/>
        </w:rPr>
        <w:t xml:space="preserve">integration of biosafety into </w:t>
      </w:r>
      <w:r w:rsidR="00BA3820" w:rsidRPr="00385560">
        <w:rPr>
          <w:kern w:val="22"/>
          <w:szCs w:val="22"/>
          <w:lang w:val="en-CA"/>
        </w:rPr>
        <w:t>NBSAPs</w:t>
      </w:r>
      <w:r w:rsidR="001D66A9" w:rsidRPr="00385560">
        <w:rPr>
          <w:kern w:val="22"/>
          <w:szCs w:val="22"/>
          <w:lang w:val="en-CA"/>
        </w:rPr>
        <w:t xml:space="preserve"> and national development plans;</w:t>
      </w:r>
    </w:p>
    <w:p w:rsidR="00EB3ED2" w:rsidRPr="00385560" w:rsidRDefault="00EB3ED2" w:rsidP="00385560">
      <w:pPr>
        <w:pStyle w:val="Para1"/>
        <w:numPr>
          <w:ilvl w:val="1"/>
          <w:numId w:val="2"/>
        </w:numPr>
        <w:suppressLineNumbers/>
        <w:tabs>
          <w:tab w:val="clear" w:pos="1440"/>
          <w:tab w:val="left" w:pos="1170"/>
        </w:tabs>
        <w:suppressAutoHyphens/>
        <w:kinsoku w:val="0"/>
        <w:overflowPunct w:val="0"/>
        <w:autoSpaceDE w:val="0"/>
        <w:autoSpaceDN w:val="0"/>
        <w:adjustRightInd w:val="0"/>
        <w:snapToGrid w:val="0"/>
        <w:rPr>
          <w:kern w:val="22"/>
          <w:szCs w:val="22"/>
          <w:lang w:val="en-CA"/>
        </w:rPr>
      </w:pPr>
      <w:r w:rsidRPr="00385560">
        <w:rPr>
          <w:kern w:val="22"/>
          <w:szCs w:val="22"/>
          <w:lang w:val="en-CA"/>
        </w:rPr>
        <w:t>Convening of regional workshops to mainstream biosafety within and across sectors;</w:t>
      </w:r>
    </w:p>
    <w:p w:rsidR="00EB3ED2" w:rsidRPr="00385560" w:rsidRDefault="00EB3ED2" w:rsidP="00385560">
      <w:pPr>
        <w:pStyle w:val="Para1"/>
        <w:numPr>
          <w:ilvl w:val="1"/>
          <w:numId w:val="2"/>
        </w:numPr>
        <w:suppressLineNumbers/>
        <w:tabs>
          <w:tab w:val="clear" w:pos="1440"/>
          <w:tab w:val="left" w:pos="1170"/>
        </w:tabs>
        <w:suppressAutoHyphens/>
        <w:kinsoku w:val="0"/>
        <w:overflowPunct w:val="0"/>
        <w:autoSpaceDE w:val="0"/>
        <w:autoSpaceDN w:val="0"/>
        <w:adjustRightInd w:val="0"/>
        <w:snapToGrid w:val="0"/>
        <w:rPr>
          <w:rStyle w:val="Hyperlink"/>
          <w:color w:val="auto"/>
          <w:kern w:val="22"/>
          <w:szCs w:val="22"/>
          <w:u w:val="none"/>
        </w:rPr>
      </w:pPr>
      <w:r w:rsidRPr="00385560">
        <w:rPr>
          <w:kern w:val="22"/>
          <w:szCs w:val="22"/>
          <w:lang w:val="en-CA"/>
        </w:rPr>
        <w:t xml:space="preserve">Development of a suite of e-learning modules on mainstreaming biosafety into </w:t>
      </w:r>
      <w:r w:rsidR="00BA3820" w:rsidRPr="00385560">
        <w:rPr>
          <w:kern w:val="22"/>
          <w:szCs w:val="22"/>
          <w:lang w:val="en-CA"/>
        </w:rPr>
        <w:t>NBSAPs</w:t>
      </w:r>
      <w:r w:rsidR="002B40D2" w:rsidRPr="00385560">
        <w:rPr>
          <w:kern w:val="22"/>
          <w:szCs w:val="22"/>
          <w:lang w:val="en-CA"/>
        </w:rPr>
        <w:t>;</w:t>
      </w:r>
    </w:p>
    <w:p w:rsidR="008771A7" w:rsidRPr="00385560" w:rsidRDefault="008771A7" w:rsidP="00385560">
      <w:pPr>
        <w:pStyle w:val="Para1"/>
        <w:numPr>
          <w:ilvl w:val="1"/>
          <w:numId w:val="2"/>
        </w:numPr>
        <w:suppressLineNumbers/>
        <w:tabs>
          <w:tab w:val="clear" w:pos="1440"/>
          <w:tab w:val="left" w:pos="1170"/>
        </w:tabs>
        <w:suppressAutoHyphens/>
        <w:kinsoku w:val="0"/>
        <w:overflowPunct w:val="0"/>
        <w:autoSpaceDE w:val="0"/>
        <w:autoSpaceDN w:val="0"/>
        <w:adjustRightInd w:val="0"/>
        <w:snapToGrid w:val="0"/>
        <w:rPr>
          <w:kern w:val="22"/>
          <w:szCs w:val="22"/>
          <w:lang w:val="en-CA"/>
        </w:rPr>
      </w:pPr>
      <w:r w:rsidRPr="00385560">
        <w:rPr>
          <w:kern w:val="22"/>
          <w:szCs w:val="22"/>
          <w:lang w:val="en-CA"/>
        </w:rPr>
        <w:t xml:space="preserve">Ensuring </w:t>
      </w:r>
      <w:r w:rsidR="0075137E" w:rsidRPr="00385560">
        <w:rPr>
          <w:kern w:val="22"/>
          <w:szCs w:val="22"/>
          <w:lang w:val="en-CA"/>
        </w:rPr>
        <w:t xml:space="preserve">a </w:t>
      </w:r>
      <w:r w:rsidRPr="00385560">
        <w:rPr>
          <w:kern w:val="22"/>
          <w:szCs w:val="22"/>
          <w:lang w:val="en-CA"/>
        </w:rPr>
        <w:t>coordinat</w:t>
      </w:r>
      <w:r w:rsidR="0075137E" w:rsidRPr="00385560">
        <w:rPr>
          <w:kern w:val="22"/>
          <w:szCs w:val="22"/>
          <w:lang w:val="en-CA"/>
        </w:rPr>
        <w:t>ed approach</w:t>
      </w:r>
      <w:r w:rsidRPr="00385560">
        <w:rPr>
          <w:kern w:val="22"/>
          <w:szCs w:val="22"/>
          <w:lang w:val="en-CA"/>
        </w:rPr>
        <w:t xml:space="preserve"> among processes under the Convention and the Cartagena Protocol in relation to </w:t>
      </w:r>
      <w:r w:rsidR="0075137E" w:rsidRPr="00385560">
        <w:rPr>
          <w:kern w:val="22"/>
          <w:szCs w:val="22"/>
          <w:lang w:val="en-CA"/>
        </w:rPr>
        <w:t xml:space="preserve">the issue of </w:t>
      </w:r>
      <w:r w:rsidRPr="00385560">
        <w:rPr>
          <w:kern w:val="22"/>
          <w:szCs w:val="22"/>
          <w:lang w:val="en-CA"/>
        </w:rPr>
        <w:t>synthetic biology</w:t>
      </w:r>
      <w:r w:rsidR="0075137E" w:rsidRPr="00385560">
        <w:rPr>
          <w:kern w:val="22"/>
          <w:szCs w:val="22"/>
          <w:lang w:val="en-CA"/>
        </w:rPr>
        <w:t>;</w:t>
      </w:r>
    </w:p>
    <w:p w:rsidR="00365E9D" w:rsidRPr="00385560" w:rsidRDefault="000A0135" w:rsidP="00385560">
      <w:pPr>
        <w:pStyle w:val="Para1"/>
        <w:numPr>
          <w:ilvl w:val="1"/>
          <w:numId w:val="2"/>
        </w:numPr>
        <w:suppressLineNumbers/>
        <w:tabs>
          <w:tab w:val="clear" w:pos="1440"/>
          <w:tab w:val="left" w:pos="1170"/>
        </w:tabs>
        <w:suppressAutoHyphens/>
        <w:kinsoku w:val="0"/>
        <w:overflowPunct w:val="0"/>
        <w:autoSpaceDE w:val="0"/>
        <w:autoSpaceDN w:val="0"/>
        <w:adjustRightInd w:val="0"/>
        <w:snapToGrid w:val="0"/>
        <w:rPr>
          <w:kern w:val="22"/>
          <w:szCs w:val="22"/>
        </w:rPr>
      </w:pPr>
      <w:r w:rsidRPr="00385560">
        <w:rPr>
          <w:kern w:val="22"/>
          <w:szCs w:val="22"/>
        </w:rPr>
        <w:t>Inclusion of biosafety a topic in the “Global Platform for Business and Biodiversity”,</w:t>
      </w:r>
      <w:r w:rsidRPr="00385560">
        <w:rPr>
          <w:rStyle w:val="FootnoteReference"/>
          <w:kern w:val="22"/>
          <w:sz w:val="22"/>
          <w:szCs w:val="22"/>
          <w:u w:val="none"/>
          <w:vertAlign w:val="superscript"/>
        </w:rPr>
        <w:footnoteReference w:id="4"/>
      </w:r>
      <w:r w:rsidRPr="00385560">
        <w:rPr>
          <w:kern w:val="22"/>
          <w:szCs w:val="22"/>
        </w:rPr>
        <w:t xml:space="preserve"> which promotes private-sector collaboration for achieving the goals of the Convention.</w:t>
      </w:r>
    </w:p>
    <w:p w:rsidR="00D03B00" w:rsidRPr="00385560" w:rsidRDefault="00D03B00"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As a result of efforts to integrate biosafety into national biodiversity strategies, a number of countries have included biosafety-related considerations in their revised </w:t>
      </w:r>
      <w:r w:rsidR="00BA3820">
        <w:rPr>
          <w:kern w:val="22"/>
        </w:rPr>
        <w:t>NBSAPs</w:t>
      </w:r>
      <w:r w:rsidRPr="00385560">
        <w:rPr>
          <w:kern w:val="22"/>
        </w:rPr>
        <w:t>.</w:t>
      </w:r>
    </w:p>
    <w:p w:rsidR="00D03B00" w:rsidRPr="00385560" w:rsidRDefault="00D03B00"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I</w:t>
      </w:r>
      <w:r w:rsidR="00025645" w:rsidRPr="00385560">
        <w:rPr>
          <w:kern w:val="22"/>
        </w:rPr>
        <w:t>mportant initiative</w:t>
      </w:r>
      <w:r w:rsidRPr="00385560">
        <w:rPr>
          <w:kern w:val="22"/>
        </w:rPr>
        <w:t>s</w:t>
      </w:r>
      <w:r w:rsidR="00025645" w:rsidRPr="00385560">
        <w:rPr>
          <w:kern w:val="22"/>
        </w:rPr>
        <w:t xml:space="preserve"> </w:t>
      </w:r>
      <w:r w:rsidR="006D5B37" w:rsidRPr="00385560">
        <w:rPr>
          <w:kern w:val="22"/>
        </w:rPr>
        <w:t xml:space="preserve">to </w:t>
      </w:r>
      <w:r w:rsidR="00074F9E" w:rsidRPr="00385560">
        <w:rPr>
          <w:kern w:val="22"/>
        </w:rPr>
        <w:t>deliver on</w:t>
      </w:r>
      <w:r w:rsidR="006D5B37" w:rsidRPr="00385560">
        <w:rPr>
          <w:kern w:val="22"/>
        </w:rPr>
        <w:t xml:space="preserve"> </w:t>
      </w:r>
      <w:r w:rsidR="00074F9E" w:rsidRPr="00385560">
        <w:rPr>
          <w:kern w:val="22"/>
        </w:rPr>
        <w:t>the abovementioned</w:t>
      </w:r>
      <w:r w:rsidR="006D5B37" w:rsidRPr="00385560">
        <w:rPr>
          <w:kern w:val="22"/>
        </w:rPr>
        <w:t xml:space="preserve"> </w:t>
      </w:r>
      <w:r w:rsidR="00074F9E" w:rsidRPr="00385560">
        <w:rPr>
          <w:kern w:val="22"/>
        </w:rPr>
        <w:t>issues</w:t>
      </w:r>
      <w:r w:rsidR="006D5B37" w:rsidRPr="00385560">
        <w:rPr>
          <w:kern w:val="22"/>
        </w:rPr>
        <w:t xml:space="preserve"> </w:t>
      </w:r>
      <w:r w:rsidRPr="00385560">
        <w:rPr>
          <w:kern w:val="22"/>
        </w:rPr>
        <w:t xml:space="preserve">are being funded by the Government of Japan, through the Japan Biodiversity Fund, </w:t>
      </w:r>
      <w:r w:rsidR="00D7780B" w:rsidRPr="00385560">
        <w:rPr>
          <w:kern w:val="22"/>
        </w:rPr>
        <w:t xml:space="preserve">in the form of </w:t>
      </w:r>
      <w:r w:rsidR="006D5B37" w:rsidRPr="00385560">
        <w:rPr>
          <w:kern w:val="22"/>
        </w:rPr>
        <w:t>project</w:t>
      </w:r>
      <w:r w:rsidRPr="00385560">
        <w:rPr>
          <w:kern w:val="22"/>
        </w:rPr>
        <w:t>s</w:t>
      </w:r>
      <w:r w:rsidR="006D5B37" w:rsidRPr="00385560">
        <w:rPr>
          <w:kern w:val="22"/>
        </w:rPr>
        <w:t xml:space="preserve"> to strengthen national capacities for integrated implementation of </w:t>
      </w:r>
      <w:r w:rsidRPr="00385560">
        <w:rPr>
          <w:kern w:val="22"/>
        </w:rPr>
        <w:t>biosafety within and across sectors at the national level.</w:t>
      </w:r>
    </w:p>
    <w:p w:rsidR="00D03B00" w:rsidRPr="00385560" w:rsidRDefault="00D03B00"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A</w:t>
      </w:r>
      <w:r w:rsidR="006651A4" w:rsidRPr="00385560">
        <w:rPr>
          <w:kern w:val="22"/>
        </w:rPr>
        <w:t xml:space="preserve"> </w:t>
      </w:r>
      <w:r w:rsidR="006D5B37" w:rsidRPr="00385560">
        <w:rPr>
          <w:kern w:val="22"/>
        </w:rPr>
        <w:t xml:space="preserve">pilot project </w:t>
      </w:r>
      <w:r w:rsidR="00C267B8" w:rsidRPr="00385560">
        <w:rPr>
          <w:kern w:val="22"/>
        </w:rPr>
        <w:t>on mainstreaming biosafety</w:t>
      </w:r>
      <w:r w:rsidRPr="00385560">
        <w:rPr>
          <w:kern w:val="22"/>
        </w:rPr>
        <w:t xml:space="preserve"> was</w:t>
      </w:r>
      <w:r w:rsidR="00C267B8" w:rsidRPr="00385560">
        <w:rPr>
          <w:kern w:val="22"/>
        </w:rPr>
        <w:t xml:space="preserve"> </w:t>
      </w:r>
      <w:r w:rsidR="006D5B37" w:rsidRPr="00385560">
        <w:rPr>
          <w:kern w:val="22"/>
        </w:rPr>
        <w:t>carried out in 2015-2016</w:t>
      </w:r>
      <w:r w:rsidR="007A6F71" w:rsidRPr="00385560">
        <w:rPr>
          <w:kern w:val="22"/>
        </w:rPr>
        <w:t xml:space="preserve"> in which nine Parties to the </w:t>
      </w:r>
      <w:r w:rsidRPr="00385560">
        <w:rPr>
          <w:kern w:val="22"/>
        </w:rPr>
        <w:t xml:space="preserve">Cartagena </w:t>
      </w:r>
      <w:r w:rsidR="007A6F71" w:rsidRPr="00385560">
        <w:rPr>
          <w:kern w:val="22"/>
        </w:rPr>
        <w:t>Protocol participated.</w:t>
      </w:r>
      <w:r w:rsidRPr="00385560">
        <w:rPr>
          <w:kern w:val="22"/>
        </w:rPr>
        <w:t xml:space="preserve"> During the pilot project, participating countries identified ways in which biosafety could be integrated within a variety of sectoral and cross-sectoral legal, policy and institutional frameworks. Documenting best national practices, the project prepared for national actions </w:t>
      </w:r>
      <w:r w:rsidRPr="00385560">
        <w:rPr>
          <w:kern w:val="22"/>
        </w:rPr>
        <w:lastRenderedPageBreak/>
        <w:t>and informed the dev</w:t>
      </w:r>
      <w:r w:rsidR="009620BE" w:rsidRPr="00385560">
        <w:rPr>
          <w:kern w:val="22"/>
        </w:rPr>
        <w:t>elopment of e-learning capacity-</w:t>
      </w:r>
      <w:r w:rsidRPr="00385560">
        <w:rPr>
          <w:kern w:val="22"/>
        </w:rPr>
        <w:t>building materials to support Parties in mainstreaming biosafety at the national level, including in their NBSAPs.</w:t>
      </w:r>
    </w:p>
    <w:p w:rsidR="00EB3ED2" w:rsidRPr="00385560" w:rsidRDefault="00D03B00"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During the biennium</w:t>
      </w:r>
      <w:r w:rsidR="00D37224">
        <w:rPr>
          <w:kern w:val="22"/>
        </w:rPr>
        <w:t xml:space="preserve"> </w:t>
      </w:r>
      <w:r w:rsidR="00D37224" w:rsidRPr="00914177">
        <w:rPr>
          <w:kern w:val="22"/>
        </w:rPr>
        <w:t>2017-2018</w:t>
      </w:r>
      <w:r w:rsidRPr="00385560">
        <w:rPr>
          <w:kern w:val="22"/>
        </w:rPr>
        <w:t>, a follow-up project is being carried out to</w:t>
      </w:r>
      <w:r w:rsidR="00B21159" w:rsidRPr="00385560">
        <w:rPr>
          <w:kern w:val="22"/>
        </w:rPr>
        <w:t xml:space="preserve"> </w:t>
      </w:r>
      <w:r w:rsidR="00C267B8" w:rsidRPr="00385560">
        <w:rPr>
          <w:kern w:val="22"/>
        </w:rPr>
        <w:t>bring</w:t>
      </w:r>
      <w:r w:rsidR="006D5B37" w:rsidRPr="00385560">
        <w:rPr>
          <w:kern w:val="22"/>
        </w:rPr>
        <w:t xml:space="preserve"> together national focal points of the Cartagena Protocol</w:t>
      </w:r>
      <w:r w:rsidR="008015BD">
        <w:rPr>
          <w:kern w:val="22"/>
        </w:rPr>
        <w:t xml:space="preserve"> and of</w:t>
      </w:r>
      <w:r w:rsidR="006D5B37" w:rsidRPr="00385560">
        <w:rPr>
          <w:kern w:val="22"/>
        </w:rPr>
        <w:t xml:space="preserve"> the Convention a</w:t>
      </w:r>
      <w:r w:rsidR="00B21159" w:rsidRPr="00385560">
        <w:rPr>
          <w:kern w:val="22"/>
        </w:rPr>
        <w:t xml:space="preserve">nd </w:t>
      </w:r>
      <w:r w:rsidR="008015BD">
        <w:rPr>
          <w:kern w:val="22"/>
        </w:rPr>
        <w:t xml:space="preserve">the </w:t>
      </w:r>
      <w:r w:rsidR="00B21159" w:rsidRPr="00385560">
        <w:rPr>
          <w:kern w:val="22"/>
        </w:rPr>
        <w:t>legal and policy experts of a total of 30 Parties in a series of regional workshops to develop ac</w:t>
      </w:r>
      <w:r w:rsidR="007A6F71" w:rsidRPr="00385560">
        <w:rPr>
          <w:kern w:val="22"/>
        </w:rPr>
        <w:t>tions</w:t>
      </w:r>
      <w:r w:rsidR="00B21159" w:rsidRPr="00385560">
        <w:rPr>
          <w:kern w:val="22"/>
        </w:rPr>
        <w:t xml:space="preserve"> to </w:t>
      </w:r>
      <w:r w:rsidR="00F07688" w:rsidRPr="00385560">
        <w:rPr>
          <w:kern w:val="22"/>
        </w:rPr>
        <w:t>mainstream</w:t>
      </w:r>
      <w:r w:rsidR="00B21159" w:rsidRPr="00385560">
        <w:rPr>
          <w:kern w:val="22"/>
        </w:rPr>
        <w:t xml:space="preserve"> biosafety in a range of sectoral and cross-sectoral policies, legislation and institutional structures</w:t>
      </w:r>
      <w:r w:rsidR="007A2705" w:rsidRPr="00385560">
        <w:rPr>
          <w:kern w:val="22"/>
        </w:rPr>
        <w:t xml:space="preserve">, including </w:t>
      </w:r>
      <w:r w:rsidR="00BA3820">
        <w:rPr>
          <w:kern w:val="22"/>
        </w:rPr>
        <w:t>NBSAPs</w:t>
      </w:r>
      <w:r w:rsidR="00B21159" w:rsidRPr="00385560">
        <w:rPr>
          <w:kern w:val="22"/>
        </w:rPr>
        <w:t xml:space="preserve">. </w:t>
      </w:r>
      <w:r w:rsidR="00B917C7" w:rsidRPr="00385560">
        <w:rPr>
          <w:kern w:val="22"/>
        </w:rPr>
        <w:t xml:space="preserve">The regional workshops are </w:t>
      </w:r>
      <w:r w:rsidR="007A6F71" w:rsidRPr="00385560">
        <w:rPr>
          <w:kern w:val="22"/>
        </w:rPr>
        <w:t>accompanied</w:t>
      </w:r>
      <w:r w:rsidR="00B917C7" w:rsidRPr="00385560">
        <w:rPr>
          <w:kern w:val="22"/>
        </w:rPr>
        <w:t xml:space="preserve"> by national</w:t>
      </w:r>
      <w:r w:rsidR="008015BD">
        <w:rPr>
          <w:kern w:val="22"/>
        </w:rPr>
        <w:t>-</w:t>
      </w:r>
      <w:r w:rsidR="00B917C7" w:rsidRPr="00385560">
        <w:rPr>
          <w:kern w:val="22"/>
        </w:rPr>
        <w:t xml:space="preserve">level activities. E-learning materials on mainstreaming biosafety </w:t>
      </w:r>
      <w:r w:rsidR="007A6F71" w:rsidRPr="00385560">
        <w:rPr>
          <w:kern w:val="22"/>
        </w:rPr>
        <w:t xml:space="preserve">in national legislation, policy and institutional structures </w:t>
      </w:r>
      <w:r w:rsidR="00B917C7" w:rsidRPr="00385560">
        <w:rPr>
          <w:kern w:val="22"/>
        </w:rPr>
        <w:t xml:space="preserve">have been developed </w:t>
      </w:r>
      <w:r w:rsidR="00286711" w:rsidRPr="00385560">
        <w:rPr>
          <w:kern w:val="22"/>
        </w:rPr>
        <w:t>and support Parties in mainstreaming biosafety in different sectors</w:t>
      </w:r>
      <w:r w:rsidR="00C267B8" w:rsidRPr="00385560">
        <w:rPr>
          <w:kern w:val="22"/>
        </w:rPr>
        <w:t>.</w:t>
      </w:r>
    </w:p>
    <w:p w:rsidR="000A0135" w:rsidRPr="00385560" w:rsidRDefault="00F93258"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Although progress is being made, f</w:t>
      </w:r>
      <w:r w:rsidR="00D03B00" w:rsidRPr="00385560">
        <w:rPr>
          <w:kern w:val="22"/>
        </w:rPr>
        <w:t>urther steps are needed</w:t>
      </w:r>
      <w:r w:rsidR="000A0135" w:rsidRPr="00385560">
        <w:rPr>
          <w:kern w:val="22"/>
        </w:rPr>
        <w:t xml:space="preserve"> to integrate biosafety across the work of the Convention. For instance, biosafety-related issues could be further considered when addressing protected areas, or the management of forests, mountains and marine areas</w:t>
      </w:r>
      <w:r w:rsidR="00D03B00" w:rsidRPr="00385560">
        <w:rPr>
          <w:kern w:val="22"/>
        </w:rPr>
        <w:t>, among others</w:t>
      </w:r>
      <w:r w:rsidR="000A0135" w:rsidRPr="00385560">
        <w:rPr>
          <w:kern w:val="22"/>
        </w:rPr>
        <w:t xml:space="preserve">. The inclusion of a biosafety component as part of </w:t>
      </w:r>
      <w:r w:rsidR="00591BC9" w:rsidRPr="00385560">
        <w:rPr>
          <w:kern w:val="22"/>
        </w:rPr>
        <w:t xml:space="preserve">relevant </w:t>
      </w:r>
      <w:r w:rsidR="000A0135" w:rsidRPr="00385560">
        <w:rPr>
          <w:kern w:val="22"/>
        </w:rPr>
        <w:t>capacity-building projects could also be considered in a more systematic manner.</w:t>
      </w:r>
    </w:p>
    <w:p w:rsidR="00D55DBD" w:rsidRPr="00385560" w:rsidRDefault="000A0135"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Against this background, enhancing integration under the Convention and the Cartagena Protocol with regard to biosafety-related provisions would further support achieving the </w:t>
      </w:r>
      <w:hyperlink r:id="rId23" w:history="1">
        <w:r w:rsidRPr="00385560">
          <w:rPr>
            <w:rStyle w:val="Hyperlink"/>
            <w:kern w:val="22"/>
          </w:rPr>
          <w:t>Aichi Biodiversity Targets</w:t>
        </w:r>
      </w:hyperlink>
      <w:r w:rsidRPr="00385560">
        <w:rPr>
          <w:kern w:val="22"/>
        </w:rPr>
        <w:t xml:space="preserve"> and the </w:t>
      </w:r>
      <w:hyperlink r:id="rId24" w:history="1">
        <w:r w:rsidRPr="00385560">
          <w:rPr>
            <w:rStyle w:val="Hyperlink"/>
            <w:kern w:val="22"/>
          </w:rPr>
          <w:t>post-2020 global biodiversity framework</w:t>
        </w:r>
      </w:hyperlink>
      <w:r w:rsidRPr="00385560">
        <w:rPr>
          <w:kern w:val="22"/>
        </w:rPr>
        <w:t>.</w:t>
      </w:r>
    </w:p>
    <w:p w:rsidR="006F6F44" w:rsidRPr="00385560" w:rsidRDefault="006F6F44" w:rsidP="00385560">
      <w:pPr>
        <w:pStyle w:val="Heading1"/>
        <w:numPr>
          <w:ilvl w:val="0"/>
          <w:numId w:val="6"/>
        </w:numPr>
        <w:suppressLineNumbers/>
        <w:tabs>
          <w:tab w:val="clear" w:pos="720"/>
          <w:tab w:val="left" w:pos="360"/>
        </w:tabs>
        <w:suppressAutoHyphens/>
        <w:kinsoku w:val="0"/>
        <w:overflowPunct w:val="0"/>
        <w:autoSpaceDE w:val="0"/>
        <w:autoSpaceDN w:val="0"/>
        <w:adjustRightInd w:val="0"/>
        <w:snapToGrid w:val="0"/>
        <w:spacing w:before="120"/>
        <w:ind w:left="0" w:firstLine="0"/>
        <w:rPr>
          <w:rFonts w:ascii="Times New Roman Bold" w:hAnsi="Times New Roman Bold" w:cs="Times New Roman Bold"/>
          <w:snapToGrid w:val="0"/>
          <w:kern w:val="22"/>
          <w:szCs w:val="18"/>
        </w:rPr>
      </w:pPr>
      <w:r w:rsidRPr="00385560">
        <w:rPr>
          <w:rFonts w:ascii="Times New Roman Bold" w:hAnsi="Times New Roman Bold" w:cs="Times New Roman Bold"/>
          <w:snapToGrid w:val="0"/>
          <w:kern w:val="22"/>
        </w:rPr>
        <w:t>Conclusion</w:t>
      </w:r>
    </w:p>
    <w:p w:rsidR="006F6F44" w:rsidRPr="00385560" w:rsidRDefault="006F6F44"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8427BC">
        <w:rPr>
          <w:kern w:val="22"/>
        </w:rPr>
        <w:t xml:space="preserve">In </w:t>
      </w:r>
      <w:r w:rsidR="00C2117E" w:rsidRPr="008427BC">
        <w:rPr>
          <w:kern w:val="22"/>
        </w:rPr>
        <w:t>conclusion</w:t>
      </w:r>
      <w:r w:rsidRPr="008427BC">
        <w:rPr>
          <w:kern w:val="22"/>
        </w:rPr>
        <w:t xml:space="preserve">, </w:t>
      </w:r>
      <w:r w:rsidR="009977FB" w:rsidRPr="00DE70E4">
        <w:rPr>
          <w:kern w:val="22"/>
        </w:rPr>
        <w:t xml:space="preserve">the </w:t>
      </w:r>
      <w:r w:rsidR="0095393E" w:rsidRPr="00DE70E4">
        <w:rPr>
          <w:kern w:val="22"/>
        </w:rPr>
        <w:t xml:space="preserve">majority of </w:t>
      </w:r>
      <w:r w:rsidRPr="00DE70E4">
        <w:rPr>
          <w:kern w:val="22"/>
        </w:rPr>
        <w:t>Parties to the Convention</w:t>
      </w:r>
      <w:r w:rsidR="00FE5032" w:rsidRPr="00DE70E4">
        <w:rPr>
          <w:kern w:val="22"/>
        </w:rPr>
        <w:t xml:space="preserve"> </w:t>
      </w:r>
      <w:r w:rsidR="0086456B" w:rsidRPr="00DE70E4">
        <w:rPr>
          <w:kern w:val="22"/>
        </w:rPr>
        <w:t>are Parties to the Cartagena Protocol</w:t>
      </w:r>
      <w:r w:rsidR="00F93258" w:rsidRPr="00DE70E4">
        <w:rPr>
          <w:kern w:val="22"/>
        </w:rPr>
        <w:t>. Of those Parties to the Convention that are not Parties to the Cartage</w:t>
      </w:r>
      <w:r w:rsidR="00F93258" w:rsidRPr="0070113D">
        <w:rPr>
          <w:kern w:val="22"/>
        </w:rPr>
        <w:t xml:space="preserve">na Protocol, a large number have taken biosafety measures that are in accordance with the Cartagena Protocol, thereby </w:t>
      </w:r>
      <w:r w:rsidR="00F93258" w:rsidRPr="00385560">
        <w:rPr>
          <w:i/>
          <w:kern w:val="22"/>
        </w:rPr>
        <w:t xml:space="preserve">de facto </w:t>
      </w:r>
      <w:r w:rsidR="00F93258" w:rsidRPr="00385560">
        <w:rPr>
          <w:kern w:val="22"/>
        </w:rPr>
        <w:t>implementing the Protocol. Furthermore</w:t>
      </w:r>
      <w:r w:rsidR="009977FB" w:rsidRPr="00385560">
        <w:rPr>
          <w:kern w:val="22"/>
        </w:rPr>
        <w:t xml:space="preserve">, </w:t>
      </w:r>
      <w:r w:rsidR="00C267B8" w:rsidRPr="00385560">
        <w:rPr>
          <w:kern w:val="22"/>
        </w:rPr>
        <w:t xml:space="preserve">many </w:t>
      </w:r>
      <w:r w:rsidR="00F93258" w:rsidRPr="00385560">
        <w:rPr>
          <w:kern w:val="22"/>
        </w:rPr>
        <w:t xml:space="preserve">countries </w:t>
      </w:r>
      <w:r w:rsidR="00FE5032" w:rsidRPr="00385560">
        <w:rPr>
          <w:kern w:val="22"/>
        </w:rPr>
        <w:t xml:space="preserve">have </w:t>
      </w:r>
      <w:r w:rsidR="0086456B" w:rsidRPr="00385560">
        <w:rPr>
          <w:kern w:val="22"/>
        </w:rPr>
        <w:t xml:space="preserve">included biosafety-related considerations in their </w:t>
      </w:r>
      <w:r w:rsidR="00BA3820">
        <w:rPr>
          <w:kern w:val="22"/>
        </w:rPr>
        <w:t>NBSAPs</w:t>
      </w:r>
      <w:r w:rsidR="006A0929" w:rsidRPr="00385560">
        <w:rPr>
          <w:kern w:val="22"/>
        </w:rPr>
        <w:t>.</w:t>
      </w:r>
    </w:p>
    <w:p w:rsidR="00E55657" w:rsidRPr="00385560" w:rsidRDefault="006F6F44"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Considering </w:t>
      </w:r>
      <w:r w:rsidR="00C267B8" w:rsidRPr="00385560">
        <w:rPr>
          <w:kern w:val="22"/>
        </w:rPr>
        <w:t xml:space="preserve">the </w:t>
      </w:r>
      <w:r w:rsidR="00D1762A" w:rsidRPr="00385560">
        <w:rPr>
          <w:kern w:val="22"/>
        </w:rPr>
        <w:t>critical</w:t>
      </w:r>
      <w:r w:rsidR="00C267B8" w:rsidRPr="00385560">
        <w:rPr>
          <w:kern w:val="22"/>
        </w:rPr>
        <w:t xml:space="preserve"> role of the</w:t>
      </w:r>
      <w:r w:rsidR="0086456B" w:rsidRPr="00385560">
        <w:rPr>
          <w:kern w:val="22"/>
        </w:rPr>
        <w:t xml:space="preserve"> Cartagena</w:t>
      </w:r>
      <w:r w:rsidRPr="00385560">
        <w:rPr>
          <w:kern w:val="22"/>
        </w:rPr>
        <w:t xml:space="preserve"> Protocol </w:t>
      </w:r>
      <w:r w:rsidR="00F93258" w:rsidRPr="00385560">
        <w:rPr>
          <w:kern w:val="22"/>
        </w:rPr>
        <w:t>in</w:t>
      </w:r>
      <w:r w:rsidRPr="00385560">
        <w:rPr>
          <w:kern w:val="22"/>
        </w:rPr>
        <w:t xml:space="preserve"> facilitat</w:t>
      </w:r>
      <w:r w:rsidR="00F93258" w:rsidRPr="00385560">
        <w:rPr>
          <w:kern w:val="22"/>
        </w:rPr>
        <w:t>ing</w:t>
      </w:r>
      <w:r w:rsidRPr="00385560">
        <w:rPr>
          <w:kern w:val="22"/>
        </w:rPr>
        <w:t xml:space="preserve"> </w:t>
      </w:r>
      <w:r w:rsidR="00413465">
        <w:rPr>
          <w:kern w:val="22"/>
        </w:rPr>
        <w:t xml:space="preserve">the </w:t>
      </w:r>
      <w:r w:rsidRPr="00385560">
        <w:rPr>
          <w:kern w:val="22"/>
        </w:rPr>
        <w:t>implementation of</w:t>
      </w:r>
      <w:r w:rsidR="00D1762A" w:rsidRPr="00385560">
        <w:rPr>
          <w:kern w:val="22"/>
        </w:rPr>
        <w:t xml:space="preserve"> the</w:t>
      </w:r>
      <w:r w:rsidRPr="00385560">
        <w:rPr>
          <w:kern w:val="22"/>
        </w:rPr>
        <w:t xml:space="preserve"> </w:t>
      </w:r>
      <w:r w:rsidR="00E0227F" w:rsidRPr="00385560">
        <w:rPr>
          <w:kern w:val="22"/>
        </w:rPr>
        <w:t>biosafety</w:t>
      </w:r>
      <w:r w:rsidRPr="00385560">
        <w:rPr>
          <w:kern w:val="22"/>
        </w:rPr>
        <w:t>-related provisions of the C</w:t>
      </w:r>
      <w:r w:rsidR="00387D13" w:rsidRPr="00385560">
        <w:rPr>
          <w:kern w:val="22"/>
        </w:rPr>
        <w:t>onvention</w:t>
      </w:r>
      <w:r w:rsidRPr="00385560">
        <w:rPr>
          <w:kern w:val="22"/>
        </w:rPr>
        <w:t>, it is in the interest of all Parties to the C</w:t>
      </w:r>
      <w:r w:rsidR="00387D13" w:rsidRPr="00385560">
        <w:rPr>
          <w:kern w:val="22"/>
        </w:rPr>
        <w:t>onvention</w:t>
      </w:r>
      <w:r w:rsidRPr="00385560">
        <w:rPr>
          <w:kern w:val="22"/>
        </w:rPr>
        <w:t xml:space="preserve"> to ratify </w:t>
      </w:r>
      <w:r w:rsidR="0067304D" w:rsidRPr="00385560">
        <w:rPr>
          <w:kern w:val="22"/>
        </w:rPr>
        <w:t xml:space="preserve">the </w:t>
      </w:r>
      <w:r w:rsidR="0086456B" w:rsidRPr="00385560">
        <w:rPr>
          <w:kern w:val="22"/>
        </w:rPr>
        <w:t xml:space="preserve">Cartagena </w:t>
      </w:r>
      <w:r w:rsidR="0067304D" w:rsidRPr="00385560">
        <w:rPr>
          <w:kern w:val="22"/>
        </w:rPr>
        <w:t xml:space="preserve">Protocol </w:t>
      </w:r>
      <w:r w:rsidRPr="00385560">
        <w:rPr>
          <w:kern w:val="22"/>
        </w:rPr>
        <w:t xml:space="preserve">in order to support a coherent international </w:t>
      </w:r>
      <w:r w:rsidR="0086456B" w:rsidRPr="00385560">
        <w:rPr>
          <w:kern w:val="22"/>
        </w:rPr>
        <w:t>biosafety</w:t>
      </w:r>
      <w:r w:rsidRPr="00385560">
        <w:rPr>
          <w:kern w:val="22"/>
        </w:rPr>
        <w:t xml:space="preserve"> </w:t>
      </w:r>
      <w:r w:rsidR="00440A3A" w:rsidRPr="00385560">
        <w:rPr>
          <w:kern w:val="22"/>
        </w:rPr>
        <w:t>regime</w:t>
      </w:r>
      <w:r w:rsidRPr="00385560">
        <w:rPr>
          <w:kern w:val="22"/>
        </w:rPr>
        <w:t>.</w:t>
      </w:r>
      <w:r w:rsidR="009977FB" w:rsidRPr="00385560">
        <w:rPr>
          <w:kern w:val="22"/>
        </w:rPr>
        <w:t xml:space="preserve"> Further efforts are needed to support ratification and implementation of the Cartagena Proto</w:t>
      </w:r>
      <w:r w:rsidR="009620BE" w:rsidRPr="00385560">
        <w:rPr>
          <w:kern w:val="22"/>
        </w:rPr>
        <w:t>col, including through capacity</w:t>
      </w:r>
      <w:r w:rsidR="009620BE" w:rsidRPr="00385560">
        <w:rPr>
          <w:kern w:val="22"/>
        </w:rPr>
        <w:noBreakHyphen/>
      </w:r>
      <w:r w:rsidR="009977FB" w:rsidRPr="00385560">
        <w:rPr>
          <w:kern w:val="22"/>
        </w:rPr>
        <w:t>building and financial support.</w:t>
      </w:r>
    </w:p>
    <w:p w:rsidR="008771A7" w:rsidRPr="00385560" w:rsidRDefault="009977FB"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G</w:t>
      </w:r>
      <w:r w:rsidR="0086456B" w:rsidRPr="00385560">
        <w:rPr>
          <w:kern w:val="22"/>
        </w:rPr>
        <w:t>iven</w:t>
      </w:r>
      <w:r w:rsidR="00C2117E" w:rsidRPr="00385560">
        <w:rPr>
          <w:kern w:val="22"/>
        </w:rPr>
        <w:t xml:space="preserve"> </w:t>
      </w:r>
      <w:r w:rsidR="0095393E" w:rsidRPr="00385560">
        <w:rPr>
          <w:kern w:val="22"/>
        </w:rPr>
        <w:t xml:space="preserve">the potential for </w:t>
      </w:r>
      <w:r w:rsidR="0086456B" w:rsidRPr="00385560">
        <w:rPr>
          <w:kern w:val="22"/>
        </w:rPr>
        <w:t xml:space="preserve">modern biotechnology </w:t>
      </w:r>
      <w:r w:rsidR="0095393E" w:rsidRPr="00385560">
        <w:rPr>
          <w:kern w:val="22"/>
        </w:rPr>
        <w:t>to contribute to conservation and sustainable use</w:t>
      </w:r>
      <w:r w:rsidR="0086456B" w:rsidRPr="00385560">
        <w:rPr>
          <w:kern w:val="22"/>
        </w:rPr>
        <w:t xml:space="preserve"> of biodiversity, and considering the cross-cutting nature of issues related to biosafety</w:t>
      </w:r>
      <w:r w:rsidR="0095393E" w:rsidRPr="00385560">
        <w:rPr>
          <w:kern w:val="22"/>
        </w:rPr>
        <w:t xml:space="preserve">, </w:t>
      </w:r>
      <w:r w:rsidR="00C2117E" w:rsidRPr="00385560">
        <w:rPr>
          <w:kern w:val="22"/>
        </w:rPr>
        <w:t>further efforts</w:t>
      </w:r>
      <w:r w:rsidR="00511340" w:rsidRPr="00385560">
        <w:rPr>
          <w:kern w:val="22"/>
        </w:rPr>
        <w:t xml:space="preserve"> </w:t>
      </w:r>
      <w:r w:rsidR="00F93258" w:rsidRPr="00385560">
        <w:rPr>
          <w:kern w:val="22"/>
        </w:rPr>
        <w:t xml:space="preserve">are </w:t>
      </w:r>
      <w:r w:rsidR="00C2117E" w:rsidRPr="00385560">
        <w:rPr>
          <w:kern w:val="22"/>
        </w:rPr>
        <w:t xml:space="preserve">needed to integrate </w:t>
      </w:r>
      <w:r w:rsidR="00E0227F" w:rsidRPr="00385560">
        <w:rPr>
          <w:kern w:val="22"/>
        </w:rPr>
        <w:t>bi</w:t>
      </w:r>
      <w:r w:rsidR="0086456B" w:rsidRPr="00385560">
        <w:rPr>
          <w:kern w:val="22"/>
        </w:rPr>
        <w:t>o</w:t>
      </w:r>
      <w:r w:rsidR="00E0227F" w:rsidRPr="00385560">
        <w:rPr>
          <w:kern w:val="22"/>
        </w:rPr>
        <w:t>s</w:t>
      </w:r>
      <w:r w:rsidR="0086456B" w:rsidRPr="00385560">
        <w:rPr>
          <w:kern w:val="22"/>
        </w:rPr>
        <w:t>afety</w:t>
      </w:r>
      <w:r w:rsidR="00C2117E" w:rsidRPr="00385560">
        <w:rPr>
          <w:kern w:val="22"/>
        </w:rPr>
        <w:t xml:space="preserve"> across the various work programmes of the C</w:t>
      </w:r>
      <w:r w:rsidR="0009324F" w:rsidRPr="00385560">
        <w:rPr>
          <w:kern w:val="22"/>
        </w:rPr>
        <w:t>onvention</w:t>
      </w:r>
      <w:r w:rsidR="0038232A" w:rsidRPr="00385560">
        <w:rPr>
          <w:kern w:val="22"/>
        </w:rPr>
        <w:t xml:space="preserve"> and to support Parties in efforts to integrate biosafety across various sectors at the national level</w:t>
      </w:r>
      <w:r w:rsidR="00C2117E" w:rsidRPr="00385560">
        <w:rPr>
          <w:kern w:val="22"/>
        </w:rPr>
        <w:t>.</w:t>
      </w:r>
    </w:p>
    <w:p w:rsidR="00440A3A" w:rsidRPr="00385560" w:rsidRDefault="00B267ED"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385560">
        <w:rPr>
          <w:kern w:val="22"/>
        </w:rPr>
        <w:t xml:space="preserve">Further integration of </w:t>
      </w:r>
      <w:r w:rsidR="0086456B" w:rsidRPr="00385560">
        <w:rPr>
          <w:kern w:val="22"/>
        </w:rPr>
        <w:t>biosafety</w:t>
      </w:r>
      <w:r w:rsidRPr="00385560">
        <w:rPr>
          <w:kern w:val="22"/>
        </w:rPr>
        <w:t xml:space="preserve"> </w:t>
      </w:r>
      <w:r w:rsidR="00A42832" w:rsidRPr="00385560">
        <w:rPr>
          <w:kern w:val="22"/>
        </w:rPr>
        <w:t xml:space="preserve">across the various work programmes of </w:t>
      </w:r>
      <w:r w:rsidRPr="00385560">
        <w:rPr>
          <w:kern w:val="22"/>
        </w:rPr>
        <w:t xml:space="preserve">the Convention could be considered </w:t>
      </w:r>
      <w:r w:rsidR="008771A7" w:rsidRPr="00385560">
        <w:rPr>
          <w:kern w:val="22"/>
        </w:rPr>
        <w:t>by adding biosafety considerations to</w:t>
      </w:r>
      <w:r w:rsidRPr="00385560">
        <w:rPr>
          <w:kern w:val="22"/>
        </w:rPr>
        <w:t xml:space="preserve"> the post</w:t>
      </w:r>
      <w:r w:rsidR="00A42832" w:rsidRPr="00385560">
        <w:rPr>
          <w:kern w:val="22"/>
        </w:rPr>
        <w:t>-</w:t>
      </w:r>
      <w:r w:rsidRPr="00385560">
        <w:rPr>
          <w:kern w:val="22"/>
        </w:rPr>
        <w:t xml:space="preserve">2020 </w:t>
      </w:r>
      <w:r w:rsidR="00A42832" w:rsidRPr="00385560">
        <w:rPr>
          <w:kern w:val="22"/>
        </w:rPr>
        <w:t>g</w:t>
      </w:r>
      <w:r w:rsidR="00F81D9E" w:rsidRPr="00385560">
        <w:rPr>
          <w:kern w:val="22"/>
        </w:rPr>
        <w:t xml:space="preserve">lobal </w:t>
      </w:r>
      <w:r w:rsidR="00A42832" w:rsidRPr="00385560">
        <w:rPr>
          <w:kern w:val="22"/>
        </w:rPr>
        <w:t>b</w:t>
      </w:r>
      <w:r w:rsidRPr="00385560">
        <w:rPr>
          <w:kern w:val="22"/>
        </w:rPr>
        <w:t xml:space="preserve">iodiversity </w:t>
      </w:r>
      <w:r w:rsidR="00A42832" w:rsidRPr="00385560">
        <w:rPr>
          <w:kern w:val="22"/>
        </w:rPr>
        <w:t>framework</w:t>
      </w:r>
      <w:r w:rsidR="001D66A9" w:rsidRPr="00385560">
        <w:rPr>
          <w:kern w:val="22"/>
        </w:rPr>
        <w:t xml:space="preserve"> and</w:t>
      </w:r>
      <w:r w:rsidR="008771A7" w:rsidRPr="00385560">
        <w:rPr>
          <w:kern w:val="22"/>
        </w:rPr>
        <w:t xml:space="preserve"> to the </w:t>
      </w:r>
      <w:r w:rsidR="00E0227F" w:rsidRPr="00385560">
        <w:rPr>
          <w:kern w:val="22"/>
        </w:rPr>
        <w:t>national reporting</w:t>
      </w:r>
      <w:r w:rsidR="009977FB" w:rsidRPr="00385560">
        <w:rPr>
          <w:kern w:val="22"/>
        </w:rPr>
        <w:t xml:space="preserve"> </w:t>
      </w:r>
      <w:r w:rsidR="008771A7" w:rsidRPr="00385560">
        <w:rPr>
          <w:kern w:val="22"/>
        </w:rPr>
        <w:t xml:space="preserve">format </w:t>
      </w:r>
      <w:r w:rsidR="009977FB" w:rsidRPr="00385560">
        <w:rPr>
          <w:kern w:val="22"/>
        </w:rPr>
        <w:t>under the Convention</w:t>
      </w:r>
      <w:r w:rsidRPr="00385560">
        <w:rPr>
          <w:kern w:val="22"/>
        </w:rPr>
        <w:t>.</w:t>
      </w:r>
    </w:p>
    <w:p w:rsidR="00AE5298" w:rsidRPr="00385560" w:rsidRDefault="00440A3A" w:rsidP="00385560">
      <w:pPr>
        <w:pStyle w:val="Heading1"/>
        <w:suppressLineNumbers/>
        <w:tabs>
          <w:tab w:val="clear" w:pos="720"/>
          <w:tab w:val="left" w:pos="45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385560">
        <w:rPr>
          <w:rFonts w:ascii="Times New Roman Bold" w:hAnsi="Times New Roman Bold" w:cs="Times New Roman Bold"/>
          <w:bCs/>
          <w:snapToGrid w:val="0"/>
          <w:kern w:val="22"/>
        </w:rPr>
        <w:t>I</w:t>
      </w:r>
      <w:r w:rsidR="008771A7" w:rsidRPr="00385560">
        <w:rPr>
          <w:rFonts w:ascii="Times New Roman Bold" w:hAnsi="Times New Roman Bold" w:cs="Times New Roman Bold"/>
          <w:bCs/>
          <w:snapToGrid w:val="0"/>
          <w:kern w:val="22"/>
        </w:rPr>
        <w:t>II.</w:t>
      </w:r>
      <w:r w:rsidR="00DC4747" w:rsidRPr="00385560">
        <w:rPr>
          <w:rFonts w:ascii="Times New Roman Bold" w:hAnsi="Times New Roman Bold" w:cs="Times New Roman Bold"/>
          <w:bCs/>
          <w:snapToGrid w:val="0"/>
          <w:kern w:val="22"/>
        </w:rPr>
        <w:tab/>
      </w:r>
      <w:r w:rsidR="00DE70E4" w:rsidRPr="00385560">
        <w:rPr>
          <w:rFonts w:ascii="Times New Roman Bold" w:hAnsi="Times New Roman Bold" w:cs="Times New Roman Bold"/>
          <w:bCs/>
          <w:snapToGrid w:val="0"/>
          <w:kern w:val="22"/>
        </w:rPr>
        <w:t xml:space="preserve">Draft </w:t>
      </w:r>
      <w:r w:rsidR="008771A7" w:rsidRPr="00385560">
        <w:rPr>
          <w:rFonts w:ascii="Times New Roman Bold" w:hAnsi="Times New Roman Bold" w:cs="Times New Roman Bold"/>
          <w:bCs/>
          <w:snapToGrid w:val="0"/>
          <w:kern w:val="22"/>
        </w:rPr>
        <w:t>recommendation</w:t>
      </w:r>
    </w:p>
    <w:p w:rsidR="00440A3A" w:rsidRPr="00A60C03" w:rsidRDefault="00D1789D" w:rsidP="00385560">
      <w:pPr>
        <w:pStyle w:val="Para1"/>
        <w:suppressLineNumbers/>
        <w:tabs>
          <w:tab w:val="clear" w:pos="360"/>
          <w:tab w:val="num" w:pos="720"/>
        </w:tabs>
        <w:suppressAutoHyphens/>
        <w:kinsoku w:val="0"/>
        <w:overflowPunct w:val="0"/>
        <w:autoSpaceDE w:val="0"/>
        <w:autoSpaceDN w:val="0"/>
        <w:adjustRightInd w:val="0"/>
        <w:snapToGrid w:val="0"/>
        <w:rPr>
          <w:kern w:val="22"/>
        </w:rPr>
      </w:pPr>
      <w:r w:rsidRPr="00DE70E4">
        <w:rPr>
          <w:kern w:val="22"/>
        </w:rPr>
        <w:t xml:space="preserve">The </w:t>
      </w:r>
      <w:r w:rsidR="00440A3A" w:rsidRPr="00DE70E4">
        <w:rPr>
          <w:kern w:val="22"/>
        </w:rPr>
        <w:t>S</w:t>
      </w:r>
      <w:r w:rsidRPr="00A60C03">
        <w:rPr>
          <w:kern w:val="22"/>
        </w:rPr>
        <w:t xml:space="preserve">ubsidiary </w:t>
      </w:r>
      <w:r w:rsidR="00440A3A" w:rsidRPr="00A60C03">
        <w:rPr>
          <w:kern w:val="22"/>
        </w:rPr>
        <w:t>B</w:t>
      </w:r>
      <w:r w:rsidRPr="00A60C03">
        <w:rPr>
          <w:kern w:val="22"/>
        </w:rPr>
        <w:t>ody on Implementation</w:t>
      </w:r>
      <w:r w:rsidR="00440A3A" w:rsidRPr="00A60C03">
        <w:rPr>
          <w:kern w:val="22"/>
        </w:rPr>
        <w:t xml:space="preserve"> may wish to </w:t>
      </w:r>
      <w:r w:rsidRPr="00A60C03">
        <w:rPr>
          <w:kern w:val="22"/>
        </w:rPr>
        <w:t xml:space="preserve">recommend that the Conference of the Parties </w:t>
      </w:r>
      <w:r w:rsidR="00A60C03">
        <w:rPr>
          <w:kern w:val="22"/>
        </w:rPr>
        <w:t xml:space="preserve">at its fourteenth meeting </w:t>
      </w:r>
      <w:r w:rsidRPr="00A60C03">
        <w:rPr>
          <w:kern w:val="22"/>
        </w:rPr>
        <w:t>adopt a decision along the following lines</w:t>
      </w:r>
      <w:r w:rsidR="00440A3A" w:rsidRPr="00A60C03">
        <w:rPr>
          <w:kern w:val="22"/>
        </w:rPr>
        <w:t>:</w:t>
      </w:r>
    </w:p>
    <w:p w:rsidR="00440A3A" w:rsidRPr="003E25E3" w:rsidRDefault="00440A3A" w:rsidP="00385560">
      <w:pPr>
        <w:pStyle w:val="Para1"/>
        <w:numPr>
          <w:ilvl w:val="0"/>
          <w:numId w:val="0"/>
        </w:numPr>
        <w:suppressLineNumbers/>
        <w:suppressAutoHyphens/>
        <w:kinsoku w:val="0"/>
        <w:overflowPunct w:val="0"/>
        <w:autoSpaceDE w:val="0"/>
        <w:autoSpaceDN w:val="0"/>
        <w:adjustRightInd w:val="0"/>
        <w:snapToGrid w:val="0"/>
        <w:ind w:firstLine="720"/>
        <w:rPr>
          <w:rFonts w:eastAsia="Calibri"/>
          <w:i/>
          <w:kern w:val="22"/>
        </w:rPr>
      </w:pPr>
      <w:r w:rsidRPr="003E25E3">
        <w:rPr>
          <w:rFonts w:eastAsia="Calibri"/>
          <w:i/>
          <w:kern w:val="22"/>
        </w:rPr>
        <w:t>The Conference of the Parties</w:t>
      </w:r>
      <w:r w:rsidR="00A42832" w:rsidRPr="003E25E3">
        <w:rPr>
          <w:rFonts w:eastAsia="Calibri"/>
          <w:i/>
          <w:kern w:val="22"/>
        </w:rPr>
        <w:t>,</w:t>
      </w:r>
    </w:p>
    <w:p w:rsidR="00440A3A" w:rsidRPr="00385560" w:rsidRDefault="00D1789D" w:rsidP="00385560">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rPr>
      </w:pPr>
      <w:r w:rsidRPr="00E07BD7">
        <w:rPr>
          <w:rFonts w:eastAsia="Calibri"/>
          <w:i/>
          <w:kern w:val="22"/>
        </w:rPr>
        <w:t>Urges</w:t>
      </w:r>
      <w:r w:rsidR="00440A3A" w:rsidRPr="00E07BD7">
        <w:rPr>
          <w:rFonts w:eastAsia="Calibri"/>
          <w:kern w:val="22"/>
        </w:rPr>
        <w:t xml:space="preserve"> Parties to the Convention on Biological Diversity</w:t>
      </w:r>
      <w:r w:rsidR="00440A3A" w:rsidRPr="0070113D">
        <w:rPr>
          <w:rFonts w:eastAsia="Calibri"/>
          <w:kern w:val="22"/>
        </w:rPr>
        <w:t xml:space="preserve"> that have not yet done so</w:t>
      </w:r>
      <w:r w:rsidR="00440A3A" w:rsidRPr="00B957C7">
        <w:rPr>
          <w:rFonts w:eastAsia="Calibri"/>
          <w:kern w:val="22"/>
        </w:rPr>
        <w:t xml:space="preserve"> to deposit their instrument of ratification, acceptance</w:t>
      </w:r>
      <w:r w:rsidR="001D66A9" w:rsidRPr="00385560">
        <w:rPr>
          <w:rFonts w:eastAsia="Calibri"/>
          <w:kern w:val="22"/>
        </w:rPr>
        <w:t>,</w:t>
      </w:r>
      <w:r w:rsidR="00440A3A" w:rsidRPr="00385560">
        <w:rPr>
          <w:rFonts w:eastAsia="Calibri"/>
          <w:kern w:val="22"/>
        </w:rPr>
        <w:t xml:space="preserve"> approval or accession to the </w:t>
      </w:r>
      <w:r w:rsidR="00A42832" w:rsidRPr="00385560">
        <w:rPr>
          <w:rFonts w:eastAsia="Calibri"/>
          <w:kern w:val="22"/>
        </w:rPr>
        <w:t>Cartagena</w:t>
      </w:r>
      <w:r w:rsidR="00440A3A" w:rsidRPr="00385560">
        <w:rPr>
          <w:rFonts w:eastAsia="Calibri"/>
          <w:kern w:val="22"/>
        </w:rPr>
        <w:t xml:space="preserve"> Protocol as soon as possible, and to take steps towards its implementation, including by establishing institutional structures and legislative, administrative and policy measures on </w:t>
      </w:r>
      <w:r w:rsidR="001D66A9" w:rsidRPr="00385560">
        <w:rPr>
          <w:rFonts w:eastAsia="Calibri"/>
          <w:kern w:val="22"/>
        </w:rPr>
        <w:t>biosafety</w:t>
      </w:r>
      <w:r w:rsidR="009620BE" w:rsidRPr="00385560">
        <w:rPr>
          <w:rFonts w:eastAsia="Calibri"/>
          <w:kern w:val="22"/>
        </w:rPr>
        <w:t>;</w:t>
      </w:r>
    </w:p>
    <w:p w:rsidR="00A42832" w:rsidRPr="00385560" w:rsidRDefault="009977FB" w:rsidP="00385560">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rPr>
      </w:pPr>
      <w:r w:rsidRPr="00385560">
        <w:rPr>
          <w:rFonts w:eastAsia="Calibri"/>
          <w:i/>
          <w:kern w:val="22"/>
        </w:rPr>
        <w:t>Reminds</w:t>
      </w:r>
      <w:r w:rsidRPr="00385560">
        <w:rPr>
          <w:rFonts w:eastAsia="Calibri"/>
          <w:kern w:val="22"/>
        </w:rPr>
        <w:t xml:space="preserve"> </w:t>
      </w:r>
      <w:r w:rsidR="00A42832" w:rsidRPr="00385560">
        <w:rPr>
          <w:rFonts w:eastAsia="Calibri"/>
          <w:kern w:val="22"/>
        </w:rPr>
        <w:t>Parties to the Convention on Biological Diversity that are not Parties to the Cartagena Protocol</w:t>
      </w:r>
      <w:r w:rsidRPr="00385560">
        <w:rPr>
          <w:rFonts w:eastAsia="Calibri"/>
          <w:kern w:val="22"/>
        </w:rPr>
        <w:t xml:space="preserve"> of their biosafety-related obligations under the Convention</w:t>
      </w:r>
      <w:r w:rsidR="00591D07">
        <w:rPr>
          <w:rFonts w:eastAsia="Calibri"/>
          <w:kern w:val="22"/>
        </w:rPr>
        <w:t>,</w:t>
      </w:r>
      <w:r w:rsidRPr="00385560">
        <w:rPr>
          <w:rFonts w:eastAsia="Calibri"/>
          <w:kern w:val="22"/>
        </w:rPr>
        <w:t xml:space="preserve"> and</w:t>
      </w:r>
      <w:r w:rsidR="00A42832" w:rsidRPr="00385560">
        <w:rPr>
          <w:rFonts w:eastAsia="Calibri"/>
          <w:kern w:val="22"/>
        </w:rPr>
        <w:t xml:space="preserve"> </w:t>
      </w:r>
      <w:r w:rsidRPr="00385560">
        <w:rPr>
          <w:rFonts w:eastAsia="Calibri"/>
          <w:i/>
          <w:kern w:val="22"/>
        </w:rPr>
        <w:t xml:space="preserve">invites </w:t>
      </w:r>
      <w:r w:rsidRPr="00385560">
        <w:rPr>
          <w:rFonts w:eastAsia="Calibri"/>
          <w:kern w:val="22"/>
        </w:rPr>
        <w:t xml:space="preserve">them </w:t>
      </w:r>
      <w:r w:rsidR="00A42832" w:rsidRPr="00385560">
        <w:rPr>
          <w:rFonts w:eastAsia="Calibri"/>
          <w:kern w:val="22"/>
        </w:rPr>
        <w:t xml:space="preserve">to </w:t>
      </w:r>
      <w:r w:rsidR="001D66A9" w:rsidRPr="00385560">
        <w:rPr>
          <w:rFonts w:eastAsia="Calibri"/>
          <w:kern w:val="22"/>
        </w:rPr>
        <w:lastRenderedPageBreak/>
        <w:t xml:space="preserve">continue making relevant information available to the Biosafety Clearing-House and to </w:t>
      </w:r>
      <w:r w:rsidR="00A42832" w:rsidRPr="00385560">
        <w:rPr>
          <w:rFonts w:eastAsia="Calibri"/>
          <w:kern w:val="22"/>
        </w:rPr>
        <w:t>submit the fourth national repor</w:t>
      </w:r>
      <w:r w:rsidR="009620BE" w:rsidRPr="00385560">
        <w:rPr>
          <w:rFonts w:eastAsia="Calibri"/>
          <w:kern w:val="22"/>
        </w:rPr>
        <w:t>t under the Cartagena Protocol;</w:t>
      </w:r>
    </w:p>
    <w:p w:rsidR="00D1789D" w:rsidRPr="00385560" w:rsidRDefault="00D7780B" w:rsidP="00385560">
      <w:pPr>
        <w:numPr>
          <w:ilvl w:val="0"/>
          <w:numId w:val="7"/>
        </w:numPr>
        <w:suppressLineNumbers/>
        <w:suppressAutoHyphens/>
        <w:kinsoku w:val="0"/>
        <w:overflowPunct w:val="0"/>
        <w:autoSpaceDE w:val="0"/>
        <w:autoSpaceDN w:val="0"/>
        <w:adjustRightInd w:val="0"/>
        <w:snapToGrid w:val="0"/>
        <w:spacing w:before="120" w:after="120"/>
        <w:ind w:left="0" w:firstLine="720"/>
        <w:rPr>
          <w:snapToGrid w:val="0"/>
          <w:kern w:val="22"/>
        </w:rPr>
      </w:pPr>
      <w:r w:rsidRPr="00385560">
        <w:rPr>
          <w:i/>
          <w:snapToGrid w:val="0"/>
          <w:kern w:val="22"/>
        </w:rPr>
        <w:t>Invites</w:t>
      </w:r>
      <w:r w:rsidRPr="00385560">
        <w:rPr>
          <w:snapToGrid w:val="0"/>
          <w:kern w:val="22"/>
        </w:rPr>
        <w:t xml:space="preserve"> </w:t>
      </w:r>
      <w:r w:rsidR="009620BE" w:rsidRPr="00385560">
        <w:rPr>
          <w:snapToGrid w:val="0"/>
          <w:kern w:val="22"/>
        </w:rPr>
        <w:t>Governments and relevant organiz</w:t>
      </w:r>
      <w:r w:rsidRPr="00385560">
        <w:rPr>
          <w:snapToGrid w:val="0"/>
          <w:kern w:val="22"/>
        </w:rPr>
        <w:t>ations to provide technical and financial support to address needs for capacity-building and development activities, as well as financial resources to support ratification and implementation of the Cartagena Protocol</w:t>
      </w:r>
      <w:r w:rsidR="009620BE" w:rsidRPr="00385560">
        <w:rPr>
          <w:snapToGrid w:val="0"/>
          <w:kern w:val="22"/>
        </w:rPr>
        <w:t>;</w:t>
      </w:r>
    </w:p>
    <w:p w:rsidR="0004001B" w:rsidRPr="00385560" w:rsidRDefault="00D7780B" w:rsidP="00385560">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rPr>
      </w:pPr>
      <w:r w:rsidRPr="00385560">
        <w:rPr>
          <w:rFonts w:eastAsia="Calibri"/>
          <w:i/>
          <w:kern w:val="22"/>
        </w:rPr>
        <w:t>Agrees</w:t>
      </w:r>
      <w:r w:rsidR="001D66A9" w:rsidRPr="00385560">
        <w:rPr>
          <w:rFonts w:eastAsia="Calibri"/>
          <w:kern w:val="22"/>
        </w:rPr>
        <w:t xml:space="preserve"> to consider the addition of biosa</w:t>
      </w:r>
      <w:r w:rsidR="009620BE" w:rsidRPr="00385560">
        <w:rPr>
          <w:rFonts w:eastAsia="Calibri"/>
          <w:kern w:val="22"/>
        </w:rPr>
        <w:t xml:space="preserve">fety considerations </w:t>
      </w:r>
      <w:r w:rsidR="0048335C">
        <w:rPr>
          <w:rFonts w:eastAsia="Calibri"/>
          <w:kern w:val="22"/>
        </w:rPr>
        <w:t>to</w:t>
      </w:r>
      <w:r w:rsidR="0048335C" w:rsidRPr="00385560">
        <w:rPr>
          <w:rFonts w:eastAsia="Calibri"/>
          <w:kern w:val="22"/>
        </w:rPr>
        <w:t xml:space="preserve"> </w:t>
      </w:r>
      <w:r w:rsidR="009620BE" w:rsidRPr="00385560">
        <w:rPr>
          <w:rFonts w:eastAsia="Calibri"/>
          <w:kern w:val="22"/>
        </w:rPr>
        <w:t>the post-</w:t>
      </w:r>
      <w:r w:rsidR="001D66A9" w:rsidRPr="00385560">
        <w:rPr>
          <w:rFonts w:eastAsia="Calibri"/>
          <w:kern w:val="22"/>
        </w:rPr>
        <w:t>2020 global biodiversity framework</w:t>
      </w:r>
      <w:r w:rsidR="009977FB" w:rsidRPr="00385560">
        <w:rPr>
          <w:rFonts w:eastAsia="Calibri"/>
          <w:kern w:val="22"/>
        </w:rPr>
        <w:t xml:space="preserve"> </w:t>
      </w:r>
      <w:r w:rsidR="008771A7" w:rsidRPr="00385560">
        <w:rPr>
          <w:rFonts w:eastAsia="Calibri"/>
          <w:kern w:val="22"/>
        </w:rPr>
        <w:t xml:space="preserve">and national reporting format under the Convention, </w:t>
      </w:r>
      <w:r w:rsidR="00892B9F">
        <w:rPr>
          <w:rFonts w:eastAsia="Calibri"/>
          <w:kern w:val="22"/>
        </w:rPr>
        <w:t>and</w:t>
      </w:r>
      <w:r w:rsidR="001D66A9" w:rsidRPr="00385560">
        <w:rPr>
          <w:rFonts w:eastAsia="Calibri"/>
          <w:kern w:val="22"/>
        </w:rPr>
        <w:t xml:space="preserve"> </w:t>
      </w:r>
      <w:r w:rsidR="00D1789D" w:rsidRPr="00892B9F">
        <w:rPr>
          <w:rFonts w:eastAsia="Calibri"/>
          <w:kern w:val="22"/>
        </w:rPr>
        <w:t xml:space="preserve">to </w:t>
      </w:r>
      <w:r w:rsidR="00D1789D" w:rsidRPr="00385560">
        <w:rPr>
          <w:rFonts w:eastAsia="Calibri"/>
          <w:kern w:val="22"/>
        </w:rPr>
        <w:t xml:space="preserve">other areas of work </w:t>
      </w:r>
      <w:r w:rsidR="005675C1">
        <w:rPr>
          <w:rFonts w:eastAsia="Calibri"/>
          <w:kern w:val="22"/>
        </w:rPr>
        <w:t>under</w:t>
      </w:r>
      <w:r w:rsidR="005675C1" w:rsidRPr="00385560">
        <w:rPr>
          <w:rFonts w:eastAsia="Calibri"/>
          <w:kern w:val="22"/>
        </w:rPr>
        <w:t xml:space="preserve"> </w:t>
      </w:r>
      <w:r w:rsidR="00D1789D" w:rsidRPr="00385560">
        <w:rPr>
          <w:rFonts w:eastAsia="Calibri"/>
          <w:kern w:val="22"/>
        </w:rPr>
        <w:t>the Convention</w:t>
      </w:r>
      <w:r w:rsidR="009620BE" w:rsidRPr="00385560">
        <w:rPr>
          <w:rFonts w:eastAsia="Calibri"/>
          <w:kern w:val="22"/>
        </w:rPr>
        <w:t>;</w:t>
      </w:r>
    </w:p>
    <w:p w:rsidR="00C91927" w:rsidRPr="00385560" w:rsidRDefault="0004001B" w:rsidP="00385560">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rPr>
      </w:pPr>
      <w:r w:rsidRPr="00385560">
        <w:rPr>
          <w:rFonts w:eastAsia="Calibri"/>
          <w:i/>
          <w:kern w:val="22"/>
        </w:rPr>
        <w:t>Request</w:t>
      </w:r>
      <w:r w:rsidR="009977FB" w:rsidRPr="00385560">
        <w:rPr>
          <w:rFonts w:eastAsia="Calibri"/>
          <w:i/>
          <w:kern w:val="22"/>
        </w:rPr>
        <w:t>s</w:t>
      </w:r>
      <w:r w:rsidRPr="00385560">
        <w:rPr>
          <w:rFonts w:eastAsia="Calibri"/>
          <w:kern w:val="22"/>
        </w:rPr>
        <w:t xml:space="preserve"> the Executive Secretary to continue efforts to integrate </w:t>
      </w:r>
      <w:r w:rsidR="00A42832" w:rsidRPr="00385560">
        <w:rPr>
          <w:rFonts w:eastAsia="Calibri"/>
          <w:kern w:val="22"/>
        </w:rPr>
        <w:t>biosafety</w:t>
      </w:r>
      <w:r w:rsidRPr="00385560">
        <w:rPr>
          <w:rFonts w:eastAsia="Calibri"/>
          <w:kern w:val="22"/>
        </w:rPr>
        <w:t xml:space="preserve"> across the </w:t>
      </w:r>
      <w:r w:rsidR="001D66A9" w:rsidRPr="00385560">
        <w:rPr>
          <w:rFonts w:eastAsia="Calibri"/>
          <w:kern w:val="22"/>
        </w:rPr>
        <w:t xml:space="preserve">programmes of </w:t>
      </w:r>
      <w:r w:rsidRPr="00385560">
        <w:rPr>
          <w:rFonts w:eastAsia="Calibri"/>
          <w:kern w:val="22"/>
        </w:rPr>
        <w:t>work of the Secretariat</w:t>
      </w:r>
      <w:r w:rsidR="009977FB" w:rsidRPr="00385560">
        <w:rPr>
          <w:rFonts w:eastAsia="Calibri"/>
          <w:kern w:val="22"/>
        </w:rPr>
        <w:t xml:space="preserve"> and to </w:t>
      </w:r>
      <w:r w:rsidR="00CF3124" w:rsidRPr="00385560">
        <w:rPr>
          <w:rFonts w:eastAsia="Calibri"/>
          <w:kern w:val="22"/>
        </w:rPr>
        <w:t>continue</w:t>
      </w:r>
      <w:r w:rsidR="00CF3124" w:rsidRPr="00385560">
        <w:rPr>
          <w:kern w:val="22"/>
        </w:rPr>
        <w:t xml:space="preserve"> </w:t>
      </w:r>
      <w:r w:rsidR="004603EA">
        <w:rPr>
          <w:kern w:val="22"/>
        </w:rPr>
        <w:t xml:space="preserve">to </w:t>
      </w:r>
      <w:r w:rsidR="00CF3124" w:rsidRPr="00385560">
        <w:rPr>
          <w:kern w:val="22"/>
        </w:rPr>
        <w:t>support Parties in efforts to integrate biosafety across various sectors at the national level</w:t>
      </w:r>
      <w:r w:rsidRPr="00385560">
        <w:rPr>
          <w:rFonts w:eastAsia="Calibri"/>
          <w:kern w:val="22"/>
        </w:rPr>
        <w:t>.</w:t>
      </w:r>
    </w:p>
    <w:p w:rsidR="00440A3A" w:rsidRPr="00385560" w:rsidRDefault="00C91927" w:rsidP="00385560">
      <w:pPr>
        <w:pStyle w:val="Para1"/>
        <w:numPr>
          <w:ilvl w:val="0"/>
          <w:numId w:val="0"/>
        </w:numPr>
        <w:suppressLineNumbers/>
        <w:suppressAutoHyphens/>
        <w:kinsoku w:val="0"/>
        <w:overflowPunct w:val="0"/>
        <w:autoSpaceDE w:val="0"/>
        <w:autoSpaceDN w:val="0"/>
        <w:adjustRightInd w:val="0"/>
        <w:snapToGrid w:val="0"/>
        <w:jc w:val="center"/>
        <w:rPr>
          <w:kern w:val="22"/>
        </w:rPr>
      </w:pPr>
      <w:r w:rsidRPr="00385560">
        <w:rPr>
          <w:kern w:val="22"/>
        </w:rPr>
        <w:t>__________</w:t>
      </w:r>
    </w:p>
    <w:sectPr w:rsidR="00440A3A" w:rsidRPr="00385560" w:rsidSect="00CA1572">
      <w:headerReference w:type="even" r:id="rId25"/>
      <w:headerReference w:type="default" r:id="rId26"/>
      <w:footerReference w:type="even" r:id="rId27"/>
      <w:footerReference w:type="default" r:id="rId2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68" w:rsidRDefault="00E97268">
      <w:r>
        <w:separator/>
      </w:r>
    </w:p>
  </w:endnote>
  <w:endnote w:type="continuationSeparator" w:id="0">
    <w:p w:rsidR="00E97268" w:rsidRDefault="00E9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E3" w:rsidRDefault="003E25E3" w:rsidP="00385560">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E3" w:rsidRDefault="003E25E3" w:rsidP="00385560">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68" w:rsidRDefault="00E97268">
      <w:r>
        <w:separator/>
      </w:r>
    </w:p>
  </w:footnote>
  <w:footnote w:type="continuationSeparator" w:id="0">
    <w:p w:rsidR="00E97268" w:rsidRDefault="00E97268">
      <w:r>
        <w:continuationSeparator/>
      </w:r>
    </w:p>
  </w:footnote>
  <w:footnote w:id="1">
    <w:p w:rsidR="00D51069" w:rsidRPr="00385560" w:rsidRDefault="00D51069" w:rsidP="00385560">
      <w:pPr>
        <w:pStyle w:val="FootnoteText"/>
        <w:kinsoku w:val="0"/>
        <w:overflowPunct w:val="0"/>
        <w:autoSpaceDE w:val="0"/>
        <w:autoSpaceDN w:val="0"/>
        <w:adjustRightInd w:val="0"/>
        <w:snapToGrid w:val="0"/>
        <w:ind w:firstLine="0"/>
        <w:rPr>
          <w:kern w:val="18"/>
          <w:lang w:val="en-US"/>
        </w:rPr>
      </w:pPr>
      <w:r w:rsidRPr="00385560">
        <w:rPr>
          <w:rStyle w:val="FootnoteReference"/>
          <w:kern w:val="18"/>
          <w:u w:val="none"/>
        </w:rPr>
        <w:t>*</w:t>
      </w:r>
      <w:r w:rsidRPr="00385560">
        <w:rPr>
          <w:kern w:val="18"/>
        </w:rPr>
        <w:t xml:space="preserve"> </w:t>
      </w:r>
      <w:hyperlink r:id="rId1" w:history="1">
        <w:proofErr w:type="gramStart"/>
        <w:r w:rsidRPr="00385560">
          <w:rPr>
            <w:rStyle w:val="Hyperlink"/>
            <w:kern w:val="18"/>
          </w:rPr>
          <w:t>CBD/</w:t>
        </w:r>
        <w:r w:rsidR="002E0627" w:rsidRPr="00385560">
          <w:rPr>
            <w:rStyle w:val="Hyperlink"/>
            <w:kern w:val="18"/>
            <w:lang w:val="en-US"/>
          </w:rPr>
          <w:t>SBI/2/1</w:t>
        </w:r>
      </w:hyperlink>
      <w:r w:rsidR="002E0627" w:rsidRPr="00385560">
        <w:rPr>
          <w:kern w:val="18"/>
          <w:lang w:val="en-US"/>
        </w:rPr>
        <w:t>.</w:t>
      </w:r>
      <w:proofErr w:type="gramEnd"/>
    </w:p>
  </w:footnote>
  <w:footnote w:id="2">
    <w:p w:rsidR="00144694" w:rsidRPr="00385560" w:rsidRDefault="00144694" w:rsidP="00144694">
      <w:pPr>
        <w:pStyle w:val="FootnoteText"/>
        <w:ind w:firstLine="0"/>
        <w:rPr>
          <w:lang w:val="en-US"/>
        </w:rPr>
      </w:pPr>
      <w:r w:rsidRPr="00385560">
        <w:rPr>
          <w:rStyle w:val="FootnoteReference"/>
          <w:u w:val="none"/>
          <w:vertAlign w:val="superscript"/>
        </w:rPr>
        <w:footnoteRef/>
      </w:r>
      <w:r w:rsidRPr="00385560">
        <w:t xml:space="preserve"> </w:t>
      </w:r>
      <w:proofErr w:type="gramStart"/>
      <w:r>
        <w:rPr>
          <w:lang w:val="en-US"/>
        </w:rPr>
        <w:t xml:space="preserve">United Nations, </w:t>
      </w:r>
      <w:r w:rsidRPr="00385560">
        <w:rPr>
          <w:i/>
          <w:iCs/>
          <w:lang w:val="en-US"/>
        </w:rPr>
        <w:t>Treaty Series</w:t>
      </w:r>
      <w:r>
        <w:rPr>
          <w:lang w:val="en-US"/>
        </w:rPr>
        <w:t xml:space="preserve">, </w:t>
      </w:r>
      <w:hyperlink r:id="rId2" w:history="1">
        <w:r w:rsidRPr="002D2725">
          <w:rPr>
            <w:rStyle w:val="Hyperlink"/>
            <w:lang w:val="en-US"/>
          </w:rPr>
          <w:t>vol. 2226</w:t>
        </w:r>
      </w:hyperlink>
      <w:r>
        <w:rPr>
          <w:lang w:val="en-US"/>
        </w:rPr>
        <w:t>, No. 30619.</w:t>
      </w:r>
      <w:proofErr w:type="gramEnd"/>
    </w:p>
  </w:footnote>
  <w:footnote w:id="3">
    <w:p w:rsidR="00C1704F" w:rsidRPr="00385560" w:rsidRDefault="00C1704F" w:rsidP="00385560">
      <w:pPr>
        <w:pStyle w:val="FootnoteText"/>
        <w:kinsoku w:val="0"/>
        <w:overflowPunct w:val="0"/>
        <w:autoSpaceDE w:val="0"/>
        <w:autoSpaceDN w:val="0"/>
        <w:adjustRightInd w:val="0"/>
        <w:snapToGrid w:val="0"/>
        <w:ind w:firstLine="0"/>
        <w:rPr>
          <w:kern w:val="18"/>
          <w:lang w:val="en-US"/>
        </w:rPr>
      </w:pPr>
      <w:r w:rsidRPr="00385560">
        <w:rPr>
          <w:rStyle w:val="FootnoteReference"/>
          <w:kern w:val="18"/>
          <w:u w:val="none"/>
          <w:vertAlign w:val="superscript"/>
        </w:rPr>
        <w:footnoteRef/>
      </w:r>
      <w:r w:rsidRPr="00385560">
        <w:rPr>
          <w:kern w:val="18"/>
        </w:rPr>
        <w:t xml:space="preserve"> </w:t>
      </w:r>
      <w:r w:rsidR="00BA1A03" w:rsidRPr="00385560">
        <w:rPr>
          <w:kern w:val="18"/>
          <w:lang w:val="en-US"/>
        </w:rPr>
        <w:t>Andorra, Argentina, Australia, Brunei Darussalam, Canada, Chile, Cook Islands, Equatorial Guinea, Haiti, Iceland, Israel, Liechtenstein, Micronesia (Federated States of), Monaco, Nepal, Russian Federation, San Marino, Sao Tome and Principe, Sierra</w:t>
      </w:r>
      <w:r w:rsidR="001B0612">
        <w:rPr>
          <w:kern w:val="18"/>
          <w:lang w:val="en-US"/>
        </w:rPr>
        <w:t> </w:t>
      </w:r>
      <w:r w:rsidR="00BA1A03" w:rsidRPr="00385560">
        <w:rPr>
          <w:kern w:val="18"/>
          <w:lang w:val="en-US"/>
        </w:rPr>
        <w:t>Leone, Singapore, South Sudan, Timor-Leste, Tuvalu, Uzbekistan and Vanuatu.</w:t>
      </w:r>
    </w:p>
  </w:footnote>
  <w:footnote w:id="4">
    <w:p w:rsidR="000A0135" w:rsidRPr="00385560" w:rsidRDefault="000A0135" w:rsidP="00385560">
      <w:pPr>
        <w:pStyle w:val="FootnoteText"/>
        <w:kinsoku w:val="0"/>
        <w:overflowPunct w:val="0"/>
        <w:autoSpaceDE w:val="0"/>
        <w:autoSpaceDN w:val="0"/>
        <w:adjustRightInd w:val="0"/>
        <w:snapToGrid w:val="0"/>
        <w:ind w:firstLine="0"/>
        <w:rPr>
          <w:kern w:val="18"/>
          <w:lang w:val="en-US"/>
        </w:rPr>
      </w:pPr>
      <w:r w:rsidRPr="00385560">
        <w:rPr>
          <w:rStyle w:val="FootnoteReference"/>
          <w:kern w:val="18"/>
          <w:u w:val="none"/>
          <w:vertAlign w:val="superscript"/>
        </w:rPr>
        <w:footnoteRef/>
      </w:r>
      <w:r w:rsidRPr="00385560">
        <w:rPr>
          <w:kern w:val="18"/>
        </w:rPr>
        <w:t xml:space="preserve"> </w:t>
      </w:r>
      <w:hyperlink r:id="rId3" w:history="1">
        <w:r w:rsidRPr="00385560">
          <w:rPr>
            <w:rStyle w:val="Hyperlink"/>
            <w:kern w:val="18"/>
          </w:rPr>
          <w:t>https://www.cbd.int/business/bc.shtml</w:t>
        </w:r>
      </w:hyperlink>
      <w:r w:rsidRPr="00385560">
        <w:rPr>
          <w:kern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33" w:rsidRPr="003E25E3" w:rsidRDefault="00B26763" w:rsidP="00385560">
    <w:pPr>
      <w:pStyle w:val="Header"/>
      <w:tabs>
        <w:tab w:val="clear" w:pos="4320"/>
        <w:tab w:val="clear" w:pos="8640"/>
      </w:tabs>
      <w:kinsoku w:val="0"/>
      <w:overflowPunct w:val="0"/>
      <w:autoSpaceDE w:val="0"/>
      <w:autoSpaceDN w:val="0"/>
      <w:jc w:val="left"/>
      <w:rPr>
        <w:noProof/>
        <w:kern w:val="22"/>
      </w:rPr>
    </w:pPr>
    <w:r w:rsidRPr="00385560">
      <w:rPr>
        <w:noProof/>
        <w:kern w:val="22"/>
      </w:rPr>
      <w:t>CBD/SBI/2/</w:t>
    </w:r>
    <w:r w:rsidR="00C91927" w:rsidRPr="00385560">
      <w:rPr>
        <w:noProof/>
        <w:kern w:val="22"/>
      </w:rPr>
      <w:t>1</w:t>
    </w:r>
    <w:r w:rsidR="00F25CEE" w:rsidRPr="00385560">
      <w:rPr>
        <w:noProof/>
        <w:kern w:val="22"/>
      </w:rPr>
      <w:t>5</w:t>
    </w:r>
  </w:p>
  <w:p w:rsidR="00BA3233" w:rsidRPr="003E25E3" w:rsidRDefault="00BA3233" w:rsidP="00385560">
    <w:pPr>
      <w:pStyle w:val="Header"/>
      <w:tabs>
        <w:tab w:val="clear" w:pos="4320"/>
        <w:tab w:val="clear" w:pos="8640"/>
      </w:tabs>
      <w:kinsoku w:val="0"/>
      <w:overflowPunct w:val="0"/>
      <w:autoSpaceDE w:val="0"/>
      <w:autoSpaceDN w:val="0"/>
      <w:jc w:val="left"/>
      <w:rPr>
        <w:noProof/>
        <w:kern w:val="22"/>
      </w:rPr>
    </w:pPr>
    <w:r w:rsidRPr="003E25E3">
      <w:rPr>
        <w:noProof/>
        <w:kern w:val="22"/>
      </w:rPr>
      <w:t xml:space="preserve">Page </w:t>
    </w:r>
    <w:r w:rsidRPr="003E25E3">
      <w:rPr>
        <w:noProof/>
        <w:kern w:val="22"/>
      </w:rPr>
      <w:fldChar w:fldCharType="begin"/>
    </w:r>
    <w:r w:rsidRPr="00385560">
      <w:rPr>
        <w:noProof/>
        <w:kern w:val="22"/>
      </w:rPr>
      <w:instrText xml:space="preserve"> PAGE   \* MERGEFORMAT </w:instrText>
    </w:r>
    <w:r w:rsidRPr="00385560">
      <w:rPr>
        <w:noProof/>
        <w:kern w:val="22"/>
      </w:rPr>
      <w:fldChar w:fldCharType="separate"/>
    </w:r>
    <w:r w:rsidR="00385560">
      <w:rPr>
        <w:noProof/>
        <w:kern w:val="22"/>
      </w:rPr>
      <w:t>4</w:t>
    </w:r>
    <w:r w:rsidRPr="003E25E3">
      <w:rPr>
        <w:noProof/>
        <w:kern w:val="22"/>
      </w:rPr>
      <w:fldChar w:fldCharType="end"/>
    </w:r>
  </w:p>
  <w:p w:rsidR="00BA3233" w:rsidRPr="0070113D" w:rsidRDefault="00BA3233" w:rsidP="00385560">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33" w:rsidRPr="00CE57A7" w:rsidRDefault="00B26763" w:rsidP="00385560">
    <w:pPr>
      <w:pStyle w:val="Header"/>
      <w:tabs>
        <w:tab w:val="clear" w:pos="4320"/>
        <w:tab w:val="clear" w:pos="8640"/>
      </w:tabs>
      <w:kinsoku w:val="0"/>
      <w:overflowPunct w:val="0"/>
      <w:autoSpaceDE w:val="0"/>
      <w:autoSpaceDN w:val="0"/>
      <w:adjustRightInd w:val="0"/>
      <w:snapToGrid w:val="0"/>
      <w:jc w:val="right"/>
      <w:rPr>
        <w:noProof/>
        <w:kern w:val="22"/>
      </w:rPr>
    </w:pPr>
    <w:r w:rsidRPr="00385560">
      <w:rPr>
        <w:noProof/>
        <w:kern w:val="22"/>
      </w:rPr>
      <w:t>CBD/SBI/2/</w:t>
    </w:r>
    <w:r w:rsidR="00C91927" w:rsidRPr="00385560">
      <w:rPr>
        <w:noProof/>
        <w:kern w:val="22"/>
      </w:rPr>
      <w:t>1</w:t>
    </w:r>
    <w:r w:rsidR="00F25CEE" w:rsidRPr="00385560">
      <w:rPr>
        <w:noProof/>
        <w:kern w:val="22"/>
      </w:rPr>
      <w:t>5</w:t>
    </w:r>
  </w:p>
  <w:p w:rsidR="00BA3233" w:rsidRPr="00CE57A7" w:rsidRDefault="00BA3233" w:rsidP="00385560">
    <w:pPr>
      <w:pStyle w:val="Header"/>
      <w:tabs>
        <w:tab w:val="clear" w:pos="4320"/>
        <w:tab w:val="clear" w:pos="8640"/>
      </w:tabs>
      <w:kinsoku w:val="0"/>
      <w:overflowPunct w:val="0"/>
      <w:autoSpaceDE w:val="0"/>
      <w:autoSpaceDN w:val="0"/>
      <w:adjustRightInd w:val="0"/>
      <w:snapToGrid w:val="0"/>
      <w:jc w:val="right"/>
      <w:rPr>
        <w:noProof/>
        <w:kern w:val="22"/>
      </w:rPr>
    </w:pPr>
    <w:r w:rsidRPr="00CE57A7">
      <w:rPr>
        <w:noProof/>
        <w:kern w:val="22"/>
      </w:rPr>
      <w:t xml:space="preserve">Page </w:t>
    </w:r>
    <w:r w:rsidRPr="00CE57A7">
      <w:rPr>
        <w:noProof/>
        <w:kern w:val="22"/>
      </w:rPr>
      <w:fldChar w:fldCharType="begin"/>
    </w:r>
    <w:r w:rsidRPr="00385560">
      <w:rPr>
        <w:noProof/>
        <w:kern w:val="22"/>
      </w:rPr>
      <w:instrText xml:space="preserve"> PAGE   \* MERGEFORMAT </w:instrText>
    </w:r>
    <w:r w:rsidRPr="00385560">
      <w:rPr>
        <w:noProof/>
        <w:kern w:val="22"/>
      </w:rPr>
      <w:fldChar w:fldCharType="separate"/>
    </w:r>
    <w:r w:rsidR="00385560">
      <w:rPr>
        <w:noProof/>
        <w:kern w:val="22"/>
      </w:rPr>
      <w:t>5</w:t>
    </w:r>
    <w:r w:rsidRPr="00CE57A7">
      <w:rPr>
        <w:noProof/>
        <w:kern w:val="22"/>
      </w:rPr>
      <w:fldChar w:fldCharType="end"/>
    </w:r>
  </w:p>
  <w:p w:rsidR="00BA3233" w:rsidRPr="00CE57A7" w:rsidRDefault="00BA3233" w:rsidP="00385560">
    <w:pPr>
      <w:pStyle w:val="Header"/>
      <w:tabs>
        <w:tab w:val="clear" w:pos="4320"/>
        <w:tab w:val="clear" w:pos="8640"/>
      </w:tab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7A60"/>
    <w:multiLevelType w:val="hybridMultilevel"/>
    <w:tmpl w:val="079E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4"/>
  </w:num>
  <w:num w:numId="5">
    <w:abstractNumId w:val="3"/>
  </w:num>
  <w:num w:numId="6">
    <w:abstractNumId w:val="5"/>
  </w:num>
  <w:num w:numId="7">
    <w:abstractNumId w:val="0"/>
  </w:num>
  <w:num w:numId="8">
    <w:abstractNumId w:val="4"/>
  </w:num>
  <w:num w:numId="9">
    <w:abstractNumId w:val="4"/>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78D"/>
    <w:rsid w:val="00003070"/>
    <w:rsid w:val="00003495"/>
    <w:rsid w:val="0000533E"/>
    <w:rsid w:val="00006FA3"/>
    <w:rsid w:val="00010192"/>
    <w:rsid w:val="00011421"/>
    <w:rsid w:val="00012364"/>
    <w:rsid w:val="00020B29"/>
    <w:rsid w:val="000219AC"/>
    <w:rsid w:val="0002202C"/>
    <w:rsid w:val="000241F5"/>
    <w:rsid w:val="00025645"/>
    <w:rsid w:val="000258A6"/>
    <w:rsid w:val="000268FA"/>
    <w:rsid w:val="00031D24"/>
    <w:rsid w:val="00032643"/>
    <w:rsid w:val="00034271"/>
    <w:rsid w:val="000376B1"/>
    <w:rsid w:val="00037873"/>
    <w:rsid w:val="0004001B"/>
    <w:rsid w:val="00042999"/>
    <w:rsid w:val="00052450"/>
    <w:rsid w:val="00054381"/>
    <w:rsid w:val="000550B5"/>
    <w:rsid w:val="000576B1"/>
    <w:rsid w:val="00061A5B"/>
    <w:rsid w:val="000701E5"/>
    <w:rsid w:val="000711E1"/>
    <w:rsid w:val="00073708"/>
    <w:rsid w:val="00074F9E"/>
    <w:rsid w:val="000808F1"/>
    <w:rsid w:val="00082D29"/>
    <w:rsid w:val="0009324F"/>
    <w:rsid w:val="000A0135"/>
    <w:rsid w:val="000A5DCB"/>
    <w:rsid w:val="000A62EE"/>
    <w:rsid w:val="000A7BE1"/>
    <w:rsid w:val="000B42B4"/>
    <w:rsid w:val="000C0AE0"/>
    <w:rsid w:val="000C36FF"/>
    <w:rsid w:val="000C7209"/>
    <w:rsid w:val="000D2010"/>
    <w:rsid w:val="000D2BDE"/>
    <w:rsid w:val="000D7CA9"/>
    <w:rsid w:val="000E637D"/>
    <w:rsid w:val="000E7E6A"/>
    <w:rsid w:val="000F63AB"/>
    <w:rsid w:val="000F7A43"/>
    <w:rsid w:val="00103095"/>
    <w:rsid w:val="001070A1"/>
    <w:rsid w:val="0012214B"/>
    <w:rsid w:val="00126374"/>
    <w:rsid w:val="001337B6"/>
    <w:rsid w:val="001412F0"/>
    <w:rsid w:val="00144694"/>
    <w:rsid w:val="0015012D"/>
    <w:rsid w:val="00152888"/>
    <w:rsid w:val="001660AB"/>
    <w:rsid w:val="00166367"/>
    <w:rsid w:val="00171E5A"/>
    <w:rsid w:val="0017247F"/>
    <w:rsid w:val="00174CC9"/>
    <w:rsid w:val="00181B21"/>
    <w:rsid w:val="00184EB0"/>
    <w:rsid w:val="00192CC1"/>
    <w:rsid w:val="00192E06"/>
    <w:rsid w:val="001A1B76"/>
    <w:rsid w:val="001A1CC4"/>
    <w:rsid w:val="001A5072"/>
    <w:rsid w:val="001B0612"/>
    <w:rsid w:val="001C321F"/>
    <w:rsid w:val="001D2387"/>
    <w:rsid w:val="001D66A9"/>
    <w:rsid w:val="001D6AFD"/>
    <w:rsid w:val="001E59DD"/>
    <w:rsid w:val="001E7625"/>
    <w:rsid w:val="001F016C"/>
    <w:rsid w:val="001F1A27"/>
    <w:rsid w:val="001F2C52"/>
    <w:rsid w:val="001F2D27"/>
    <w:rsid w:val="001F3D27"/>
    <w:rsid w:val="001F6379"/>
    <w:rsid w:val="002037DF"/>
    <w:rsid w:val="00204415"/>
    <w:rsid w:val="002071FA"/>
    <w:rsid w:val="00207A6E"/>
    <w:rsid w:val="002154DB"/>
    <w:rsid w:val="00217F58"/>
    <w:rsid w:val="00222E55"/>
    <w:rsid w:val="00222EB7"/>
    <w:rsid w:val="00224297"/>
    <w:rsid w:val="00224B92"/>
    <w:rsid w:val="00226406"/>
    <w:rsid w:val="00230862"/>
    <w:rsid w:val="002357E1"/>
    <w:rsid w:val="00246E61"/>
    <w:rsid w:val="00252897"/>
    <w:rsid w:val="002620D0"/>
    <w:rsid w:val="00262F0B"/>
    <w:rsid w:val="0027701F"/>
    <w:rsid w:val="002843DE"/>
    <w:rsid w:val="002848EB"/>
    <w:rsid w:val="00284FCE"/>
    <w:rsid w:val="00286711"/>
    <w:rsid w:val="00286903"/>
    <w:rsid w:val="00287606"/>
    <w:rsid w:val="00294541"/>
    <w:rsid w:val="002A0EED"/>
    <w:rsid w:val="002B0942"/>
    <w:rsid w:val="002B40D2"/>
    <w:rsid w:val="002C4BDB"/>
    <w:rsid w:val="002C7752"/>
    <w:rsid w:val="002D05B6"/>
    <w:rsid w:val="002D1A9C"/>
    <w:rsid w:val="002D2725"/>
    <w:rsid w:val="002D4673"/>
    <w:rsid w:val="002E0627"/>
    <w:rsid w:val="002E153C"/>
    <w:rsid w:val="002E2FF9"/>
    <w:rsid w:val="002E4F76"/>
    <w:rsid w:val="00300AF8"/>
    <w:rsid w:val="00304DA9"/>
    <w:rsid w:val="00306099"/>
    <w:rsid w:val="003115C2"/>
    <w:rsid w:val="0031427C"/>
    <w:rsid w:val="003157E2"/>
    <w:rsid w:val="003210FF"/>
    <w:rsid w:val="00325DE3"/>
    <w:rsid w:val="00331628"/>
    <w:rsid w:val="00336766"/>
    <w:rsid w:val="0034478E"/>
    <w:rsid w:val="00345278"/>
    <w:rsid w:val="00353291"/>
    <w:rsid w:val="0036390F"/>
    <w:rsid w:val="00365E9D"/>
    <w:rsid w:val="00370E97"/>
    <w:rsid w:val="0037792F"/>
    <w:rsid w:val="003812A5"/>
    <w:rsid w:val="00381BFF"/>
    <w:rsid w:val="0038232A"/>
    <w:rsid w:val="00383510"/>
    <w:rsid w:val="00385560"/>
    <w:rsid w:val="00387D13"/>
    <w:rsid w:val="003926ED"/>
    <w:rsid w:val="00393E0E"/>
    <w:rsid w:val="003B10B9"/>
    <w:rsid w:val="003B322A"/>
    <w:rsid w:val="003C113F"/>
    <w:rsid w:val="003D30FD"/>
    <w:rsid w:val="003D5B83"/>
    <w:rsid w:val="003E16AD"/>
    <w:rsid w:val="003E25E3"/>
    <w:rsid w:val="003E2DAE"/>
    <w:rsid w:val="003E5398"/>
    <w:rsid w:val="003F159B"/>
    <w:rsid w:val="003F6E44"/>
    <w:rsid w:val="00406BC6"/>
    <w:rsid w:val="00413465"/>
    <w:rsid w:val="0041522F"/>
    <w:rsid w:val="0041618C"/>
    <w:rsid w:val="0042079D"/>
    <w:rsid w:val="00440A3A"/>
    <w:rsid w:val="004431C9"/>
    <w:rsid w:val="0044424E"/>
    <w:rsid w:val="004603EA"/>
    <w:rsid w:val="00467B6D"/>
    <w:rsid w:val="00473C62"/>
    <w:rsid w:val="00475CE3"/>
    <w:rsid w:val="0048335C"/>
    <w:rsid w:val="00483E87"/>
    <w:rsid w:val="00487C34"/>
    <w:rsid w:val="004943BA"/>
    <w:rsid w:val="00495DED"/>
    <w:rsid w:val="004A54A4"/>
    <w:rsid w:val="004B07C7"/>
    <w:rsid w:val="004B597A"/>
    <w:rsid w:val="004D1C32"/>
    <w:rsid w:val="004D2396"/>
    <w:rsid w:val="004D4B8E"/>
    <w:rsid w:val="004E466B"/>
    <w:rsid w:val="00500530"/>
    <w:rsid w:val="005032C9"/>
    <w:rsid w:val="00505F32"/>
    <w:rsid w:val="00511340"/>
    <w:rsid w:val="00516C26"/>
    <w:rsid w:val="005232C0"/>
    <w:rsid w:val="00525039"/>
    <w:rsid w:val="00532455"/>
    <w:rsid w:val="00532E21"/>
    <w:rsid w:val="00534FE7"/>
    <w:rsid w:val="00536D95"/>
    <w:rsid w:val="005440A6"/>
    <w:rsid w:val="00550D4E"/>
    <w:rsid w:val="00551CCF"/>
    <w:rsid w:val="00553DA8"/>
    <w:rsid w:val="00560784"/>
    <w:rsid w:val="00565FB8"/>
    <w:rsid w:val="005666BD"/>
    <w:rsid w:val="005675C1"/>
    <w:rsid w:val="005711BC"/>
    <w:rsid w:val="00572A4B"/>
    <w:rsid w:val="005755D8"/>
    <w:rsid w:val="005826D2"/>
    <w:rsid w:val="00587051"/>
    <w:rsid w:val="00591B7F"/>
    <w:rsid w:val="00591BC9"/>
    <w:rsid w:val="00591D07"/>
    <w:rsid w:val="005955D2"/>
    <w:rsid w:val="005A4284"/>
    <w:rsid w:val="005B0525"/>
    <w:rsid w:val="005B6A14"/>
    <w:rsid w:val="005C1ECF"/>
    <w:rsid w:val="005C607E"/>
    <w:rsid w:val="005D139C"/>
    <w:rsid w:val="005E52B8"/>
    <w:rsid w:val="005F4C74"/>
    <w:rsid w:val="0060690B"/>
    <w:rsid w:val="006100D1"/>
    <w:rsid w:val="0061763C"/>
    <w:rsid w:val="006260D5"/>
    <w:rsid w:val="00634F02"/>
    <w:rsid w:val="0063629B"/>
    <w:rsid w:val="00647807"/>
    <w:rsid w:val="00647F7A"/>
    <w:rsid w:val="006507F2"/>
    <w:rsid w:val="006531B0"/>
    <w:rsid w:val="0065770C"/>
    <w:rsid w:val="006651A4"/>
    <w:rsid w:val="0067304D"/>
    <w:rsid w:val="00673DD5"/>
    <w:rsid w:val="006803CF"/>
    <w:rsid w:val="006844A1"/>
    <w:rsid w:val="0068607C"/>
    <w:rsid w:val="00690847"/>
    <w:rsid w:val="00696FE8"/>
    <w:rsid w:val="006A066D"/>
    <w:rsid w:val="006A0929"/>
    <w:rsid w:val="006A3DF7"/>
    <w:rsid w:val="006B074E"/>
    <w:rsid w:val="006B2BD5"/>
    <w:rsid w:val="006B75E6"/>
    <w:rsid w:val="006C1650"/>
    <w:rsid w:val="006C3635"/>
    <w:rsid w:val="006C713A"/>
    <w:rsid w:val="006D0E3D"/>
    <w:rsid w:val="006D5B37"/>
    <w:rsid w:val="006F284C"/>
    <w:rsid w:val="006F6F44"/>
    <w:rsid w:val="006F7227"/>
    <w:rsid w:val="0070113D"/>
    <w:rsid w:val="00702366"/>
    <w:rsid w:val="0071235F"/>
    <w:rsid w:val="00712E26"/>
    <w:rsid w:val="007146A1"/>
    <w:rsid w:val="007163BC"/>
    <w:rsid w:val="00727935"/>
    <w:rsid w:val="00730AE3"/>
    <w:rsid w:val="007310B3"/>
    <w:rsid w:val="00736BC2"/>
    <w:rsid w:val="0073740F"/>
    <w:rsid w:val="00742B23"/>
    <w:rsid w:val="0074597D"/>
    <w:rsid w:val="0075049D"/>
    <w:rsid w:val="0075137E"/>
    <w:rsid w:val="00757E33"/>
    <w:rsid w:val="00760850"/>
    <w:rsid w:val="00772B17"/>
    <w:rsid w:val="0077314D"/>
    <w:rsid w:val="00773721"/>
    <w:rsid w:val="00777198"/>
    <w:rsid w:val="00786B2B"/>
    <w:rsid w:val="0079325E"/>
    <w:rsid w:val="00796737"/>
    <w:rsid w:val="00797309"/>
    <w:rsid w:val="007A2705"/>
    <w:rsid w:val="007A6F71"/>
    <w:rsid w:val="007B0E07"/>
    <w:rsid w:val="007B1587"/>
    <w:rsid w:val="007B56D6"/>
    <w:rsid w:val="007C4395"/>
    <w:rsid w:val="007C50CD"/>
    <w:rsid w:val="007C5285"/>
    <w:rsid w:val="007C633B"/>
    <w:rsid w:val="007D3182"/>
    <w:rsid w:val="007D345E"/>
    <w:rsid w:val="007D39D2"/>
    <w:rsid w:val="007D4C76"/>
    <w:rsid w:val="007E1D22"/>
    <w:rsid w:val="007E1E34"/>
    <w:rsid w:val="007E61BD"/>
    <w:rsid w:val="007F1878"/>
    <w:rsid w:val="007F226A"/>
    <w:rsid w:val="00800706"/>
    <w:rsid w:val="008015BD"/>
    <w:rsid w:val="00825524"/>
    <w:rsid w:val="0083211E"/>
    <w:rsid w:val="00837114"/>
    <w:rsid w:val="00840108"/>
    <w:rsid w:val="008416B4"/>
    <w:rsid w:val="008427BC"/>
    <w:rsid w:val="00843728"/>
    <w:rsid w:val="00843FF1"/>
    <w:rsid w:val="00846BA5"/>
    <w:rsid w:val="00855856"/>
    <w:rsid w:val="008605ED"/>
    <w:rsid w:val="008638FF"/>
    <w:rsid w:val="0086456B"/>
    <w:rsid w:val="00870D40"/>
    <w:rsid w:val="00876C07"/>
    <w:rsid w:val="008771A7"/>
    <w:rsid w:val="00884C4C"/>
    <w:rsid w:val="0089149F"/>
    <w:rsid w:val="00892B9F"/>
    <w:rsid w:val="00897A84"/>
    <w:rsid w:val="008A0CE1"/>
    <w:rsid w:val="008A28DD"/>
    <w:rsid w:val="008A3382"/>
    <w:rsid w:val="008A7963"/>
    <w:rsid w:val="008B2EB1"/>
    <w:rsid w:val="008B558C"/>
    <w:rsid w:val="008B641B"/>
    <w:rsid w:val="008C013C"/>
    <w:rsid w:val="008C1E35"/>
    <w:rsid w:val="008C6725"/>
    <w:rsid w:val="008D30B6"/>
    <w:rsid w:val="008D3507"/>
    <w:rsid w:val="008D5AA2"/>
    <w:rsid w:val="008E1ADE"/>
    <w:rsid w:val="008E2968"/>
    <w:rsid w:val="008E4887"/>
    <w:rsid w:val="008E5F84"/>
    <w:rsid w:val="008E7500"/>
    <w:rsid w:val="008F1780"/>
    <w:rsid w:val="008F4687"/>
    <w:rsid w:val="008F78C2"/>
    <w:rsid w:val="009029A0"/>
    <w:rsid w:val="00904DE8"/>
    <w:rsid w:val="009067F8"/>
    <w:rsid w:val="009163BE"/>
    <w:rsid w:val="0091673D"/>
    <w:rsid w:val="00922EAD"/>
    <w:rsid w:val="0092794B"/>
    <w:rsid w:val="009466CA"/>
    <w:rsid w:val="00951BF6"/>
    <w:rsid w:val="00953856"/>
    <w:rsid w:val="0095393E"/>
    <w:rsid w:val="009554D5"/>
    <w:rsid w:val="009620BE"/>
    <w:rsid w:val="00967075"/>
    <w:rsid w:val="009676E0"/>
    <w:rsid w:val="009721C5"/>
    <w:rsid w:val="00976DA6"/>
    <w:rsid w:val="009955DF"/>
    <w:rsid w:val="00996074"/>
    <w:rsid w:val="009977FB"/>
    <w:rsid w:val="009A1E1D"/>
    <w:rsid w:val="009A3E71"/>
    <w:rsid w:val="009B10DF"/>
    <w:rsid w:val="009B269A"/>
    <w:rsid w:val="009B523C"/>
    <w:rsid w:val="009B5E1D"/>
    <w:rsid w:val="009D2F92"/>
    <w:rsid w:val="009D57DD"/>
    <w:rsid w:val="009E0D5C"/>
    <w:rsid w:val="009E2B79"/>
    <w:rsid w:val="009E5F7E"/>
    <w:rsid w:val="009E62EF"/>
    <w:rsid w:val="00A0383E"/>
    <w:rsid w:val="00A10051"/>
    <w:rsid w:val="00A12D9A"/>
    <w:rsid w:val="00A1562D"/>
    <w:rsid w:val="00A20F36"/>
    <w:rsid w:val="00A2169A"/>
    <w:rsid w:val="00A24442"/>
    <w:rsid w:val="00A30DAD"/>
    <w:rsid w:val="00A35A22"/>
    <w:rsid w:val="00A42777"/>
    <w:rsid w:val="00A42832"/>
    <w:rsid w:val="00A5218D"/>
    <w:rsid w:val="00A60C03"/>
    <w:rsid w:val="00A75BD0"/>
    <w:rsid w:val="00A77DD9"/>
    <w:rsid w:val="00A8047B"/>
    <w:rsid w:val="00A876B6"/>
    <w:rsid w:val="00A935F9"/>
    <w:rsid w:val="00A954A4"/>
    <w:rsid w:val="00AA014E"/>
    <w:rsid w:val="00AA4365"/>
    <w:rsid w:val="00AA4BF4"/>
    <w:rsid w:val="00AC1E69"/>
    <w:rsid w:val="00AC378D"/>
    <w:rsid w:val="00AD2B2A"/>
    <w:rsid w:val="00AD6F26"/>
    <w:rsid w:val="00AE30BB"/>
    <w:rsid w:val="00AE5298"/>
    <w:rsid w:val="00B067A7"/>
    <w:rsid w:val="00B106D9"/>
    <w:rsid w:val="00B21159"/>
    <w:rsid w:val="00B2340C"/>
    <w:rsid w:val="00B26763"/>
    <w:rsid w:val="00B267ED"/>
    <w:rsid w:val="00B271A0"/>
    <w:rsid w:val="00B3299A"/>
    <w:rsid w:val="00B41132"/>
    <w:rsid w:val="00B42D05"/>
    <w:rsid w:val="00B4436B"/>
    <w:rsid w:val="00B46C93"/>
    <w:rsid w:val="00B561EC"/>
    <w:rsid w:val="00B56B11"/>
    <w:rsid w:val="00B65D7E"/>
    <w:rsid w:val="00B75568"/>
    <w:rsid w:val="00B8515D"/>
    <w:rsid w:val="00B85F9B"/>
    <w:rsid w:val="00B90D53"/>
    <w:rsid w:val="00B917C7"/>
    <w:rsid w:val="00B923EF"/>
    <w:rsid w:val="00B93A43"/>
    <w:rsid w:val="00B957C7"/>
    <w:rsid w:val="00BA1498"/>
    <w:rsid w:val="00BA1A03"/>
    <w:rsid w:val="00BA3233"/>
    <w:rsid w:val="00BA3820"/>
    <w:rsid w:val="00BB3357"/>
    <w:rsid w:val="00BB4BD0"/>
    <w:rsid w:val="00BC547D"/>
    <w:rsid w:val="00BC7AD6"/>
    <w:rsid w:val="00BD7DC2"/>
    <w:rsid w:val="00BE14F2"/>
    <w:rsid w:val="00BE37A4"/>
    <w:rsid w:val="00BE3CE9"/>
    <w:rsid w:val="00BE45DE"/>
    <w:rsid w:val="00C017A3"/>
    <w:rsid w:val="00C05456"/>
    <w:rsid w:val="00C065DF"/>
    <w:rsid w:val="00C07597"/>
    <w:rsid w:val="00C076A9"/>
    <w:rsid w:val="00C15BBB"/>
    <w:rsid w:val="00C1704F"/>
    <w:rsid w:val="00C2117E"/>
    <w:rsid w:val="00C235E7"/>
    <w:rsid w:val="00C267B8"/>
    <w:rsid w:val="00C31FC0"/>
    <w:rsid w:val="00C32427"/>
    <w:rsid w:val="00C36325"/>
    <w:rsid w:val="00C37FF1"/>
    <w:rsid w:val="00C41958"/>
    <w:rsid w:val="00C41A18"/>
    <w:rsid w:val="00C433B7"/>
    <w:rsid w:val="00C43DED"/>
    <w:rsid w:val="00C507CD"/>
    <w:rsid w:val="00C71E38"/>
    <w:rsid w:val="00C7493C"/>
    <w:rsid w:val="00C81A43"/>
    <w:rsid w:val="00C85EA4"/>
    <w:rsid w:val="00C912FE"/>
    <w:rsid w:val="00C91927"/>
    <w:rsid w:val="00C95AF5"/>
    <w:rsid w:val="00CA1572"/>
    <w:rsid w:val="00CA1B6A"/>
    <w:rsid w:val="00CA6B87"/>
    <w:rsid w:val="00CC2031"/>
    <w:rsid w:val="00CC4C87"/>
    <w:rsid w:val="00CC51ED"/>
    <w:rsid w:val="00CD337E"/>
    <w:rsid w:val="00CD7F09"/>
    <w:rsid w:val="00CE3C3C"/>
    <w:rsid w:val="00CE51C3"/>
    <w:rsid w:val="00CE57A7"/>
    <w:rsid w:val="00CF1759"/>
    <w:rsid w:val="00CF2427"/>
    <w:rsid w:val="00CF3124"/>
    <w:rsid w:val="00CF4F69"/>
    <w:rsid w:val="00D03B00"/>
    <w:rsid w:val="00D04312"/>
    <w:rsid w:val="00D15589"/>
    <w:rsid w:val="00D1762A"/>
    <w:rsid w:val="00D1789D"/>
    <w:rsid w:val="00D22AE8"/>
    <w:rsid w:val="00D23A92"/>
    <w:rsid w:val="00D25589"/>
    <w:rsid w:val="00D3505C"/>
    <w:rsid w:val="00D37224"/>
    <w:rsid w:val="00D41040"/>
    <w:rsid w:val="00D432AD"/>
    <w:rsid w:val="00D44F5C"/>
    <w:rsid w:val="00D50188"/>
    <w:rsid w:val="00D51069"/>
    <w:rsid w:val="00D55DBD"/>
    <w:rsid w:val="00D572AE"/>
    <w:rsid w:val="00D617B1"/>
    <w:rsid w:val="00D7780B"/>
    <w:rsid w:val="00D77E75"/>
    <w:rsid w:val="00D8117C"/>
    <w:rsid w:val="00D87075"/>
    <w:rsid w:val="00D94539"/>
    <w:rsid w:val="00D9485E"/>
    <w:rsid w:val="00D9537D"/>
    <w:rsid w:val="00DB2CC6"/>
    <w:rsid w:val="00DB2F58"/>
    <w:rsid w:val="00DC2A74"/>
    <w:rsid w:val="00DC4747"/>
    <w:rsid w:val="00DD52CC"/>
    <w:rsid w:val="00DE1EE8"/>
    <w:rsid w:val="00DE308B"/>
    <w:rsid w:val="00DE70E4"/>
    <w:rsid w:val="00E0227F"/>
    <w:rsid w:val="00E05380"/>
    <w:rsid w:val="00E07BD7"/>
    <w:rsid w:val="00E1048F"/>
    <w:rsid w:val="00E22B4E"/>
    <w:rsid w:val="00E315D5"/>
    <w:rsid w:val="00E37A7A"/>
    <w:rsid w:val="00E47630"/>
    <w:rsid w:val="00E55657"/>
    <w:rsid w:val="00E55B3B"/>
    <w:rsid w:val="00E55E91"/>
    <w:rsid w:val="00E637DB"/>
    <w:rsid w:val="00E758CF"/>
    <w:rsid w:val="00E8078E"/>
    <w:rsid w:val="00E83011"/>
    <w:rsid w:val="00E83704"/>
    <w:rsid w:val="00E92A9D"/>
    <w:rsid w:val="00E93875"/>
    <w:rsid w:val="00E95090"/>
    <w:rsid w:val="00E97268"/>
    <w:rsid w:val="00EA5F45"/>
    <w:rsid w:val="00EA7525"/>
    <w:rsid w:val="00EB3ED2"/>
    <w:rsid w:val="00EB6C99"/>
    <w:rsid w:val="00EB74CB"/>
    <w:rsid w:val="00EC0891"/>
    <w:rsid w:val="00EC56E4"/>
    <w:rsid w:val="00EC7E9D"/>
    <w:rsid w:val="00EC7F0F"/>
    <w:rsid w:val="00EE4574"/>
    <w:rsid w:val="00EE51DB"/>
    <w:rsid w:val="00EE75F9"/>
    <w:rsid w:val="00EF1374"/>
    <w:rsid w:val="00EF34F4"/>
    <w:rsid w:val="00EF44CA"/>
    <w:rsid w:val="00EF7A75"/>
    <w:rsid w:val="00F00A67"/>
    <w:rsid w:val="00F07688"/>
    <w:rsid w:val="00F13DC0"/>
    <w:rsid w:val="00F13E77"/>
    <w:rsid w:val="00F14485"/>
    <w:rsid w:val="00F15426"/>
    <w:rsid w:val="00F16F02"/>
    <w:rsid w:val="00F17093"/>
    <w:rsid w:val="00F211E6"/>
    <w:rsid w:val="00F22E38"/>
    <w:rsid w:val="00F251F6"/>
    <w:rsid w:val="00F25CEE"/>
    <w:rsid w:val="00F26A60"/>
    <w:rsid w:val="00F26B0A"/>
    <w:rsid w:val="00F3437E"/>
    <w:rsid w:val="00F465B6"/>
    <w:rsid w:val="00F51757"/>
    <w:rsid w:val="00F55E22"/>
    <w:rsid w:val="00F64CB9"/>
    <w:rsid w:val="00F67181"/>
    <w:rsid w:val="00F771F1"/>
    <w:rsid w:val="00F77628"/>
    <w:rsid w:val="00F81D9E"/>
    <w:rsid w:val="00F838DD"/>
    <w:rsid w:val="00F90072"/>
    <w:rsid w:val="00F93258"/>
    <w:rsid w:val="00F93DC6"/>
    <w:rsid w:val="00F94184"/>
    <w:rsid w:val="00FA5BF9"/>
    <w:rsid w:val="00FA6AA4"/>
    <w:rsid w:val="00FB3B70"/>
    <w:rsid w:val="00FB6B0F"/>
    <w:rsid w:val="00FC6159"/>
    <w:rsid w:val="00FC6D52"/>
    <w:rsid w:val="00FD061C"/>
    <w:rsid w:val="00FE09E3"/>
    <w:rsid w:val="00FE24FC"/>
    <w:rsid w:val="00FE50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67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67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8445">
      <w:bodyDiv w:val="1"/>
      <w:marLeft w:val="0"/>
      <w:marRight w:val="0"/>
      <w:marTop w:val="0"/>
      <w:marBottom w:val="0"/>
      <w:divBdr>
        <w:top w:val="none" w:sz="0" w:space="0" w:color="auto"/>
        <w:left w:val="none" w:sz="0" w:space="0" w:color="auto"/>
        <w:bottom w:val="none" w:sz="0" w:space="0" w:color="auto"/>
        <w:right w:val="none" w:sz="0" w:space="0" w:color="auto"/>
      </w:divBdr>
    </w:div>
    <w:div w:id="899167667">
      <w:bodyDiv w:val="1"/>
      <w:marLeft w:val="0"/>
      <w:marRight w:val="0"/>
      <w:marTop w:val="0"/>
      <w:marBottom w:val="0"/>
      <w:divBdr>
        <w:top w:val="none" w:sz="0" w:space="0" w:color="auto"/>
        <w:left w:val="none" w:sz="0" w:space="0" w:color="auto"/>
        <w:bottom w:val="none" w:sz="0" w:space="0" w:color="auto"/>
        <w:right w:val="none" w:sz="0" w:space="0" w:color="auto"/>
      </w:divBdr>
    </w:div>
    <w:div w:id="146500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29-en.pdf" TargetMode="External"/><Relationship Id="rId18" Type="http://schemas.openxmlformats.org/officeDocument/2006/relationships/hyperlink" Target="http://bch.cbd.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d.int/doc/decisions/cop-12/cop-12-dec-24-en.pdf" TargetMode="External"/><Relationship Id="rId7" Type="http://schemas.openxmlformats.org/officeDocument/2006/relationships/footnotes" Target="footnotes.xml"/><Relationship Id="rId12" Type="http://schemas.openxmlformats.org/officeDocument/2006/relationships/hyperlink" Target="https://www.cbd.int/doc/decisions/mop-07/mop-07-dec-05-en.pdf" TargetMode="External"/><Relationship Id="rId17" Type="http://schemas.openxmlformats.org/officeDocument/2006/relationships/hyperlink" Target="https://www.cbd.int/doc/decisions/cop-12/cop-12-dec-31-e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ch.cbd.int/protocol/text/" TargetMode="External"/><Relationship Id="rId20" Type="http://schemas.openxmlformats.org/officeDocument/2006/relationships/hyperlink" Target="https://www.cbd.int/doc/decisions/cop-08/cop-08-dec-19-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post2020/" TargetMode="External"/><Relationship Id="rId5" Type="http://schemas.openxmlformats.org/officeDocument/2006/relationships/settings" Target="settings.xml"/><Relationship Id="rId15" Type="http://schemas.openxmlformats.org/officeDocument/2006/relationships/hyperlink" Target="https://www.cbd.int/convention/text/" TargetMode="External"/><Relationship Id="rId23" Type="http://schemas.openxmlformats.org/officeDocument/2006/relationships/hyperlink" Target="https://www.cbd.int/sp/targets/"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s://www.cbd.int/decision/cop/default.shtml?id=714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3/cop-13-dec-26-en.pdf" TargetMode="External"/><Relationship Id="rId22" Type="http://schemas.openxmlformats.org/officeDocument/2006/relationships/hyperlink" Target="https://www.cbd.int/doc/decisions/cop-13/cop-13-dec-17-en.pdf"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business/bc.shtml" TargetMode="External"/><Relationship Id="rId2" Type="http://schemas.openxmlformats.org/officeDocument/2006/relationships/hyperlink" Target="https://treaties.un.org/doc/Publication/UNTS/Volume%202226/v2226.pdf" TargetMode="External"/><Relationship Id="rId1" Type="http://schemas.openxmlformats.org/officeDocument/2006/relationships/hyperlink" Target="https://www.cbd.int/doc/c/6ce5/878e/5ffa49887c20c19961fe040a/sbi-02-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AFBC8C6548485C98839CC7DBDC9B73"/>
        <w:category>
          <w:name w:val="General"/>
          <w:gallery w:val="placeholder"/>
        </w:category>
        <w:types>
          <w:type w:val="bbPlcHdr"/>
        </w:types>
        <w:behaviors>
          <w:behavior w:val="content"/>
        </w:behaviors>
        <w:guid w:val="{66130D3A-DB92-485B-89DC-516B3B2BBD52}"/>
      </w:docPartPr>
      <w:docPartBody>
        <w:p w:rsidR="00D420BF" w:rsidRDefault="00487806">
          <w:r w:rsidRPr="00DC4F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SimSun">
    <w:altName w:val="ËÎÌå"/>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06"/>
    <w:rsid w:val="00487806"/>
    <w:rsid w:val="00D420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48780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4878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B4D8-0BC4-4239-A64C-9830E70F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5</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Integrated approaches to issues at the interface between the biosafety-related provisions of the Convention and the provisions of the Cartagena Protocol</vt:lpstr>
    </vt:vector>
  </TitlesOfParts>
  <Company>Biodiversity</Company>
  <LinksUpToDate>false</LinksUpToDate>
  <CharactersWithSpaces>15848</CharactersWithSpaces>
  <SharedDoc>false</SharedDoc>
  <HyperlinkBase/>
  <HLinks>
    <vt:vector size="6" baseType="variant">
      <vt:variant>
        <vt:i4>393245</vt:i4>
      </vt:variant>
      <vt:variant>
        <vt:i4>0</vt:i4>
      </vt:variant>
      <vt:variant>
        <vt:i4>0</vt:i4>
      </vt:variant>
      <vt:variant>
        <vt:i4>5</vt:i4>
      </vt:variant>
      <vt:variant>
        <vt:lpwstr>https://www.cbd.int/business/bc.shtml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approaches to issues at the interface between the biosafety-related provisions of the Convention and the provisions of the Cartagena Protocol</dc:title>
  <dc:subject>CBD/SBI/2/XX</dc:subject>
  <dc:creator>SCBD</dc:creator>
  <cp:lastModifiedBy>Orestes Plasencia</cp:lastModifiedBy>
  <cp:revision>2</cp:revision>
  <cp:lastPrinted>2018-05-25T17:06:00Z</cp:lastPrinted>
  <dcterms:created xsi:type="dcterms:W3CDTF">2018-05-30T21:25:00Z</dcterms:created>
  <dcterms:modified xsi:type="dcterms:W3CDTF">2018-05-30T21:25:00Z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