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A5AD4" w:rsidRPr="00F80246" w14:paraId="1CDBC100" w14:textId="77777777" w:rsidTr="00B80B5E">
        <w:trPr>
          <w:trHeight w:val="851"/>
        </w:trPr>
        <w:tc>
          <w:tcPr>
            <w:tcW w:w="976" w:type="dxa"/>
            <w:tcBorders>
              <w:bottom w:val="single" w:sz="12" w:space="0" w:color="auto"/>
            </w:tcBorders>
          </w:tcPr>
          <w:p w14:paraId="2083C90B" w14:textId="77777777" w:rsidR="001A5AD4" w:rsidRPr="006F5C7A" w:rsidRDefault="001A5AD4" w:rsidP="009641C9">
            <w:pPr>
              <w:suppressLineNumbers/>
              <w:suppressAutoHyphens/>
              <w:rPr>
                <w:kern w:val="22"/>
              </w:rPr>
            </w:pPr>
            <w:bookmarkStart w:id="0" w:name="_GoBack"/>
            <w:bookmarkEnd w:id="0"/>
            <w:r w:rsidRPr="006F5C7A">
              <w:rPr>
                <w:noProof/>
                <w:kern w:val="22"/>
              </w:rPr>
              <w:drawing>
                <wp:anchor distT="0" distB="0" distL="114300" distR="114300" simplePos="0" relativeHeight="251658241" behindDoc="0" locked="0" layoutInCell="1" allowOverlap="1" wp14:anchorId="64561D6F" wp14:editId="56B40503">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AC45BB2" w14:textId="77777777" w:rsidR="001A5AD4" w:rsidRPr="006F5C7A" w:rsidRDefault="001A5AD4" w:rsidP="009641C9">
            <w:pPr>
              <w:suppressLineNumbers/>
              <w:suppressAutoHyphens/>
              <w:rPr>
                <w:kern w:val="22"/>
              </w:rPr>
            </w:pPr>
            <w:r w:rsidRPr="006F5C7A">
              <w:rPr>
                <w:noProof/>
              </w:rPr>
              <w:drawing>
                <wp:anchor distT="0" distB="0" distL="114300" distR="114300" simplePos="0" relativeHeight="251658240" behindDoc="0" locked="0" layoutInCell="1" allowOverlap="1" wp14:anchorId="53312E30" wp14:editId="20C5C912">
                  <wp:simplePos x="0" y="0"/>
                  <wp:positionH relativeFrom="column">
                    <wp:posOffset>-176140</wp:posOffset>
                  </wp:positionH>
                  <wp:positionV relativeFrom="page">
                    <wp:posOffset>-77943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59FEBE6A" w14:textId="77777777" w:rsidR="001A5AD4" w:rsidRPr="006F5C7A" w:rsidRDefault="001A5AD4" w:rsidP="009641C9">
            <w:pPr>
              <w:suppressLineNumbers/>
              <w:suppressAutoHyphens/>
              <w:jc w:val="right"/>
              <w:rPr>
                <w:rFonts w:ascii="Arial" w:hAnsi="Arial" w:cs="Arial"/>
                <w:b/>
                <w:kern w:val="22"/>
                <w:sz w:val="32"/>
                <w:szCs w:val="32"/>
              </w:rPr>
            </w:pPr>
            <w:r w:rsidRPr="006F5C7A">
              <w:rPr>
                <w:rFonts w:ascii="Arial" w:hAnsi="Arial" w:cs="Arial"/>
                <w:b/>
                <w:kern w:val="22"/>
                <w:sz w:val="32"/>
                <w:szCs w:val="32"/>
              </w:rPr>
              <w:t>CBD</w:t>
            </w:r>
          </w:p>
        </w:tc>
      </w:tr>
      <w:tr w:rsidR="001A5AD4" w:rsidRPr="00F80246" w14:paraId="0E7C3A3C" w14:textId="77777777" w:rsidTr="00B80B5E">
        <w:tc>
          <w:tcPr>
            <w:tcW w:w="6117" w:type="dxa"/>
            <w:gridSpan w:val="2"/>
            <w:tcBorders>
              <w:top w:val="single" w:sz="12" w:space="0" w:color="auto"/>
              <w:bottom w:val="single" w:sz="36" w:space="0" w:color="auto"/>
            </w:tcBorders>
            <w:vAlign w:val="center"/>
          </w:tcPr>
          <w:p w14:paraId="3587E455" w14:textId="77777777" w:rsidR="001A5AD4" w:rsidRPr="00C20F6C" w:rsidRDefault="001A5AD4" w:rsidP="00C20F6C">
            <w:pPr>
              <w:suppressLineNumbers/>
              <w:suppressAutoHyphens/>
              <w:rPr>
                <w:kern w:val="22"/>
              </w:rPr>
            </w:pPr>
            <w:r w:rsidRPr="00C20F6C">
              <w:rPr>
                <w:noProof/>
                <w:kern w:val="22"/>
              </w:rPr>
              <w:drawing>
                <wp:inline distT="0" distB="0" distL="0" distR="0" wp14:anchorId="5EBF8503" wp14:editId="745EBD3F">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94F67B9" w14:textId="77777777" w:rsidR="001A5AD4" w:rsidRPr="00C20F6C" w:rsidRDefault="001A5AD4" w:rsidP="00C20F6C">
            <w:pPr>
              <w:suppressLineNumbers/>
              <w:suppressAutoHyphens/>
              <w:ind w:left="1215"/>
              <w:rPr>
                <w:kern w:val="22"/>
                <w:sz w:val="22"/>
                <w:szCs w:val="22"/>
              </w:rPr>
            </w:pPr>
            <w:r w:rsidRPr="00C20F6C">
              <w:rPr>
                <w:kern w:val="22"/>
                <w:szCs w:val="22"/>
              </w:rPr>
              <w:t>Distr.</w:t>
            </w:r>
          </w:p>
          <w:p w14:paraId="364AEBB1" w14:textId="77777777" w:rsidR="001A5AD4" w:rsidRPr="00C20F6C" w:rsidRDefault="001A5AD4" w:rsidP="00C20F6C">
            <w:pPr>
              <w:suppressLineNumbers/>
              <w:suppressAutoHyphens/>
              <w:ind w:left="1215"/>
              <w:rPr>
                <w:kern w:val="22"/>
                <w:sz w:val="22"/>
                <w:szCs w:val="22"/>
              </w:rPr>
            </w:pPr>
            <w:r w:rsidRPr="00C20F6C">
              <w:rPr>
                <w:caps/>
                <w:kern w:val="22"/>
                <w:szCs w:val="22"/>
              </w:rPr>
              <w:t>GENERAL</w:t>
            </w:r>
          </w:p>
          <w:p w14:paraId="7340A3B7" w14:textId="77777777" w:rsidR="001A5AD4" w:rsidRPr="00C20F6C" w:rsidRDefault="001A5AD4" w:rsidP="00C20F6C">
            <w:pPr>
              <w:suppressLineNumbers/>
              <w:suppressAutoHyphens/>
              <w:ind w:left="1215"/>
              <w:rPr>
                <w:kern w:val="22"/>
                <w:sz w:val="22"/>
                <w:szCs w:val="22"/>
              </w:rPr>
            </w:pPr>
          </w:p>
          <w:p w14:paraId="11D58916" w14:textId="29A23273" w:rsidR="001A5AD4" w:rsidRPr="00F80246" w:rsidRDefault="00A74CAF" w:rsidP="009641C9">
            <w:pPr>
              <w:suppressLineNumbers/>
              <w:suppressAutoHyphens/>
              <w:ind w:left="1215"/>
              <w:rPr>
                <w:kern w:val="22"/>
                <w:sz w:val="22"/>
                <w:szCs w:val="22"/>
              </w:rPr>
            </w:pPr>
            <w:sdt>
              <w:sdtPr>
                <w:rPr>
                  <w:kern w:val="22"/>
                  <w:szCs w:val="22"/>
                </w:rPr>
                <w:alias w:val="Subject"/>
                <w:tag w:val=""/>
                <w:id w:val="2137136483"/>
                <w:placeholder>
                  <w:docPart w:val="AE305E74F6414307AD1721559D441000"/>
                </w:placeholder>
                <w:dataBinding w:prefixMappings="xmlns:ns0='http://purl.org/dc/elements/1.1/' xmlns:ns1='http://schemas.openxmlformats.org/package/2006/metadata/core-properties' " w:xpath="/ns1:coreProperties[1]/ns0:subject[1]" w:storeItemID="{6C3C8BC8-F283-45AE-878A-BAB7291924A1}"/>
                <w:text/>
              </w:sdtPr>
              <w:sdtEndPr/>
              <w:sdtContent>
                <w:r w:rsidR="003605AB" w:rsidRPr="00C20F6C">
                  <w:rPr>
                    <w:kern w:val="22"/>
                    <w:szCs w:val="22"/>
                  </w:rPr>
                  <w:t>CBD/SBI/3/14</w:t>
                </w:r>
              </w:sdtContent>
            </w:sdt>
          </w:p>
          <w:p w14:paraId="47F8D028" w14:textId="4D82DAF9" w:rsidR="001A5AD4" w:rsidRPr="00F80246" w:rsidRDefault="007C66B0" w:rsidP="00C20F6C">
            <w:pPr>
              <w:suppressLineNumbers/>
              <w:suppressAutoHyphens/>
              <w:ind w:left="1215"/>
              <w:rPr>
                <w:kern w:val="22"/>
                <w:sz w:val="22"/>
                <w:szCs w:val="22"/>
              </w:rPr>
            </w:pPr>
            <w:r w:rsidRPr="00C20F6C">
              <w:rPr>
                <w:kern w:val="22"/>
                <w:szCs w:val="22"/>
              </w:rPr>
              <w:t>13</w:t>
            </w:r>
            <w:r w:rsidR="00F465E6" w:rsidRPr="00C20F6C">
              <w:rPr>
                <w:kern w:val="22"/>
                <w:szCs w:val="22"/>
              </w:rPr>
              <w:t xml:space="preserve"> </w:t>
            </w:r>
            <w:r w:rsidRPr="00C20F6C">
              <w:rPr>
                <w:kern w:val="22"/>
                <w:szCs w:val="22"/>
              </w:rPr>
              <w:t xml:space="preserve">July </w:t>
            </w:r>
            <w:r w:rsidR="001A5AD4" w:rsidRPr="00C20F6C">
              <w:rPr>
                <w:kern w:val="22"/>
                <w:szCs w:val="22"/>
              </w:rPr>
              <w:t>20</w:t>
            </w:r>
            <w:r w:rsidR="00BD0429" w:rsidRPr="00C20F6C">
              <w:rPr>
                <w:kern w:val="22"/>
                <w:szCs w:val="22"/>
              </w:rPr>
              <w:t>20</w:t>
            </w:r>
          </w:p>
          <w:p w14:paraId="2F566D18" w14:textId="77777777" w:rsidR="001A5AD4" w:rsidRPr="00F80246" w:rsidRDefault="001A5AD4" w:rsidP="00C20F6C">
            <w:pPr>
              <w:suppressLineNumbers/>
              <w:suppressAutoHyphens/>
              <w:ind w:left="1215"/>
              <w:rPr>
                <w:kern w:val="22"/>
                <w:sz w:val="22"/>
                <w:szCs w:val="22"/>
              </w:rPr>
            </w:pPr>
          </w:p>
          <w:p w14:paraId="21A3EE0A" w14:textId="77777777" w:rsidR="001A5AD4" w:rsidRPr="00F80246" w:rsidRDefault="001A5AD4" w:rsidP="00C20F6C">
            <w:pPr>
              <w:suppressLineNumbers/>
              <w:suppressAutoHyphens/>
              <w:ind w:left="1215"/>
              <w:rPr>
                <w:kern w:val="22"/>
                <w:sz w:val="22"/>
                <w:szCs w:val="22"/>
              </w:rPr>
            </w:pPr>
            <w:r w:rsidRPr="00C20F6C">
              <w:rPr>
                <w:kern w:val="22"/>
                <w:szCs w:val="22"/>
              </w:rPr>
              <w:t>ORIGINAL: ENGLISH</w:t>
            </w:r>
          </w:p>
          <w:p w14:paraId="28EFB194" w14:textId="77777777" w:rsidR="001A5AD4" w:rsidRPr="00C20F6C" w:rsidRDefault="001A5AD4" w:rsidP="00C20F6C">
            <w:pPr>
              <w:suppressLineNumbers/>
              <w:suppressAutoHyphens/>
              <w:rPr>
                <w:kern w:val="22"/>
                <w:sz w:val="22"/>
                <w:szCs w:val="22"/>
              </w:rPr>
            </w:pPr>
          </w:p>
        </w:tc>
      </w:tr>
    </w:tbl>
    <w:p w14:paraId="2E8B520C" w14:textId="77777777" w:rsidR="00BD0429" w:rsidRPr="00961A9F" w:rsidRDefault="00BD0429" w:rsidP="00387360">
      <w:pPr>
        <w:suppressLineNumbers/>
        <w:suppressAutoHyphens/>
        <w:ind w:left="-180" w:right="4398"/>
        <w:rPr>
          <w:caps/>
          <w:kern w:val="22"/>
          <w:szCs w:val="22"/>
        </w:rPr>
      </w:pPr>
      <w:bookmarkStart w:id="1" w:name="Meeting"/>
      <w:r w:rsidRPr="00961A9F">
        <w:rPr>
          <w:caps/>
          <w:kern w:val="22"/>
          <w:szCs w:val="22"/>
        </w:rPr>
        <w:t>SUBSIDIARY BODY ON IMPLEMENTATION</w:t>
      </w:r>
      <w:bookmarkEnd w:id="1"/>
    </w:p>
    <w:p w14:paraId="31D7500E" w14:textId="77777777" w:rsidR="00BD0429" w:rsidRPr="009F665A" w:rsidRDefault="00BD0429" w:rsidP="004A5811">
      <w:pPr>
        <w:suppressLineNumbers/>
        <w:suppressAutoHyphens/>
        <w:rPr>
          <w:snapToGrid w:val="0"/>
          <w:kern w:val="22"/>
          <w:szCs w:val="22"/>
          <w:lang w:eastAsia="nb-NO"/>
        </w:rPr>
      </w:pPr>
      <w:r w:rsidRPr="009F665A">
        <w:rPr>
          <w:snapToGrid w:val="0"/>
          <w:kern w:val="22"/>
          <w:szCs w:val="22"/>
          <w:lang w:eastAsia="nb-NO"/>
        </w:rPr>
        <w:t>Third meeting</w:t>
      </w:r>
    </w:p>
    <w:p w14:paraId="2C26FDAE" w14:textId="0E58BB4A" w:rsidR="00BD0429" w:rsidRPr="00246BDA" w:rsidRDefault="007E43B1" w:rsidP="000A3D04">
      <w:pPr>
        <w:suppressLineNumbers/>
        <w:suppressAutoHyphens/>
        <w:rPr>
          <w:snapToGrid w:val="0"/>
          <w:kern w:val="22"/>
          <w:szCs w:val="22"/>
          <w:lang w:eastAsia="nb-NO"/>
        </w:rPr>
      </w:pPr>
      <w:r w:rsidRPr="003F5590">
        <w:rPr>
          <w:snapToGrid w:val="0"/>
          <w:kern w:val="22"/>
          <w:szCs w:val="22"/>
          <w:lang w:eastAsia="nb-NO"/>
        </w:rPr>
        <w:t>Quebec City (to be confirmed)</w:t>
      </w:r>
      <w:r w:rsidR="00BD0429" w:rsidRPr="00246BDA">
        <w:rPr>
          <w:snapToGrid w:val="0"/>
          <w:kern w:val="22"/>
          <w:szCs w:val="22"/>
          <w:lang w:eastAsia="nb-NO"/>
        </w:rPr>
        <w:t xml:space="preserve">, Canada, </w:t>
      </w:r>
      <w:r w:rsidR="005B0F78" w:rsidRPr="00246BDA">
        <w:rPr>
          <w:snapToGrid w:val="0"/>
          <w:kern w:val="22"/>
          <w:szCs w:val="22"/>
          <w:lang w:eastAsia="nb-NO"/>
        </w:rPr>
        <w:t>9-14 November 2020</w:t>
      </w:r>
    </w:p>
    <w:p w14:paraId="6EDED8D2" w14:textId="6A7C6ACB" w:rsidR="00BD0429" w:rsidRPr="00C20F6C" w:rsidRDefault="00BD0429">
      <w:pPr>
        <w:suppressLineNumbers/>
        <w:suppressAutoHyphens/>
        <w:rPr>
          <w:snapToGrid w:val="0"/>
          <w:kern w:val="22"/>
          <w:szCs w:val="22"/>
        </w:rPr>
      </w:pPr>
      <w:r w:rsidRPr="00C20F6C">
        <w:rPr>
          <w:snapToGrid w:val="0"/>
          <w:kern w:val="22"/>
          <w:szCs w:val="22"/>
        </w:rPr>
        <w:t>Item 12 of the provisional agenda</w:t>
      </w:r>
      <w:r w:rsidRPr="00C20F6C">
        <w:rPr>
          <w:snapToGrid w:val="0"/>
          <w:kern w:val="22"/>
          <w:szCs w:val="22"/>
          <w:vertAlign w:val="superscript"/>
        </w:rPr>
        <w:footnoteReference w:customMarkFollows="1" w:id="2"/>
        <w:t>*</w:t>
      </w:r>
    </w:p>
    <w:sdt>
      <w:sdtPr>
        <w:rPr>
          <w:rFonts w:eastAsiaTheme="minorHAnsi"/>
          <w:kern w:val="22"/>
          <w:szCs w:val="22"/>
        </w:rPr>
        <w:alias w:val="Title"/>
        <w:tag w:val=""/>
        <w:id w:val="1201202219"/>
        <w:placeholder>
          <w:docPart w:val="996C540115DE44FCB7D29127AD839903"/>
        </w:placeholder>
        <w:dataBinding w:prefixMappings="xmlns:ns0='http://purl.org/dc/elements/1.1/' xmlns:ns1='http://schemas.openxmlformats.org/package/2006/metadata/core-properties' " w:xpath="/ns1:coreProperties[1]/ns0:title[1]" w:storeItemID="{6C3C8BC8-F283-45AE-878A-BAB7291924A1}"/>
        <w:text/>
      </w:sdtPr>
      <w:sdtEndPr/>
      <w:sdtContent>
        <w:p w14:paraId="03D4A18A" w14:textId="0340DD8B" w:rsidR="00CC4E33" w:rsidRPr="00C20F6C" w:rsidRDefault="005B0F78" w:rsidP="00C20F6C">
          <w:pPr>
            <w:pStyle w:val="HEADINGNOTFORTOC"/>
            <w:suppressLineNumbers/>
            <w:tabs>
              <w:tab w:val="clear" w:pos="720"/>
            </w:tabs>
            <w:suppressAutoHyphens/>
            <w:rPr>
              <w:rStyle w:val="Heading2Char"/>
              <w:rFonts w:eastAsiaTheme="minorHAnsi"/>
              <w:kern w:val="22"/>
              <w:szCs w:val="22"/>
            </w:rPr>
          </w:pPr>
          <w:r w:rsidRPr="00C20F6C">
            <w:rPr>
              <w:kern w:val="22"/>
              <w:szCs w:val="22"/>
            </w:rPr>
            <w:t>Specialized international access and benefit-sharing instruments in the context of Article 4, paragraph 4, of the Nagoya Protocol</w:t>
          </w:r>
        </w:p>
      </w:sdtContent>
    </w:sdt>
    <w:p w14:paraId="3B1E383B" w14:textId="009C27FD" w:rsidR="000F43CE" w:rsidRPr="00961A9F" w:rsidRDefault="000F43CE" w:rsidP="00C20F6C">
      <w:pPr>
        <w:suppressLineNumbers/>
        <w:suppressAutoHyphens/>
        <w:jc w:val="center"/>
        <w:rPr>
          <w:i/>
          <w:kern w:val="22"/>
          <w:szCs w:val="22"/>
        </w:rPr>
      </w:pPr>
      <w:r w:rsidRPr="00961A9F">
        <w:rPr>
          <w:i/>
          <w:kern w:val="22"/>
          <w:szCs w:val="22"/>
        </w:rPr>
        <w:t>Note by the Executive Secretary</w:t>
      </w:r>
    </w:p>
    <w:p w14:paraId="5DC76618" w14:textId="3096325D" w:rsidR="000F43CE" w:rsidRPr="00C20F6C" w:rsidRDefault="001A2AA7" w:rsidP="00C20F6C">
      <w:pPr>
        <w:pStyle w:val="Heading1"/>
        <w:numPr>
          <w:ilvl w:val="0"/>
          <w:numId w:val="24"/>
        </w:numPr>
        <w:suppressLineNumbers/>
        <w:tabs>
          <w:tab w:val="clear" w:pos="720"/>
          <w:tab w:val="left" w:pos="426"/>
        </w:tabs>
        <w:suppressAutoHyphens/>
        <w:spacing w:before="120"/>
        <w:ind w:left="0" w:firstLine="0"/>
        <w:rPr>
          <w:rFonts w:ascii="Times New Roman Bold" w:hAnsi="Times New Roman Bold"/>
          <w:b w:val="0"/>
          <w:caps w:val="0"/>
          <w:kern w:val="22"/>
          <w:szCs w:val="22"/>
        </w:rPr>
      </w:pPr>
      <w:r w:rsidRPr="00C20F6C">
        <w:rPr>
          <w:rFonts w:ascii="Times New Roman Bold" w:hAnsi="Times New Roman Bold"/>
          <w:caps w:val="0"/>
          <w:kern w:val="22"/>
          <w:szCs w:val="22"/>
        </w:rPr>
        <w:t>INTRODUCTION</w:t>
      </w:r>
    </w:p>
    <w:p w14:paraId="63B792BC" w14:textId="4A571244" w:rsidR="00C31665" w:rsidRPr="009F665A" w:rsidRDefault="00FB60A6" w:rsidP="009641C9">
      <w:pPr>
        <w:pStyle w:val="Para1"/>
        <w:numPr>
          <w:ilvl w:val="0"/>
          <w:numId w:val="7"/>
        </w:numPr>
        <w:suppressLineNumbers/>
        <w:tabs>
          <w:tab w:val="num" w:pos="709"/>
        </w:tabs>
        <w:suppressAutoHyphens/>
        <w:ind w:left="0" w:firstLine="0"/>
        <w:rPr>
          <w:kern w:val="22"/>
          <w:szCs w:val="22"/>
        </w:rPr>
      </w:pPr>
      <w:r w:rsidRPr="00961A9F">
        <w:rPr>
          <w:kern w:val="22"/>
          <w:szCs w:val="22"/>
        </w:rPr>
        <w:t>At its second meeting, the Conference of the Parties serving as the meeting of the Parties to the Nagoya Protocol requested the Executive Secretary, in the context of Article</w:t>
      </w:r>
      <w:r w:rsidR="00AF2B76" w:rsidRPr="009F665A">
        <w:rPr>
          <w:kern w:val="22"/>
          <w:szCs w:val="22"/>
        </w:rPr>
        <w:t> </w:t>
      </w:r>
      <w:r w:rsidRPr="009F665A">
        <w:rPr>
          <w:kern w:val="22"/>
          <w:szCs w:val="22"/>
        </w:rPr>
        <w:t>4,</w:t>
      </w:r>
      <w:r w:rsidR="00207DA9" w:rsidRPr="009F665A">
        <w:rPr>
          <w:kern w:val="22"/>
          <w:szCs w:val="22"/>
        </w:rPr>
        <w:t xml:space="preserve"> </w:t>
      </w:r>
      <w:r w:rsidRPr="009F665A">
        <w:rPr>
          <w:kern w:val="22"/>
          <w:szCs w:val="22"/>
        </w:rPr>
        <w:t>paragraph 4, of the Protocol</w:t>
      </w:r>
      <w:r w:rsidR="003A4B56" w:rsidRPr="003F5590">
        <w:rPr>
          <w:kern w:val="22"/>
          <w:szCs w:val="22"/>
        </w:rPr>
        <w:t>,</w:t>
      </w:r>
      <w:r w:rsidRPr="00246BDA">
        <w:rPr>
          <w:kern w:val="22"/>
          <w:szCs w:val="22"/>
        </w:rPr>
        <w:t xml:space="preserve"> to conduct a study into criteria that could be used to identify what constitutes a specialized international access </w:t>
      </w:r>
      <w:r w:rsidRPr="00C20F6C">
        <w:rPr>
          <w:kern w:val="22"/>
          <w:szCs w:val="22"/>
        </w:rPr>
        <w:t>and benefit-sharing</w:t>
      </w:r>
      <w:r w:rsidR="00AF2B76" w:rsidRPr="00C20F6C">
        <w:rPr>
          <w:kern w:val="22"/>
          <w:szCs w:val="22"/>
        </w:rPr>
        <w:t xml:space="preserve"> (ABS)</w:t>
      </w:r>
      <w:r w:rsidRPr="00C20F6C">
        <w:rPr>
          <w:kern w:val="22"/>
          <w:szCs w:val="22"/>
        </w:rPr>
        <w:t xml:space="preserve"> instrument, and what could be a possible process for recognizing such an instrument</w:t>
      </w:r>
      <w:r w:rsidR="00490BB7" w:rsidRPr="00C20F6C">
        <w:rPr>
          <w:kern w:val="22"/>
          <w:szCs w:val="22"/>
        </w:rPr>
        <w:t xml:space="preserve"> </w:t>
      </w:r>
      <w:r w:rsidRPr="00C20F6C">
        <w:rPr>
          <w:kern w:val="22"/>
          <w:szCs w:val="22"/>
        </w:rPr>
        <w:t>(decision NP-2/5, para</w:t>
      </w:r>
      <w:r w:rsidR="0028022C" w:rsidRPr="00C20F6C">
        <w:rPr>
          <w:kern w:val="22"/>
          <w:szCs w:val="22"/>
        </w:rPr>
        <w:t>.</w:t>
      </w:r>
      <w:r w:rsidR="00391C72">
        <w:rPr>
          <w:kern w:val="22"/>
          <w:szCs w:val="22"/>
        </w:rPr>
        <w:t> </w:t>
      </w:r>
      <w:r w:rsidRPr="00961A9F">
        <w:rPr>
          <w:kern w:val="22"/>
          <w:szCs w:val="22"/>
        </w:rPr>
        <w:t>3).</w:t>
      </w:r>
    </w:p>
    <w:p w14:paraId="3B536FB9" w14:textId="295004EF" w:rsidR="00055F6A" w:rsidRPr="00C20F6C" w:rsidRDefault="005753AB" w:rsidP="009641C9">
      <w:pPr>
        <w:pStyle w:val="Para1"/>
        <w:numPr>
          <w:ilvl w:val="0"/>
          <w:numId w:val="7"/>
        </w:numPr>
        <w:suppressLineNumbers/>
        <w:tabs>
          <w:tab w:val="num" w:pos="709"/>
        </w:tabs>
        <w:suppressAutoHyphens/>
        <w:ind w:left="0" w:firstLine="0"/>
        <w:rPr>
          <w:kern w:val="22"/>
          <w:szCs w:val="22"/>
        </w:rPr>
      </w:pPr>
      <w:r w:rsidRPr="009F665A">
        <w:rPr>
          <w:kern w:val="22"/>
          <w:szCs w:val="22"/>
        </w:rPr>
        <w:t xml:space="preserve">At its third meeting, in decision </w:t>
      </w:r>
      <w:hyperlink r:id="rId14" w:history="1">
        <w:r w:rsidRPr="00C20F6C">
          <w:rPr>
            <w:rStyle w:val="Hyperlink"/>
            <w:kern w:val="22"/>
            <w:sz w:val="22"/>
            <w:szCs w:val="22"/>
          </w:rPr>
          <w:t>NP-3/14</w:t>
        </w:r>
      </w:hyperlink>
      <w:r w:rsidRPr="00961A9F">
        <w:rPr>
          <w:kern w:val="22"/>
          <w:szCs w:val="22"/>
        </w:rPr>
        <w:t>, paragraph 1</w:t>
      </w:r>
      <w:r w:rsidR="00AF2B76" w:rsidRPr="00961A9F">
        <w:rPr>
          <w:kern w:val="22"/>
          <w:szCs w:val="22"/>
        </w:rPr>
        <w:t>,</w:t>
      </w:r>
      <w:r w:rsidRPr="009F665A">
        <w:rPr>
          <w:kern w:val="22"/>
          <w:szCs w:val="22"/>
        </w:rPr>
        <w:t xml:space="preserve"> the </w:t>
      </w:r>
      <w:r w:rsidR="00AF2B76" w:rsidRPr="009F665A">
        <w:rPr>
          <w:kern w:val="22"/>
          <w:szCs w:val="22"/>
        </w:rPr>
        <w:t xml:space="preserve">meeting of the Parties to the Protocol </w:t>
      </w:r>
      <w:r w:rsidRPr="003F5590">
        <w:rPr>
          <w:kern w:val="22"/>
          <w:szCs w:val="22"/>
        </w:rPr>
        <w:t>took note of the study</w:t>
      </w:r>
      <w:bookmarkStart w:id="2" w:name="_Ref48071198"/>
      <w:r w:rsidRPr="00961A9F">
        <w:rPr>
          <w:kern w:val="22"/>
          <w:szCs w:val="22"/>
          <w:vertAlign w:val="superscript"/>
        </w:rPr>
        <w:footnoteReference w:id="3"/>
      </w:r>
      <w:bookmarkEnd w:id="2"/>
      <w:r w:rsidRPr="00961A9F">
        <w:rPr>
          <w:kern w:val="22"/>
          <w:szCs w:val="22"/>
        </w:rPr>
        <w:t xml:space="preserve"> and potential criteria for specialized international ABS instruments in the context of Article 4, paragraph 4, and agreed to reconsider these potential criteria at its fourth meeting. Parties and other Governments</w:t>
      </w:r>
      <w:r w:rsidR="003A4B56" w:rsidRPr="009F665A">
        <w:rPr>
          <w:kern w:val="22"/>
          <w:szCs w:val="22"/>
        </w:rPr>
        <w:t xml:space="preserve"> were invited, as per paragraph 2 of the decision,</w:t>
      </w:r>
      <w:r w:rsidRPr="009F665A">
        <w:rPr>
          <w:kern w:val="22"/>
          <w:szCs w:val="22"/>
        </w:rPr>
        <w:t xml:space="preserve"> to submit:</w:t>
      </w:r>
      <w:r w:rsidR="00AF2B76" w:rsidRPr="009F665A">
        <w:rPr>
          <w:kern w:val="22"/>
          <w:szCs w:val="22"/>
        </w:rPr>
        <w:t xml:space="preserve"> </w:t>
      </w:r>
      <w:r w:rsidRPr="003F5590">
        <w:rPr>
          <w:kern w:val="22"/>
          <w:szCs w:val="22"/>
        </w:rPr>
        <w:t xml:space="preserve">(a) </w:t>
      </w:r>
      <w:bookmarkStart w:id="3" w:name="_Hlk43457174"/>
      <w:r w:rsidR="00CE4687" w:rsidRPr="00246BDA">
        <w:rPr>
          <w:kern w:val="22"/>
          <w:szCs w:val="22"/>
        </w:rPr>
        <w:t>i</w:t>
      </w:r>
      <w:r w:rsidRPr="00246BDA">
        <w:rPr>
          <w:kern w:val="22"/>
          <w:szCs w:val="22"/>
        </w:rPr>
        <w:t>nformation on how specialized international access and ben</w:t>
      </w:r>
      <w:r w:rsidRPr="00C20F6C">
        <w:rPr>
          <w:kern w:val="22"/>
          <w:szCs w:val="22"/>
        </w:rPr>
        <w:t>efit-sharing instruments are addressed in their domestic measures;</w:t>
      </w:r>
      <w:r w:rsidR="00AF2B76" w:rsidRPr="00C20F6C">
        <w:rPr>
          <w:kern w:val="22"/>
          <w:szCs w:val="22"/>
        </w:rPr>
        <w:t xml:space="preserve"> and </w:t>
      </w:r>
      <w:r w:rsidRPr="00C20F6C">
        <w:rPr>
          <w:kern w:val="22"/>
          <w:szCs w:val="22"/>
        </w:rPr>
        <w:t xml:space="preserve">(b) </w:t>
      </w:r>
      <w:r w:rsidR="00CE4687" w:rsidRPr="00C20F6C">
        <w:rPr>
          <w:kern w:val="22"/>
          <w:szCs w:val="22"/>
        </w:rPr>
        <w:t>v</w:t>
      </w:r>
      <w:r w:rsidRPr="00C20F6C">
        <w:rPr>
          <w:kern w:val="22"/>
          <w:szCs w:val="22"/>
        </w:rPr>
        <w:t>iews on the potential criteria contained in the study</w:t>
      </w:r>
      <w:bookmarkEnd w:id="3"/>
      <w:r w:rsidRPr="00C20F6C">
        <w:rPr>
          <w:kern w:val="22"/>
          <w:szCs w:val="22"/>
        </w:rPr>
        <w:t>, taking into account Article 4, paragraphs 1 to</w:t>
      </w:r>
      <w:r w:rsidR="00EB6610" w:rsidRPr="00C20F6C">
        <w:rPr>
          <w:kern w:val="22"/>
          <w:szCs w:val="22"/>
        </w:rPr>
        <w:t> </w:t>
      </w:r>
      <w:r w:rsidRPr="00C20F6C">
        <w:rPr>
          <w:kern w:val="22"/>
          <w:szCs w:val="22"/>
        </w:rPr>
        <w:t>3, of the Protocol</w:t>
      </w:r>
      <w:r w:rsidR="00AF2B76" w:rsidRPr="00C20F6C">
        <w:rPr>
          <w:kern w:val="22"/>
          <w:szCs w:val="22"/>
        </w:rPr>
        <w:t>.</w:t>
      </w:r>
    </w:p>
    <w:p w14:paraId="6C014849" w14:textId="207A2E26" w:rsidR="00B66C4D" w:rsidRPr="009F665A" w:rsidRDefault="005753AB" w:rsidP="009641C9">
      <w:pPr>
        <w:pStyle w:val="Para1"/>
        <w:numPr>
          <w:ilvl w:val="0"/>
          <w:numId w:val="7"/>
        </w:numPr>
        <w:suppressLineNumbers/>
        <w:tabs>
          <w:tab w:val="num" w:pos="709"/>
        </w:tabs>
        <w:suppressAutoHyphens/>
        <w:ind w:left="0" w:firstLine="0"/>
        <w:rPr>
          <w:kern w:val="22"/>
          <w:szCs w:val="22"/>
        </w:rPr>
      </w:pPr>
      <w:r w:rsidRPr="00C20F6C">
        <w:rPr>
          <w:kern w:val="22"/>
          <w:szCs w:val="22"/>
        </w:rPr>
        <w:t xml:space="preserve">The Executive Secretary </w:t>
      </w:r>
      <w:r w:rsidR="00217293" w:rsidRPr="00C20F6C">
        <w:rPr>
          <w:kern w:val="22"/>
          <w:szCs w:val="22"/>
        </w:rPr>
        <w:t xml:space="preserve">was requested </w:t>
      </w:r>
      <w:r w:rsidRPr="00C20F6C">
        <w:rPr>
          <w:kern w:val="22"/>
          <w:szCs w:val="22"/>
        </w:rPr>
        <w:t>to continue to follow developments in relevant international forums</w:t>
      </w:r>
      <w:r w:rsidR="00217293" w:rsidRPr="00C20F6C">
        <w:rPr>
          <w:kern w:val="22"/>
          <w:szCs w:val="22"/>
        </w:rPr>
        <w:t xml:space="preserve"> (para</w:t>
      </w:r>
      <w:r w:rsidR="003A4B56" w:rsidRPr="00C20F6C">
        <w:rPr>
          <w:kern w:val="22"/>
          <w:szCs w:val="22"/>
        </w:rPr>
        <w:t>graph</w:t>
      </w:r>
      <w:r w:rsidR="00217293" w:rsidRPr="00C20F6C">
        <w:rPr>
          <w:kern w:val="22"/>
          <w:szCs w:val="22"/>
        </w:rPr>
        <w:t xml:space="preserve"> 3</w:t>
      </w:r>
      <w:r w:rsidR="003A4B56" w:rsidRPr="00C20F6C">
        <w:rPr>
          <w:kern w:val="22"/>
          <w:szCs w:val="22"/>
        </w:rPr>
        <w:t xml:space="preserve"> of the decision</w:t>
      </w:r>
      <w:r w:rsidR="00217293" w:rsidRPr="00C20F6C">
        <w:rPr>
          <w:kern w:val="22"/>
          <w:szCs w:val="22"/>
        </w:rPr>
        <w:t xml:space="preserve">) and </w:t>
      </w:r>
      <w:r w:rsidR="00B66C4D" w:rsidRPr="00C20F6C">
        <w:rPr>
          <w:kern w:val="22"/>
          <w:szCs w:val="22"/>
        </w:rPr>
        <w:t xml:space="preserve">to synthesize the information and views submitted, including the information from developments in relevant international forums, and make it available for consideration by the </w:t>
      </w:r>
      <w:r w:rsidR="00AF2B76" w:rsidRPr="00C20F6C">
        <w:rPr>
          <w:kern w:val="22"/>
          <w:szCs w:val="22"/>
        </w:rPr>
        <w:t xml:space="preserve">Subsidiary Body on Implementation </w:t>
      </w:r>
      <w:r w:rsidR="00B66C4D" w:rsidRPr="00C20F6C">
        <w:rPr>
          <w:kern w:val="22"/>
          <w:szCs w:val="22"/>
        </w:rPr>
        <w:t>at its third meeting</w:t>
      </w:r>
      <w:r w:rsidR="00055F6A" w:rsidRPr="00C20F6C">
        <w:rPr>
          <w:kern w:val="22"/>
          <w:szCs w:val="22"/>
        </w:rPr>
        <w:t xml:space="preserve">, in order to </w:t>
      </w:r>
      <w:r w:rsidR="00B66C4D" w:rsidRPr="00C20F6C">
        <w:rPr>
          <w:kern w:val="22"/>
          <w:szCs w:val="22"/>
        </w:rPr>
        <w:t xml:space="preserve">make a recommendation to </w:t>
      </w:r>
      <w:r w:rsidR="00AF2B76" w:rsidRPr="00C20F6C">
        <w:rPr>
          <w:kern w:val="22"/>
          <w:szCs w:val="22"/>
        </w:rPr>
        <w:t>the Parties to the Protocol</w:t>
      </w:r>
      <w:r w:rsidR="00B66C4D" w:rsidRPr="00C20F6C">
        <w:rPr>
          <w:kern w:val="22"/>
          <w:szCs w:val="22"/>
        </w:rPr>
        <w:t xml:space="preserve"> at</w:t>
      </w:r>
      <w:r w:rsidR="00055F6A" w:rsidRPr="00C20F6C">
        <w:rPr>
          <w:kern w:val="22"/>
          <w:szCs w:val="22"/>
        </w:rPr>
        <w:t xml:space="preserve"> </w:t>
      </w:r>
      <w:r w:rsidR="000C2049">
        <w:rPr>
          <w:kern w:val="22"/>
          <w:szCs w:val="22"/>
        </w:rPr>
        <w:t>their</w:t>
      </w:r>
      <w:r w:rsidR="000C2049" w:rsidRPr="00961A9F">
        <w:rPr>
          <w:kern w:val="22"/>
          <w:szCs w:val="22"/>
        </w:rPr>
        <w:t xml:space="preserve"> </w:t>
      </w:r>
      <w:r w:rsidR="00B66C4D" w:rsidRPr="00961A9F">
        <w:rPr>
          <w:kern w:val="22"/>
          <w:szCs w:val="22"/>
        </w:rPr>
        <w:t>fourth meeting</w:t>
      </w:r>
      <w:r w:rsidR="00055F6A" w:rsidRPr="009F665A">
        <w:rPr>
          <w:kern w:val="22"/>
          <w:szCs w:val="22"/>
        </w:rPr>
        <w:t xml:space="preserve"> </w:t>
      </w:r>
      <w:r w:rsidR="00217293" w:rsidRPr="009F665A">
        <w:rPr>
          <w:kern w:val="22"/>
          <w:szCs w:val="22"/>
        </w:rPr>
        <w:t>(para</w:t>
      </w:r>
      <w:r w:rsidR="0028022C" w:rsidRPr="009F665A">
        <w:rPr>
          <w:kern w:val="22"/>
          <w:szCs w:val="22"/>
        </w:rPr>
        <w:t>.</w:t>
      </w:r>
      <w:r w:rsidR="00CE343F">
        <w:rPr>
          <w:kern w:val="22"/>
          <w:szCs w:val="22"/>
        </w:rPr>
        <w:t> </w:t>
      </w:r>
      <w:r w:rsidR="00217293" w:rsidRPr="00961A9F">
        <w:rPr>
          <w:kern w:val="22"/>
          <w:szCs w:val="22"/>
        </w:rPr>
        <w:t>4)</w:t>
      </w:r>
      <w:r w:rsidR="00055F6A" w:rsidRPr="009F665A">
        <w:rPr>
          <w:kern w:val="22"/>
          <w:szCs w:val="22"/>
        </w:rPr>
        <w:t>.</w:t>
      </w:r>
    </w:p>
    <w:p w14:paraId="14F30B3F" w14:textId="75F76EF4" w:rsidR="008F4E84" w:rsidRPr="00961A9F" w:rsidRDefault="00280F48" w:rsidP="009641C9">
      <w:pPr>
        <w:pStyle w:val="Para1"/>
        <w:numPr>
          <w:ilvl w:val="0"/>
          <w:numId w:val="7"/>
        </w:numPr>
        <w:suppressLineNumbers/>
        <w:tabs>
          <w:tab w:val="num" w:pos="709"/>
        </w:tabs>
        <w:suppressAutoHyphens/>
        <w:ind w:left="0" w:firstLine="0"/>
        <w:rPr>
          <w:kern w:val="22"/>
          <w:szCs w:val="22"/>
        </w:rPr>
      </w:pPr>
      <w:r w:rsidRPr="003F5590">
        <w:rPr>
          <w:kern w:val="22"/>
          <w:szCs w:val="22"/>
        </w:rPr>
        <w:t xml:space="preserve">By </w:t>
      </w:r>
      <w:r w:rsidR="00A10993" w:rsidRPr="00246BDA">
        <w:rPr>
          <w:kern w:val="22"/>
          <w:szCs w:val="22"/>
        </w:rPr>
        <w:t xml:space="preserve">notification </w:t>
      </w:r>
      <w:r w:rsidR="00DC7366" w:rsidRPr="00246BDA">
        <w:rPr>
          <w:kern w:val="22"/>
          <w:szCs w:val="22"/>
        </w:rPr>
        <w:t>2019-25</w:t>
      </w:r>
      <w:r w:rsidRPr="00246BDA">
        <w:rPr>
          <w:kern w:val="22"/>
          <w:szCs w:val="22"/>
        </w:rPr>
        <w:t xml:space="preserve"> </w:t>
      </w:r>
      <w:r w:rsidR="00A10993" w:rsidRPr="00C20F6C">
        <w:rPr>
          <w:kern w:val="22"/>
          <w:szCs w:val="22"/>
        </w:rPr>
        <w:t xml:space="preserve">of </w:t>
      </w:r>
      <w:r w:rsidRPr="00C20F6C">
        <w:rPr>
          <w:kern w:val="22"/>
          <w:szCs w:val="22"/>
        </w:rPr>
        <w:t>2</w:t>
      </w:r>
      <w:r w:rsidR="00A10993" w:rsidRPr="00C20F6C">
        <w:rPr>
          <w:kern w:val="22"/>
          <w:szCs w:val="22"/>
        </w:rPr>
        <w:t>5</w:t>
      </w:r>
      <w:r w:rsidRPr="00C20F6C">
        <w:rPr>
          <w:kern w:val="22"/>
          <w:szCs w:val="22"/>
        </w:rPr>
        <w:t xml:space="preserve"> February </w:t>
      </w:r>
      <w:r w:rsidR="00A10993" w:rsidRPr="00C20F6C">
        <w:rPr>
          <w:kern w:val="22"/>
          <w:szCs w:val="22"/>
        </w:rPr>
        <w:t>201</w:t>
      </w:r>
      <w:r w:rsidRPr="00C20F6C">
        <w:rPr>
          <w:kern w:val="22"/>
          <w:szCs w:val="22"/>
        </w:rPr>
        <w:t>9</w:t>
      </w:r>
      <w:r w:rsidR="0028022C" w:rsidRPr="00C20F6C">
        <w:rPr>
          <w:kern w:val="22"/>
          <w:szCs w:val="22"/>
        </w:rPr>
        <w:t>,</w:t>
      </w:r>
      <w:r w:rsidRPr="00961A9F">
        <w:rPr>
          <w:kern w:val="22"/>
          <w:szCs w:val="22"/>
          <w:vertAlign w:val="superscript"/>
        </w:rPr>
        <w:footnoteReference w:id="4"/>
      </w:r>
      <w:r w:rsidRPr="00961A9F">
        <w:rPr>
          <w:kern w:val="22"/>
          <w:szCs w:val="22"/>
        </w:rPr>
        <w:t xml:space="preserve"> </w:t>
      </w:r>
      <w:r w:rsidR="00A10993" w:rsidRPr="00961A9F">
        <w:rPr>
          <w:kern w:val="22"/>
          <w:szCs w:val="22"/>
        </w:rPr>
        <w:t xml:space="preserve">the Executive Secretary invited the submission of </w:t>
      </w:r>
      <w:r w:rsidR="003A4B56" w:rsidRPr="009F665A">
        <w:rPr>
          <w:kern w:val="22"/>
          <w:szCs w:val="22"/>
        </w:rPr>
        <w:t xml:space="preserve">information and </w:t>
      </w:r>
      <w:r w:rsidR="00A10993" w:rsidRPr="009F665A">
        <w:rPr>
          <w:kern w:val="22"/>
          <w:szCs w:val="22"/>
        </w:rPr>
        <w:t>views</w:t>
      </w:r>
      <w:r w:rsidR="003A4B56" w:rsidRPr="009F665A">
        <w:rPr>
          <w:kern w:val="22"/>
          <w:szCs w:val="22"/>
        </w:rPr>
        <w:t xml:space="preserve"> </w:t>
      </w:r>
      <w:r w:rsidR="00A10993" w:rsidRPr="009F665A">
        <w:rPr>
          <w:kern w:val="22"/>
          <w:szCs w:val="22"/>
        </w:rPr>
        <w:t>pursuant to paragraph</w:t>
      </w:r>
      <w:r w:rsidRPr="003F5590">
        <w:rPr>
          <w:kern w:val="22"/>
          <w:szCs w:val="22"/>
        </w:rPr>
        <w:t xml:space="preserve"> 2</w:t>
      </w:r>
      <w:r w:rsidR="00A10993" w:rsidRPr="00246BDA">
        <w:rPr>
          <w:kern w:val="22"/>
          <w:szCs w:val="22"/>
        </w:rPr>
        <w:t xml:space="preserve"> of decision NP-</w:t>
      </w:r>
      <w:r w:rsidRPr="00246BDA">
        <w:rPr>
          <w:kern w:val="22"/>
          <w:szCs w:val="22"/>
        </w:rPr>
        <w:t>3</w:t>
      </w:r>
      <w:r w:rsidR="00A10993" w:rsidRPr="00246BDA">
        <w:rPr>
          <w:kern w:val="22"/>
          <w:szCs w:val="22"/>
        </w:rPr>
        <w:t>/1</w:t>
      </w:r>
      <w:r w:rsidRPr="00C20F6C">
        <w:rPr>
          <w:kern w:val="22"/>
          <w:szCs w:val="22"/>
        </w:rPr>
        <w:t>4</w:t>
      </w:r>
      <w:r w:rsidR="00A10993" w:rsidRPr="00C20F6C">
        <w:rPr>
          <w:kern w:val="22"/>
          <w:szCs w:val="22"/>
        </w:rPr>
        <w:t xml:space="preserve">. </w:t>
      </w:r>
      <w:r w:rsidR="003A4B56" w:rsidRPr="00C20F6C">
        <w:rPr>
          <w:kern w:val="22"/>
          <w:szCs w:val="22"/>
        </w:rPr>
        <w:t>Submissions</w:t>
      </w:r>
      <w:r w:rsidR="00A10993" w:rsidRPr="00C20F6C">
        <w:rPr>
          <w:kern w:val="22"/>
          <w:szCs w:val="22"/>
        </w:rPr>
        <w:t xml:space="preserve"> were received from f</w:t>
      </w:r>
      <w:r w:rsidRPr="00C20F6C">
        <w:rPr>
          <w:kern w:val="22"/>
          <w:szCs w:val="22"/>
        </w:rPr>
        <w:t>our</w:t>
      </w:r>
      <w:r w:rsidR="00A10993" w:rsidRPr="00C20F6C">
        <w:rPr>
          <w:kern w:val="22"/>
          <w:szCs w:val="22"/>
        </w:rPr>
        <w:t xml:space="preserve"> Parties to the Protocol: the European Union</w:t>
      </w:r>
      <w:r w:rsidR="00EA1121" w:rsidRPr="00C20F6C">
        <w:rPr>
          <w:kern w:val="22"/>
          <w:szCs w:val="22"/>
        </w:rPr>
        <w:t xml:space="preserve"> and its </w:t>
      </w:r>
      <w:r w:rsidR="000513C6" w:rsidRPr="00C20F6C">
        <w:rPr>
          <w:kern w:val="22"/>
          <w:szCs w:val="22"/>
        </w:rPr>
        <w:t>m</w:t>
      </w:r>
      <w:r w:rsidR="00EA1121" w:rsidRPr="00C20F6C">
        <w:rPr>
          <w:kern w:val="22"/>
          <w:szCs w:val="22"/>
        </w:rPr>
        <w:t>ember States</w:t>
      </w:r>
      <w:r w:rsidR="00A10993" w:rsidRPr="00C20F6C">
        <w:rPr>
          <w:kern w:val="22"/>
          <w:szCs w:val="22"/>
        </w:rPr>
        <w:t>;</w:t>
      </w:r>
      <w:r w:rsidRPr="00C20F6C">
        <w:rPr>
          <w:kern w:val="22"/>
          <w:szCs w:val="22"/>
        </w:rPr>
        <w:t xml:space="preserve"> Japan; </w:t>
      </w:r>
      <w:r w:rsidR="00A10993" w:rsidRPr="00C20F6C">
        <w:rPr>
          <w:kern w:val="22"/>
          <w:szCs w:val="22"/>
        </w:rPr>
        <w:t>Norway;</w:t>
      </w:r>
      <w:r w:rsidRPr="00C20F6C">
        <w:rPr>
          <w:kern w:val="22"/>
          <w:szCs w:val="22"/>
        </w:rPr>
        <w:t xml:space="preserve"> </w:t>
      </w:r>
      <w:r w:rsidR="00A10993" w:rsidRPr="00C20F6C">
        <w:rPr>
          <w:kern w:val="22"/>
          <w:szCs w:val="22"/>
        </w:rPr>
        <w:t>and S</w:t>
      </w:r>
      <w:r w:rsidRPr="00C20F6C">
        <w:rPr>
          <w:kern w:val="22"/>
          <w:szCs w:val="22"/>
        </w:rPr>
        <w:t xml:space="preserve">witzerland. </w:t>
      </w:r>
      <w:r w:rsidR="003A4B56" w:rsidRPr="00C20F6C">
        <w:rPr>
          <w:kern w:val="22"/>
          <w:szCs w:val="22"/>
        </w:rPr>
        <w:t>Submissions</w:t>
      </w:r>
      <w:r w:rsidRPr="00C20F6C">
        <w:rPr>
          <w:kern w:val="22"/>
          <w:szCs w:val="22"/>
        </w:rPr>
        <w:t xml:space="preserve"> </w:t>
      </w:r>
      <w:r w:rsidR="00A10993" w:rsidRPr="00C20F6C">
        <w:rPr>
          <w:kern w:val="22"/>
          <w:szCs w:val="22"/>
        </w:rPr>
        <w:t>were also received from</w:t>
      </w:r>
      <w:r w:rsidRPr="00C20F6C">
        <w:rPr>
          <w:kern w:val="22"/>
          <w:szCs w:val="22"/>
        </w:rPr>
        <w:t xml:space="preserve"> two </w:t>
      </w:r>
      <w:r w:rsidR="00A10993" w:rsidRPr="00C20F6C">
        <w:rPr>
          <w:kern w:val="22"/>
          <w:szCs w:val="22"/>
        </w:rPr>
        <w:t>non-Parties: Ca</w:t>
      </w:r>
      <w:r w:rsidRPr="00C20F6C">
        <w:rPr>
          <w:kern w:val="22"/>
          <w:szCs w:val="22"/>
        </w:rPr>
        <w:t xml:space="preserve">nada; and </w:t>
      </w:r>
      <w:r w:rsidR="00A10993" w:rsidRPr="00C20F6C">
        <w:rPr>
          <w:kern w:val="22"/>
          <w:szCs w:val="22"/>
        </w:rPr>
        <w:t>New Zealand</w:t>
      </w:r>
      <w:r w:rsidRPr="00C20F6C">
        <w:rPr>
          <w:kern w:val="22"/>
          <w:szCs w:val="22"/>
        </w:rPr>
        <w:t xml:space="preserve">. </w:t>
      </w:r>
      <w:r w:rsidR="00A10993" w:rsidRPr="00C20F6C">
        <w:rPr>
          <w:kern w:val="22"/>
          <w:szCs w:val="22"/>
        </w:rPr>
        <w:t xml:space="preserve">In addition, </w:t>
      </w:r>
      <w:r w:rsidR="003A4B56" w:rsidRPr="00C20F6C">
        <w:rPr>
          <w:kern w:val="22"/>
          <w:szCs w:val="22"/>
        </w:rPr>
        <w:t>a</w:t>
      </w:r>
      <w:r w:rsidRPr="00C20F6C">
        <w:rPr>
          <w:kern w:val="22"/>
          <w:szCs w:val="22"/>
        </w:rPr>
        <w:t xml:space="preserve"> </w:t>
      </w:r>
      <w:r w:rsidR="00A10993" w:rsidRPr="00C20F6C">
        <w:rPr>
          <w:kern w:val="22"/>
          <w:szCs w:val="22"/>
        </w:rPr>
        <w:t>submission</w:t>
      </w:r>
      <w:r w:rsidRPr="00C20F6C">
        <w:rPr>
          <w:kern w:val="22"/>
          <w:szCs w:val="22"/>
        </w:rPr>
        <w:t xml:space="preserve"> </w:t>
      </w:r>
      <w:r w:rsidR="00A10993" w:rsidRPr="00C20F6C">
        <w:rPr>
          <w:kern w:val="22"/>
          <w:szCs w:val="22"/>
        </w:rPr>
        <w:t>w</w:t>
      </w:r>
      <w:r w:rsidRPr="00C20F6C">
        <w:rPr>
          <w:kern w:val="22"/>
          <w:szCs w:val="22"/>
        </w:rPr>
        <w:t xml:space="preserve">as </w:t>
      </w:r>
      <w:r w:rsidR="00A10993" w:rsidRPr="00C20F6C">
        <w:rPr>
          <w:kern w:val="22"/>
          <w:szCs w:val="22"/>
        </w:rPr>
        <w:t xml:space="preserve">received from </w:t>
      </w:r>
      <w:r w:rsidRPr="00C20F6C">
        <w:rPr>
          <w:kern w:val="22"/>
          <w:szCs w:val="22"/>
        </w:rPr>
        <w:t>one international</w:t>
      </w:r>
      <w:r w:rsidR="00A10993" w:rsidRPr="00C20F6C">
        <w:rPr>
          <w:kern w:val="22"/>
          <w:szCs w:val="22"/>
        </w:rPr>
        <w:t xml:space="preserve"> organization: the </w:t>
      </w:r>
      <w:r w:rsidRPr="00C20F6C">
        <w:rPr>
          <w:kern w:val="22"/>
          <w:szCs w:val="22"/>
        </w:rPr>
        <w:t>African Union</w:t>
      </w:r>
      <w:r w:rsidR="00A10993" w:rsidRPr="00C20F6C">
        <w:rPr>
          <w:kern w:val="22"/>
          <w:szCs w:val="22"/>
        </w:rPr>
        <w:t>. The full text of the submissions has</w:t>
      </w:r>
      <w:r w:rsidRPr="00C20F6C">
        <w:rPr>
          <w:kern w:val="22"/>
          <w:szCs w:val="22"/>
        </w:rPr>
        <w:t xml:space="preserve"> </w:t>
      </w:r>
      <w:r w:rsidR="00A10993" w:rsidRPr="00C20F6C">
        <w:rPr>
          <w:kern w:val="22"/>
          <w:szCs w:val="22"/>
        </w:rPr>
        <w:t>been made available online.</w:t>
      </w:r>
      <w:r w:rsidRPr="00961A9F">
        <w:rPr>
          <w:kern w:val="22"/>
          <w:szCs w:val="22"/>
          <w:vertAlign w:val="superscript"/>
        </w:rPr>
        <w:footnoteReference w:id="5"/>
      </w:r>
    </w:p>
    <w:p w14:paraId="23FA7E37" w14:textId="2D4496E9" w:rsidR="00A10993" w:rsidRPr="00C20F6C" w:rsidRDefault="00A10993" w:rsidP="009641C9">
      <w:pPr>
        <w:pStyle w:val="Para1"/>
        <w:numPr>
          <w:ilvl w:val="0"/>
          <w:numId w:val="7"/>
        </w:numPr>
        <w:suppressLineNumbers/>
        <w:tabs>
          <w:tab w:val="num" w:pos="709"/>
        </w:tabs>
        <w:suppressAutoHyphens/>
        <w:ind w:left="0" w:firstLine="0"/>
        <w:rPr>
          <w:kern w:val="22"/>
          <w:szCs w:val="22"/>
        </w:rPr>
      </w:pPr>
      <w:r w:rsidRPr="00961A9F">
        <w:rPr>
          <w:kern w:val="22"/>
          <w:szCs w:val="22"/>
        </w:rPr>
        <w:lastRenderedPageBreak/>
        <w:t xml:space="preserve">Section II </w:t>
      </w:r>
      <w:r w:rsidR="005276F3">
        <w:rPr>
          <w:kern w:val="22"/>
          <w:szCs w:val="22"/>
        </w:rPr>
        <w:t>below</w:t>
      </w:r>
      <w:r w:rsidRPr="00961A9F">
        <w:rPr>
          <w:kern w:val="22"/>
          <w:szCs w:val="22"/>
        </w:rPr>
        <w:t xml:space="preserve"> </w:t>
      </w:r>
      <w:r w:rsidR="00280F48" w:rsidRPr="00961A9F">
        <w:rPr>
          <w:kern w:val="22"/>
          <w:szCs w:val="22"/>
        </w:rPr>
        <w:t>briefly recalls the criteria identified and scenarios developed in the study</w:t>
      </w:r>
      <w:r w:rsidR="003A4B56" w:rsidRPr="009F665A">
        <w:rPr>
          <w:kern w:val="22"/>
          <w:szCs w:val="22"/>
        </w:rPr>
        <w:t xml:space="preserve"> referred to in footnote</w:t>
      </w:r>
      <w:r w:rsidR="00701A27">
        <w:rPr>
          <w:kern w:val="22"/>
          <w:szCs w:val="22"/>
        </w:rPr>
        <w:t> </w:t>
      </w:r>
      <w:r w:rsidR="00701A27">
        <w:rPr>
          <w:kern w:val="22"/>
          <w:szCs w:val="22"/>
        </w:rPr>
        <w:fldChar w:fldCharType="begin"/>
      </w:r>
      <w:r w:rsidR="00701A27">
        <w:rPr>
          <w:kern w:val="22"/>
          <w:szCs w:val="22"/>
        </w:rPr>
        <w:instrText xml:space="preserve"> NOTEREF _Ref48071198 \h </w:instrText>
      </w:r>
      <w:r w:rsidR="00701A27">
        <w:rPr>
          <w:kern w:val="22"/>
          <w:szCs w:val="22"/>
        </w:rPr>
      </w:r>
      <w:r w:rsidR="00701A27">
        <w:rPr>
          <w:kern w:val="22"/>
          <w:szCs w:val="22"/>
        </w:rPr>
        <w:fldChar w:fldCharType="separate"/>
      </w:r>
      <w:r w:rsidR="00701A27">
        <w:rPr>
          <w:kern w:val="22"/>
          <w:szCs w:val="22"/>
        </w:rPr>
        <w:t>1</w:t>
      </w:r>
      <w:r w:rsidR="00701A27">
        <w:rPr>
          <w:kern w:val="22"/>
          <w:szCs w:val="22"/>
        </w:rPr>
        <w:fldChar w:fldCharType="end"/>
      </w:r>
      <w:r w:rsidR="003A4B56" w:rsidRPr="00961A9F">
        <w:rPr>
          <w:kern w:val="22"/>
          <w:szCs w:val="22"/>
        </w:rPr>
        <w:t xml:space="preserve"> herein</w:t>
      </w:r>
      <w:r w:rsidR="00280F48" w:rsidRPr="009F665A">
        <w:rPr>
          <w:kern w:val="22"/>
          <w:szCs w:val="22"/>
        </w:rPr>
        <w:t xml:space="preserve">. Section III </w:t>
      </w:r>
      <w:r w:rsidRPr="003F5590">
        <w:rPr>
          <w:kern w:val="22"/>
          <w:szCs w:val="22"/>
        </w:rPr>
        <w:t xml:space="preserve">summarizes the information that was submitted on experiences </w:t>
      </w:r>
      <w:r w:rsidR="00271BC8">
        <w:rPr>
          <w:kern w:val="22"/>
          <w:szCs w:val="22"/>
        </w:rPr>
        <w:t>regarding</w:t>
      </w:r>
      <w:r w:rsidR="00271BC8" w:rsidRPr="00961A9F">
        <w:rPr>
          <w:kern w:val="22"/>
          <w:szCs w:val="22"/>
        </w:rPr>
        <w:t xml:space="preserve"> </w:t>
      </w:r>
      <w:r w:rsidR="00280F48" w:rsidRPr="00961A9F">
        <w:rPr>
          <w:kern w:val="22"/>
          <w:szCs w:val="22"/>
        </w:rPr>
        <w:t>how specialized international access and benefit-sharing instruments are addressed in</w:t>
      </w:r>
      <w:r w:rsidR="0038258F" w:rsidRPr="009F665A">
        <w:rPr>
          <w:kern w:val="22"/>
          <w:szCs w:val="22"/>
        </w:rPr>
        <w:t xml:space="preserve"> </w:t>
      </w:r>
      <w:r w:rsidR="00175B01" w:rsidRPr="00817020">
        <w:rPr>
          <w:kern w:val="22"/>
          <w:szCs w:val="22"/>
        </w:rPr>
        <w:t>domestic measures</w:t>
      </w:r>
      <w:r w:rsidR="00175B01" w:rsidRPr="00F80246">
        <w:rPr>
          <w:kern w:val="22"/>
          <w:szCs w:val="22"/>
        </w:rPr>
        <w:t xml:space="preserve"> </w:t>
      </w:r>
      <w:r w:rsidR="00175B01">
        <w:rPr>
          <w:kern w:val="22"/>
          <w:szCs w:val="22"/>
        </w:rPr>
        <w:t xml:space="preserve">taken by </w:t>
      </w:r>
      <w:r w:rsidR="0038258F" w:rsidRPr="00961A9F">
        <w:rPr>
          <w:kern w:val="22"/>
          <w:szCs w:val="22"/>
        </w:rPr>
        <w:t>Parties</w:t>
      </w:r>
      <w:r w:rsidR="0038258F" w:rsidRPr="009F665A">
        <w:rPr>
          <w:kern w:val="22"/>
          <w:szCs w:val="22"/>
        </w:rPr>
        <w:t xml:space="preserve"> and other Governments</w:t>
      </w:r>
      <w:r w:rsidR="0038258F" w:rsidRPr="00246BDA">
        <w:rPr>
          <w:kern w:val="22"/>
          <w:szCs w:val="22"/>
        </w:rPr>
        <w:t>.</w:t>
      </w:r>
      <w:r w:rsidR="00C8251F" w:rsidRPr="00C20F6C">
        <w:rPr>
          <w:kern w:val="22"/>
          <w:szCs w:val="22"/>
        </w:rPr>
        <w:t xml:space="preserve"> </w:t>
      </w:r>
      <w:r w:rsidR="0038258F" w:rsidRPr="00C20F6C">
        <w:rPr>
          <w:kern w:val="22"/>
          <w:szCs w:val="22"/>
        </w:rPr>
        <w:t xml:space="preserve">Section IV synthesizes the views submitted </w:t>
      </w:r>
      <w:r w:rsidR="00280F48" w:rsidRPr="00C20F6C">
        <w:rPr>
          <w:kern w:val="22"/>
          <w:szCs w:val="22"/>
        </w:rPr>
        <w:t xml:space="preserve">on the potential criteria contained in the study, </w:t>
      </w:r>
      <w:proofErr w:type="gramStart"/>
      <w:r w:rsidR="00280F48" w:rsidRPr="00C20F6C">
        <w:rPr>
          <w:kern w:val="22"/>
          <w:szCs w:val="22"/>
        </w:rPr>
        <w:t>taking into account</w:t>
      </w:r>
      <w:proofErr w:type="gramEnd"/>
      <w:r w:rsidR="00280F48" w:rsidRPr="00C20F6C">
        <w:rPr>
          <w:kern w:val="22"/>
          <w:szCs w:val="22"/>
        </w:rPr>
        <w:t xml:space="preserve"> Article</w:t>
      </w:r>
      <w:r w:rsidR="0038258F" w:rsidRPr="00C20F6C">
        <w:rPr>
          <w:kern w:val="22"/>
          <w:szCs w:val="22"/>
        </w:rPr>
        <w:t xml:space="preserve"> </w:t>
      </w:r>
      <w:r w:rsidR="00280F48" w:rsidRPr="00C20F6C">
        <w:rPr>
          <w:kern w:val="22"/>
          <w:szCs w:val="22"/>
        </w:rPr>
        <w:t>4, paragraphs 1 to 3, of the Protocol</w:t>
      </w:r>
      <w:r w:rsidR="0038258F" w:rsidRPr="00C20F6C">
        <w:rPr>
          <w:kern w:val="22"/>
          <w:szCs w:val="22"/>
        </w:rPr>
        <w:t xml:space="preserve">. </w:t>
      </w:r>
      <w:r w:rsidR="001A5AD4" w:rsidRPr="00C20F6C">
        <w:rPr>
          <w:kern w:val="22"/>
          <w:szCs w:val="22"/>
        </w:rPr>
        <w:t xml:space="preserve">Section V contains information </w:t>
      </w:r>
      <w:r w:rsidR="003A4B56" w:rsidRPr="00C20F6C">
        <w:rPr>
          <w:kern w:val="22"/>
          <w:szCs w:val="22"/>
        </w:rPr>
        <w:t>regarding</w:t>
      </w:r>
      <w:r w:rsidR="00312D98" w:rsidRPr="00C20F6C">
        <w:rPr>
          <w:kern w:val="22"/>
          <w:szCs w:val="22"/>
        </w:rPr>
        <w:t xml:space="preserve"> </w:t>
      </w:r>
      <w:r w:rsidR="001A5AD4" w:rsidRPr="00C20F6C">
        <w:rPr>
          <w:kern w:val="22"/>
          <w:szCs w:val="22"/>
        </w:rPr>
        <w:t>developments in relevant international forums. Finally, Section VI presents</w:t>
      </w:r>
      <w:r w:rsidR="00C94DDB" w:rsidRPr="00C20F6C">
        <w:rPr>
          <w:kern w:val="22"/>
          <w:szCs w:val="22"/>
        </w:rPr>
        <w:t xml:space="preserve"> </w:t>
      </w:r>
      <w:r w:rsidR="00900494" w:rsidRPr="00C20F6C">
        <w:rPr>
          <w:kern w:val="22"/>
          <w:szCs w:val="22"/>
        </w:rPr>
        <w:t>suggested elements of a draft recommendation</w:t>
      </w:r>
      <w:r w:rsidR="00C94DDB" w:rsidRPr="00C20F6C">
        <w:rPr>
          <w:kern w:val="22"/>
          <w:szCs w:val="22"/>
        </w:rPr>
        <w:t xml:space="preserve"> for consideration by the Subsidiary Body on Implementation</w:t>
      </w:r>
      <w:r w:rsidR="001A5AD4" w:rsidRPr="00C20F6C">
        <w:rPr>
          <w:kern w:val="22"/>
          <w:szCs w:val="22"/>
        </w:rPr>
        <w:t>.</w:t>
      </w:r>
    </w:p>
    <w:p w14:paraId="33EB87DC" w14:textId="7D039242" w:rsidR="00A10993" w:rsidRPr="00C20F6C" w:rsidRDefault="0027256B" w:rsidP="00C20F6C">
      <w:pPr>
        <w:pStyle w:val="Heading1"/>
        <w:numPr>
          <w:ilvl w:val="0"/>
          <w:numId w:val="24"/>
        </w:numPr>
        <w:suppressLineNumbers/>
        <w:tabs>
          <w:tab w:val="clear" w:pos="720"/>
          <w:tab w:val="left" w:pos="426"/>
        </w:tabs>
        <w:suppressAutoHyphens/>
        <w:spacing w:before="120"/>
        <w:ind w:left="0" w:firstLine="0"/>
        <w:rPr>
          <w:rFonts w:ascii="Times New Roman Bold" w:hAnsi="Times New Roman Bold"/>
          <w:b w:val="0"/>
          <w:caps w:val="0"/>
          <w:kern w:val="22"/>
          <w:szCs w:val="22"/>
        </w:rPr>
      </w:pPr>
      <w:r w:rsidRPr="00C20F6C">
        <w:rPr>
          <w:rFonts w:ascii="Times New Roman Bold" w:hAnsi="Times New Roman Bold"/>
          <w:caps w:val="0"/>
          <w:kern w:val="22"/>
          <w:szCs w:val="22"/>
        </w:rPr>
        <w:t>CRITERIA IDENTIFIED AND SCENARIOS DEVELOPED IN THE STUDY</w:t>
      </w:r>
    </w:p>
    <w:p w14:paraId="2B2FAA84" w14:textId="3B5E3AC4" w:rsidR="00A34CD3" w:rsidRPr="00C20F6C" w:rsidRDefault="0066748C" w:rsidP="009641C9">
      <w:pPr>
        <w:pStyle w:val="Para1"/>
        <w:numPr>
          <w:ilvl w:val="0"/>
          <w:numId w:val="7"/>
        </w:numPr>
        <w:suppressLineNumbers/>
        <w:tabs>
          <w:tab w:val="num" w:pos="709"/>
        </w:tabs>
        <w:suppressAutoHyphens/>
        <w:ind w:left="0" w:firstLine="0"/>
        <w:rPr>
          <w:kern w:val="22"/>
          <w:szCs w:val="22"/>
        </w:rPr>
      </w:pPr>
      <w:r w:rsidRPr="00961A9F">
        <w:rPr>
          <w:kern w:val="22"/>
          <w:szCs w:val="22"/>
        </w:rPr>
        <w:t xml:space="preserve">As reflected in the </w:t>
      </w:r>
      <w:r w:rsidR="00DA537D" w:rsidRPr="00961A9F">
        <w:rPr>
          <w:kern w:val="22"/>
          <w:szCs w:val="22"/>
        </w:rPr>
        <w:t>a</w:t>
      </w:r>
      <w:r w:rsidRPr="009F665A">
        <w:rPr>
          <w:kern w:val="22"/>
          <w:szCs w:val="22"/>
        </w:rPr>
        <w:t xml:space="preserve">nnex to </w:t>
      </w:r>
      <w:r w:rsidR="00A34CD3" w:rsidRPr="003F5590">
        <w:rPr>
          <w:kern w:val="22"/>
          <w:szCs w:val="22"/>
        </w:rPr>
        <w:t>decision NP-3/14, the potential criteria for specialized international ABS instruments in the context of Arti</w:t>
      </w:r>
      <w:r w:rsidR="00A34CD3" w:rsidRPr="00246BDA">
        <w:rPr>
          <w:kern w:val="22"/>
          <w:szCs w:val="22"/>
        </w:rPr>
        <w:t>cle 4, paragraph 4, of the Protocol are:</w:t>
      </w:r>
    </w:p>
    <w:p w14:paraId="5D67A308" w14:textId="32803B72" w:rsidR="00A34CD3" w:rsidRPr="00C20F6C" w:rsidRDefault="001776E0" w:rsidP="00C20F6C">
      <w:pPr>
        <w:suppressLineNumbers/>
        <w:suppressAutoHyphens/>
        <w:spacing w:after="120"/>
        <w:ind w:firstLine="720"/>
        <w:rPr>
          <w:kern w:val="22"/>
          <w:szCs w:val="22"/>
          <w:lang w:eastAsia="en-GB"/>
        </w:rPr>
      </w:pPr>
      <w:r w:rsidRPr="00C20F6C">
        <w:rPr>
          <w:iCs/>
          <w:kern w:val="22"/>
          <w:szCs w:val="22"/>
          <w:lang w:eastAsia="en-GB"/>
        </w:rPr>
        <w:t>1.</w:t>
      </w:r>
      <w:r w:rsidR="00AA31FD" w:rsidRPr="00961A9F">
        <w:rPr>
          <w:iCs/>
          <w:kern w:val="22"/>
          <w:szCs w:val="22"/>
          <w:lang w:eastAsia="en-GB"/>
        </w:rPr>
        <w:tab/>
      </w:r>
      <w:r w:rsidRPr="00C20F6C">
        <w:rPr>
          <w:i/>
          <w:noProof/>
          <w:kern w:val="22"/>
          <w:szCs w:val="22"/>
          <w:lang w:eastAsia="en-GB"/>
        </w:rPr>
        <w:t>Intergovernmentally</w:t>
      </w:r>
      <w:r w:rsidRPr="00C20F6C">
        <w:rPr>
          <w:i/>
          <w:kern w:val="22"/>
          <w:szCs w:val="22"/>
          <w:lang w:eastAsia="en-GB"/>
        </w:rPr>
        <w:t xml:space="preserve"> agreed</w:t>
      </w:r>
      <w:r w:rsidR="00A34CD3" w:rsidRPr="00C20F6C">
        <w:rPr>
          <w:kern w:val="22"/>
          <w:szCs w:val="22"/>
          <w:lang w:eastAsia="en-GB"/>
        </w:rPr>
        <w:t xml:space="preserve"> </w:t>
      </w:r>
      <w:r w:rsidRPr="00C20F6C">
        <w:rPr>
          <w:kern w:val="22"/>
          <w:szCs w:val="22"/>
          <w:lang w:eastAsia="en-GB"/>
        </w:rPr>
        <w:t>—</w:t>
      </w:r>
      <w:r w:rsidR="00A34CD3" w:rsidRPr="00C20F6C">
        <w:rPr>
          <w:kern w:val="22"/>
          <w:szCs w:val="22"/>
          <w:lang w:eastAsia="en-GB"/>
        </w:rPr>
        <w:t xml:space="preserve"> </w:t>
      </w:r>
      <w:r w:rsidRPr="00C20F6C">
        <w:rPr>
          <w:kern w:val="22"/>
          <w:szCs w:val="22"/>
          <w:lang w:eastAsia="en-GB"/>
        </w:rPr>
        <w:t>The instrument would be developed and agreed through an intergovernmental process. The instrument</w:t>
      </w:r>
      <w:r w:rsidR="00A34CD3" w:rsidRPr="00C20F6C">
        <w:rPr>
          <w:kern w:val="22"/>
          <w:szCs w:val="22"/>
          <w:lang w:eastAsia="en-GB"/>
        </w:rPr>
        <w:t xml:space="preserve"> </w:t>
      </w:r>
      <w:r w:rsidRPr="00C20F6C">
        <w:rPr>
          <w:kern w:val="22"/>
          <w:szCs w:val="22"/>
          <w:lang w:eastAsia="en-GB"/>
        </w:rPr>
        <w:t>may be binding or non-binding.</w:t>
      </w:r>
    </w:p>
    <w:p w14:paraId="2E576427" w14:textId="7C75490C" w:rsidR="00A34CD3" w:rsidRPr="00C20F6C" w:rsidRDefault="001776E0" w:rsidP="00C20F6C">
      <w:pPr>
        <w:suppressLineNumbers/>
        <w:suppressAutoHyphens/>
        <w:spacing w:after="120"/>
        <w:ind w:firstLine="720"/>
        <w:rPr>
          <w:kern w:val="22"/>
          <w:szCs w:val="22"/>
          <w:lang w:eastAsia="en-GB"/>
        </w:rPr>
      </w:pPr>
      <w:r w:rsidRPr="00C20F6C">
        <w:rPr>
          <w:iCs/>
          <w:kern w:val="22"/>
          <w:szCs w:val="22"/>
          <w:lang w:eastAsia="en-GB"/>
        </w:rPr>
        <w:t>2.</w:t>
      </w:r>
      <w:r w:rsidR="00AA31FD" w:rsidRPr="00961A9F">
        <w:rPr>
          <w:iCs/>
          <w:kern w:val="22"/>
          <w:szCs w:val="22"/>
          <w:lang w:eastAsia="en-GB"/>
        </w:rPr>
        <w:tab/>
      </w:r>
      <w:r w:rsidRPr="00961A9F">
        <w:rPr>
          <w:i/>
          <w:kern w:val="22"/>
          <w:szCs w:val="22"/>
          <w:lang w:eastAsia="en-GB"/>
        </w:rPr>
        <w:t>Specialized</w:t>
      </w:r>
      <w:r w:rsidR="00A34CD3" w:rsidRPr="009F665A">
        <w:rPr>
          <w:kern w:val="22"/>
          <w:szCs w:val="22"/>
          <w:lang w:eastAsia="en-GB"/>
        </w:rPr>
        <w:t xml:space="preserve"> </w:t>
      </w:r>
      <w:r w:rsidRPr="003F5590">
        <w:rPr>
          <w:kern w:val="22"/>
          <w:szCs w:val="22"/>
          <w:lang w:eastAsia="en-GB"/>
        </w:rPr>
        <w:t>—</w:t>
      </w:r>
      <w:r w:rsidR="00A34CD3" w:rsidRPr="00246BDA">
        <w:rPr>
          <w:kern w:val="22"/>
          <w:szCs w:val="22"/>
          <w:lang w:eastAsia="en-GB"/>
        </w:rPr>
        <w:t xml:space="preserve"> </w:t>
      </w:r>
      <w:r w:rsidRPr="00246BDA">
        <w:rPr>
          <w:kern w:val="22"/>
          <w:szCs w:val="22"/>
          <w:lang w:eastAsia="en-GB"/>
        </w:rPr>
        <w:t>The instrument would:</w:t>
      </w:r>
    </w:p>
    <w:p w14:paraId="0B602D0E" w14:textId="29014E0A" w:rsidR="001776E0" w:rsidRPr="00C20F6C" w:rsidRDefault="001776E0" w:rsidP="00C20F6C">
      <w:pPr>
        <w:suppressLineNumbers/>
        <w:suppressAutoHyphens/>
        <w:spacing w:after="120"/>
        <w:ind w:firstLine="720"/>
        <w:rPr>
          <w:kern w:val="22"/>
          <w:szCs w:val="22"/>
          <w:lang w:eastAsia="en-GB"/>
        </w:rPr>
      </w:pPr>
      <w:r w:rsidRPr="00C20F6C">
        <w:rPr>
          <w:kern w:val="22"/>
          <w:szCs w:val="22"/>
          <w:lang w:eastAsia="en-GB"/>
        </w:rPr>
        <w:t>(a)</w:t>
      </w:r>
      <w:bookmarkStart w:id="4" w:name="_Hlk43376914"/>
      <w:r w:rsidR="00E912DD" w:rsidRPr="00C20F6C">
        <w:rPr>
          <w:kern w:val="22"/>
          <w:szCs w:val="22"/>
          <w:lang w:eastAsia="en-GB"/>
        </w:rPr>
        <w:tab/>
      </w:r>
      <w:r w:rsidRPr="00C20F6C">
        <w:rPr>
          <w:kern w:val="22"/>
          <w:szCs w:val="22"/>
          <w:lang w:eastAsia="en-GB"/>
        </w:rPr>
        <w:t>Apply to a specific set of genetic resources and/or traditional knowledge associated with genetic resources which would otherwise fall under the scope of the Nagoya Protocol</w:t>
      </w:r>
      <w:bookmarkEnd w:id="4"/>
      <w:r w:rsidRPr="00C20F6C">
        <w:rPr>
          <w:kern w:val="22"/>
          <w:szCs w:val="22"/>
          <w:lang w:eastAsia="en-GB"/>
        </w:rPr>
        <w:t>;</w:t>
      </w:r>
    </w:p>
    <w:p w14:paraId="7E8722A0" w14:textId="7058631C" w:rsidR="00A34CD3" w:rsidRPr="00C20F6C" w:rsidRDefault="001776E0" w:rsidP="00C20F6C">
      <w:pPr>
        <w:suppressLineNumbers/>
        <w:suppressAutoHyphens/>
        <w:spacing w:after="120"/>
        <w:ind w:firstLine="720"/>
        <w:rPr>
          <w:kern w:val="22"/>
          <w:szCs w:val="22"/>
        </w:rPr>
      </w:pPr>
      <w:bookmarkStart w:id="5" w:name="_Hlk43376749"/>
      <w:r w:rsidRPr="00C20F6C">
        <w:rPr>
          <w:kern w:val="22"/>
          <w:szCs w:val="22"/>
        </w:rPr>
        <w:t>(b)</w:t>
      </w:r>
      <w:r w:rsidR="00E912DD" w:rsidRPr="00C20F6C">
        <w:rPr>
          <w:kern w:val="22"/>
          <w:szCs w:val="22"/>
        </w:rPr>
        <w:tab/>
      </w:r>
      <w:r w:rsidRPr="00C20F6C">
        <w:rPr>
          <w:kern w:val="22"/>
          <w:szCs w:val="22"/>
        </w:rPr>
        <w:t>Apply to specific uses of genetic resources and/or traditional knowledge associated with genetic resources</w:t>
      </w:r>
      <w:r w:rsidR="00A34CD3" w:rsidRPr="00C20F6C">
        <w:rPr>
          <w:kern w:val="22"/>
          <w:szCs w:val="22"/>
        </w:rPr>
        <w:t xml:space="preserve"> </w:t>
      </w:r>
      <w:r w:rsidRPr="00C20F6C">
        <w:rPr>
          <w:kern w:val="22"/>
          <w:szCs w:val="22"/>
        </w:rPr>
        <w:t>which require a differentiated and hence specialized approach</w:t>
      </w:r>
      <w:bookmarkEnd w:id="5"/>
      <w:r w:rsidRPr="00C20F6C">
        <w:rPr>
          <w:kern w:val="22"/>
          <w:szCs w:val="22"/>
        </w:rPr>
        <w:t>.</w:t>
      </w:r>
    </w:p>
    <w:p w14:paraId="1331F684" w14:textId="61E06712" w:rsidR="00A34CD3" w:rsidRPr="009F665A" w:rsidRDefault="001776E0" w:rsidP="00C20F6C">
      <w:pPr>
        <w:suppressLineNumbers/>
        <w:suppressAutoHyphens/>
        <w:spacing w:after="120"/>
        <w:ind w:firstLine="720"/>
        <w:rPr>
          <w:kern w:val="22"/>
          <w:szCs w:val="22"/>
        </w:rPr>
      </w:pPr>
      <w:r w:rsidRPr="00C20F6C">
        <w:rPr>
          <w:iCs/>
          <w:kern w:val="22"/>
          <w:szCs w:val="22"/>
        </w:rPr>
        <w:t>3.</w:t>
      </w:r>
      <w:r w:rsidR="00AA31FD" w:rsidRPr="00961A9F">
        <w:rPr>
          <w:iCs/>
          <w:kern w:val="22"/>
          <w:szCs w:val="22"/>
        </w:rPr>
        <w:tab/>
      </w:r>
      <w:r w:rsidRPr="00961A9F">
        <w:rPr>
          <w:i/>
          <w:kern w:val="22"/>
          <w:szCs w:val="22"/>
        </w:rPr>
        <w:t>Mutually supportive</w:t>
      </w:r>
      <w:r w:rsidR="00A34CD3" w:rsidRPr="009F665A">
        <w:rPr>
          <w:kern w:val="22"/>
          <w:szCs w:val="22"/>
        </w:rPr>
        <w:t xml:space="preserve"> </w:t>
      </w:r>
      <w:r w:rsidRPr="003F5590">
        <w:rPr>
          <w:kern w:val="22"/>
          <w:szCs w:val="22"/>
        </w:rPr>
        <w:t>—</w:t>
      </w:r>
      <w:r w:rsidR="00A34CD3" w:rsidRPr="00246BDA">
        <w:rPr>
          <w:kern w:val="22"/>
          <w:szCs w:val="22"/>
        </w:rPr>
        <w:t xml:space="preserve"> </w:t>
      </w:r>
      <w:r w:rsidRPr="00246BDA">
        <w:rPr>
          <w:kern w:val="22"/>
          <w:szCs w:val="22"/>
        </w:rPr>
        <w:t>The instrument would be consistent with</w:t>
      </w:r>
      <w:r w:rsidR="007925DE">
        <w:rPr>
          <w:kern w:val="22"/>
          <w:szCs w:val="22"/>
        </w:rPr>
        <w:t xml:space="preserve"> and</w:t>
      </w:r>
      <w:r w:rsidRPr="00961A9F">
        <w:rPr>
          <w:kern w:val="22"/>
          <w:szCs w:val="22"/>
        </w:rPr>
        <w:t xml:space="preserve"> supportive of, and not run counter to the objectives of the Convention on Biological Diversity and the Nagoya Protocol, including with respect to:</w:t>
      </w:r>
    </w:p>
    <w:p w14:paraId="4CBADECD" w14:textId="78DEFD85" w:rsidR="00A34CD3" w:rsidRPr="00C20F6C" w:rsidRDefault="001776E0" w:rsidP="00C20F6C">
      <w:pPr>
        <w:suppressLineNumbers/>
        <w:suppressAutoHyphens/>
        <w:spacing w:before="120" w:after="120"/>
        <w:ind w:left="284" w:firstLine="437"/>
        <w:rPr>
          <w:kern w:val="22"/>
          <w:szCs w:val="22"/>
        </w:rPr>
      </w:pPr>
      <w:bookmarkStart w:id="6" w:name="_Hlk43377115"/>
      <w:r w:rsidRPr="003F5590">
        <w:rPr>
          <w:kern w:val="22"/>
          <w:szCs w:val="22"/>
        </w:rPr>
        <w:t>(a)</w:t>
      </w:r>
      <w:r w:rsidR="00AA31FD" w:rsidRPr="00246BDA">
        <w:rPr>
          <w:kern w:val="22"/>
          <w:szCs w:val="22"/>
        </w:rPr>
        <w:tab/>
      </w:r>
      <w:r w:rsidRPr="00C20F6C">
        <w:rPr>
          <w:kern w:val="22"/>
          <w:szCs w:val="22"/>
        </w:rPr>
        <w:t>Consistency with biodiversity conservation and sustainable use objectives;</w:t>
      </w:r>
    </w:p>
    <w:p w14:paraId="77CE0F7B" w14:textId="1DB0CB4F" w:rsidR="00A34CD3" w:rsidRPr="00C20F6C" w:rsidRDefault="001776E0" w:rsidP="00C20F6C">
      <w:pPr>
        <w:suppressLineNumbers/>
        <w:suppressAutoHyphens/>
        <w:spacing w:before="120" w:after="120"/>
        <w:ind w:left="284" w:firstLine="437"/>
        <w:rPr>
          <w:kern w:val="22"/>
          <w:szCs w:val="22"/>
        </w:rPr>
      </w:pPr>
      <w:r w:rsidRPr="00C20F6C">
        <w:rPr>
          <w:kern w:val="22"/>
          <w:szCs w:val="22"/>
        </w:rPr>
        <w:t>(b)</w:t>
      </w:r>
      <w:r w:rsidR="00AA31FD" w:rsidRPr="00C20F6C">
        <w:rPr>
          <w:kern w:val="22"/>
          <w:szCs w:val="22"/>
        </w:rPr>
        <w:tab/>
      </w:r>
      <w:r w:rsidRPr="00C20F6C">
        <w:rPr>
          <w:kern w:val="22"/>
          <w:szCs w:val="22"/>
        </w:rPr>
        <w:t>Fairness and equity in the sharing of benefits;</w:t>
      </w:r>
    </w:p>
    <w:p w14:paraId="38B58F62" w14:textId="22745012" w:rsidR="00A34CD3" w:rsidRPr="00C20F6C" w:rsidRDefault="001776E0" w:rsidP="00C20F6C">
      <w:pPr>
        <w:suppressLineNumbers/>
        <w:suppressAutoHyphens/>
        <w:spacing w:before="120" w:after="120"/>
        <w:ind w:left="284" w:firstLine="437"/>
        <w:rPr>
          <w:kern w:val="22"/>
          <w:szCs w:val="22"/>
        </w:rPr>
      </w:pPr>
      <w:r w:rsidRPr="00C20F6C">
        <w:rPr>
          <w:kern w:val="22"/>
          <w:szCs w:val="22"/>
        </w:rPr>
        <w:t>(c)</w:t>
      </w:r>
      <w:r w:rsidR="00AA31FD" w:rsidRPr="00C20F6C">
        <w:rPr>
          <w:kern w:val="22"/>
          <w:szCs w:val="22"/>
        </w:rPr>
        <w:tab/>
      </w:r>
      <w:r w:rsidRPr="00C20F6C">
        <w:rPr>
          <w:kern w:val="22"/>
          <w:szCs w:val="22"/>
        </w:rPr>
        <w:t>Legal certainty with respect to access to genetic resources or traditional knowledge and to benefit-sharing;</w:t>
      </w:r>
    </w:p>
    <w:p w14:paraId="3741AA82" w14:textId="6330891F" w:rsidR="00A34CD3" w:rsidRPr="00C20F6C" w:rsidRDefault="001776E0" w:rsidP="00C20F6C">
      <w:pPr>
        <w:suppressLineNumbers/>
        <w:suppressAutoHyphens/>
        <w:spacing w:before="120" w:after="120"/>
        <w:ind w:left="284" w:firstLine="437"/>
        <w:rPr>
          <w:kern w:val="22"/>
          <w:szCs w:val="22"/>
        </w:rPr>
      </w:pPr>
      <w:r w:rsidRPr="00C20F6C">
        <w:rPr>
          <w:kern w:val="22"/>
          <w:szCs w:val="22"/>
        </w:rPr>
        <w:t>(d)</w:t>
      </w:r>
      <w:r w:rsidR="00AA31FD" w:rsidRPr="00C20F6C">
        <w:rPr>
          <w:kern w:val="22"/>
          <w:szCs w:val="22"/>
        </w:rPr>
        <w:tab/>
      </w:r>
      <w:r w:rsidRPr="00C20F6C">
        <w:rPr>
          <w:kern w:val="22"/>
          <w:szCs w:val="22"/>
        </w:rPr>
        <w:t>Contribution to sustainable development, as reflected in internationally agreed goals;</w:t>
      </w:r>
    </w:p>
    <w:p w14:paraId="03AD3A2C" w14:textId="7721A421" w:rsidR="001776E0" w:rsidRPr="00C20F6C" w:rsidRDefault="001776E0" w:rsidP="00C20F6C">
      <w:pPr>
        <w:suppressLineNumbers/>
        <w:suppressAutoHyphens/>
        <w:spacing w:before="120" w:after="120"/>
        <w:ind w:left="284" w:firstLine="437"/>
        <w:rPr>
          <w:kern w:val="22"/>
          <w:szCs w:val="22"/>
        </w:rPr>
      </w:pPr>
      <w:r w:rsidRPr="00C20F6C">
        <w:rPr>
          <w:kern w:val="22"/>
          <w:szCs w:val="22"/>
        </w:rPr>
        <w:t>(e)</w:t>
      </w:r>
      <w:r w:rsidR="00AA31FD" w:rsidRPr="00C20F6C">
        <w:rPr>
          <w:kern w:val="22"/>
          <w:szCs w:val="22"/>
        </w:rPr>
        <w:tab/>
      </w:r>
      <w:r w:rsidRPr="00C20F6C">
        <w:rPr>
          <w:kern w:val="22"/>
          <w:szCs w:val="22"/>
        </w:rPr>
        <w:t>Other general principles of law,</w:t>
      </w:r>
      <w:r w:rsidR="00A34CD3" w:rsidRPr="00C20F6C">
        <w:rPr>
          <w:kern w:val="22"/>
          <w:szCs w:val="22"/>
        </w:rPr>
        <w:t xml:space="preserve"> </w:t>
      </w:r>
      <w:r w:rsidRPr="00C20F6C">
        <w:rPr>
          <w:kern w:val="22"/>
          <w:szCs w:val="22"/>
        </w:rPr>
        <w:t>including good faith, effectiveness and legitimate expectations.</w:t>
      </w:r>
    </w:p>
    <w:bookmarkEnd w:id="6"/>
    <w:p w14:paraId="011520B1" w14:textId="2804DD42" w:rsidR="00B61636" w:rsidRPr="00C20F6C" w:rsidRDefault="001776E0" w:rsidP="00C20F6C">
      <w:pPr>
        <w:pStyle w:val="Para1"/>
        <w:numPr>
          <w:ilvl w:val="0"/>
          <w:numId w:val="7"/>
        </w:numPr>
        <w:suppressLineNumbers/>
        <w:tabs>
          <w:tab w:val="num" w:pos="709"/>
        </w:tabs>
        <w:suppressAutoHyphens/>
        <w:ind w:left="0" w:firstLine="0"/>
        <w:rPr>
          <w:kern w:val="22"/>
          <w:szCs w:val="22"/>
        </w:rPr>
      </w:pPr>
      <w:r w:rsidRPr="00C20F6C">
        <w:rPr>
          <w:kern w:val="22"/>
          <w:szCs w:val="22"/>
        </w:rPr>
        <w:t xml:space="preserve">The full study provides further information on how these criteria may be understood and applied. </w:t>
      </w:r>
      <w:r w:rsidR="00F6501C" w:rsidRPr="00C20F6C">
        <w:rPr>
          <w:kern w:val="22"/>
          <w:szCs w:val="22"/>
        </w:rPr>
        <w:t xml:space="preserve">It also identifies </w:t>
      </w:r>
      <w:r w:rsidR="00C94DDB" w:rsidRPr="00C20F6C">
        <w:rPr>
          <w:kern w:val="22"/>
          <w:szCs w:val="22"/>
        </w:rPr>
        <w:t xml:space="preserve">the following </w:t>
      </w:r>
      <w:r w:rsidR="00F6501C" w:rsidRPr="00C20F6C">
        <w:rPr>
          <w:kern w:val="22"/>
          <w:szCs w:val="22"/>
        </w:rPr>
        <w:t xml:space="preserve">scenarios for the recognition of </w:t>
      </w:r>
      <w:r w:rsidRPr="00C20F6C">
        <w:rPr>
          <w:kern w:val="22"/>
          <w:szCs w:val="22"/>
        </w:rPr>
        <w:t>specialized ABS instruments</w:t>
      </w:r>
      <w:r w:rsidR="00F6501C" w:rsidRPr="00C20F6C">
        <w:rPr>
          <w:kern w:val="22"/>
          <w:szCs w:val="22"/>
        </w:rPr>
        <w:t xml:space="preserve">: </w:t>
      </w:r>
      <w:r w:rsidR="001A5AD4" w:rsidRPr="00C20F6C">
        <w:rPr>
          <w:kern w:val="22"/>
          <w:szCs w:val="22"/>
        </w:rPr>
        <w:t>(</w:t>
      </w:r>
      <w:r w:rsidR="00C94DDB" w:rsidRPr="00C20F6C">
        <w:rPr>
          <w:kern w:val="22"/>
          <w:szCs w:val="22"/>
        </w:rPr>
        <w:t>a</w:t>
      </w:r>
      <w:r w:rsidR="001A5AD4" w:rsidRPr="00C20F6C">
        <w:rPr>
          <w:kern w:val="22"/>
          <w:szCs w:val="22"/>
        </w:rPr>
        <w:t xml:space="preserve">) </w:t>
      </w:r>
      <w:r w:rsidR="00C546B2" w:rsidRPr="00C20F6C">
        <w:rPr>
          <w:kern w:val="22"/>
          <w:szCs w:val="22"/>
        </w:rPr>
        <w:t>r</w:t>
      </w:r>
      <w:r w:rsidRPr="00C20F6C">
        <w:rPr>
          <w:kern w:val="22"/>
          <w:szCs w:val="22"/>
        </w:rPr>
        <w:t>ecognition by the Conference of the Parties serving as the meeting of the Parties to the Nagoya Protocol</w:t>
      </w:r>
      <w:r w:rsidR="00E04726" w:rsidRPr="00C20F6C">
        <w:rPr>
          <w:kern w:val="22"/>
          <w:szCs w:val="22"/>
        </w:rPr>
        <w:t xml:space="preserve">; </w:t>
      </w:r>
      <w:r w:rsidR="001A5AD4" w:rsidRPr="00C20F6C">
        <w:rPr>
          <w:kern w:val="22"/>
          <w:szCs w:val="22"/>
        </w:rPr>
        <w:t>(</w:t>
      </w:r>
      <w:r w:rsidR="00C94DDB" w:rsidRPr="00C20F6C">
        <w:rPr>
          <w:kern w:val="22"/>
          <w:szCs w:val="22"/>
        </w:rPr>
        <w:t>b</w:t>
      </w:r>
      <w:r w:rsidR="001A5AD4" w:rsidRPr="00C20F6C">
        <w:rPr>
          <w:kern w:val="22"/>
          <w:szCs w:val="22"/>
        </w:rPr>
        <w:t xml:space="preserve">) </w:t>
      </w:r>
      <w:r w:rsidR="00C546B2" w:rsidRPr="00C20F6C">
        <w:rPr>
          <w:kern w:val="22"/>
          <w:szCs w:val="22"/>
        </w:rPr>
        <w:t>r</w:t>
      </w:r>
      <w:r w:rsidRPr="00C20F6C">
        <w:rPr>
          <w:kern w:val="22"/>
          <w:szCs w:val="22"/>
        </w:rPr>
        <w:t>ecognition by another international forum</w:t>
      </w:r>
      <w:r w:rsidR="00E04726" w:rsidRPr="00C20F6C">
        <w:rPr>
          <w:kern w:val="22"/>
          <w:szCs w:val="22"/>
        </w:rPr>
        <w:t xml:space="preserve">; </w:t>
      </w:r>
      <w:r w:rsidR="00072859" w:rsidRPr="00C20F6C">
        <w:rPr>
          <w:kern w:val="22"/>
          <w:szCs w:val="22"/>
        </w:rPr>
        <w:t>or</w:t>
      </w:r>
      <w:r w:rsidR="00C94DDB" w:rsidRPr="00C20F6C">
        <w:rPr>
          <w:kern w:val="22"/>
          <w:szCs w:val="22"/>
        </w:rPr>
        <w:t xml:space="preserve"> </w:t>
      </w:r>
      <w:r w:rsidR="001A5AD4" w:rsidRPr="00C20F6C">
        <w:rPr>
          <w:kern w:val="22"/>
          <w:szCs w:val="22"/>
        </w:rPr>
        <w:t>(</w:t>
      </w:r>
      <w:r w:rsidR="00C94DDB" w:rsidRPr="00C20F6C">
        <w:rPr>
          <w:kern w:val="22"/>
          <w:szCs w:val="22"/>
        </w:rPr>
        <w:t>c</w:t>
      </w:r>
      <w:r w:rsidR="001A5AD4" w:rsidRPr="00C20F6C">
        <w:rPr>
          <w:kern w:val="22"/>
          <w:szCs w:val="22"/>
        </w:rPr>
        <w:t xml:space="preserve">) </w:t>
      </w:r>
      <w:r w:rsidR="00C546B2" w:rsidRPr="00C20F6C">
        <w:rPr>
          <w:kern w:val="22"/>
          <w:szCs w:val="22"/>
        </w:rPr>
        <w:t>i</w:t>
      </w:r>
      <w:r w:rsidRPr="00C20F6C">
        <w:rPr>
          <w:kern w:val="22"/>
          <w:szCs w:val="22"/>
        </w:rPr>
        <w:t>nitiative of a Party</w:t>
      </w:r>
      <w:r w:rsidR="00E04726" w:rsidRPr="00C20F6C">
        <w:rPr>
          <w:kern w:val="22"/>
          <w:szCs w:val="22"/>
        </w:rPr>
        <w:t xml:space="preserve"> </w:t>
      </w:r>
      <w:r w:rsidRPr="00C20F6C">
        <w:rPr>
          <w:kern w:val="22"/>
          <w:szCs w:val="22"/>
        </w:rPr>
        <w:t>or group of Parties</w:t>
      </w:r>
      <w:r w:rsidR="00E04726" w:rsidRPr="00C20F6C">
        <w:rPr>
          <w:kern w:val="22"/>
          <w:szCs w:val="22"/>
        </w:rPr>
        <w:t xml:space="preserve"> </w:t>
      </w:r>
      <w:r w:rsidRPr="00C20F6C">
        <w:rPr>
          <w:kern w:val="22"/>
          <w:szCs w:val="22"/>
        </w:rPr>
        <w:t>to the Nagoya Protocol.</w:t>
      </w:r>
    </w:p>
    <w:p w14:paraId="281DF82C" w14:textId="33896A5F" w:rsidR="001776E0" w:rsidRPr="00C20F6C" w:rsidRDefault="00F02132" w:rsidP="00C20F6C">
      <w:pPr>
        <w:pStyle w:val="Heading1longmultiline"/>
        <w:numPr>
          <w:ilvl w:val="0"/>
          <w:numId w:val="24"/>
        </w:numPr>
        <w:suppressLineNumbers/>
        <w:tabs>
          <w:tab w:val="clear" w:pos="720"/>
        </w:tabs>
        <w:suppressAutoHyphens/>
        <w:spacing w:before="120"/>
        <w:ind w:left="1134" w:hanging="567"/>
        <w:rPr>
          <w:rFonts w:ascii="Times New Roman Bold" w:hAnsi="Times New Roman Bold"/>
          <w:caps w:val="0"/>
          <w:kern w:val="22"/>
          <w:szCs w:val="22"/>
        </w:rPr>
      </w:pPr>
      <w:r w:rsidRPr="00C20F6C">
        <w:rPr>
          <w:rFonts w:ascii="Times New Roman Bold" w:hAnsi="Times New Roman Bold"/>
          <w:caps w:val="0"/>
          <w:kern w:val="22"/>
          <w:szCs w:val="22"/>
        </w:rPr>
        <w:t xml:space="preserve">INFORMATION ON HOW SPECIALIZED INTERNATIONAL ACCESS AND BENEFIT-SHARING INSTRUMENTS ARE ADDRESSED IN </w:t>
      </w:r>
      <w:r w:rsidR="00840924" w:rsidRPr="001B19B4">
        <w:rPr>
          <w:rFonts w:ascii="Times New Roman Bold" w:hAnsi="Times New Roman Bold"/>
          <w:caps w:val="0"/>
          <w:kern w:val="22"/>
          <w:szCs w:val="22"/>
        </w:rPr>
        <w:t xml:space="preserve">DOMESTIC MEASURES </w:t>
      </w:r>
      <w:r w:rsidR="00840924">
        <w:rPr>
          <w:rFonts w:ascii="Times New Roman Bold" w:hAnsi="Times New Roman Bold"/>
          <w:caps w:val="0"/>
          <w:kern w:val="22"/>
          <w:szCs w:val="22"/>
        </w:rPr>
        <w:t xml:space="preserve">OF </w:t>
      </w:r>
      <w:r w:rsidRPr="00C20F6C">
        <w:rPr>
          <w:rFonts w:ascii="Times New Roman Bold" w:hAnsi="Times New Roman Bold"/>
          <w:caps w:val="0"/>
          <w:kern w:val="22"/>
          <w:szCs w:val="22"/>
        </w:rPr>
        <w:t xml:space="preserve">PARTIES AND </w:t>
      </w:r>
      <w:r w:rsidR="00892F74" w:rsidRPr="00C20F6C">
        <w:rPr>
          <w:rFonts w:ascii="Times New Roman Bold" w:hAnsi="Times New Roman Bold"/>
          <w:caps w:val="0"/>
          <w:kern w:val="22"/>
          <w:szCs w:val="22"/>
        </w:rPr>
        <w:t xml:space="preserve">OTHER </w:t>
      </w:r>
      <w:r w:rsidRPr="00C20F6C">
        <w:rPr>
          <w:rFonts w:ascii="Times New Roman Bold" w:hAnsi="Times New Roman Bold"/>
          <w:caps w:val="0"/>
          <w:kern w:val="22"/>
          <w:szCs w:val="22"/>
        </w:rPr>
        <w:t>GOVERNMENT</w:t>
      </w:r>
      <w:r w:rsidR="00B5749F">
        <w:rPr>
          <w:rFonts w:ascii="Times New Roman Bold" w:hAnsi="Times New Roman Bold"/>
          <w:caps w:val="0"/>
          <w:kern w:val="22"/>
          <w:szCs w:val="22"/>
        </w:rPr>
        <w:t>S</w:t>
      </w:r>
    </w:p>
    <w:p w14:paraId="7AED1D78" w14:textId="7A331CAA" w:rsidR="001776E0" w:rsidRPr="00246BDA" w:rsidRDefault="00A45D45" w:rsidP="00C20F6C">
      <w:pPr>
        <w:pStyle w:val="Para1"/>
        <w:numPr>
          <w:ilvl w:val="0"/>
          <w:numId w:val="7"/>
        </w:numPr>
        <w:suppressLineNumbers/>
        <w:tabs>
          <w:tab w:val="num" w:pos="709"/>
        </w:tabs>
        <w:suppressAutoHyphens/>
        <w:ind w:left="0" w:firstLine="0"/>
        <w:rPr>
          <w:kern w:val="22"/>
          <w:szCs w:val="22"/>
        </w:rPr>
      </w:pPr>
      <w:r w:rsidRPr="00961A9F">
        <w:rPr>
          <w:kern w:val="22"/>
          <w:szCs w:val="22"/>
        </w:rPr>
        <w:t xml:space="preserve">This section summarizes the information provided </w:t>
      </w:r>
      <w:r w:rsidR="00892F74" w:rsidRPr="00961A9F">
        <w:rPr>
          <w:kern w:val="22"/>
          <w:szCs w:val="22"/>
        </w:rPr>
        <w:t>by Parties and other Governments and organi</w:t>
      </w:r>
      <w:r w:rsidR="00432C86" w:rsidRPr="009F665A">
        <w:rPr>
          <w:kern w:val="22"/>
          <w:szCs w:val="22"/>
        </w:rPr>
        <w:t>z</w:t>
      </w:r>
      <w:r w:rsidR="00892F74" w:rsidRPr="003F5590">
        <w:rPr>
          <w:kern w:val="22"/>
          <w:szCs w:val="22"/>
        </w:rPr>
        <w:t xml:space="preserve">ations </w:t>
      </w:r>
      <w:r w:rsidRPr="00246BDA">
        <w:rPr>
          <w:kern w:val="22"/>
          <w:szCs w:val="22"/>
        </w:rPr>
        <w:t>in response</w:t>
      </w:r>
      <w:r w:rsidR="00892F74" w:rsidRPr="00246BDA">
        <w:rPr>
          <w:kern w:val="22"/>
          <w:szCs w:val="22"/>
        </w:rPr>
        <w:t xml:space="preserve"> to the </w:t>
      </w:r>
      <w:r w:rsidR="00072859" w:rsidRPr="00C20F6C">
        <w:rPr>
          <w:kern w:val="22"/>
          <w:szCs w:val="22"/>
        </w:rPr>
        <w:t xml:space="preserve">invitation in decision </w:t>
      </w:r>
      <w:r w:rsidR="00DB74EB" w:rsidRPr="00C20F6C">
        <w:rPr>
          <w:kern w:val="22"/>
          <w:szCs w:val="22"/>
        </w:rPr>
        <w:t>NP-</w:t>
      </w:r>
      <w:r w:rsidR="00072859" w:rsidRPr="00C20F6C">
        <w:rPr>
          <w:kern w:val="22"/>
          <w:szCs w:val="22"/>
        </w:rPr>
        <w:t>3/14, paragraph 2</w:t>
      </w:r>
      <w:r w:rsidR="00DA2975">
        <w:rPr>
          <w:kern w:val="22"/>
          <w:szCs w:val="22"/>
        </w:rPr>
        <w:t> </w:t>
      </w:r>
      <w:r w:rsidR="00072859" w:rsidRPr="00961A9F">
        <w:rPr>
          <w:kern w:val="22"/>
          <w:szCs w:val="22"/>
        </w:rPr>
        <w:t>(a)</w:t>
      </w:r>
      <w:r w:rsidRPr="009F665A">
        <w:rPr>
          <w:kern w:val="22"/>
          <w:szCs w:val="22"/>
        </w:rPr>
        <w:t>.</w:t>
      </w:r>
    </w:p>
    <w:p w14:paraId="5E210284" w14:textId="2CDDFEDA" w:rsidR="00750395" w:rsidRPr="00C20F6C" w:rsidRDefault="00750395" w:rsidP="00C20F6C">
      <w:pPr>
        <w:pStyle w:val="Para1"/>
        <w:numPr>
          <w:ilvl w:val="0"/>
          <w:numId w:val="7"/>
        </w:numPr>
        <w:suppressLineNumbers/>
        <w:tabs>
          <w:tab w:val="num" w:pos="709"/>
        </w:tabs>
        <w:suppressAutoHyphens/>
        <w:ind w:left="0" w:firstLine="0"/>
        <w:rPr>
          <w:kern w:val="22"/>
          <w:szCs w:val="22"/>
        </w:rPr>
      </w:pPr>
      <w:r w:rsidRPr="00C20F6C">
        <w:rPr>
          <w:kern w:val="22"/>
          <w:szCs w:val="22"/>
        </w:rPr>
        <w:t xml:space="preserve">The </w:t>
      </w:r>
      <w:r w:rsidRPr="00C20F6C">
        <w:rPr>
          <w:i/>
          <w:kern w:val="22"/>
          <w:szCs w:val="22"/>
        </w:rPr>
        <w:t xml:space="preserve">European Union and its </w:t>
      </w:r>
      <w:r w:rsidR="000B774C" w:rsidRPr="00C20F6C">
        <w:rPr>
          <w:i/>
          <w:kern w:val="22"/>
          <w:szCs w:val="22"/>
        </w:rPr>
        <w:t>m</w:t>
      </w:r>
      <w:r w:rsidRPr="00C20F6C">
        <w:rPr>
          <w:i/>
          <w:kern w:val="22"/>
          <w:szCs w:val="22"/>
        </w:rPr>
        <w:t>ember States</w:t>
      </w:r>
      <w:r w:rsidRPr="00C20F6C">
        <w:rPr>
          <w:kern w:val="22"/>
          <w:szCs w:val="22"/>
        </w:rPr>
        <w:t xml:space="preserve"> referred to Regulation (EU) No 511/2014 on compliance measures for users </w:t>
      </w:r>
      <w:r w:rsidR="001E7543">
        <w:rPr>
          <w:kern w:val="22"/>
          <w:szCs w:val="22"/>
        </w:rPr>
        <w:t>of</w:t>
      </w:r>
      <w:r w:rsidR="001E7543" w:rsidRPr="00961A9F">
        <w:rPr>
          <w:kern w:val="22"/>
          <w:szCs w:val="22"/>
        </w:rPr>
        <w:t xml:space="preserve"> </w:t>
      </w:r>
      <w:r w:rsidRPr="00961A9F">
        <w:rPr>
          <w:kern w:val="22"/>
          <w:szCs w:val="22"/>
        </w:rPr>
        <w:t>the Nagoya Protocol on Access to Genetic Resources and the Fair and Equitable Sharing of Benefits Arising from their Utili</w:t>
      </w:r>
      <w:r w:rsidR="00432C86" w:rsidRPr="009F665A">
        <w:rPr>
          <w:kern w:val="22"/>
          <w:szCs w:val="22"/>
        </w:rPr>
        <w:t>z</w:t>
      </w:r>
      <w:r w:rsidRPr="003F5590">
        <w:rPr>
          <w:kern w:val="22"/>
          <w:szCs w:val="22"/>
        </w:rPr>
        <w:t>ation in the Union. This Regulation recogni</w:t>
      </w:r>
      <w:r w:rsidR="00432C86" w:rsidRPr="00246BDA">
        <w:rPr>
          <w:kern w:val="22"/>
          <w:szCs w:val="22"/>
        </w:rPr>
        <w:t>z</w:t>
      </w:r>
      <w:r w:rsidRPr="00246BDA">
        <w:rPr>
          <w:kern w:val="22"/>
          <w:szCs w:val="22"/>
        </w:rPr>
        <w:t>es two speciali</w:t>
      </w:r>
      <w:r w:rsidR="00432C86" w:rsidRPr="00C20F6C">
        <w:rPr>
          <w:kern w:val="22"/>
          <w:szCs w:val="22"/>
        </w:rPr>
        <w:t>z</w:t>
      </w:r>
      <w:r w:rsidRPr="00C20F6C">
        <w:rPr>
          <w:kern w:val="22"/>
          <w:szCs w:val="22"/>
        </w:rPr>
        <w:t xml:space="preserve">ed international ABS instruments: (a) </w:t>
      </w:r>
      <w:r w:rsidR="009B474C" w:rsidRPr="00C20F6C">
        <w:rPr>
          <w:kern w:val="22"/>
          <w:szCs w:val="22"/>
        </w:rPr>
        <w:t>t</w:t>
      </w:r>
      <w:r w:rsidRPr="00C20F6C">
        <w:rPr>
          <w:kern w:val="22"/>
          <w:szCs w:val="22"/>
        </w:rPr>
        <w:t>he International Treaty on Plant Genetic Resources for Food and Agriculture (</w:t>
      </w:r>
      <w:r w:rsidR="00F55E7F" w:rsidRPr="00C20F6C">
        <w:rPr>
          <w:kern w:val="22"/>
          <w:szCs w:val="22"/>
        </w:rPr>
        <w:t>International Treaty</w:t>
      </w:r>
      <w:r w:rsidRPr="00C20F6C">
        <w:rPr>
          <w:kern w:val="22"/>
          <w:szCs w:val="22"/>
        </w:rPr>
        <w:t>) (Preamble 12);</w:t>
      </w:r>
      <w:r w:rsidR="00432C86" w:rsidRPr="00C20F6C">
        <w:rPr>
          <w:kern w:val="22"/>
          <w:szCs w:val="22"/>
        </w:rPr>
        <w:t xml:space="preserve"> and </w:t>
      </w:r>
      <w:r w:rsidRPr="00C20F6C">
        <w:rPr>
          <w:kern w:val="22"/>
          <w:szCs w:val="22"/>
        </w:rPr>
        <w:t xml:space="preserve">(b) </w:t>
      </w:r>
      <w:r w:rsidR="009B474C" w:rsidRPr="00C20F6C">
        <w:rPr>
          <w:kern w:val="22"/>
          <w:szCs w:val="22"/>
        </w:rPr>
        <w:t>t</w:t>
      </w:r>
      <w:r w:rsidRPr="00C20F6C">
        <w:rPr>
          <w:kern w:val="22"/>
          <w:szCs w:val="22"/>
        </w:rPr>
        <w:t xml:space="preserve">he Pandemic Influenza Preparedness </w:t>
      </w:r>
      <w:r w:rsidRPr="00C20F6C">
        <w:rPr>
          <w:kern w:val="22"/>
          <w:szCs w:val="22"/>
        </w:rPr>
        <w:lastRenderedPageBreak/>
        <w:t>Framework for the sharing of influenza viruses and access to vaccines and other benefits (the PIP Framework) (Preamble 16).</w:t>
      </w:r>
    </w:p>
    <w:p w14:paraId="144FB85E" w14:textId="5B86B24F" w:rsidR="006F1B27" w:rsidRPr="00C20F6C" w:rsidRDefault="00750395" w:rsidP="00C20F6C">
      <w:pPr>
        <w:pStyle w:val="Para1"/>
        <w:numPr>
          <w:ilvl w:val="0"/>
          <w:numId w:val="7"/>
        </w:numPr>
        <w:suppressLineNumbers/>
        <w:tabs>
          <w:tab w:val="num" w:pos="709"/>
        </w:tabs>
        <w:suppressAutoHyphens/>
        <w:ind w:left="0" w:firstLine="0"/>
        <w:rPr>
          <w:kern w:val="22"/>
          <w:szCs w:val="22"/>
        </w:rPr>
      </w:pPr>
      <w:r w:rsidRPr="00C20F6C">
        <w:rPr>
          <w:kern w:val="22"/>
          <w:szCs w:val="22"/>
        </w:rPr>
        <w:t>Article 2(2) of the Regulation</w:t>
      </w:r>
      <w:r w:rsidR="006F1B27" w:rsidRPr="00C20F6C">
        <w:rPr>
          <w:kern w:val="22"/>
          <w:szCs w:val="22"/>
        </w:rPr>
        <w:t xml:space="preserve"> provides that the Regulation does not apply to genetic resources covered by speciali</w:t>
      </w:r>
      <w:r w:rsidR="00F55E7F" w:rsidRPr="00C20F6C">
        <w:rPr>
          <w:kern w:val="22"/>
          <w:szCs w:val="22"/>
        </w:rPr>
        <w:t>z</w:t>
      </w:r>
      <w:r w:rsidR="006F1B27" w:rsidRPr="00C20F6C">
        <w:rPr>
          <w:kern w:val="22"/>
          <w:szCs w:val="22"/>
        </w:rPr>
        <w:t xml:space="preserve">ed international ABS instruments that are consistent with, and do not run counter the objectives of the Convention and the Nagoya Protocol. Therefore, the Regulation does not apply to genetic resources falling under the </w:t>
      </w:r>
      <w:r w:rsidR="00F55E7F" w:rsidRPr="00C20F6C">
        <w:rPr>
          <w:kern w:val="22"/>
          <w:szCs w:val="22"/>
        </w:rPr>
        <w:t xml:space="preserve">International Treaty </w:t>
      </w:r>
      <w:r w:rsidR="006F1B27" w:rsidRPr="00C20F6C">
        <w:rPr>
          <w:kern w:val="22"/>
          <w:szCs w:val="22"/>
        </w:rPr>
        <w:t>and the PIP Framework, except when such resources are accessed in a country that is not a Party to those instruments but is a Party to the Nagoya Protocol with enacted access legislation applicable to these genetic resources. The Regulation also applies where genetic resources covered under those instruments are utili</w:t>
      </w:r>
      <w:r w:rsidR="00F55E7F" w:rsidRPr="00C20F6C">
        <w:rPr>
          <w:kern w:val="22"/>
          <w:szCs w:val="22"/>
        </w:rPr>
        <w:t>z</w:t>
      </w:r>
      <w:r w:rsidR="006F1B27" w:rsidRPr="00C20F6C">
        <w:rPr>
          <w:kern w:val="22"/>
          <w:szCs w:val="22"/>
        </w:rPr>
        <w:t>ed for purposes other than those of the speciali</w:t>
      </w:r>
      <w:r w:rsidR="00F55E7F" w:rsidRPr="00C20F6C">
        <w:rPr>
          <w:kern w:val="22"/>
          <w:szCs w:val="22"/>
        </w:rPr>
        <w:t>z</w:t>
      </w:r>
      <w:r w:rsidR="006F1B27" w:rsidRPr="00C20F6C">
        <w:rPr>
          <w:kern w:val="22"/>
          <w:szCs w:val="22"/>
        </w:rPr>
        <w:t xml:space="preserve">ed instrument in question (i.e. if an agricultural resource covered by the </w:t>
      </w:r>
      <w:r w:rsidR="00F55E7F" w:rsidRPr="00C20F6C">
        <w:rPr>
          <w:kern w:val="22"/>
          <w:szCs w:val="22"/>
        </w:rPr>
        <w:t xml:space="preserve">International Treaty </w:t>
      </w:r>
      <w:r w:rsidR="006F1B27" w:rsidRPr="00C20F6C">
        <w:rPr>
          <w:kern w:val="22"/>
          <w:szCs w:val="22"/>
        </w:rPr>
        <w:t>is utilized for pharmaceutical purposes).</w:t>
      </w:r>
    </w:p>
    <w:p w14:paraId="26AEBD9B" w14:textId="475B1047" w:rsidR="008245E7" w:rsidRPr="00C20F6C" w:rsidRDefault="00DC7366" w:rsidP="00C20F6C">
      <w:pPr>
        <w:pStyle w:val="Para1"/>
        <w:numPr>
          <w:ilvl w:val="0"/>
          <w:numId w:val="7"/>
        </w:numPr>
        <w:suppressLineNumbers/>
        <w:tabs>
          <w:tab w:val="num" w:pos="709"/>
        </w:tabs>
        <w:suppressAutoHyphens/>
        <w:ind w:left="0" w:firstLine="0"/>
        <w:rPr>
          <w:kern w:val="22"/>
          <w:szCs w:val="22"/>
        </w:rPr>
      </w:pPr>
      <w:r w:rsidRPr="00C20F6C">
        <w:rPr>
          <w:i/>
          <w:kern w:val="22"/>
          <w:szCs w:val="22"/>
        </w:rPr>
        <w:t>Spain</w:t>
      </w:r>
      <w:r w:rsidRPr="00C20F6C">
        <w:rPr>
          <w:kern w:val="22"/>
          <w:szCs w:val="22"/>
        </w:rPr>
        <w:t xml:space="preserve"> </w:t>
      </w:r>
      <w:r w:rsidR="002B3ED6" w:rsidRPr="00C20F6C">
        <w:rPr>
          <w:kern w:val="22"/>
          <w:szCs w:val="22"/>
        </w:rPr>
        <w:t xml:space="preserve">described </w:t>
      </w:r>
      <w:r w:rsidR="00105155">
        <w:rPr>
          <w:kern w:val="22"/>
          <w:szCs w:val="22"/>
        </w:rPr>
        <w:t>its</w:t>
      </w:r>
      <w:r w:rsidR="002B3ED6" w:rsidRPr="00961A9F">
        <w:rPr>
          <w:kern w:val="22"/>
          <w:szCs w:val="22"/>
        </w:rPr>
        <w:t xml:space="preserve"> national legislation</w:t>
      </w:r>
      <w:r w:rsidRPr="009F665A">
        <w:rPr>
          <w:kern w:val="22"/>
          <w:szCs w:val="22"/>
        </w:rPr>
        <w:t xml:space="preserve"> </w:t>
      </w:r>
      <w:r w:rsidR="002B3ED6" w:rsidRPr="003F5590">
        <w:rPr>
          <w:kern w:val="22"/>
          <w:szCs w:val="22"/>
        </w:rPr>
        <w:t xml:space="preserve">regarding the </w:t>
      </w:r>
      <w:r w:rsidR="00F55E7F" w:rsidRPr="00246BDA">
        <w:rPr>
          <w:kern w:val="22"/>
          <w:szCs w:val="22"/>
        </w:rPr>
        <w:t>International Treaty</w:t>
      </w:r>
      <w:r w:rsidR="002B3ED6" w:rsidRPr="00C20F6C">
        <w:rPr>
          <w:kern w:val="22"/>
          <w:szCs w:val="22"/>
        </w:rPr>
        <w:t xml:space="preserve">. Spain indicated that access to genetic resources from wild taxa, </w:t>
      </w:r>
      <w:r w:rsidR="002B3ED6" w:rsidRPr="00C20F6C">
        <w:rPr>
          <w:i/>
          <w:kern w:val="22"/>
          <w:szCs w:val="22"/>
        </w:rPr>
        <w:t>in situ</w:t>
      </w:r>
      <w:r w:rsidR="002B3ED6" w:rsidRPr="00C20F6C">
        <w:rPr>
          <w:kern w:val="22"/>
          <w:szCs w:val="22"/>
        </w:rPr>
        <w:t xml:space="preserve"> and </w:t>
      </w:r>
      <w:r w:rsidR="002B3ED6" w:rsidRPr="00C20F6C">
        <w:rPr>
          <w:i/>
          <w:kern w:val="22"/>
          <w:szCs w:val="22"/>
        </w:rPr>
        <w:t>ex situ</w:t>
      </w:r>
      <w:r w:rsidR="002B3ED6" w:rsidRPr="00C20F6C">
        <w:rPr>
          <w:kern w:val="22"/>
          <w:szCs w:val="22"/>
        </w:rPr>
        <w:t xml:space="preserve">, for their utilization is regulated by its Bylaw 124/2017, which entered into force on 15 March 2017. Access to plant genetic resources for food and agriculture is regulated by its Law 30/2006 on seeds and plants from garden </w:t>
      </w:r>
      <w:r w:rsidR="006442C4" w:rsidRPr="00C20F6C">
        <w:rPr>
          <w:kern w:val="22"/>
          <w:szCs w:val="22"/>
        </w:rPr>
        <w:t>centres</w:t>
      </w:r>
      <w:r w:rsidR="002B3ED6" w:rsidRPr="00C20F6C">
        <w:rPr>
          <w:kern w:val="22"/>
          <w:szCs w:val="22"/>
        </w:rPr>
        <w:t xml:space="preserve"> and plant genetic resources. Spain indicated that </w:t>
      </w:r>
      <w:r w:rsidR="008245E7" w:rsidRPr="00C20F6C">
        <w:rPr>
          <w:kern w:val="22"/>
          <w:szCs w:val="22"/>
        </w:rPr>
        <w:t xml:space="preserve">it </w:t>
      </w:r>
      <w:r w:rsidR="001175FB">
        <w:rPr>
          <w:kern w:val="22"/>
          <w:szCs w:val="22"/>
        </w:rPr>
        <w:t>was</w:t>
      </w:r>
      <w:r w:rsidR="001175FB" w:rsidRPr="00961A9F">
        <w:rPr>
          <w:kern w:val="22"/>
          <w:szCs w:val="22"/>
        </w:rPr>
        <w:t xml:space="preserve"> </w:t>
      </w:r>
      <w:r w:rsidR="008245E7" w:rsidRPr="009F665A">
        <w:rPr>
          <w:kern w:val="22"/>
          <w:szCs w:val="22"/>
        </w:rPr>
        <w:t xml:space="preserve">in the last stages of development of </w:t>
      </w:r>
      <w:r w:rsidR="002B3ED6" w:rsidRPr="003F5590">
        <w:rPr>
          <w:kern w:val="22"/>
          <w:szCs w:val="22"/>
        </w:rPr>
        <w:t xml:space="preserve">a new legislation </w:t>
      </w:r>
      <w:r w:rsidR="008245E7" w:rsidRPr="00246BDA">
        <w:rPr>
          <w:kern w:val="22"/>
          <w:szCs w:val="22"/>
        </w:rPr>
        <w:t xml:space="preserve">to regulate access to plant genetic resources for food and agriculture, </w:t>
      </w:r>
      <w:proofErr w:type="gramStart"/>
      <w:r w:rsidR="008245E7" w:rsidRPr="00246BDA">
        <w:rPr>
          <w:kern w:val="22"/>
          <w:szCs w:val="22"/>
        </w:rPr>
        <w:t>taking into account</w:t>
      </w:r>
      <w:proofErr w:type="gramEnd"/>
      <w:r w:rsidR="008245E7" w:rsidRPr="00246BDA">
        <w:rPr>
          <w:kern w:val="22"/>
          <w:szCs w:val="22"/>
        </w:rPr>
        <w:t xml:space="preserve"> the provisions of both the </w:t>
      </w:r>
      <w:r w:rsidR="00945BDD" w:rsidRPr="00C20F6C">
        <w:rPr>
          <w:kern w:val="22"/>
          <w:szCs w:val="22"/>
        </w:rPr>
        <w:t xml:space="preserve">International Treaty </w:t>
      </w:r>
      <w:r w:rsidR="008245E7" w:rsidRPr="00C20F6C">
        <w:rPr>
          <w:kern w:val="22"/>
          <w:szCs w:val="22"/>
        </w:rPr>
        <w:t xml:space="preserve">and the Nagoya Protocol. This new legislation distinguishes between resources accessible through the Multilateral System of the </w:t>
      </w:r>
      <w:r w:rsidR="00F55E7F" w:rsidRPr="00C20F6C">
        <w:rPr>
          <w:kern w:val="22"/>
          <w:szCs w:val="22"/>
        </w:rPr>
        <w:t xml:space="preserve">International Treaty </w:t>
      </w:r>
      <w:r w:rsidR="008245E7" w:rsidRPr="00C20F6C">
        <w:rPr>
          <w:kern w:val="22"/>
          <w:szCs w:val="22"/>
        </w:rPr>
        <w:t xml:space="preserve">(included in Annex I </w:t>
      </w:r>
      <w:r w:rsidR="002A5219">
        <w:rPr>
          <w:kern w:val="22"/>
          <w:szCs w:val="22"/>
        </w:rPr>
        <w:t>to</w:t>
      </w:r>
      <w:r w:rsidR="002A5219" w:rsidRPr="00961A9F">
        <w:rPr>
          <w:kern w:val="22"/>
          <w:szCs w:val="22"/>
        </w:rPr>
        <w:t xml:space="preserve"> </w:t>
      </w:r>
      <w:r w:rsidR="008245E7" w:rsidRPr="009F665A">
        <w:rPr>
          <w:kern w:val="22"/>
          <w:szCs w:val="22"/>
        </w:rPr>
        <w:t>the legislation) and resources not included in the Multilateral System or whose access is carried out for a purpose different from those established by the Multilateral System, which would fall within the scope of the Nagoya Prot</w:t>
      </w:r>
      <w:r w:rsidR="008245E7" w:rsidRPr="003F5590">
        <w:rPr>
          <w:kern w:val="22"/>
          <w:szCs w:val="22"/>
        </w:rPr>
        <w:t xml:space="preserve">ocol as long as the access is carried out for its “utilization” as defined by the Protocol. Finally, resources covered neither by the </w:t>
      </w:r>
      <w:r w:rsidR="00945BDD" w:rsidRPr="00246BDA">
        <w:rPr>
          <w:kern w:val="22"/>
          <w:szCs w:val="22"/>
        </w:rPr>
        <w:t xml:space="preserve">International Treaty </w:t>
      </w:r>
      <w:r w:rsidR="008245E7" w:rsidRPr="00C20F6C">
        <w:rPr>
          <w:kern w:val="22"/>
          <w:szCs w:val="22"/>
        </w:rPr>
        <w:t>nor by the Nagoya Protocol, would remain under the scope of Law 30/2006.</w:t>
      </w:r>
    </w:p>
    <w:p w14:paraId="0905DD82" w14:textId="1FE45907" w:rsidR="008245E7" w:rsidRPr="00246BDA" w:rsidRDefault="008245E7" w:rsidP="00C20F6C">
      <w:pPr>
        <w:pStyle w:val="Para1"/>
        <w:numPr>
          <w:ilvl w:val="0"/>
          <w:numId w:val="7"/>
        </w:numPr>
        <w:suppressLineNumbers/>
        <w:tabs>
          <w:tab w:val="num" w:pos="709"/>
        </w:tabs>
        <w:suppressAutoHyphens/>
        <w:ind w:left="0" w:firstLine="0"/>
        <w:rPr>
          <w:kern w:val="22"/>
          <w:szCs w:val="22"/>
        </w:rPr>
      </w:pPr>
      <w:r w:rsidRPr="00C20F6C">
        <w:rPr>
          <w:i/>
          <w:kern w:val="22"/>
          <w:szCs w:val="22"/>
        </w:rPr>
        <w:t>Sweden</w:t>
      </w:r>
      <w:r w:rsidRPr="00C20F6C">
        <w:rPr>
          <w:kern w:val="22"/>
          <w:szCs w:val="22"/>
        </w:rPr>
        <w:t xml:space="preserve"> indicated that, pursuant to Swedish regulation (2011:474) on simplified access to plant genetic resources, a governmental authority holding such plant genetic resources </w:t>
      </w:r>
      <w:r w:rsidR="000F070C">
        <w:rPr>
          <w:kern w:val="22"/>
          <w:szCs w:val="22"/>
        </w:rPr>
        <w:t xml:space="preserve">as those </w:t>
      </w:r>
      <w:r w:rsidRPr="00961A9F">
        <w:rPr>
          <w:kern w:val="22"/>
          <w:szCs w:val="22"/>
        </w:rPr>
        <w:t xml:space="preserve">referred to in Annex I </w:t>
      </w:r>
      <w:r w:rsidR="00AB6391">
        <w:rPr>
          <w:kern w:val="22"/>
          <w:szCs w:val="22"/>
        </w:rPr>
        <w:t>to</w:t>
      </w:r>
      <w:r w:rsidR="00AB6391" w:rsidRPr="00961A9F">
        <w:rPr>
          <w:kern w:val="22"/>
          <w:szCs w:val="22"/>
        </w:rPr>
        <w:t xml:space="preserve"> </w:t>
      </w:r>
      <w:r w:rsidRPr="009F665A">
        <w:rPr>
          <w:kern w:val="22"/>
          <w:szCs w:val="22"/>
        </w:rPr>
        <w:t xml:space="preserve">the </w:t>
      </w:r>
      <w:r w:rsidR="00945BDD" w:rsidRPr="003F5590">
        <w:rPr>
          <w:kern w:val="22"/>
          <w:szCs w:val="22"/>
        </w:rPr>
        <w:t xml:space="preserve">International Treaty </w:t>
      </w:r>
      <w:r w:rsidRPr="00246BDA">
        <w:rPr>
          <w:kern w:val="22"/>
          <w:szCs w:val="22"/>
        </w:rPr>
        <w:t xml:space="preserve">may enter into </w:t>
      </w:r>
      <w:r w:rsidR="00AB6391">
        <w:rPr>
          <w:kern w:val="22"/>
          <w:szCs w:val="22"/>
        </w:rPr>
        <w:t xml:space="preserve">an </w:t>
      </w:r>
      <w:r w:rsidRPr="00961A9F">
        <w:rPr>
          <w:kern w:val="22"/>
          <w:szCs w:val="22"/>
        </w:rPr>
        <w:t>agreement with a natural or legal person on simplifie</w:t>
      </w:r>
      <w:r w:rsidRPr="009F665A">
        <w:rPr>
          <w:kern w:val="22"/>
          <w:szCs w:val="22"/>
        </w:rPr>
        <w:t>d access to the resources in accordance with Article 12 (4) of the Treaty.</w:t>
      </w:r>
    </w:p>
    <w:p w14:paraId="45DC9E0D" w14:textId="01CD2402" w:rsidR="006F1B27" w:rsidRPr="00246BDA" w:rsidRDefault="001512CB" w:rsidP="00C20F6C">
      <w:pPr>
        <w:pStyle w:val="Para1"/>
        <w:numPr>
          <w:ilvl w:val="0"/>
          <w:numId w:val="7"/>
        </w:numPr>
        <w:suppressLineNumbers/>
        <w:tabs>
          <w:tab w:val="num" w:pos="709"/>
        </w:tabs>
        <w:suppressAutoHyphens/>
        <w:ind w:left="0" w:firstLine="0"/>
        <w:rPr>
          <w:kern w:val="22"/>
          <w:szCs w:val="22"/>
        </w:rPr>
      </w:pPr>
      <w:r w:rsidRPr="00C20F6C">
        <w:rPr>
          <w:i/>
          <w:kern w:val="22"/>
          <w:szCs w:val="22"/>
        </w:rPr>
        <w:t>Japan</w:t>
      </w:r>
      <w:r w:rsidRPr="00C20F6C">
        <w:rPr>
          <w:kern w:val="22"/>
          <w:szCs w:val="22"/>
        </w:rPr>
        <w:t xml:space="preserve"> </w:t>
      </w:r>
      <w:r w:rsidR="004F7685" w:rsidRPr="00C20F6C">
        <w:rPr>
          <w:kern w:val="22"/>
          <w:szCs w:val="22"/>
        </w:rPr>
        <w:t xml:space="preserve">noted that the </w:t>
      </w:r>
      <w:r w:rsidR="00945BDD" w:rsidRPr="00C20F6C">
        <w:rPr>
          <w:kern w:val="22"/>
          <w:szCs w:val="22"/>
        </w:rPr>
        <w:t xml:space="preserve">International Treaty </w:t>
      </w:r>
      <w:r w:rsidR="004F7685" w:rsidRPr="00C20F6C">
        <w:rPr>
          <w:kern w:val="22"/>
          <w:szCs w:val="22"/>
        </w:rPr>
        <w:t>and the PIP Framework are regarded as speciali</w:t>
      </w:r>
      <w:r w:rsidR="00267575" w:rsidRPr="00C20F6C">
        <w:rPr>
          <w:kern w:val="22"/>
          <w:szCs w:val="22"/>
        </w:rPr>
        <w:t>z</w:t>
      </w:r>
      <w:r w:rsidR="004F7685" w:rsidRPr="00C20F6C">
        <w:rPr>
          <w:kern w:val="22"/>
          <w:szCs w:val="22"/>
        </w:rPr>
        <w:t xml:space="preserve">ed international ABS instruments. Consequently, the Nagoya Protocol is not applied for the implementation of the Framework or the utilization of plant genetic resources of crop species listed on Annex I of the </w:t>
      </w:r>
      <w:r w:rsidR="00945BDD" w:rsidRPr="00C20F6C">
        <w:rPr>
          <w:kern w:val="22"/>
          <w:szCs w:val="22"/>
        </w:rPr>
        <w:t xml:space="preserve">International Treaty </w:t>
      </w:r>
      <w:r w:rsidR="004F7685" w:rsidRPr="00C20F6C">
        <w:rPr>
          <w:kern w:val="22"/>
          <w:szCs w:val="22"/>
        </w:rPr>
        <w:t xml:space="preserve">and similar species, as long as this utilization is consistent with, and does not run counter to the objectives of the </w:t>
      </w:r>
      <w:r w:rsidR="00B143F6" w:rsidRPr="00C20F6C">
        <w:rPr>
          <w:kern w:val="22"/>
          <w:szCs w:val="22"/>
        </w:rPr>
        <w:t xml:space="preserve">Convention on Biological Diversity </w:t>
      </w:r>
      <w:r w:rsidR="004F7685" w:rsidRPr="00C20F6C">
        <w:rPr>
          <w:kern w:val="22"/>
          <w:szCs w:val="22"/>
        </w:rPr>
        <w:t>and the Nagoya Protocol. Japan further noted that the 72</w:t>
      </w:r>
      <w:r w:rsidR="00564779" w:rsidRPr="00C20F6C">
        <w:rPr>
          <w:kern w:val="22"/>
          <w:szCs w:val="22"/>
        </w:rPr>
        <w:t>nd</w:t>
      </w:r>
      <w:r w:rsidR="004F7685" w:rsidRPr="00C20F6C">
        <w:rPr>
          <w:kern w:val="22"/>
          <w:szCs w:val="22"/>
        </w:rPr>
        <w:t xml:space="preserve"> World Health Assembly</w:t>
      </w:r>
      <w:r w:rsidR="00EF074D">
        <w:rPr>
          <w:kern w:val="22"/>
          <w:szCs w:val="22"/>
        </w:rPr>
        <w:t>,</w:t>
      </w:r>
      <w:r w:rsidR="004F7685" w:rsidRPr="00961A9F">
        <w:rPr>
          <w:kern w:val="22"/>
          <w:szCs w:val="22"/>
        </w:rPr>
        <w:t xml:space="preserve"> held in May 2019</w:t>
      </w:r>
      <w:r w:rsidR="00EF074D">
        <w:rPr>
          <w:kern w:val="22"/>
          <w:szCs w:val="22"/>
        </w:rPr>
        <w:t>,</w:t>
      </w:r>
      <w:r w:rsidR="004F7685" w:rsidRPr="00961A9F">
        <w:rPr>
          <w:kern w:val="22"/>
          <w:szCs w:val="22"/>
        </w:rPr>
        <w:t xml:space="preserve"> adopted resolution WHA72(13</w:t>
      </w:r>
      <w:r w:rsidR="004F7685" w:rsidRPr="009F665A">
        <w:rPr>
          <w:kern w:val="22"/>
          <w:szCs w:val="22"/>
        </w:rPr>
        <w:t>) on “</w:t>
      </w:r>
      <w:r w:rsidR="0066644E">
        <w:rPr>
          <w:kern w:val="22"/>
          <w:szCs w:val="22"/>
        </w:rPr>
        <w:t>t</w:t>
      </w:r>
      <w:r w:rsidR="004F7685" w:rsidRPr="009F665A">
        <w:rPr>
          <w:kern w:val="22"/>
          <w:szCs w:val="22"/>
        </w:rPr>
        <w:t>he public health implication of implementation of the Nagoya Protocol”, which should be taken into account as the impact of the Protocol on public health is significant.</w:t>
      </w:r>
    </w:p>
    <w:p w14:paraId="1D1AB82E" w14:textId="35EB128E" w:rsidR="00DD555F" w:rsidRPr="00C20F6C" w:rsidRDefault="004F7685" w:rsidP="00C20F6C">
      <w:pPr>
        <w:pStyle w:val="Para1"/>
        <w:numPr>
          <w:ilvl w:val="0"/>
          <w:numId w:val="7"/>
        </w:numPr>
        <w:suppressLineNumbers/>
        <w:tabs>
          <w:tab w:val="num" w:pos="709"/>
        </w:tabs>
        <w:suppressAutoHyphens/>
        <w:ind w:left="0" w:firstLine="0"/>
        <w:rPr>
          <w:kern w:val="22"/>
          <w:szCs w:val="22"/>
        </w:rPr>
      </w:pPr>
      <w:r w:rsidRPr="00C20F6C">
        <w:rPr>
          <w:i/>
          <w:kern w:val="22"/>
          <w:szCs w:val="22"/>
        </w:rPr>
        <w:t>Norway</w:t>
      </w:r>
      <w:r w:rsidRPr="00C20F6C">
        <w:rPr>
          <w:kern w:val="22"/>
          <w:szCs w:val="22"/>
        </w:rPr>
        <w:t xml:space="preserve"> </w:t>
      </w:r>
      <w:r w:rsidR="009B12E2" w:rsidRPr="00C20F6C">
        <w:rPr>
          <w:kern w:val="22"/>
          <w:szCs w:val="22"/>
        </w:rPr>
        <w:t xml:space="preserve">referred to the Nature Diversity Act, section 58, </w:t>
      </w:r>
      <w:r w:rsidR="00DD555F" w:rsidRPr="00C20F6C">
        <w:rPr>
          <w:kern w:val="22"/>
          <w:szCs w:val="22"/>
        </w:rPr>
        <w:t xml:space="preserve">under </w:t>
      </w:r>
      <w:r w:rsidR="009B12E2" w:rsidRPr="00C20F6C">
        <w:rPr>
          <w:kern w:val="22"/>
          <w:szCs w:val="22"/>
        </w:rPr>
        <w:t xml:space="preserve">which </w:t>
      </w:r>
      <w:r w:rsidR="00DD555F" w:rsidRPr="00C20F6C">
        <w:rPr>
          <w:kern w:val="22"/>
          <w:szCs w:val="22"/>
        </w:rPr>
        <w:t xml:space="preserve">the King has the authority to determine that the collection of genetic material collected from the natural environment requires a permit from the Ministry. Removal from public collections and collection for use and further breeding and cultivation in agriculture and forestry are excepted from the requirement to hold a permit. Norway indicated that the implementation of the </w:t>
      </w:r>
      <w:r w:rsidR="00945BDD" w:rsidRPr="00C20F6C">
        <w:rPr>
          <w:kern w:val="22"/>
          <w:szCs w:val="22"/>
        </w:rPr>
        <w:t xml:space="preserve">International Treaty </w:t>
      </w:r>
      <w:r w:rsidR="00DD555F" w:rsidRPr="00C20F6C">
        <w:rPr>
          <w:kern w:val="22"/>
          <w:szCs w:val="22"/>
        </w:rPr>
        <w:t>is supported by several specific regulations and policies, including Section</w:t>
      </w:r>
      <w:r w:rsidR="00247C3A" w:rsidRPr="00C20F6C">
        <w:rPr>
          <w:kern w:val="22"/>
          <w:szCs w:val="22"/>
        </w:rPr>
        <w:t>s</w:t>
      </w:r>
      <w:r w:rsidR="00DD555F" w:rsidRPr="00C20F6C">
        <w:rPr>
          <w:kern w:val="22"/>
          <w:szCs w:val="22"/>
        </w:rPr>
        <w:t xml:space="preserve"> 60 and 61 of the Nature Diversity Act. Norway indicates that there is close collaboration among the Nordic countries regarding the management of genetic resources</w:t>
      </w:r>
      <w:r w:rsidR="00E15370">
        <w:rPr>
          <w:kern w:val="22"/>
          <w:szCs w:val="22"/>
        </w:rPr>
        <w:t>,</w:t>
      </w:r>
      <w:r w:rsidR="00DD555F" w:rsidRPr="003F5590">
        <w:rPr>
          <w:kern w:val="22"/>
          <w:szCs w:val="22"/>
        </w:rPr>
        <w:t xml:space="preserve"> including a joint Nordic </w:t>
      </w:r>
      <w:proofErr w:type="spellStart"/>
      <w:r w:rsidR="00DD555F" w:rsidRPr="003F5590">
        <w:rPr>
          <w:kern w:val="22"/>
          <w:szCs w:val="22"/>
        </w:rPr>
        <w:t>genebank</w:t>
      </w:r>
      <w:proofErr w:type="spellEnd"/>
      <w:r w:rsidR="00D94D15" w:rsidRPr="00246BDA">
        <w:rPr>
          <w:kern w:val="22"/>
          <w:szCs w:val="22"/>
        </w:rPr>
        <w:t xml:space="preserve"> (</w:t>
      </w:r>
      <w:proofErr w:type="spellStart"/>
      <w:r w:rsidR="00D94D15" w:rsidRPr="00246BDA">
        <w:rPr>
          <w:kern w:val="22"/>
          <w:szCs w:val="22"/>
        </w:rPr>
        <w:t>NordGen</w:t>
      </w:r>
      <w:proofErr w:type="spellEnd"/>
      <w:r w:rsidR="00D94D15" w:rsidRPr="00246BDA">
        <w:rPr>
          <w:kern w:val="22"/>
          <w:szCs w:val="22"/>
        </w:rPr>
        <w:t>)</w:t>
      </w:r>
      <w:r w:rsidR="00DD555F" w:rsidRPr="00C20F6C">
        <w:rPr>
          <w:kern w:val="22"/>
          <w:szCs w:val="22"/>
        </w:rPr>
        <w:t>. The basic principles for the Nordic approach to access and benefit</w:t>
      </w:r>
      <w:r w:rsidR="00F40EC7" w:rsidRPr="00C20F6C">
        <w:rPr>
          <w:kern w:val="22"/>
          <w:szCs w:val="22"/>
        </w:rPr>
        <w:t>-</w:t>
      </w:r>
      <w:r w:rsidR="00DD555F" w:rsidRPr="00C20F6C">
        <w:rPr>
          <w:kern w:val="22"/>
          <w:szCs w:val="22"/>
        </w:rPr>
        <w:t>sharing are reflected in the Kalmar Declaration from 2003</w:t>
      </w:r>
      <w:r w:rsidR="00D94D15" w:rsidRPr="00C20F6C">
        <w:rPr>
          <w:kern w:val="22"/>
          <w:szCs w:val="22"/>
        </w:rPr>
        <w:t xml:space="preserve"> and the </w:t>
      </w:r>
      <w:proofErr w:type="spellStart"/>
      <w:r w:rsidR="00DD555F" w:rsidRPr="00C20F6C">
        <w:rPr>
          <w:kern w:val="22"/>
          <w:szCs w:val="22"/>
        </w:rPr>
        <w:t>NordGen</w:t>
      </w:r>
      <w:proofErr w:type="spellEnd"/>
      <w:r w:rsidR="00DD555F" w:rsidRPr="00C20F6C">
        <w:rPr>
          <w:kern w:val="22"/>
          <w:szCs w:val="22"/>
        </w:rPr>
        <w:t xml:space="preserve"> </w:t>
      </w:r>
      <w:r w:rsidR="00D94D15" w:rsidRPr="00C20F6C">
        <w:rPr>
          <w:kern w:val="22"/>
          <w:szCs w:val="22"/>
        </w:rPr>
        <w:t xml:space="preserve">genetic bank </w:t>
      </w:r>
      <w:r w:rsidR="00DD555F" w:rsidRPr="00C20F6C">
        <w:rPr>
          <w:kern w:val="22"/>
          <w:szCs w:val="22"/>
        </w:rPr>
        <w:t xml:space="preserve">uses the </w:t>
      </w:r>
      <w:r w:rsidR="00D94D15" w:rsidRPr="00C20F6C">
        <w:rPr>
          <w:kern w:val="22"/>
          <w:szCs w:val="22"/>
        </w:rPr>
        <w:t xml:space="preserve">Standard Material Transfer Agreement established under the </w:t>
      </w:r>
      <w:r w:rsidR="00945BDD" w:rsidRPr="00C20F6C">
        <w:rPr>
          <w:kern w:val="22"/>
          <w:szCs w:val="22"/>
        </w:rPr>
        <w:t xml:space="preserve">International Treaty </w:t>
      </w:r>
      <w:r w:rsidR="00DD555F" w:rsidRPr="00C20F6C">
        <w:rPr>
          <w:kern w:val="22"/>
          <w:szCs w:val="22"/>
        </w:rPr>
        <w:t xml:space="preserve">for all material </w:t>
      </w:r>
      <w:r w:rsidR="00D94D15" w:rsidRPr="00C20F6C">
        <w:rPr>
          <w:kern w:val="22"/>
          <w:szCs w:val="22"/>
        </w:rPr>
        <w:t xml:space="preserve">covered by this Treaty </w:t>
      </w:r>
      <w:r w:rsidR="00DD555F" w:rsidRPr="00C20F6C">
        <w:rPr>
          <w:kern w:val="22"/>
          <w:szCs w:val="22"/>
        </w:rPr>
        <w:t>and</w:t>
      </w:r>
      <w:r w:rsidR="00D94D15" w:rsidRPr="00C20F6C">
        <w:rPr>
          <w:kern w:val="22"/>
          <w:szCs w:val="22"/>
        </w:rPr>
        <w:t xml:space="preserve"> to</w:t>
      </w:r>
      <w:r w:rsidR="00DD555F" w:rsidRPr="00C20F6C">
        <w:rPr>
          <w:kern w:val="22"/>
          <w:szCs w:val="22"/>
        </w:rPr>
        <w:t xml:space="preserve"> facilitate access to other material and for other purposes applying similar conditions.</w:t>
      </w:r>
    </w:p>
    <w:p w14:paraId="631F02A2" w14:textId="1EBE41A5" w:rsidR="006531C0" w:rsidRPr="0040098E" w:rsidRDefault="00D94D15" w:rsidP="00C20F6C">
      <w:pPr>
        <w:pStyle w:val="Para1"/>
        <w:numPr>
          <w:ilvl w:val="0"/>
          <w:numId w:val="7"/>
        </w:numPr>
        <w:suppressLineNumbers/>
        <w:tabs>
          <w:tab w:val="num" w:pos="709"/>
        </w:tabs>
        <w:suppressAutoHyphens/>
        <w:ind w:left="0" w:firstLine="0"/>
        <w:rPr>
          <w:kern w:val="22"/>
          <w:szCs w:val="22"/>
        </w:rPr>
      </w:pPr>
      <w:r w:rsidRPr="0040098E">
        <w:rPr>
          <w:i/>
          <w:kern w:val="22"/>
          <w:szCs w:val="22"/>
        </w:rPr>
        <w:lastRenderedPageBreak/>
        <w:t>Switzerland</w:t>
      </w:r>
      <w:r w:rsidRPr="0040098E">
        <w:rPr>
          <w:kern w:val="22"/>
          <w:szCs w:val="22"/>
        </w:rPr>
        <w:t xml:space="preserve"> </w:t>
      </w:r>
      <w:r w:rsidR="0088653B" w:rsidRPr="0040098E">
        <w:rPr>
          <w:kern w:val="22"/>
          <w:szCs w:val="22"/>
        </w:rPr>
        <w:t xml:space="preserve">indicated that domestic measures oblige users to exercise due diligence when using genetic resources of other Parties to the Nagoya Protocol, provided that these resources were accessed after the entry into force of the Nagoya Protocol and that these Parties have access regulations in place. However, in line with </w:t>
      </w:r>
      <w:r w:rsidR="00564779" w:rsidRPr="0040098E">
        <w:rPr>
          <w:kern w:val="22"/>
          <w:szCs w:val="22"/>
        </w:rPr>
        <w:t>Article</w:t>
      </w:r>
      <w:r w:rsidR="00E445A5" w:rsidRPr="0040098E">
        <w:rPr>
          <w:kern w:val="22"/>
          <w:szCs w:val="22"/>
        </w:rPr>
        <w:t xml:space="preserve"> </w:t>
      </w:r>
      <w:r w:rsidR="0088653B" w:rsidRPr="0040098E">
        <w:rPr>
          <w:kern w:val="22"/>
          <w:szCs w:val="22"/>
        </w:rPr>
        <w:t>4, para</w:t>
      </w:r>
      <w:r w:rsidR="004E5A22" w:rsidRPr="0040098E">
        <w:rPr>
          <w:kern w:val="22"/>
          <w:szCs w:val="22"/>
        </w:rPr>
        <w:t xml:space="preserve">graph </w:t>
      </w:r>
      <w:r w:rsidR="0088653B" w:rsidRPr="0040098E">
        <w:rPr>
          <w:kern w:val="22"/>
          <w:szCs w:val="22"/>
        </w:rPr>
        <w:t>4</w:t>
      </w:r>
      <w:r w:rsidR="002634FE" w:rsidRPr="0040098E">
        <w:rPr>
          <w:kern w:val="22"/>
          <w:szCs w:val="22"/>
        </w:rPr>
        <w:t>,</w:t>
      </w:r>
      <w:r w:rsidR="0088653B" w:rsidRPr="0040098E">
        <w:rPr>
          <w:kern w:val="22"/>
          <w:szCs w:val="22"/>
        </w:rPr>
        <w:t xml:space="preserve"> of the Protocol, </w:t>
      </w:r>
      <w:r w:rsidR="006F445F" w:rsidRPr="0040098E">
        <w:rPr>
          <w:kern w:val="22"/>
          <w:szCs w:val="22"/>
        </w:rPr>
        <w:t>A</w:t>
      </w:r>
      <w:r w:rsidR="0088653B" w:rsidRPr="0040098E">
        <w:rPr>
          <w:kern w:val="22"/>
          <w:szCs w:val="22"/>
        </w:rPr>
        <w:t>rt</w:t>
      </w:r>
      <w:r w:rsidR="006F445F" w:rsidRPr="0040098E">
        <w:rPr>
          <w:kern w:val="22"/>
          <w:szCs w:val="22"/>
        </w:rPr>
        <w:t>icle</w:t>
      </w:r>
      <w:r w:rsidR="0088653B" w:rsidRPr="0040098E">
        <w:rPr>
          <w:kern w:val="22"/>
          <w:szCs w:val="22"/>
        </w:rPr>
        <w:t xml:space="preserve"> 23n</w:t>
      </w:r>
      <w:r w:rsidR="00D25BA9" w:rsidRPr="0040098E">
        <w:rPr>
          <w:kern w:val="22"/>
          <w:szCs w:val="22"/>
        </w:rPr>
        <w:t>,</w:t>
      </w:r>
      <w:r w:rsidR="0088653B" w:rsidRPr="0040098E">
        <w:rPr>
          <w:kern w:val="22"/>
          <w:szCs w:val="22"/>
        </w:rPr>
        <w:t xml:space="preserve"> para</w:t>
      </w:r>
      <w:r w:rsidR="00030C54" w:rsidRPr="0040098E">
        <w:rPr>
          <w:kern w:val="22"/>
          <w:szCs w:val="22"/>
        </w:rPr>
        <w:t>graph</w:t>
      </w:r>
      <w:r w:rsidR="0088653B" w:rsidRPr="0040098E">
        <w:rPr>
          <w:kern w:val="22"/>
          <w:szCs w:val="22"/>
        </w:rPr>
        <w:t xml:space="preserve"> 2d</w:t>
      </w:r>
      <w:r w:rsidR="00D25BA9" w:rsidRPr="0040098E">
        <w:rPr>
          <w:kern w:val="22"/>
          <w:szCs w:val="22"/>
        </w:rPr>
        <w:t>,</w:t>
      </w:r>
      <w:r w:rsidR="0088653B" w:rsidRPr="0040098E">
        <w:rPr>
          <w:kern w:val="22"/>
          <w:szCs w:val="22"/>
        </w:rPr>
        <w:t xml:space="preserve"> of the Federal Act on the Protection of Nature and Cultural Heritage</w:t>
      </w:r>
      <w:r w:rsidR="006531C0" w:rsidRPr="0040098E">
        <w:rPr>
          <w:kern w:val="22"/>
          <w:szCs w:val="22"/>
        </w:rPr>
        <w:t xml:space="preserve"> (NCHA)</w:t>
      </w:r>
      <w:r w:rsidR="0088653B" w:rsidRPr="0040098E">
        <w:rPr>
          <w:kern w:val="22"/>
          <w:szCs w:val="22"/>
        </w:rPr>
        <w:t xml:space="preserve"> provides that genetic resources are not subject to the due diligence requirement if they are covered for a specific use by a specialized international ABS instrument under Article 4 of the Nagoya Protocol. Switzerland recognizes the Multilateral System (MLS) of the </w:t>
      </w:r>
      <w:r w:rsidR="00945BDD" w:rsidRPr="0040098E">
        <w:rPr>
          <w:kern w:val="22"/>
          <w:szCs w:val="22"/>
        </w:rPr>
        <w:t xml:space="preserve">International Treaty </w:t>
      </w:r>
      <w:r w:rsidR="0088653B" w:rsidRPr="0040098E">
        <w:rPr>
          <w:kern w:val="22"/>
          <w:szCs w:val="22"/>
        </w:rPr>
        <w:t xml:space="preserve">and the PIP Framework as specialized international ABS instruments. Switzerland considers that the application of such specialized instruments can ensure a more specialized, efficient and non-duplicative approach to regulating access to genetic resources and the sharing of benefits arising from their utilization. </w:t>
      </w:r>
      <w:r w:rsidR="006531C0" w:rsidRPr="0040098E">
        <w:rPr>
          <w:kern w:val="22"/>
          <w:szCs w:val="22"/>
        </w:rPr>
        <w:t xml:space="preserve">Switzerland implemented the provisions of the Nagoya Protocol as a “default mechanism”, applying to genetic resources and associated traditional knowledge, </w:t>
      </w:r>
      <w:proofErr w:type="gramStart"/>
      <w:r w:rsidR="006531C0" w:rsidRPr="0040098E">
        <w:rPr>
          <w:kern w:val="22"/>
          <w:szCs w:val="22"/>
        </w:rPr>
        <w:t>as long as</w:t>
      </w:r>
      <w:proofErr w:type="gramEnd"/>
      <w:r w:rsidR="006531C0" w:rsidRPr="0040098E">
        <w:rPr>
          <w:kern w:val="22"/>
          <w:szCs w:val="22"/>
        </w:rPr>
        <w:t xml:space="preserve"> no other specialized international ABS instruments are applicable. Domestic regulations concerning the </w:t>
      </w:r>
      <w:r w:rsidR="00945BDD" w:rsidRPr="0040098E">
        <w:rPr>
          <w:kern w:val="22"/>
          <w:szCs w:val="22"/>
        </w:rPr>
        <w:t xml:space="preserve">International Treaty </w:t>
      </w:r>
      <w:r w:rsidR="0088653B" w:rsidRPr="0040098E">
        <w:rPr>
          <w:kern w:val="22"/>
          <w:szCs w:val="22"/>
        </w:rPr>
        <w:t>are provided in a specific Ordinance (ORPGAA, SR 916.181)</w:t>
      </w:r>
      <w:r w:rsidR="006531C0" w:rsidRPr="0040098E">
        <w:rPr>
          <w:kern w:val="22"/>
          <w:szCs w:val="22"/>
        </w:rPr>
        <w:t xml:space="preserve"> while regulations concerning the PIP Framework fall under the </w:t>
      </w:r>
      <w:r w:rsidR="0088653B" w:rsidRPr="0040098E">
        <w:rPr>
          <w:kern w:val="22"/>
          <w:szCs w:val="22"/>
        </w:rPr>
        <w:t xml:space="preserve">general provision of </w:t>
      </w:r>
      <w:r w:rsidR="006E5C44" w:rsidRPr="0040098E">
        <w:rPr>
          <w:kern w:val="22"/>
          <w:szCs w:val="22"/>
        </w:rPr>
        <w:t>A</w:t>
      </w:r>
      <w:r w:rsidR="0088653B" w:rsidRPr="0040098E">
        <w:rPr>
          <w:kern w:val="22"/>
          <w:szCs w:val="22"/>
        </w:rPr>
        <w:t>rt</w:t>
      </w:r>
      <w:r w:rsidR="00D07EE9" w:rsidRPr="0040098E">
        <w:rPr>
          <w:kern w:val="22"/>
          <w:szCs w:val="22"/>
        </w:rPr>
        <w:t>icle</w:t>
      </w:r>
      <w:r w:rsidR="0088653B" w:rsidRPr="0040098E">
        <w:rPr>
          <w:kern w:val="22"/>
          <w:szCs w:val="22"/>
        </w:rPr>
        <w:t xml:space="preserve"> 23n</w:t>
      </w:r>
      <w:r w:rsidR="002F028B" w:rsidRPr="0040098E">
        <w:rPr>
          <w:kern w:val="22"/>
          <w:szCs w:val="22"/>
        </w:rPr>
        <w:t>,</w:t>
      </w:r>
      <w:r w:rsidR="006531C0" w:rsidRPr="0040098E">
        <w:rPr>
          <w:kern w:val="22"/>
          <w:szCs w:val="22"/>
        </w:rPr>
        <w:t xml:space="preserve"> </w:t>
      </w:r>
      <w:r w:rsidR="0088653B" w:rsidRPr="0040098E">
        <w:rPr>
          <w:kern w:val="22"/>
          <w:szCs w:val="22"/>
        </w:rPr>
        <w:t>para</w:t>
      </w:r>
      <w:r w:rsidR="006E5C44" w:rsidRPr="0040098E">
        <w:rPr>
          <w:kern w:val="22"/>
          <w:szCs w:val="22"/>
        </w:rPr>
        <w:t>graph</w:t>
      </w:r>
      <w:r w:rsidR="0088653B" w:rsidRPr="0040098E">
        <w:rPr>
          <w:kern w:val="22"/>
          <w:szCs w:val="22"/>
        </w:rPr>
        <w:t xml:space="preserve"> 2d</w:t>
      </w:r>
      <w:r w:rsidR="002F028B" w:rsidRPr="0040098E">
        <w:rPr>
          <w:kern w:val="22"/>
          <w:szCs w:val="22"/>
        </w:rPr>
        <w:t>,</w:t>
      </w:r>
      <w:r w:rsidR="006531C0" w:rsidRPr="0040098E">
        <w:rPr>
          <w:kern w:val="22"/>
          <w:szCs w:val="22"/>
        </w:rPr>
        <w:t xml:space="preserve"> of the NCHA.</w:t>
      </w:r>
    </w:p>
    <w:p w14:paraId="65AAC7F3" w14:textId="38CBA8B8" w:rsidR="006531C0" w:rsidRPr="00C20F6C" w:rsidRDefault="00AA4038" w:rsidP="00C20F6C">
      <w:pPr>
        <w:pStyle w:val="Para1"/>
        <w:numPr>
          <w:ilvl w:val="0"/>
          <w:numId w:val="7"/>
        </w:numPr>
        <w:suppressLineNumbers/>
        <w:tabs>
          <w:tab w:val="num" w:pos="709"/>
        </w:tabs>
        <w:suppressAutoHyphens/>
        <w:ind w:left="0" w:firstLine="0"/>
        <w:rPr>
          <w:kern w:val="22"/>
          <w:szCs w:val="22"/>
        </w:rPr>
      </w:pPr>
      <w:r w:rsidRPr="00C20F6C">
        <w:rPr>
          <w:i/>
          <w:kern w:val="22"/>
          <w:szCs w:val="22"/>
        </w:rPr>
        <w:t>Canada</w:t>
      </w:r>
      <w:r w:rsidR="00B83C43" w:rsidRPr="00C20F6C">
        <w:rPr>
          <w:i/>
          <w:kern w:val="22"/>
          <w:szCs w:val="22"/>
        </w:rPr>
        <w:t xml:space="preserve"> </w:t>
      </w:r>
      <w:r w:rsidR="005F6F16" w:rsidRPr="00C20F6C">
        <w:rPr>
          <w:kern w:val="22"/>
          <w:szCs w:val="22"/>
        </w:rPr>
        <w:t xml:space="preserve">explained </w:t>
      </w:r>
      <w:r w:rsidR="00B83C43" w:rsidRPr="00C20F6C">
        <w:rPr>
          <w:kern w:val="22"/>
          <w:szCs w:val="22"/>
        </w:rPr>
        <w:t>that it is</w:t>
      </w:r>
      <w:r w:rsidR="00B83C43" w:rsidRPr="00C20F6C">
        <w:rPr>
          <w:i/>
          <w:kern w:val="22"/>
          <w:szCs w:val="22"/>
        </w:rPr>
        <w:t xml:space="preserve"> </w:t>
      </w:r>
      <w:r w:rsidR="00157708" w:rsidRPr="00C20F6C">
        <w:rPr>
          <w:kern w:val="22"/>
          <w:szCs w:val="22"/>
        </w:rPr>
        <w:t xml:space="preserve">a Party to various specialized international ABS instruments and engages in coordination </w:t>
      </w:r>
      <w:r w:rsidR="00052CF2" w:rsidRPr="00C20F6C">
        <w:rPr>
          <w:kern w:val="22"/>
          <w:szCs w:val="22"/>
        </w:rPr>
        <w:t>regarding ABS issues addressed in different international fora. Canada</w:t>
      </w:r>
      <w:r w:rsidR="00157708" w:rsidRPr="00C20F6C">
        <w:rPr>
          <w:kern w:val="22"/>
          <w:szCs w:val="22"/>
        </w:rPr>
        <w:t xml:space="preserve"> </w:t>
      </w:r>
      <w:r w:rsidR="00052CF2" w:rsidRPr="00C20F6C">
        <w:rPr>
          <w:kern w:val="22"/>
          <w:szCs w:val="22"/>
        </w:rPr>
        <w:t xml:space="preserve">implements the ABS measures of the </w:t>
      </w:r>
      <w:r w:rsidR="00267575" w:rsidRPr="00C20F6C">
        <w:rPr>
          <w:kern w:val="22"/>
          <w:szCs w:val="22"/>
        </w:rPr>
        <w:t xml:space="preserve">International Treaty </w:t>
      </w:r>
      <w:r w:rsidR="00052CF2" w:rsidRPr="00C20F6C">
        <w:rPr>
          <w:kern w:val="22"/>
          <w:szCs w:val="22"/>
        </w:rPr>
        <w:t xml:space="preserve">mainly through the activities of Agriculture and Agri-Food Canada (AAFC). AAFC operates the Plant Gene Resources of Canada (PGRC) and participates in the </w:t>
      </w:r>
      <w:r w:rsidR="00945BDD" w:rsidRPr="00C20F6C">
        <w:rPr>
          <w:kern w:val="22"/>
          <w:szCs w:val="22"/>
        </w:rPr>
        <w:t xml:space="preserve">International Treaty </w:t>
      </w:r>
      <w:r w:rsidR="00052CF2" w:rsidRPr="00C20F6C">
        <w:rPr>
          <w:kern w:val="22"/>
          <w:szCs w:val="22"/>
        </w:rPr>
        <w:t xml:space="preserve">Global Information System. Recognizing that existing ABS practices for food and agriculture differ significantly between subsectors, AAFC also participates in the development of other international ABS efforts, such as the “Elements to Facilitate Domestic Implementation of Access and Benefit-sharing for Different Subsectors of Genetic Resources for Food and Agriculture,” </w:t>
      </w:r>
      <w:r w:rsidR="00412684" w:rsidRPr="00C20F6C">
        <w:rPr>
          <w:kern w:val="22"/>
          <w:szCs w:val="22"/>
        </w:rPr>
        <w:t xml:space="preserve">of the Commission on Genetic Resources for Food and Agriculture of the Food and Agriculture Organization of the United Nations (FAO) </w:t>
      </w:r>
      <w:r w:rsidR="00052CF2" w:rsidRPr="00C20F6C">
        <w:rPr>
          <w:kern w:val="22"/>
          <w:szCs w:val="22"/>
        </w:rPr>
        <w:t>and seeks to incorporate these, as appropriate, domestically. AAFC has also been involved in the development of best practices for implementation of biological control</w:t>
      </w:r>
      <w:r w:rsidR="006F122A" w:rsidRPr="00C20F6C">
        <w:rPr>
          <w:kern w:val="22"/>
          <w:szCs w:val="22"/>
        </w:rPr>
        <w:t xml:space="preserve">. AAFC contributed to the </w:t>
      </w:r>
      <w:r w:rsidR="0083318A">
        <w:rPr>
          <w:kern w:val="22"/>
          <w:szCs w:val="22"/>
        </w:rPr>
        <w:t>publication</w:t>
      </w:r>
      <w:r w:rsidR="00052CF2" w:rsidRPr="009F665A">
        <w:rPr>
          <w:kern w:val="22"/>
          <w:szCs w:val="22"/>
        </w:rPr>
        <w:t xml:space="preserve"> </w:t>
      </w:r>
      <w:r w:rsidR="00052CF2" w:rsidRPr="00C20F6C">
        <w:rPr>
          <w:i/>
          <w:iCs/>
          <w:kern w:val="22"/>
          <w:szCs w:val="22"/>
        </w:rPr>
        <w:t xml:space="preserve">The </w:t>
      </w:r>
      <w:r w:rsidR="0083318A" w:rsidRPr="00C20F6C">
        <w:rPr>
          <w:i/>
          <w:iCs/>
          <w:kern w:val="22"/>
          <w:szCs w:val="22"/>
        </w:rPr>
        <w:t>A</w:t>
      </w:r>
      <w:r w:rsidR="00052CF2" w:rsidRPr="00C20F6C">
        <w:rPr>
          <w:i/>
          <w:iCs/>
          <w:kern w:val="22"/>
          <w:szCs w:val="22"/>
        </w:rPr>
        <w:t xml:space="preserve">pplication of </w:t>
      </w:r>
      <w:r w:rsidR="0083318A" w:rsidRPr="00C20F6C">
        <w:rPr>
          <w:i/>
          <w:iCs/>
          <w:kern w:val="22"/>
          <w:szCs w:val="22"/>
        </w:rPr>
        <w:t>C</w:t>
      </w:r>
      <w:r w:rsidR="00052CF2" w:rsidRPr="00C20F6C">
        <w:rPr>
          <w:i/>
          <w:iCs/>
          <w:kern w:val="22"/>
          <w:szCs w:val="22"/>
        </w:rPr>
        <w:t xml:space="preserve">lassical </w:t>
      </w:r>
      <w:r w:rsidR="0083318A" w:rsidRPr="00C20F6C">
        <w:rPr>
          <w:i/>
          <w:iCs/>
          <w:kern w:val="22"/>
          <w:szCs w:val="22"/>
        </w:rPr>
        <w:t>B</w:t>
      </w:r>
      <w:r w:rsidR="00052CF2" w:rsidRPr="00C20F6C">
        <w:rPr>
          <w:i/>
          <w:iCs/>
          <w:kern w:val="22"/>
          <w:szCs w:val="22"/>
        </w:rPr>
        <w:t xml:space="preserve">iological </w:t>
      </w:r>
      <w:r w:rsidR="0083318A" w:rsidRPr="00C20F6C">
        <w:rPr>
          <w:i/>
          <w:iCs/>
          <w:kern w:val="22"/>
          <w:szCs w:val="22"/>
        </w:rPr>
        <w:t>C</w:t>
      </w:r>
      <w:r w:rsidR="00052CF2" w:rsidRPr="00C20F6C">
        <w:rPr>
          <w:i/>
          <w:iCs/>
          <w:kern w:val="22"/>
          <w:szCs w:val="22"/>
        </w:rPr>
        <w:t xml:space="preserve">ontrol for the </w:t>
      </w:r>
      <w:r w:rsidR="0083318A" w:rsidRPr="00C20F6C">
        <w:rPr>
          <w:i/>
          <w:iCs/>
          <w:kern w:val="22"/>
          <w:szCs w:val="22"/>
        </w:rPr>
        <w:t>M</w:t>
      </w:r>
      <w:r w:rsidR="00052CF2" w:rsidRPr="00C20F6C">
        <w:rPr>
          <w:i/>
          <w:iCs/>
          <w:kern w:val="22"/>
          <w:szCs w:val="22"/>
        </w:rPr>
        <w:t xml:space="preserve">anagement of </w:t>
      </w:r>
      <w:r w:rsidR="00D64A63" w:rsidRPr="00C20F6C">
        <w:rPr>
          <w:i/>
          <w:iCs/>
          <w:kern w:val="22"/>
          <w:szCs w:val="22"/>
        </w:rPr>
        <w:t>E</w:t>
      </w:r>
      <w:r w:rsidR="00052CF2" w:rsidRPr="00C20F6C">
        <w:rPr>
          <w:i/>
          <w:iCs/>
          <w:kern w:val="22"/>
          <w:szCs w:val="22"/>
        </w:rPr>
        <w:t xml:space="preserve">stablished </w:t>
      </w:r>
      <w:r w:rsidR="00D64A63" w:rsidRPr="00C20F6C">
        <w:rPr>
          <w:i/>
          <w:iCs/>
          <w:kern w:val="22"/>
          <w:szCs w:val="22"/>
        </w:rPr>
        <w:t>I</w:t>
      </w:r>
      <w:r w:rsidR="00052CF2" w:rsidRPr="00C20F6C">
        <w:rPr>
          <w:i/>
          <w:iCs/>
          <w:kern w:val="22"/>
          <w:szCs w:val="22"/>
        </w:rPr>
        <w:t xml:space="preserve">nvasive </w:t>
      </w:r>
      <w:r w:rsidR="00D64A63" w:rsidRPr="00C20F6C">
        <w:rPr>
          <w:i/>
          <w:iCs/>
          <w:kern w:val="22"/>
          <w:szCs w:val="22"/>
        </w:rPr>
        <w:t>A</w:t>
      </w:r>
      <w:r w:rsidR="00052CF2" w:rsidRPr="00C20F6C">
        <w:rPr>
          <w:i/>
          <w:iCs/>
          <w:kern w:val="22"/>
          <w:szCs w:val="22"/>
        </w:rPr>
        <w:t xml:space="preserve">lien </w:t>
      </w:r>
      <w:r w:rsidR="00D64A63" w:rsidRPr="00C20F6C">
        <w:rPr>
          <w:i/>
          <w:iCs/>
          <w:kern w:val="22"/>
          <w:szCs w:val="22"/>
        </w:rPr>
        <w:t>S</w:t>
      </w:r>
      <w:r w:rsidR="00052CF2" w:rsidRPr="00C20F6C">
        <w:rPr>
          <w:i/>
          <w:iCs/>
          <w:kern w:val="22"/>
          <w:szCs w:val="22"/>
        </w:rPr>
        <w:t xml:space="preserve">pecies </w:t>
      </w:r>
      <w:r w:rsidR="00D64A63" w:rsidRPr="00C20F6C">
        <w:rPr>
          <w:i/>
          <w:iCs/>
          <w:kern w:val="22"/>
          <w:szCs w:val="22"/>
        </w:rPr>
        <w:t>C</w:t>
      </w:r>
      <w:r w:rsidR="00052CF2" w:rsidRPr="00C20F6C">
        <w:rPr>
          <w:i/>
          <w:iCs/>
          <w:kern w:val="22"/>
          <w:szCs w:val="22"/>
        </w:rPr>
        <w:t xml:space="preserve">ausing </w:t>
      </w:r>
      <w:r w:rsidR="00D64A63" w:rsidRPr="00C20F6C">
        <w:rPr>
          <w:i/>
          <w:iCs/>
          <w:kern w:val="22"/>
          <w:szCs w:val="22"/>
        </w:rPr>
        <w:t>E</w:t>
      </w:r>
      <w:r w:rsidR="00052CF2" w:rsidRPr="00C20F6C">
        <w:rPr>
          <w:i/>
          <w:iCs/>
          <w:kern w:val="22"/>
          <w:szCs w:val="22"/>
        </w:rPr>
        <w:t xml:space="preserve">nvironmental </w:t>
      </w:r>
      <w:r w:rsidR="00D64A63" w:rsidRPr="00C20F6C">
        <w:rPr>
          <w:i/>
          <w:iCs/>
          <w:kern w:val="22"/>
          <w:szCs w:val="22"/>
        </w:rPr>
        <w:t>I</w:t>
      </w:r>
      <w:r w:rsidR="00052CF2" w:rsidRPr="00C20F6C">
        <w:rPr>
          <w:i/>
          <w:iCs/>
          <w:kern w:val="22"/>
          <w:szCs w:val="22"/>
        </w:rPr>
        <w:t>mpacts</w:t>
      </w:r>
      <w:r w:rsidR="00130E67">
        <w:rPr>
          <w:rStyle w:val="FootnoteReference"/>
          <w:i/>
          <w:iCs/>
          <w:kern w:val="22"/>
        </w:rPr>
        <w:footnoteReference w:id="6"/>
      </w:r>
      <w:r w:rsidR="00B15ABE">
        <w:rPr>
          <w:kern w:val="22"/>
          <w:szCs w:val="22"/>
        </w:rPr>
        <w:t xml:space="preserve"> and the</w:t>
      </w:r>
      <w:r w:rsidR="00B15ABE" w:rsidRPr="00F80246">
        <w:rPr>
          <w:kern w:val="22"/>
          <w:szCs w:val="22"/>
        </w:rPr>
        <w:t xml:space="preserve"> </w:t>
      </w:r>
      <w:r w:rsidR="00052CF2" w:rsidRPr="009F665A">
        <w:rPr>
          <w:kern w:val="22"/>
          <w:szCs w:val="22"/>
        </w:rPr>
        <w:t xml:space="preserve">International Organization for Biological Control’s “Best </w:t>
      </w:r>
      <w:r w:rsidR="00190165">
        <w:rPr>
          <w:kern w:val="22"/>
          <w:szCs w:val="22"/>
        </w:rPr>
        <w:t>p</w:t>
      </w:r>
      <w:r w:rsidR="00052CF2" w:rsidRPr="003F5590">
        <w:rPr>
          <w:kern w:val="22"/>
          <w:szCs w:val="22"/>
        </w:rPr>
        <w:t xml:space="preserve">ractices for the use and exchange of invertebrate biological </w:t>
      </w:r>
      <w:r w:rsidR="007176A8">
        <w:rPr>
          <w:kern w:val="22"/>
          <w:szCs w:val="22"/>
        </w:rPr>
        <w:t xml:space="preserve">control </w:t>
      </w:r>
      <w:r w:rsidR="00052CF2" w:rsidRPr="009F665A">
        <w:rPr>
          <w:kern w:val="22"/>
          <w:szCs w:val="22"/>
        </w:rPr>
        <w:t>genetic resources relevant for food and agriculture”.</w:t>
      </w:r>
      <w:r w:rsidR="00CE3CC4">
        <w:rPr>
          <w:rStyle w:val="FootnoteReference"/>
          <w:kern w:val="22"/>
        </w:rPr>
        <w:footnoteReference w:id="7"/>
      </w:r>
      <w:r w:rsidR="00052CF2" w:rsidRPr="009F665A">
        <w:rPr>
          <w:kern w:val="22"/>
          <w:szCs w:val="22"/>
        </w:rPr>
        <w:t xml:space="preserve"> AAFC</w:t>
      </w:r>
      <w:r w:rsidR="00052CF2" w:rsidRPr="003F5590">
        <w:rPr>
          <w:kern w:val="22"/>
          <w:szCs w:val="22"/>
        </w:rPr>
        <w:t xml:space="preserve"> uses these best practices in its own research to combat invasive alien species in Canada. Finally, Canada also implements the ABS measures of the PIP Framework.</w:t>
      </w:r>
    </w:p>
    <w:p w14:paraId="41D98D75" w14:textId="78146399" w:rsidR="00733A08" w:rsidRPr="00C20F6C" w:rsidRDefault="00733A08" w:rsidP="00C20F6C">
      <w:pPr>
        <w:pStyle w:val="Heading1longmultiline"/>
        <w:numPr>
          <w:ilvl w:val="0"/>
          <w:numId w:val="24"/>
        </w:numPr>
        <w:suppressLineNumbers/>
        <w:tabs>
          <w:tab w:val="clear" w:pos="720"/>
        </w:tabs>
        <w:suppressAutoHyphens/>
        <w:spacing w:before="120"/>
        <w:ind w:left="1134" w:hanging="567"/>
        <w:rPr>
          <w:b w:val="0"/>
          <w:caps w:val="0"/>
          <w:snapToGrid w:val="0"/>
          <w:kern w:val="22"/>
          <w:szCs w:val="22"/>
        </w:rPr>
      </w:pPr>
      <w:r w:rsidRPr="00C20F6C">
        <w:rPr>
          <w:rFonts w:ascii="Times New Roman Bold" w:hAnsi="Times New Roman Bold"/>
          <w:caps w:val="0"/>
          <w:spacing w:val="-9"/>
          <w:kern w:val="22"/>
          <w:szCs w:val="22"/>
        </w:rPr>
        <w:t>SYNTHESIS OF VIEWS ON THE POTENTIAL CRITERIA CONTAINED IN THE STUDY, TAKING INTO ACCOUNT ARTICLE 4, PARAGRAPHS 1 TO 3, OF THE PROTOCOL</w:t>
      </w:r>
    </w:p>
    <w:p w14:paraId="68DA2110" w14:textId="413DCCBC" w:rsidR="001776E0" w:rsidRPr="00C20F6C" w:rsidRDefault="00052CF2" w:rsidP="00C20F6C">
      <w:pPr>
        <w:pStyle w:val="Para1"/>
        <w:numPr>
          <w:ilvl w:val="0"/>
          <w:numId w:val="7"/>
        </w:numPr>
        <w:suppressLineNumbers/>
        <w:tabs>
          <w:tab w:val="num" w:pos="709"/>
        </w:tabs>
        <w:suppressAutoHyphens/>
        <w:ind w:left="0" w:firstLine="0"/>
        <w:rPr>
          <w:kern w:val="22"/>
          <w:szCs w:val="22"/>
        </w:rPr>
      </w:pPr>
      <w:r w:rsidRPr="003F5590">
        <w:rPr>
          <w:kern w:val="22"/>
          <w:szCs w:val="22"/>
        </w:rPr>
        <w:t>Th</w:t>
      </w:r>
      <w:r w:rsidR="00A45D45" w:rsidRPr="003F5590">
        <w:rPr>
          <w:kern w:val="22"/>
          <w:szCs w:val="22"/>
        </w:rPr>
        <w:t xml:space="preserve">is section synthesizes the views that were submitted </w:t>
      </w:r>
      <w:r w:rsidR="004677F9" w:rsidRPr="00246BDA">
        <w:rPr>
          <w:kern w:val="22"/>
          <w:szCs w:val="22"/>
        </w:rPr>
        <w:t>on the potential criteria contained in the study</w:t>
      </w:r>
      <w:r w:rsidR="00F56EF9" w:rsidRPr="00C20F6C">
        <w:rPr>
          <w:kern w:val="22"/>
          <w:szCs w:val="22"/>
        </w:rPr>
        <w:t xml:space="preserve"> (</w:t>
      </w:r>
      <w:hyperlink r:id="rId15" w:history="1">
        <w:r w:rsidR="00F56EF9" w:rsidRPr="00C20F6C">
          <w:rPr>
            <w:rStyle w:val="Hyperlink"/>
            <w:kern w:val="22"/>
            <w:sz w:val="22"/>
            <w:szCs w:val="22"/>
          </w:rPr>
          <w:t>CBD/SBI/2/INF/17</w:t>
        </w:r>
      </w:hyperlink>
      <w:r w:rsidR="00F56EF9" w:rsidRPr="003F5590">
        <w:rPr>
          <w:kern w:val="22"/>
          <w:szCs w:val="22"/>
        </w:rPr>
        <w:t>)</w:t>
      </w:r>
      <w:r w:rsidR="004677F9" w:rsidRPr="003F5590">
        <w:rPr>
          <w:kern w:val="22"/>
          <w:szCs w:val="22"/>
        </w:rPr>
        <w:t xml:space="preserve">, taking into account </w:t>
      </w:r>
      <w:r w:rsidR="00F56EF9" w:rsidRPr="003F5590">
        <w:rPr>
          <w:kern w:val="22"/>
          <w:szCs w:val="22"/>
        </w:rPr>
        <w:t>A</w:t>
      </w:r>
      <w:r w:rsidR="004677F9" w:rsidRPr="00246BDA">
        <w:rPr>
          <w:kern w:val="22"/>
          <w:szCs w:val="22"/>
        </w:rPr>
        <w:t xml:space="preserve">rticle 4, paragraphs 1 to 3, of the Protocol, pursuant to </w:t>
      </w:r>
      <w:r w:rsidR="00A45D45" w:rsidRPr="00C20F6C">
        <w:rPr>
          <w:kern w:val="22"/>
          <w:szCs w:val="22"/>
        </w:rPr>
        <w:t xml:space="preserve">decision </w:t>
      </w:r>
      <w:r w:rsidR="004677F9" w:rsidRPr="00C20F6C">
        <w:rPr>
          <w:kern w:val="22"/>
          <w:szCs w:val="22"/>
        </w:rPr>
        <w:t>3</w:t>
      </w:r>
      <w:r w:rsidR="00A45D45" w:rsidRPr="00C20F6C">
        <w:rPr>
          <w:kern w:val="22"/>
          <w:szCs w:val="22"/>
        </w:rPr>
        <w:t>/1</w:t>
      </w:r>
      <w:r w:rsidR="004677F9" w:rsidRPr="00C20F6C">
        <w:rPr>
          <w:kern w:val="22"/>
          <w:szCs w:val="22"/>
        </w:rPr>
        <w:t>4</w:t>
      </w:r>
      <w:r w:rsidR="00A45D45" w:rsidRPr="00C20F6C">
        <w:rPr>
          <w:kern w:val="22"/>
          <w:szCs w:val="22"/>
        </w:rPr>
        <w:t xml:space="preserve">. </w:t>
      </w:r>
      <w:r w:rsidR="0084570D" w:rsidRPr="00C20F6C">
        <w:rPr>
          <w:kern w:val="22"/>
          <w:szCs w:val="22"/>
        </w:rPr>
        <w:t xml:space="preserve">A total of </w:t>
      </w:r>
      <w:r w:rsidR="009A12E4" w:rsidRPr="00C20F6C">
        <w:rPr>
          <w:kern w:val="22"/>
          <w:szCs w:val="22"/>
        </w:rPr>
        <w:t xml:space="preserve">six </w:t>
      </w:r>
      <w:r w:rsidR="0084570D" w:rsidRPr="00C20F6C">
        <w:rPr>
          <w:kern w:val="22"/>
          <w:szCs w:val="22"/>
        </w:rPr>
        <w:t>submissions w</w:t>
      </w:r>
      <w:r w:rsidR="00F56EF9" w:rsidRPr="00C20F6C">
        <w:rPr>
          <w:kern w:val="22"/>
          <w:szCs w:val="22"/>
        </w:rPr>
        <w:t>ere</w:t>
      </w:r>
      <w:r w:rsidR="0084570D" w:rsidRPr="00C20F6C">
        <w:rPr>
          <w:kern w:val="22"/>
          <w:szCs w:val="22"/>
        </w:rPr>
        <w:t xml:space="preserve"> received from Parties, non-Parties and organi</w:t>
      </w:r>
      <w:r w:rsidR="00267575" w:rsidRPr="00C20F6C">
        <w:rPr>
          <w:kern w:val="22"/>
          <w:szCs w:val="22"/>
        </w:rPr>
        <w:t>z</w:t>
      </w:r>
      <w:r w:rsidR="0084570D" w:rsidRPr="00C20F6C">
        <w:rPr>
          <w:kern w:val="22"/>
          <w:szCs w:val="22"/>
        </w:rPr>
        <w:t>ations</w:t>
      </w:r>
      <w:r w:rsidR="009A12E4" w:rsidRPr="00C20F6C">
        <w:rPr>
          <w:kern w:val="22"/>
          <w:szCs w:val="22"/>
        </w:rPr>
        <w:t xml:space="preserve"> on this issue</w:t>
      </w:r>
      <w:r w:rsidR="0084570D" w:rsidRPr="00C20F6C">
        <w:rPr>
          <w:kern w:val="22"/>
          <w:szCs w:val="22"/>
        </w:rPr>
        <w:t>.</w:t>
      </w:r>
      <w:r w:rsidR="009A12E4" w:rsidRPr="003F5590">
        <w:rPr>
          <w:rStyle w:val="FootnoteReference"/>
          <w:kern w:val="22"/>
          <w:szCs w:val="22"/>
          <w:lang w:val="en-GB"/>
        </w:rPr>
        <w:footnoteReference w:id="8"/>
      </w:r>
      <w:r w:rsidR="0010656A" w:rsidRPr="003F5590">
        <w:rPr>
          <w:kern w:val="22"/>
          <w:szCs w:val="22"/>
        </w:rPr>
        <w:t xml:space="preserve"> </w:t>
      </w:r>
      <w:r w:rsidR="0084570D" w:rsidRPr="003F5590">
        <w:rPr>
          <w:kern w:val="22"/>
          <w:szCs w:val="22"/>
        </w:rPr>
        <w:t>Although the</w:t>
      </w:r>
      <w:r w:rsidR="00912F56" w:rsidRPr="003F5590">
        <w:rPr>
          <w:kern w:val="22"/>
          <w:szCs w:val="22"/>
        </w:rPr>
        <w:t>re ar</w:t>
      </w:r>
      <w:r w:rsidR="00912F56" w:rsidRPr="00246BDA">
        <w:rPr>
          <w:kern w:val="22"/>
          <w:szCs w:val="22"/>
        </w:rPr>
        <w:t xml:space="preserve">e some differences in the content of the various submissions, </w:t>
      </w:r>
      <w:r w:rsidR="00F56EF9" w:rsidRPr="00C20F6C">
        <w:rPr>
          <w:kern w:val="22"/>
          <w:szCs w:val="22"/>
        </w:rPr>
        <w:t xml:space="preserve">there is also some convergence </w:t>
      </w:r>
      <w:r w:rsidR="00912F56" w:rsidRPr="00C20F6C">
        <w:rPr>
          <w:kern w:val="22"/>
          <w:szCs w:val="22"/>
        </w:rPr>
        <w:t xml:space="preserve">on </w:t>
      </w:r>
      <w:proofErr w:type="gramStart"/>
      <w:r w:rsidR="00F56EF9" w:rsidRPr="00C20F6C">
        <w:rPr>
          <w:kern w:val="22"/>
          <w:szCs w:val="22"/>
        </w:rPr>
        <w:t>a number</w:t>
      </w:r>
      <w:r w:rsidR="00912F56" w:rsidRPr="00C20F6C">
        <w:rPr>
          <w:kern w:val="22"/>
          <w:szCs w:val="22"/>
        </w:rPr>
        <w:t xml:space="preserve"> of</w:t>
      </w:r>
      <w:proofErr w:type="gramEnd"/>
      <w:r w:rsidR="00912F56" w:rsidRPr="00C20F6C">
        <w:rPr>
          <w:kern w:val="22"/>
          <w:szCs w:val="22"/>
        </w:rPr>
        <w:t xml:space="preserve"> points raised under decision NP-3/14. </w:t>
      </w:r>
      <w:r w:rsidR="00A45D45" w:rsidRPr="00C20F6C">
        <w:rPr>
          <w:kern w:val="22"/>
          <w:szCs w:val="22"/>
        </w:rPr>
        <w:t xml:space="preserve">In the subsections that follow, an attempt has been made to identify </w:t>
      </w:r>
      <w:r w:rsidR="00912F56" w:rsidRPr="00C20F6C">
        <w:rPr>
          <w:kern w:val="22"/>
          <w:szCs w:val="22"/>
        </w:rPr>
        <w:t>such points</w:t>
      </w:r>
      <w:r w:rsidR="00A45D45" w:rsidRPr="00C20F6C">
        <w:rPr>
          <w:kern w:val="22"/>
          <w:szCs w:val="22"/>
        </w:rPr>
        <w:t>. These are indicated in italics.</w:t>
      </w:r>
      <w:r w:rsidR="00A45D45" w:rsidRPr="003F5590">
        <w:rPr>
          <w:kern w:val="22"/>
          <w:szCs w:val="22"/>
        </w:rPr>
        <w:t xml:space="preserve"> The explanations or elaborations </w:t>
      </w:r>
      <w:r w:rsidR="00A45D45" w:rsidRPr="003F5590">
        <w:rPr>
          <w:kern w:val="22"/>
          <w:szCs w:val="22"/>
        </w:rPr>
        <w:lastRenderedPageBreak/>
        <w:t xml:space="preserve">supporting the ideas are summarized </w:t>
      </w:r>
      <w:r w:rsidR="00F56EF9" w:rsidRPr="003F5590">
        <w:rPr>
          <w:kern w:val="22"/>
          <w:szCs w:val="22"/>
        </w:rPr>
        <w:t>subsequently</w:t>
      </w:r>
      <w:r w:rsidR="00A45D45" w:rsidRPr="003F5590">
        <w:rPr>
          <w:kern w:val="22"/>
          <w:szCs w:val="22"/>
        </w:rPr>
        <w:t>.</w:t>
      </w:r>
      <w:r w:rsidR="00B167D3" w:rsidRPr="003F5590">
        <w:rPr>
          <w:kern w:val="22"/>
          <w:szCs w:val="22"/>
        </w:rPr>
        <w:t xml:space="preserve"> </w:t>
      </w:r>
      <w:r w:rsidR="00A45D45" w:rsidRPr="00C20F6C">
        <w:rPr>
          <w:kern w:val="22"/>
          <w:szCs w:val="22"/>
        </w:rPr>
        <w:t xml:space="preserve">Footnotes indicating the sources of the views are provided </w:t>
      </w:r>
      <w:r w:rsidR="00F56EF9" w:rsidRPr="00C20F6C">
        <w:rPr>
          <w:kern w:val="22"/>
          <w:szCs w:val="22"/>
        </w:rPr>
        <w:t>with a view to facilitat</w:t>
      </w:r>
      <w:r w:rsidR="00394D9B" w:rsidRPr="00C20F6C">
        <w:rPr>
          <w:kern w:val="22"/>
          <w:szCs w:val="22"/>
        </w:rPr>
        <w:t>ing</w:t>
      </w:r>
      <w:r w:rsidR="00F56EF9" w:rsidRPr="00C20F6C">
        <w:rPr>
          <w:kern w:val="22"/>
          <w:szCs w:val="22"/>
        </w:rPr>
        <w:t xml:space="preserve"> </w:t>
      </w:r>
      <w:r w:rsidR="00A45D45" w:rsidRPr="00C20F6C">
        <w:rPr>
          <w:kern w:val="22"/>
          <w:szCs w:val="22"/>
        </w:rPr>
        <w:t>refer</w:t>
      </w:r>
      <w:r w:rsidR="005277ED" w:rsidRPr="00C20F6C">
        <w:rPr>
          <w:kern w:val="22"/>
          <w:szCs w:val="22"/>
        </w:rPr>
        <w:t>ence</w:t>
      </w:r>
      <w:r w:rsidR="00A45D45" w:rsidRPr="00C20F6C">
        <w:rPr>
          <w:kern w:val="22"/>
          <w:szCs w:val="22"/>
        </w:rPr>
        <w:t xml:space="preserve"> to the original submission for further information.</w:t>
      </w:r>
    </w:p>
    <w:p w14:paraId="752EDFD1" w14:textId="1F9A8402" w:rsidR="004B79EF" w:rsidRPr="00C20F6C" w:rsidRDefault="00343FE4" w:rsidP="00C20F6C">
      <w:pPr>
        <w:pStyle w:val="Heading2"/>
        <w:numPr>
          <w:ilvl w:val="0"/>
          <w:numId w:val="29"/>
        </w:numPr>
        <w:suppressLineNumbers/>
        <w:tabs>
          <w:tab w:val="clear" w:pos="720"/>
          <w:tab w:val="left" w:pos="426"/>
        </w:tabs>
        <w:suppressAutoHyphens/>
        <w:ind w:left="0" w:firstLine="0"/>
        <w:rPr>
          <w:kern w:val="22"/>
          <w:szCs w:val="22"/>
        </w:rPr>
      </w:pPr>
      <w:r w:rsidRPr="00C20F6C">
        <w:rPr>
          <w:kern w:val="22"/>
          <w:szCs w:val="22"/>
        </w:rPr>
        <w:t>General views on the criteria and their use</w:t>
      </w:r>
    </w:p>
    <w:p w14:paraId="4F17311F" w14:textId="7AE40E5A" w:rsidR="0092135D" w:rsidRPr="009F665A" w:rsidRDefault="009B506F" w:rsidP="00C20F6C">
      <w:pPr>
        <w:pStyle w:val="Para1"/>
        <w:numPr>
          <w:ilvl w:val="0"/>
          <w:numId w:val="7"/>
        </w:numPr>
        <w:suppressLineNumbers/>
        <w:tabs>
          <w:tab w:val="num" w:pos="709"/>
        </w:tabs>
        <w:suppressAutoHyphens/>
        <w:ind w:left="0" w:firstLine="0"/>
        <w:rPr>
          <w:kern w:val="22"/>
          <w:szCs w:val="22"/>
        </w:rPr>
      </w:pPr>
      <w:r w:rsidRPr="00C20F6C">
        <w:rPr>
          <w:kern w:val="22"/>
          <w:szCs w:val="22"/>
        </w:rPr>
        <w:t>While s</w:t>
      </w:r>
      <w:r w:rsidR="00DD6E98" w:rsidRPr="00C20F6C">
        <w:rPr>
          <w:kern w:val="22"/>
          <w:szCs w:val="22"/>
        </w:rPr>
        <w:t xml:space="preserve">ome </w:t>
      </w:r>
      <w:r w:rsidR="00053780" w:rsidRPr="00C20F6C">
        <w:rPr>
          <w:kern w:val="22"/>
          <w:szCs w:val="22"/>
        </w:rPr>
        <w:t>submission</w:t>
      </w:r>
      <w:r w:rsidR="00DD6E98" w:rsidRPr="00C20F6C">
        <w:rPr>
          <w:kern w:val="22"/>
          <w:szCs w:val="22"/>
        </w:rPr>
        <w:t>s questioned the need and usefulness of the criteria</w:t>
      </w:r>
      <w:r w:rsidR="009C2037" w:rsidRPr="00C20F6C">
        <w:rPr>
          <w:kern w:val="22"/>
          <w:szCs w:val="22"/>
        </w:rPr>
        <w:t>,</w:t>
      </w:r>
      <w:r w:rsidR="00053780" w:rsidRPr="00961A9F">
        <w:rPr>
          <w:rStyle w:val="FootnoteReference"/>
          <w:kern w:val="22"/>
          <w:szCs w:val="22"/>
          <w:lang w:val="en-GB"/>
        </w:rPr>
        <w:footnoteReference w:id="9"/>
      </w:r>
      <w:r w:rsidR="00E17289" w:rsidRPr="00961A9F">
        <w:rPr>
          <w:kern w:val="22"/>
          <w:szCs w:val="22"/>
        </w:rPr>
        <w:t xml:space="preserve"> </w:t>
      </w:r>
      <w:r w:rsidRPr="009F665A">
        <w:rPr>
          <w:kern w:val="22"/>
          <w:szCs w:val="22"/>
        </w:rPr>
        <w:t>o</w:t>
      </w:r>
      <w:r w:rsidR="00E17289" w:rsidRPr="009F665A">
        <w:rPr>
          <w:kern w:val="22"/>
          <w:szCs w:val="22"/>
        </w:rPr>
        <w:t>ne submission</w:t>
      </w:r>
      <w:r w:rsidR="00711F6F" w:rsidRPr="003F5590">
        <w:rPr>
          <w:kern w:val="22"/>
          <w:szCs w:val="22"/>
        </w:rPr>
        <w:t xml:space="preserve">, on behalf of </w:t>
      </w:r>
      <w:proofErr w:type="gramStart"/>
      <w:r w:rsidR="00711F6F" w:rsidRPr="003F5590">
        <w:rPr>
          <w:kern w:val="22"/>
          <w:szCs w:val="22"/>
        </w:rPr>
        <w:t>a number of</w:t>
      </w:r>
      <w:proofErr w:type="gramEnd"/>
      <w:r w:rsidR="00711F6F" w:rsidRPr="003F5590">
        <w:rPr>
          <w:kern w:val="22"/>
          <w:szCs w:val="22"/>
        </w:rPr>
        <w:t xml:space="preserve"> Parties,</w:t>
      </w:r>
      <w:r w:rsidR="00E17289" w:rsidRPr="00C20F6C">
        <w:rPr>
          <w:kern w:val="22"/>
          <w:szCs w:val="22"/>
        </w:rPr>
        <w:t xml:space="preserve"> recognized that the criteria constitute good reference points of elements to consider when developing or recognizing specialized international ABS instruments</w:t>
      </w:r>
      <w:r w:rsidR="00AD548E" w:rsidRPr="00C20F6C">
        <w:rPr>
          <w:kern w:val="22"/>
          <w:szCs w:val="22"/>
        </w:rPr>
        <w:t>.</w:t>
      </w:r>
      <w:r w:rsidR="00E17289" w:rsidRPr="00961A9F">
        <w:rPr>
          <w:rStyle w:val="FootnoteReference"/>
          <w:kern w:val="22"/>
          <w:szCs w:val="22"/>
          <w:lang w:val="en-GB"/>
        </w:rPr>
        <w:footnoteReference w:id="10"/>
      </w:r>
    </w:p>
    <w:p w14:paraId="430E6AFC" w14:textId="1A078C88" w:rsidR="00912F56" w:rsidRPr="00C20F6C" w:rsidRDefault="000E354A" w:rsidP="00C20F6C">
      <w:pPr>
        <w:pStyle w:val="Para1"/>
        <w:numPr>
          <w:ilvl w:val="0"/>
          <w:numId w:val="7"/>
        </w:numPr>
        <w:suppressLineNumbers/>
        <w:tabs>
          <w:tab w:val="num" w:pos="709"/>
        </w:tabs>
        <w:suppressAutoHyphens/>
        <w:ind w:left="0" w:firstLine="0"/>
        <w:rPr>
          <w:kern w:val="22"/>
          <w:szCs w:val="22"/>
        </w:rPr>
      </w:pPr>
      <w:r w:rsidRPr="009F665A">
        <w:rPr>
          <w:kern w:val="22"/>
          <w:szCs w:val="22"/>
        </w:rPr>
        <w:t>Submissions reiterated th</w:t>
      </w:r>
      <w:r w:rsidR="009A3E99" w:rsidRPr="003F5590">
        <w:rPr>
          <w:kern w:val="22"/>
          <w:szCs w:val="22"/>
        </w:rPr>
        <w:t xml:space="preserve">at any criteria developed should </w:t>
      </w:r>
      <w:proofErr w:type="gramStart"/>
      <w:r w:rsidR="009A3E99" w:rsidRPr="003F5590">
        <w:rPr>
          <w:kern w:val="22"/>
          <w:szCs w:val="22"/>
        </w:rPr>
        <w:t>take into account</w:t>
      </w:r>
      <w:proofErr w:type="gramEnd"/>
      <w:r w:rsidR="009A3E99" w:rsidRPr="003F5590">
        <w:rPr>
          <w:kern w:val="22"/>
          <w:szCs w:val="22"/>
        </w:rPr>
        <w:t xml:space="preserve"> the </w:t>
      </w:r>
      <w:r w:rsidRPr="00C20F6C">
        <w:rPr>
          <w:kern w:val="22"/>
          <w:szCs w:val="22"/>
        </w:rPr>
        <w:t>following</w:t>
      </w:r>
      <w:r w:rsidR="002D0C5C" w:rsidRPr="00C20F6C">
        <w:rPr>
          <w:kern w:val="22"/>
          <w:szCs w:val="22"/>
        </w:rPr>
        <w:t>:</w:t>
      </w:r>
    </w:p>
    <w:p w14:paraId="105C6FF1" w14:textId="62DEFCA3" w:rsidR="00232A43" w:rsidRPr="00F80246" w:rsidRDefault="00671C31" w:rsidP="00C20F6C">
      <w:pPr>
        <w:pStyle w:val="Para1"/>
        <w:numPr>
          <w:ilvl w:val="0"/>
          <w:numId w:val="5"/>
        </w:numPr>
        <w:suppressLineNumbers/>
        <w:suppressAutoHyphens/>
        <w:spacing w:before="0"/>
        <w:ind w:left="0" w:firstLine="720"/>
        <w:rPr>
          <w:kern w:val="22"/>
          <w:szCs w:val="22"/>
        </w:rPr>
      </w:pPr>
      <w:r w:rsidRPr="00F80246">
        <w:rPr>
          <w:i/>
          <w:iCs/>
          <w:kern w:val="22"/>
          <w:szCs w:val="22"/>
        </w:rPr>
        <w:t xml:space="preserve">Not be </w:t>
      </w:r>
      <w:r w:rsidR="00152F06" w:rsidRPr="00F80246">
        <w:rPr>
          <w:i/>
          <w:iCs/>
          <w:kern w:val="22"/>
          <w:szCs w:val="22"/>
        </w:rPr>
        <w:t xml:space="preserve">stricter than </w:t>
      </w:r>
      <w:r w:rsidRPr="00F80246">
        <w:rPr>
          <w:i/>
          <w:iCs/>
          <w:kern w:val="22"/>
          <w:szCs w:val="22"/>
        </w:rPr>
        <w:t>A</w:t>
      </w:r>
      <w:r w:rsidR="00152F06" w:rsidRPr="00F80246">
        <w:rPr>
          <w:i/>
          <w:iCs/>
          <w:kern w:val="22"/>
          <w:szCs w:val="22"/>
        </w:rPr>
        <w:t>rt</w:t>
      </w:r>
      <w:r w:rsidRPr="00F80246">
        <w:rPr>
          <w:i/>
          <w:iCs/>
          <w:kern w:val="22"/>
          <w:szCs w:val="22"/>
        </w:rPr>
        <w:t>icle</w:t>
      </w:r>
      <w:r w:rsidR="00152F06" w:rsidRPr="00F80246">
        <w:rPr>
          <w:i/>
          <w:iCs/>
          <w:kern w:val="22"/>
          <w:szCs w:val="22"/>
        </w:rPr>
        <w:t xml:space="preserve"> 4</w:t>
      </w:r>
      <w:r w:rsidR="00945BDD" w:rsidRPr="00F80246">
        <w:rPr>
          <w:i/>
          <w:iCs/>
          <w:kern w:val="22"/>
          <w:szCs w:val="22"/>
        </w:rPr>
        <w:t xml:space="preserve">, paragraph </w:t>
      </w:r>
      <w:r w:rsidR="00152F06" w:rsidRPr="00F80246">
        <w:rPr>
          <w:i/>
          <w:iCs/>
          <w:kern w:val="22"/>
          <w:szCs w:val="22"/>
        </w:rPr>
        <w:t>4</w:t>
      </w:r>
      <w:r w:rsidR="00945BDD" w:rsidRPr="00F80246">
        <w:rPr>
          <w:i/>
          <w:iCs/>
          <w:kern w:val="22"/>
          <w:szCs w:val="22"/>
        </w:rPr>
        <w:t>,</w:t>
      </w:r>
      <w:r w:rsidRPr="00F80246">
        <w:rPr>
          <w:i/>
          <w:iCs/>
          <w:kern w:val="22"/>
          <w:szCs w:val="22"/>
        </w:rPr>
        <w:t xml:space="preserve"> itself</w:t>
      </w:r>
      <w:r w:rsidRPr="00F80246">
        <w:rPr>
          <w:kern w:val="22"/>
          <w:szCs w:val="22"/>
        </w:rPr>
        <w:t>:</w:t>
      </w:r>
      <w:r w:rsidR="00232A43" w:rsidRPr="00F80246">
        <w:rPr>
          <w:kern w:val="22"/>
          <w:szCs w:val="22"/>
        </w:rPr>
        <w:t xml:space="preserve"> </w:t>
      </w:r>
      <w:r w:rsidR="005277ED" w:rsidRPr="00F80246">
        <w:rPr>
          <w:kern w:val="22"/>
          <w:szCs w:val="22"/>
        </w:rPr>
        <w:t xml:space="preserve">A number of </w:t>
      </w:r>
      <w:r w:rsidR="009A3E99" w:rsidRPr="00F80246">
        <w:rPr>
          <w:kern w:val="22"/>
          <w:szCs w:val="22"/>
        </w:rPr>
        <w:t xml:space="preserve">submissions </w:t>
      </w:r>
      <w:r w:rsidR="001057DA" w:rsidRPr="00F80246">
        <w:rPr>
          <w:kern w:val="22"/>
          <w:szCs w:val="22"/>
        </w:rPr>
        <w:t xml:space="preserve">seem to agree </w:t>
      </w:r>
      <w:r w:rsidR="00053780" w:rsidRPr="00F80246">
        <w:rPr>
          <w:kern w:val="22"/>
          <w:szCs w:val="22"/>
        </w:rPr>
        <w:t xml:space="preserve">that </w:t>
      </w:r>
      <w:r w:rsidR="009A3E99" w:rsidRPr="00F80246">
        <w:rPr>
          <w:kern w:val="22"/>
          <w:szCs w:val="22"/>
        </w:rPr>
        <w:t xml:space="preserve">any criteria developed should </w:t>
      </w:r>
      <w:r w:rsidR="002A777A" w:rsidRPr="00F80246">
        <w:rPr>
          <w:kern w:val="22"/>
          <w:szCs w:val="22"/>
        </w:rPr>
        <w:t xml:space="preserve">not narrow the scope of the Article 4, paragraph 4, or be more stringent than elements </w:t>
      </w:r>
      <w:r w:rsidR="00D1284E">
        <w:rPr>
          <w:kern w:val="22"/>
          <w:szCs w:val="22"/>
        </w:rPr>
        <w:t>of</w:t>
      </w:r>
      <w:r w:rsidR="002A777A" w:rsidRPr="00F80246">
        <w:rPr>
          <w:kern w:val="22"/>
          <w:szCs w:val="22"/>
        </w:rPr>
        <w:t xml:space="preserve"> this provision.</w:t>
      </w:r>
      <w:r w:rsidR="009A3E99" w:rsidRPr="00F80246">
        <w:rPr>
          <w:rStyle w:val="FootnoteReference"/>
          <w:kern w:val="22"/>
          <w:szCs w:val="22"/>
          <w:lang w:val="en-GB"/>
        </w:rPr>
        <w:footnoteReference w:id="11"/>
      </w:r>
      <w:r w:rsidR="009824C5" w:rsidRPr="00F80246">
        <w:rPr>
          <w:kern w:val="22"/>
          <w:szCs w:val="22"/>
        </w:rPr>
        <w:t xml:space="preserve"> </w:t>
      </w:r>
      <w:r w:rsidR="00232A43" w:rsidRPr="00F80246">
        <w:rPr>
          <w:kern w:val="22"/>
          <w:szCs w:val="22"/>
        </w:rPr>
        <w:t xml:space="preserve">All submissions </w:t>
      </w:r>
      <w:r w:rsidR="000B0B17" w:rsidRPr="00F80246">
        <w:rPr>
          <w:kern w:val="22"/>
          <w:szCs w:val="22"/>
        </w:rPr>
        <w:t>consider that</w:t>
      </w:r>
      <w:r w:rsidR="00232A43" w:rsidRPr="00F80246">
        <w:rPr>
          <w:kern w:val="22"/>
          <w:szCs w:val="22"/>
        </w:rPr>
        <w:t xml:space="preserve"> the core criteri</w:t>
      </w:r>
      <w:r w:rsidR="007C765F" w:rsidRPr="00F80246">
        <w:rPr>
          <w:kern w:val="22"/>
          <w:szCs w:val="22"/>
        </w:rPr>
        <w:t>on</w:t>
      </w:r>
      <w:r w:rsidR="00232A43" w:rsidRPr="00F80246">
        <w:rPr>
          <w:kern w:val="22"/>
          <w:szCs w:val="22"/>
        </w:rPr>
        <w:t xml:space="preserve"> </w:t>
      </w:r>
      <w:r w:rsidR="000B0B17" w:rsidRPr="00F80246">
        <w:rPr>
          <w:kern w:val="22"/>
          <w:szCs w:val="22"/>
        </w:rPr>
        <w:t xml:space="preserve">set out in </w:t>
      </w:r>
      <w:r w:rsidR="00232A43" w:rsidRPr="00F80246">
        <w:rPr>
          <w:kern w:val="22"/>
          <w:szCs w:val="22"/>
        </w:rPr>
        <w:t>Article</w:t>
      </w:r>
      <w:r w:rsidR="00AD548E" w:rsidRPr="00F80246">
        <w:rPr>
          <w:kern w:val="22"/>
          <w:szCs w:val="22"/>
        </w:rPr>
        <w:t> </w:t>
      </w:r>
      <w:r w:rsidR="00232A43" w:rsidRPr="00F80246">
        <w:rPr>
          <w:kern w:val="22"/>
          <w:szCs w:val="22"/>
        </w:rPr>
        <w:t>4</w:t>
      </w:r>
      <w:r w:rsidR="00B70197" w:rsidRPr="00F80246">
        <w:rPr>
          <w:kern w:val="22"/>
          <w:szCs w:val="22"/>
        </w:rPr>
        <w:t xml:space="preserve">, paragraph </w:t>
      </w:r>
      <w:r w:rsidR="00232A43" w:rsidRPr="00F80246">
        <w:rPr>
          <w:kern w:val="22"/>
          <w:szCs w:val="22"/>
        </w:rPr>
        <w:t>4</w:t>
      </w:r>
      <w:r w:rsidR="00B70197" w:rsidRPr="00F80246">
        <w:rPr>
          <w:kern w:val="22"/>
          <w:szCs w:val="22"/>
        </w:rPr>
        <w:t>,</w:t>
      </w:r>
      <w:r w:rsidR="00232A43" w:rsidRPr="00F80246">
        <w:rPr>
          <w:kern w:val="22"/>
          <w:szCs w:val="22"/>
        </w:rPr>
        <w:t xml:space="preserve"> </w:t>
      </w:r>
      <w:r w:rsidR="000B0B17" w:rsidRPr="00F80246">
        <w:rPr>
          <w:kern w:val="22"/>
          <w:szCs w:val="22"/>
        </w:rPr>
        <w:t xml:space="preserve">is </w:t>
      </w:r>
      <w:r w:rsidR="00232A43" w:rsidRPr="00F80246">
        <w:rPr>
          <w:kern w:val="22"/>
          <w:szCs w:val="22"/>
        </w:rPr>
        <w:t xml:space="preserve">that a </w:t>
      </w:r>
      <w:bookmarkStart w:id="7" w:name="_Hlk36097996"/>
      <w:r w:rsidR="00232A43" w:rsidRPr="00F80246">
        <w:rPr>
          <w:kern w:val="22"/>
          <w:szCs w:val="22"/>
        </w:rPr>
        <w:t>specialized international ABS instrument shall be consistent with and not run counter to the objectives of the Convention and the Protocol</w:t>
      </w:r>
      <w:r w:rsidR="00AF18B5" w:rsidRPr="00F80246">
        <w:rPr>
          <w:kern w:val="22"/>
          <w:szCs w:val="22"/>
        </w:rPr>
        <w:t>, in particular the fair and equitable sharing of the benefits arising from the utilization of genetic resources</w:t>
      </w:r>
      <w:bookmarkEnd w:id="7"/>
      <w:r w:rsidR="00232A43" w:rsidRPr="00F80246">
        <w:rPr>
          <w:kern w:val="22"/>
          <w:szCs w:val="22"/>
        </w:rPr>
        <w:t xml:space="preserve">. </w:t>
      </w:r>
      <w:r w:rsidR="000D51CE" w:rsidRPr="00F80246">
        <w:rPr>
          <w:kern w:val="22"/>
          <w:szCs w:val="22"/>
        </w:rPr>
        <w:t>T</w:t>
      </w:r>
      <w:r w:rsidR="00232A43" w:rsidRPr="00F80246">
        <w:rPr>
          <w:kern w:val="22"/>
          <w:szCs w:val="22"/>
        </w:rPr>
        <w:t xml:space="preserve">he </w:t>
      </w:r>
      <w:r w:rsidR="000C26E4" w:rsidRPr="00F80246">
        <w:rPr>
          <w:kern w:val="22"/>
          <w:szCs w:val="22"/>
        </w:rPr>
        <w:t xml:space="preserve">requirement </w:t>
      </w:r>
      <w:r w:rsidR="00232A43" w:rsidRPr="00F80246">
        <w:rPr>
          <w:kern w:val="22"/>
          <w:szCs w:val="22"/>
        </w:rPr>
        <w:t>that the Protocol and any speciali</w:t>
      </w:r>
      <w:r w:rsidR="00B70197" w:rsidRPr="00F80246">
        <w:rPr>
          <w:kern w:val="22"/>
          <w:szCs w:val="22"/>
        </w:rPr>
        <w:t>z</w:t>
      </w:r>
      <w:r w:rsidR="00232A43" w:rsidRPr="00F80246">
        <w:rPr>
          <w:kern w:val="22"/>
          <w:szCs w:val="22"/>
        </w:rPr>
        <w:t>ed international ABS instrument should be mutually supportive</w:t>
      </w:r>
      <w:r w:rsidR="000D51CE" w:rsidRPr="00F80246">
        <w:rPr>
          <w:kern w:val="22"/>
          <w:szCs w:val="22"/>
        </w:rPr>
        <w:t xml:space="preserve"> is specifically developed in three submissions</w:t>
      </w:r>
      <w:r w:rsidR="008B2355" w:rsidRPr="00F80246">
        <w:rPr>
          <w:kern w:val="22"/>
          <w:szCs w:val="22"/>
        </w:rPr>
        <w:t>;</w:t>
      </w:r>
      <w:r w:rsidR="000D51CE" w:rsidRPr="00961A9F">
        <w:rPr>
          <w:kern w:val="22"/>
          <w:szCs w:val="22"/>
          <w:vertAlign w:val="superscript"/>
        </w:rPr>
        <w:footnoteReference w:id="12"/>
      </w:r>
    </w:p>
    <w:p w14:paraId="4A86023A" w14:textId="47E153A0" w:rsidR="00E32DB3" w:rsidRPr="00F80246" w:rsidRDefault="002645EF" w:rsidP="00C20F6C">
      <w:pPr>
        <w:pStyle w:val="Para1"/>
        <w:numPr>
          <w:ilvl w:val="0"/>
          <w:numId w:val="5"/>
        </w:numPr>
        <w:suppressLineNumbers/>
        <w:suppressAutoHyphens/>
        <w:spacing w:before="0"/>
        <w:ind w:left="0" w:firstLine="720"/>
        <w:rPr>
          <w:kern w:val="22"/>
          <w:szCs w:val="22"/>
        </w:rPr>
      </w:pPr>
      <w:r w:rsidRPr="00F80246">
        <w:rPr>
          <w:i/>
          <w:iCs/>
          <w:kern w:val="22"/>
          <w:szCs w:val="22"/>
        </w:rPr>
        <w:t>Not create any hierarchy between the Protocol and other speciali</w:t>
      </w:r>
      <w:r w:rsidR="00B70197" w:rsidRPr="00F80246">
        <w:rPr>
          <w:i/>
          <w:iCs/>
          <w:kern w:val="22"/>
          <w:szCs w:val="22"/>
        </w:rPr>
        <w:t>z</w:t>
      </w:r>
      <w:r w:rsidRPr="00F80246">
        <w:rPr>
          <w:i/>
          <w:iCs/>
          <w:kern w:val="22"/>
          <w:szCs w:val="22"/>
        </w:rPr>
        <w:t>ed international ABS instrument</w:t>
      </w:r>
      <w:r w:rsidR="00B70197" w:rsidRPr="00F80246">
        <w:rPr>
          <w:i/>
          <w:iCs/>
          <w:kern w:val="22"/>
          <w:szCs w:val="22"/>
        </w:rPr>
        <w:t>s</w:t>
      </w:r>
      <w:r w:rsidRPr="00F80246">
        <w:rPr>
          <w:kern w:val="22"/>
          <w:szCs w:val="22"/>
        </w:rPr>
        <w:t xml:space="preserve">: </w:t>
      </w:r>
      <w:r w:rsidR="009A3E99" w:rsidRPr="00F80246">
        <w:rPr>
          <w:kern w:val="22"/>
          <w:szCs w:val="22"/>
        </w:rPr>
        <w:t>T</w:t>
      </w:r>
      <w:r w:rsidRPr="00F80246">
        <w:rPr>
          <w:kern w:val="22"/>
          <w:szCs w:val="22"/>
        </w:rPr>
        <w:t xml:space="preserve">hree submissions highlighted </w:t>
      </w:r>
      <w:r w:rsidR="00EB19CC">
        <w:rPr>
          <w:kern w:val="22"/>
          <w:szCs w:val="22"/>
        </w:rPr>
        <w:t>the need</w:t>
      </w:r>
      <w:r w:rsidRPr="00F80246">
        <w:rPr>
          <w:kern w:val="22"/>
          <w:szCs w:val="22"/>
        </w:rPr>
        <w:t xml:space="preserve"> to ensure </w:t>
      </w:r>
      <w:r w:rsidR="000C26E4" w:rsidRPr="00F80246">
        <w:rPr>
          <w:kern w:val="22"/>
          <w:szCs w:val="22"/>
        </w:rPr>
        <w:t xml:space="preserve">that no </w:t>
      </w:r>
      <w:r w:rsidRPr="00F80246">
        <w:rPr>
          <w:kern w:val="22"/>
          <w:szCs w:val="22"/>
        </w:rPr>
        <w:t>hierarchy between the Protocol and any other speciali</w:t>
      </w:r>
      <w:r w:rsidR="003A6320" w:rsidRPr="00F80246">
        <w:rPr>
          <w:kern w:val="22"/>
          <w:szCs w:val="22"/>
        </w:rPr>
        <w:t>z</w:t>
      </w:r>
      <w:r w:rsidRPr="00F80246">
        <w:rPr>
          <w:kern w:val="22"/>
          <w:szCs w:val="22"/>
        </w:rPr>
        <w:t xml:space="preserve">ed international ABS instrument </w:t>
      </w:r>
      <w:r w:rsidR="000C26E4" w:rsidRPr="00F80246">
        <w:rPr>
          <w:kern w:val="22"/>
          <w:szCs w:val="22"/>
        </w:rPr>
        <w:t xml:space="preserve">exists </w:t>
      </w:r>
      <w:r w:rsidRPr="00F80246">
        <w:rPr>
          <w:kern w:val="22"/>
          <w:szCs w:val="22"/>
        </w:rPr>
        <w:t>regardless of how other instruments would be identified</w:t>
      </w:r>
      <w:r w:rsidR="008B2355" w:rsidRPr="00F80246">
        <w:rPr>
          <w:kern w:val="22"/>
          <w:szCs w:val="22"/>
        </w:rPr>
        <w:t>;</w:t>
      </w:r>
      <w:r w:rsidRPr="00961A9F">
        <w:rPr>
          <w:kern w:val="22"/>
          <w:szCs w:val="22"/>
          <w:vertAlign w:val="superscript"/>
        </w:rPr>
        <w:footnoteReference w:id="13"/>
      </w:r>
    </w:p>
    <w:p w14:paraId="617401E8" w14:textId="1A0D32A4" w:rsidR="000F3D76" w:rsidRPr="00F80246" w:rsidRDefault="000D51CE" w:rsidP="00C20F6C">
      <w:pPr>
        <w:pStyle w:val="Para1"/>
        <w:numPr>
          <w:ilvl w:val="0"/>
          <w:numId w:val="5"/>
        </w:numPr>
        <w:suppressLineNumbers/>
        <w:suppressAutoHyphens/>
        <w:spacing w:before="0"/>
        <w:ind w:left="0" w:firstLine="720"/>
        <w:rPr>
          <w:kern w:val="22"/>
          <w:szCs w:val="22"/>
        </w:rPr>
      </w:pPr>
      <w:r w:rsidRPr="00961A9F">
        <w:rPr>
          <w:i/>
          <w:kern w:val="22"/>
          <w:szCs w:val="22"/>
        </w:rPr>
        <w:t>Allow fl</w:t>
      </w:r>
      <w:r w:rsidR="00232A43" w:rsidRPr="009F665A">
        <w:rPr>
          <w:i/>
          <w:kern w:val="22"/>
          <w:szCs w:val="22"/>
        </w:rPr>
        <w:t>e</w:t>
      </w:r>
      <w:r w:rsidRPr="009F665A">
        <w:rPr>
          <w:i/>
          <w:kern w:val="22"/>
          <w:szCs w:val="22"/>
        </w:rPr>
        <w:t>xibility:</w:t>
      </w:r>
      <w:r w:rsidRPr="003F5590">
        <w:rPr>
          <w:kern w:val="22"/>
          <w:szCs w:val="22"/>
        </w:rPr>
        <w:t xml:space="preserve"> </w:t>
      </w:r>
      <w:r w:rsidR="007A2045" w:rsidRPr="00C20F6C">
        <w:rPr>
          <w:kern w:val="22"/>
          <w:szCs w:val="22"/>
        </w:rPr>
        <w:t>Five s</w:t>
      </w:r>
      <w:r w:rsidRPr="00C20F6C">
        <w:rPr>
          <w:kern w:val="22"/>
          <w:szCs w:val="22"/>
        </w:rPr>
        <w:t>ubmissions</w:t>
      </w:r>
      <w:r w:rsidR="00AF18B5" w:rsidRPr="00961A9F">
        <w:rPr>
          <w:rStyle w:val="FootnoteReference"/>
          <w:kern w:val="22"/>
          <w:szCs w:val="22"/>
          <w:lang w:val="en-GB"/>
        </w:rPr>
        <w:footnoteReference w:id="14"/>
      </w:r>
      <w:r w:rsidRPr="00C20F6C">
        <w:rPr>
          <w:kern w:val="22"/>
          <w:szCs w:val="22"/>
        </w:rPr>
        <w:t xml:space="preserve"> </w:t>
      </w:r>
      <w:r w:rsidR="000C26E4" w:rsidRPr="00C20F6C">
        <w:rPr>
          <w:kern w:val="22"/>
          <w:szCs w:val="22"/>
        </w:rPr>
        <w:t>expressed the view</w:t>
      </w:r>
      <w:r w:rsidRPr="00C20F6C">
        <w:rPr>
          <w:kern w:val="22"/>
          <w:szCs w:val="22"/>
        </w:rPr>
        <w:t xml:space="preserve"> that </w:t>
      </w:r>
      <w:r w:rsidR="001F72B4" w:rsidRPr="00C20F6C">
        <w:rPr>
          <w:kern w:val="22"/>
          <w:szCs w:val="22"/>
        </w:rPr>
        <w:t xml:space="preserve">any </w:t>
      </w:r>
      <w:r w:rsidRPr="00C20F6C">
        <w:rPr>
          <w:kern w:val="22"/>
          <w:szCs w:val="22"/>
        </w:rPr>
        <w:t>criteria developed should</w:t>
      </w:r>
      <w:r w:rsidR="000C26E4" w:rsidRPr="00C20F6C">
        <w:rPr>
          <w:kern w:val="22"/>
          <w:szCs w:val="22"/>
        </w:rPr>
        <w:t>:</w:t>
      </w:r>
      <w:r w:rsidRPr="00C20F6C">
        <w:rPr>
          <w:kern w:val="22"/>
          <w:szCs w:val="22"/>
        </w:rPr>
        <w:t xml:space="preserve"> </w:t>
      </w:r>
      <w:r w:rsidR="00D96A2B" w:rsidRPr="00C20F6C">
        <w:rPr>
          <w:kern w:val="22"/>
          <w:szCs w:val="22"/>
        </w:rPr>
        <w:t>(</w:t>
      </w:r>
      <w:proofErr w:type="spellStart"/>
      <w:r w:rsidR="00D96A2B" w:rsidRPr="00C20F6C">
        <w:rPr>
          <w:kern w:val="22"/>
          <w:szCs w:val="22"/>
        </w:rPr>
        <w:t>i</w:t>
      </w:r>
      <w:proofErr w:type="spellEnd"/>
      <w:r w:rsidR="00D96A2B" w:rsidRPr="00C20F6C">
        <w:rPr>
          <w:kern w:val="22"/>
          <w:szCs w:val="22"/>
        </w:rPr>
        <w:t xml:space="preserve">) </w:t>
      </w:r>
      <w:r w:rsidRPr="00C20F6C">
        <w:rPr>
          <w:kern w:val="22"/>
          <w:szCs w:val="22"/>
        </w:rPr>
        <w:t>encourage flexibility and speciali</w:t>
      </w:r>
      <w:r w:rsidR="003A6320" w:rsidRPr="00C20F6C">
        <w:rPr>
          <w:kern w:val="22"/>
          <w:szCs w:val="22"/>
        </w:rPr>
        <w:t>z</w:t>
      </w:r>
      <w:r w:rsidRPr="00C20F6C">
        <w:rPr>
          <w:kern w:val="22"/>
          <w:szCs w:val="22"/>
        </w:rPr>
        <w:t>ation</w:t>
      </w:r>
      <w:r w:rsidR="000C26E4" w:rsidRPr="00C20F6C">
        <w:rPr>
          <w:kern w:val="22"/>
          <w:szCs w:val="22"/>
        </w:rPr>
        <w:t>;</w:t>
      </w:r>
      <w:r w:rsidRPr="00C20F6C">
        <w:rPr>
          <w:kern w:val="22"/>
          <w:szCs w:val="22"/>
        </w:rPr>
        <w:t xml:space="preserve"> </w:t>
      </w:r>
      <w:r w:rsidR="00D96A2B" w:rsidRPr="00C20F6C">
        <w:rPr>
          <w:kern w:val="22"/>
          <w:szCs w:val="22"/>
        </w:rPr>
        <w:t xml:space="preserve">(ii) </w:t>
      </w:r>
      <w:r w:rsidRPr="00C20F6C">
        <w:rPr>
          <w:kern w:val="22"/>
          <w:szCs w:val="22"/>
        </w:rPr>
        <w:t>not prevent valuable initiatives by Parties</w:t>
      </w:r>
      <w:r w:rsidR="00D96A2B" w:rsidRPr="00C20F6C">
        <w:rPr>
          <w:kern w:val="22"/>
          <w:szCs w:val="22"/>
        </w:rPr>
        <w:t>;</w:t>
      </w:r>
      <w:r w:rsidRPr="00C20F6C">
        <w:rPr>
          <w:kern w:val="22"/>
          <w:szCs w:val="22"/>
        </w:rPr>
        <w:t xml:space="preserve"> and </w:t>
      </w:r>
      <w:r w:rsidR="00D96A2B" w:rsidRPr="00C20F6C">
        <w:rPr>
          <w:kern w:val="22"/>
          <w:szCs w:val="22"/>
        </w:rPr>
        <w:t xml:space="preserve">(iii) </w:t>
      </w:r>
      <w:r w:rsidRPr="00C20F6C">
        <w:rPr>
          <w:kern w:val="22"/>
          <w:szCs w:val="22"/>
        </w:rPr>
        <w:t>not undermine the rights of Parties to develop appropriately speciali</w:t>
      </w:r>
      <w:r w:rsidR="003A6320" w:rsidRPr="00C20F6C">
        <w:rPr>
          <w:kern w:val="22"/>
          <w:szCs w:val="22"/>
        </w:rPr>
        <w:t>z</w:t>
      </w:r>
      <w:r w:rsidRPr="00C20F6C">
        <w:rPr>
          <w:kern w:val="22"/>
          <w:szCs w:val="22"/>
        </w:rPr>
        <w:t xml:space="preserve">ed regimes. </w:t>
      </w:r>
      <w:r w:rsidR="00BA570B" w:rsidRPr="00C20F6C">
        <w:rPr>
          <w:kern w:val="22"/>
          <w:szCs w:val="22"/>
        </w:rPr>
        <w:t>It was</w:t>
      </w:r>
      <w:r w:rsidR="004039B3">
        <w:rPr>
          <w:kern w:val="22"/>
          <w:szCs w:val="22"/>
        </w:rPr>
        <w:t xml:space="preserve"> </w:t>
      </w:r>
      <w:r w:rsidR="000C26E4" w:rsidRPr="00C20F6C">
        <w:rPr>
          <w:kern w:val="22"/>
          <w:szCs w:val="22"/>
        </w:rPr>
        <w:t>noted</w:t>
      </w:r>
      <w:r w:rsidR="004039B3" w:rsidRPr="00AC0A3D">
        <w:rPr>
          <w:kern w:val="22"/>
          <w:szCs w:val="22"/>
        </w:rPr>
        <w:t>, on the other hand,</w:t>
      </w:r>
      <w:r w:rsidR="000C26E4" w:rsidRPr="00C20F6C">
        <w:rPr>
          <w:kern w:val="22"/>
          <w:szCs w:val="22"/>
        </w:rPr>
        <w:t xml:space="preserve"> </w:t>
      </w:r>
      <w:r w:rsidR="00BA570B" w:rsidRPr="00C20F6C">
        <w:rPr>
          <w:kern w:val="22"/>
          <w:szCs w:val="22"/>
        </w:rPr>
        <w:t xml:space="preserve">that such criteria should not weaken the </w:t>
      </w:r>
      <w:r w:rsidR="00E32DB3" w:rsidRPr="00C20F6C">
        <w:rPr>
          <w:kern w:val="22"/>
          <w:szCs w:val="22"/>
        </w:rPr>
        <w:t>legally binding</w:t>
      </w:r>
      <w:r w:rsidR="00BA570B" w:rsidRPr="00C20F6C">
        <w:rPr>
          <w:kern w:val="22"/>
          <w:szCs w:val="22"/>
        </w:rPr>
        <w:t xml:space="preserve"> provisions of the Nagoya Protocol.</w:t>
      </w:r>
      <w:r w:rsidR="00BA570B" w:rsidRPr="00C20F6C">
        <w:rPr>
          <w:rStyle w:val="FootnoteReference"/>
          <w:kern w:val="22"/>
          <w:szCs w:val="22"/>
          <w:lang w:val="en-GB"/>
        </w:rPr>
        <w:footnoteReference w:id="15"/>
      </w:r>
      <w:r w:rsidR="00BA570B" w:rsidRPr="00C20F6C">
        <w:rPr>
          <w:kern w:val="22"/>
          <w:szCs w:val="22"/>
        </w:rPr>
        <w:t xml:space="preserve"> </w:t>
      </w:r>
      <w:r w:rsidR="000C26E4" w:rsidRPr="00C20F6C">
        <w:rPr>
          <w:kern w:val="22"/>
          <w:szCs w:val="22"/>
        </w:rPr>
        <w:t>A</w:t>
      </w:r>
      <w:r w:rsidR="000F3D76" w:rsidRPr="00C20F6C">
        <w:rPr>
          <w:kern w:val="22"/>
          <w:szCs w:val="22"/>
        </w:rPr>
        <w:t xml:space="preserve"> Party</w:t>
      </w:r>
      <w:r w:rsidR="000C26E4" w:rsidRPr="00C20F6C">
        <w:rPr>
          <w:kern w:val="22"/>
          <w:szCs w:val="22"/>
        </w:rPr>
        <w:t xml:space="preserve"> expressed the view that</w:t>
      </w:r>
      <w:r w:rsidR="000F3D76" w:rsidRPr="00C20F6C">
        <w:rPr>
          <w:kern w:val="22"/>
          <w:szCs w:val="22"/>
        </w:rPr>
        <w:t xml:space="preserve"> the criteria should be tailored in </w:t>
      </w:r>
      <w:r w:rsidR="003717D7">
        <w:rPr>
          <w:kern w:val="22"/>
          <w:szCs w:val="22"/>
        </w:rPr>
        <w:t xml:space="preserve">such </w:t>
      </w:r>
      <w:r w:rsidR="000F3D76" w:rsidRPr="00C20F6C">
        <w:rPr>
          <w:kern w:val="22"/>
          <w:szCs w:val="22"/>
        </w:rPr>
        <w:t xml:space="preserve">a way </w:t>
      </w:r>
      <w:r w:rsidR="003717D7">
        <w:rPr>
          <w:kern w:val="22"/>
          <w:szCs w:val="22"/>
        </w:rPr>
        <w:t>as to</w:t>
      </w:r>
      <w:r w:rsidR="003717D7" w:rsidRPr="00C20F6C">
        <w:rPr>
          <w:kern w:val="22"/>
          <w:szCs w:val="22"/>
        </w:rPr>
        <w:t xml:space="preserve"> </w:t>
      </w:r>
      <w:r w:rsidR="000F3D76" w:rsidRPr="00C20F6C">
        <w:rPr>
          <w:kern w:val="22"/>
          <w:szCs w:val="22"/>
        </w:rPr>
        <w:t xml:space="preserve">ensure that the PIP </w:t>
      </w:r>
      <w:r w:rsidR="000F3D76" w:rsidRPr="00C20F6C">
        <w:rPr>
          <w:kern w:val="22"/>
          <w:szCs w:val="22"/>
          <w:lang w:eastAsia="en-GB"/>
        </w:rPr>
        <w:t xml:space="preserve">Framework of the </w:t>
      </w:r>
      <w:r w:rsidR="00D96A2B" w:rsidRPr="00C20F6C">
        <w:rPr>
          <w:kern w:val="22"/>
          <w:szCs w:val="22"/>
          <w:lang w:eastAsia="en-GB"/>
        </w:rPr>
        <w:t>World</w:t>
      </w:r>
      <w:r w:rsidR="003A6320" w:rsidRPr="00C20F6C">
        <w:rPr>
          <w:kern w:val="22"/>
          <w:szCs w:val="22"/>
          <w:lang w:eastAsia="en-GB"/>
        </w:rPr>
        <w:t xml:space="preserve"> </w:t>
      </w:r>
      <w:r w:rsidR="00D96A2B" w:rsidRPr="00C20F6C">
        <w:rPr>
          <w:kern w:val="22"/>
          <w:szCs w:val="22"/>
          <w:lang w:eastAsia="en-GB"/>
        </w:rPr>
        <w:t>Health</w:t>
      </w:r>
      <w:r w:rsidR="003A6320" w:rsidRPr="00C20F6C">
        <w:rPr>
          <w:kern w:val="22"/>
          <w:szCs w:val="22"/>
          <w:lang w:eastAsia="en-GB"/>
        </w:rPr>
        <w:t xml:space="preserve"> Organization</w:t>
      </w:r>
      <w:r w:rsidR="00DD6E98" w:rsidRPr="00C20F6C">
        <w:rPr>
          <w:kern w:val="22"/>
          <w:szCs w:val="22"/>
          <w:lang w:eastAsia="en-GB"/>
        </w:rPr>
        <w:t xml:space="preserve"> falls within the criteria</w:t>
      </w:r>
      <w:r w:rsidR="008B2355" w:rsidRPr="00C20F6C">
        <w:rPr>
          <w:kern w:val="22"/>
          <w:szCs w:val="22"/>
        </w:rPr>
        <w:t>;</w:t>
      </w:r>
      <w:r w:rsidR="000F3D76" w:rsidRPr="00C20F6C">
        <w:rPr>
          <w:rStyle w:val="FootnoteReference"/>
          <w:kern w:val="22"/>
          <w:szCs w:val="22"/>
          <w:lang w:val="en-GB"/>
        </w:rPr>
        <w:footnoteReference w:id="16"/>
      </w:r>
    </w:p>
    <w:p w14:paraId="3FFE5F37" w14:textId="4D17CB88" w:rsidR="00D6212B" w:rsidRPr="00F80246" w:rsidRDefault="00AF18B5" w:rsidP="00C20F6C">
      <w:pPr>
        <w:pStyle w:val="Para1"/>
        <w:numPr>
          <w:ilvl w:val="0"/>
          <w:numId w:val="5"/>
        </w:numPr>
        <w:suppressLineNumbers/>
        <w:suppressAutoHyphens/>
        <w:spacing w:before="0"/>
        <w:ind w:left="0" w:firstLine="720"/>
        <w:rPr>
          <w:kern w:val="22"/>
          <w:szCs w:val="22"/>
        </w:rPr>
      </w:pPr>
      <w:r w:rsidRPr="00C20F6C">
        <w:rPr>
          <w:i/>
          <w:iCs/>
          <w:kern w:val="22"/>
          <w:szCs w:val="22"/>
        </w:rPr>
        <w:t xml:space="preserve">Take into account the general principles of law and the concept of </w:t>
      </w:r>
      <w:proofErr w:type="spellStart"/>
      <w:r w:rsidRPr="00C20F6C">
        <w:rPr>
          <w:i/>
          <w:iCs/>
          <w:kern w:val="22"/>
          <w:szCs w:val="22"/>
        </w:rPr>
        <w:t>lex</w:t>
      </w:r>
      <w:proofErr w:type="spellEnd"/>
      <w:r w:rsidRPr="00C20F6C">
        <w:rPr>
          <w:i/>
          <w:iCs/>
          <w:kern w:val="22"/>
          <w:szCs w:val="22"/>
        </w:rPr>
        <w:t xml:space="preserve"> </w:t>
      </w:r>
      <w:proofErr w:type="spellStart"/>
      <w:r w:rsidRPr="00C20F6C">
        <w:rPr>
          <w:i/>
          <w:iCs/>
          <w:kern w:val="22"/>
          <w:szCs w:val="22"/>
        </w:rPr>
        <w:t>specialis</w:t>
      </w:r>
      <w:proofErr w:type="spellEnd"/>
      <w:r w:rsidR="00311FFD" w:rsidRPr="00C20F6C">
        <w:rPr>
          <w:i/>
          <w:iCs/>
          <w:kern w:val="22"/>
          <w:szCs w:val="22"/>
        </w:rPr>
        <w:t>:</w:t>
      </w:r>
      <w:r w:rsidRPr="00C20F6C">
        <w:rPr>
          <w:rStyle w:val="FootnoteReference"/>
          <w:kern w:val="22"/>
          <w:szCs w:val="22"/>
          <w:lang w:val="en-GB"/>
        </w:rPr>
        <w:footnoteReference w:id="17"/>
      </w:r>
      <w:r w:rsidR="004248D8" w:rsidRPr="00C20F6C">
        <w:rPr>
          <w:kern w:val="22"/>
          <w:szCs w:val="22"/>
        </w:rPr>
        <w:t xml:space="preserve"> </w:t>
      </w:r>
      <w:r w:rsidR="000C26E4" w:rsidRPr="00C20F6C">
        <w:rPr>
          <w:kern w:val="22"/>
          <w:szCs w:val="22"/>
        </w:rPr>
        <w:t>O</w:t>
      </w:r>
      <w:r w:rsidR="004248D8" w:rsidRPr="00C20F6C">
        <w:rPr>
          <w:kern w:val="22"/>
          <w:szCs w:val="22"/>
        </w:rPr>
        <w:t>ne submission</w:t>
      </w:r>
      <w:r w:rsidR="008B2355" w:rsidRPr="00C20F6C">
        <w:rPr>
          <w:kern w:val="22"/>
          <w:szCs w:val="22"/>
        </w:rPr>
        <w:t>,</w:t>
      </w:r>
      <w:r w:rsidR="0042281C" w:rsidRPr="00C20F6C">
        <w:rPr>
          <w:rStyle w:val="FootnoteReference"/>
          <w:kern w:val="22"/>
          <w:szCs w:val="22"/>
          <w:lang w:val="en-GB"/>
        </w:rPr>
        <w:footnoteReference w:id="18"/>
      </w:r>
      <w:r w:rsidR="00412E76" w:rsidRPr="00C20F6C">
        <w:rPr>
          <w:kern w:val="22"/>
          <w:szCs w:val="22"/>
        </w:rPr>
        <w:t xml:space="preserve"> on the other hand,</w:t>
      </w:r>
      <w:r w:rsidR="004248D8" w:rsidRPr="00C20F6C">
        <w:rPr>
          <w:kern w:val="22"/>
          <w:szCs w:val="22"/>
        </w:rPr>
        <w:t xml:space="preserve"> caution</w:t>
      </w:r>
      <w:r w:rsidR="00412E76" w:rsidRPr="00C20F6C">
        <w:rPr>
          <w:kern w:val="22"/>
          <w:szCs w:val="22"/>
        </w:rPr>
        <w:t>s</w:t>
      </w:r>
      <w:r w:rsidR="004248D8" w:rsidRPr="00C20F6C">
        <w:rPr>
          <w:kern w:val="22"/>
          <w:szCs w:val="22"/>
        </w:rPr>
        <w:t xml:space="preserve"> against potential fragmentation of international ABS instruments and that the proliferation of international ABS instruments may have deleterious effects on national implementation, coordination and accountability.</w:t>
      </w:r>
    </w:p>
    <w:p w14:paraId="61C82BB4" w14:textId="24E80C75" w:rsidR="00343FE4" w:rsidRPr="00C20F6C" w:rsidRDefault="00343FE4" w:rsidP="00C20F6C">
      <w:pPr>
        <w:pStyle w:val="Heading2"/>
        <w:numPr>
          <w:ilvl w:val="0"/>
          <w:numId w:val="29"/>
        </w:numPr>
        <w:suppressLineNumbers/>
        <w:tabs>
          <w:tab w:val="clear" w:pos="720"/>
        </w:tabs>
        <w:suppressAutoHyphens/>
        <w:ind w:left="1418" w:hanging="567"/>
        <w:jc w:val="left"/>
        <w:rPr>
          <w:kern w:val="22"/>
          <w:szCs w:val="22"/>
        </w:rPr>
      </w:pPr>
      <w:r w:rsidRPr="00961A9F">
        <w:rPr>
          <w:kern w:val="22"/>
          <w:szCs w:val="22"/>
        </w:rPr>
        <w:t>Vi</w:t>
      </w:r>
      <w:r w:rsidR="00BA570B" w:rsidRPr="009F665A">
        <w:rPr>
          <w:kern w:val="22"/>
          <w:szCs w:val="22"/>
        </w:rPr>
        <w:t xml:space="preserve">ews on the possible process for recognizing a </w:t>
      </w:r>
      <w:r w:rsidRPr="009F665A">
        <w:rPr>
          <w:iCs w:val="0"/>
          <w:kern w:val="22"/>
          <w:szCs w:val="22"/>
        </w:rPr>
        <w:t>speciali</w:t>
      </w:r>
      <w:r w:rsidR="00432C86" w:rsidRPr="003F5590">
        <w:rPr>
          <w:iCs w:val="0"/>
          <w:kern w:val="22"/>
          <w:szCs w:val="22"/>
        </w:rPr>
        <w:t>z</w:t>
      </w:r>
      <w:r w:rsidRPr="00C20F6C">
        <w:rPr>
          <w:iCs w:val="0"/>
          <w:kern w:val="22"/>
          <w:szCs w:val="22"/>
        </w:rPr>
        <w:t>ed international ABS instruments</w:t>
      </w:r>
    </w:p>
    <w:p w14:paraId="7DCF6DFD" w14:textId="7532A384" w:rsidR="00FF7E98" w:rsidRPr="00C20F6C" w:rsidRDefault="009B506F" w:rsidP="00C20F6C">
      <w:pPr>
        <w:pStyle w:val="Para1"/>
        <w:numPr>
          <w:ilvl w:val="0"/>
          <w:numId w:val="7"/>
        </w:numPr>
        <w:suppressLineNumbers/>
        <w:tabs>
          <w:tab w:val="num" w:pos="709"/>
        </w:tabs>
        <w:suppressAutoHyphens/>
        <w:ind w:left="0" w:firstLine="0"/>
        <w:rPr>
          <w:bCs/>
          <w:kern w:val="22"/>
          <w:szCs w:val="22"/>
        </w:rPr>
      </w:pPr>
      <w:r w:rsidRPr="00C20F6C">
        <w:rPr>
          <w:bCs/>
          <w:kern w:val="22"/>
          <w:szCs w:val="22"/>
        </w:rPr>
        <w:t xml:space="preserve">Several </w:t>
      </w:r>
      <w:r w:rsidR="00FF7E98" w:rsidRPr="00C20F6C">
        <w:rPr>
          <w:bCs/>
          <w:kern w:val="22"/>
          <w:szCs w:val="22"/>
        </w:rPr>
        <w:t xml:space="preserve">submissions </w:t>
      </w:r>
      <w:r w:rsidRPr="00C20F6C">
        <w:rPr>
          <w:bCs/>
          <w:kern w:val="22"/>
          <w:szCs w:val="22"/>
        </w:rPr>
        <w:t xml:space="preserve">appear to converge </w:t>
      </w:r>
      <w:proofErr w:type="gramStart"/>
      <w:r w:rsidRPr="00C20F6C">
        <w:rPr>
          <w:bCs/>
          <w:kern w:val="22"/>
          <w:szCs w:val="22"/>
        </w:rPr>
        <w:t>with regard to</w:t>
      </w:r>
      <w:proofErr w:type="gramEnd"/>
      <w:r w:rsidRPr="00C20F6C">
        <w:rPr>
          <w:bCs/>
          <w:kern w:val="22"/>
          <w:szCs w:val="22"/>
        </w:rPr>
        <w:t xml:space="preserve"> there being no need for</w:t>
      </w:r>
      <w:r w:rsidR="00FF7E98" w:rsidRPr="00C20F6C">
        <w:rPr>
          <w:bCs/>
          <w:kern w:val="22"/>
          <w:szCs w:val="22"/>
        </w:rPr>
        <w:t xml:space="preserve"> a formal established process to recognize specialized international ABS instruments. </w:t>
      </w:r>
      <w:r w:rsidRPr="00C20F6C">
        <w:rPr>
          <w:bCs/>
          <w:kern w:val="22"/>
          <w:szCs w:val="22"/>
        </w:rPr>
        <w:t>A</w:t>
      </w:r>
      <w:r w:rsidR="00FF7E98" w:rsidRPr="00C20F6C">
        <w:rPr>
          <w:bCs/>
          <w:kern w:val="22"/>
          <w:szCs w:val="22"/>
        </w:rPr>
        <w:t xml:space="preserve">rguments put forward </w:t>
      </w:r>
      <w:r w:rsidR="00412E76" w:rsidRPr="00C20F6C">
        <w:rPr>
          <w:bCs/>
          <w:kern w:val="22"/>
          <w:szCs w:val="22"/>
        </w:rPr>
        <w:t>i</w:t>
      </w:r>
      <w:r w:rsidR="00FF7E98" w:rsidRPr="00C20F6C">
        <w:rPr>
          <w:bCs/>
          <w:kern w:val="22"/>
          <w:szCs w:val="22"/>
        </w:rPr>
        <w:t>n this regard</w:t>
      </w:r>
      <w:r w:rsidRPr="00C20F6C">
        <w:rPr>
          <w:bCs/>
          <w:kern w:val="22"/>
          <w:szCs w:val="22"/>
        </w:rPr>
        <w:t xml:space="preserve"> are as follows</w:t>
      </w:r>
      <w:r w:rsidR="00FF7E98" w:rsidRPr="00C20F6C">
        <w:rPr>
          <w:bCs/>
          <w:kern w:val="22"/>
          <w:szCs w:val="22"/>
        </w:rPr>
        <w:t>:</w:t>
      </w:r>
    </w:p>
    <w:p w14:paraId="3DA0C4EE" w14:textId="27E80D70" w:rsidR="0016033C" w:rsidRPr="00C20F6C" w:rsidRDefault="00D6212B" w:rsidP="00C20F6C">
      <w:pPr>
        <w:pStyle w:val="Para1"/>
        <w:numPr>
          <w:ilvl w:val="0"/>
          <w:numId w:val="25"/>
        </w:numPr>
        <w:suppressLineNumbers/>
        <w:suppressAutoHyphens/>
        <w:spacing w:before="0"/>
        <w:ind w:left="0" w:firstLine="720"/>
        <w:rPr>
          <w:bCs/>
          <w:kern w:val="22"/>
          <w:szCs w:val="22"/>
        </w:rPr>
      </w:pPr>
      <w:r w:rsidRPr="00C20F6C">
        <w:rPr>
          <w:bCs/>
          <w:kern w:val="22"/>
          <w:szCs w:val="22"/>
        </w:rPr>
        <w:lastRenderedPageBreak/>
        <w:t>T</w:t>
      </w:r>
      <w:r w:rsidR="00F642EE" w:rsidRPr="00C20F6C">
        <w:rPr>
          <w:bCs/>
          <w:kern w:val="22"/>
          <w:szCs w:val="22"/>
        </w:rPr>
        <w:t>he recognition of a speciali</w:t>
      </w:r>
      <w:r w:rsidR="00267575" w:rsidRPr="00C20F6C">
        <w:rPr>
          <w:bCs/>
          <w:kern w:val="22"/>
          <w:szCs w:val="22"/>
        </w:rPr>
        <w:t>z</w:t>
      </w:r>
      <w:r w:rsidR="00F642EE" w:rsidRPr="00C20F6C">
        <w:rPr>
          <w:bCs/>
          <w:kern w:val="22"/>
          <w:szCs w:val="22"/>
        </w:rPr>
        <w:t xml:space="preserve">ed international ABS instrument </w:t>
      </w:r>
      <w:proofErr w:type="gramStart"/>
      <w:r w:rsidR="00F642EE" w:rsidRPr="00C20F6C">
        <w:rPr>
          <w:bCs/>
          <w:kern w:val="22"/>
          <w:szCs w:val="22"/>
        </w:rPr>
        <w:t>is considered to be</w:t>
      </w:r>
      <w:proofErr w:type="gramEnd"/>
      <w:r w:rsidR="00F642EE" w:rsidRPr="00C20F6C">
        <w:rPr>
          <w:bCs/>
          <w:kern w:val="22"/>
          <w:szCs w:val="22"/>
        </w:rPr>
        <w:t xml:space="preserve"> a sovereign decision of a State</w:t>
      </w:r>
      <w:r w:rsidR="001F5C99" w:rsidRPr="00C20F6C">
        <w:rPr>
          <w:bCs/>
          <w:kern w:val="22"/>
          <w:szCs w:val="22"/>
        </w:rPr>
        <w:t>;</w:t>
      </w:r>
      <w:r w:rsidR="00DF2F08" w:rsidRPr="00C20F6C">
        <w:rPr>
          <w:rStyle w:val="FootnoteReference"/>
          <w:rFonts w:eastAsiaTheme="minorHAnsi"/>
          <w:snapToGrid/>
          <w:kern w:val="22"/>
          <w:szCs w:val="22"/>
          <w:lang w:val="en-GB"/>
        </w:rPr>
        <w:footnoteReference w:id="19"/>
      </w:r>
    </w:p>
    <w:p w14:paraId="5A50FC6C" w14:textId="075C7720" w:rsidR="0016033C" w:rsidRPr="00C20F6C" w:rsidRDefault="00DF2F08" w:rsidP="00C20F6C">
      <w:pPr>
        <w:pStyle w:val="Para1"/>
        <w:numPr>
          <w:ilvl w:val="0"/>
          <w:numId w:val="25"/>
        </w:numPr>
        <w:suppressLineNumbers/>
        <w:suppressAutoHyphens/>
        <w:spacing w:before="0"/>
        <w:ind w:left="0" w:firstLine="720"/>
        <w:rPr>
          <w:bCs/>
          <w:kern w:val="22"/>
          <w:szCs w:val="22"/>
        </w:rPr>
      </w:pPr>
      <w:r w:rsidRPr="00C20F6C">
        <w:rPr>
          <w:bCs/>
          <w:kern w:val="22"/>
          <w:szCs w:val="22"/>
        </w:rPr>
        <w:t>Article 4</w:t>
      </w:r>
      <w:r w:rsidR="003D34A2" w:rsidRPr="00C20F6C">
        <w:rPr>
          <w:bCs/>
          <w:kern w:val="22"/>
          <w:szCs w:val="22"/>
        </w:rPr>
        <w:t xml:space="preserve">, paragraph </w:t>
      </w:r>
      <w:r w:rsidRPr="00C20F6C">
        <w:rPr>
          <w:bCs/>
          <w:kern w:val="22"/>
          <w:szCs w:val="22"/>
        </w:rPr>
        <w:t>4</w:t>
      </w:r>
      <w:r w:rsidR="003D34A2" w:rsidRPr="00C20F6C">
        <w:rPr>
          <w:bCs/>
          <w:kern w:val="22"/>
          <w:szCs w:val="22"/>
        </w:rPr>
        <w:t>,</w:t>
      </w:r>
      <w:r w:rsidRPr="00C20F6C">
        <w:rPr>
          <w:bCs/>
          <w:kern w:val="22"/>
          <w:szCs w:val="22"/>
        </w:rPr>
        <w:t xml:space="preserve"> does not require a formal process of recognition</w:t>
      </w:r>
      <w:r w:rsidRPr="00F80246">
        <w:rPr>
          <w:rStyle w:val="FootnoteReference"/>
          <w:rFonts w:eastAsiaTheme="minorHAnsi"/>
          <w:snapToGrid/>
          <w:kern w:val="22"/>
          <w:szCs w:val="22"/>
          <w:lang w:val="en-GB"/>
        </w:rPr>
        <w:footnoteReference w:id="20"/>
      </w:r>
      <w:r w:rsidR="006F122A" w:rsidRPr="00C20F6C">
        <w:rPr>
          <w:bCs/>
          <w:kern w:val="22"/>
          <w:szCs w:val="22"/>
        </w:rPr>
        <w:t xml:space="preserve"> and there is no </w:t>
      </w:r>
      <w:r w:rsidR="00E17289" w:rsidRPr="00C20F6C">
        <w:rPr>
          <w:bCs/>
          <w:kern w:val="22"/>
          <w:szCs w:val="22"/>
        </w:rPr>
        <w:t>consensus among</w:t>
      </w:r>
      <w:r w:rsidR="006F122A" w:rsidRPr="00C20F6C">
        <w:rPr>
          <w:bCs/>
          <w:kern w:val="22"/>
          <w:szCs w:val="22"/>
        </w:rPr>
        <w:t xml:space="preserve"> Parties that such </w:t>
      </w:r>
      <w:r w:rsidR="00E44DD9">
        <w:rPr>
          <w:bCs/>
          <w:kern w:val="22"/>
          <w:szCs w:val="22"/>
        </w:rPr>
        <w:t xml:space="preserve">a </w:t>
      </w:r>
      <w:r w:rsidR="006F122A" w:rsidRPr="00C20F6C">
        <w:rPr>
          <w:bCs/>
          <w:kern w:val="22"/>
          <w:szCs w:val="22"/>
        </w:rPr>
        <w:t>process is necessary;</w:t>
      </w:r>
      <w:r w:rsidR="006F122A" w:rsidRPr="00C20F6C">
        <w:rPr>
          <w:rStyle w:val="FootnoteReference"/>
          <w:bCs/>
          <w:kern w:val="22"/>
          <w:szCs w:val="22"/>
          <w:lang w:val="en-GB"/>
        </w:rPr>
        <w:footnoteReference w:id="21"/>
      </w:r>
    </w:p>
    <w:p w14:paraId="77A74569" w14:textId="1DEA3DBC" w:rsidR="0016033C" w:rsidRPr="00C20F6C" w:rsidRDefault="00AF18B5" w:rsidP="00C20F6C">
      <w:pPr>
        <w:pStyle w:val="Para1"/>
        <w:numPr>
          <w:ilvl w:val="0"/>
          <w:numId w:val="25"/>
        </w:numPr>
        <w:suppressLineNumbers/>
        <w:suppressAutoHyphens/>
        <w:spacing w:before="0"/>
        <w:ind w:left="0" w:firstLine="720"/>
        <w:rPr>
          <w:bCs/>
          <w:kern w:val="22"/>
          <w:szCs w:val="22"/>
        </w:rPr>
      </w:pPr>
      <w:r w:rsidRPr="00C20F6C">
        <w:rPr>
          <w:bCs/>
          <w:kern w:val="22"/>
          <w:szCs w:val="22"/>
        </w:rPr>
        <w:t>T</w:t>
      </w:r>
      <w:r w:rsidR="00DF2F08" w:rsidRPr="00C20F6C">
        <w:rPr>
          <w:bCs/>
          <w:kern w:val="22"/>
          <w:szCs w:val="22"/>
        </w:rPr>
        <w:t>he Convention and Nagoya Protocol do not have the competence to take decisions relating to other international instruments</w:t>
      </w:r>
      <w:r w:rsidR="006F122A" w:rsidRPr="00C20F6C">
        <w:rPr>
          <w:bCs/>
          <w:kern w:val="22"/>
          <w:szCs w:val="22"/>
        </w:rPr>
        <w:t>;</w:t>
      </w:r>
      <w:r w:rsidR="006F122A" w:rsidRPr="00C20F6C">
        <w:rPr>
          <w:rStyle w:val="FootnoteReference"/>
          <w:bCs/>
          <w:kern w:val="22"/>
          <w:szCs w:val="22"/>
          <w:lang w:val="en-GB"/>
        </w:rPr>
        <w:footnoteReference w:id="22"/>
      </w:r>
    </w:p>
    <w:p w14:paraId="301962F5" w14:textId="0152CD49" w:rsidR="00DF2F08" w:rsidRPr="00C20F6C" w:rsidRDefault="0016033C" w:rsidP="00C20F6C">
      <w:pPr>
        <w:pStyle w:val="Para1"/>
        <w:numPr>
          <w:ilvl w:val="0"/>
          <w:numId w:val="25"/>
        </w:numPr>
        <w:suppressLineNumbers/>
        <w:suppressAutoHyphens/>
        <w:spacing w:before="0"/>
        <w:ind w:left="0" w:firstLine="720"/>
        <w:rPr>
          <w:bCs/>
          <w:kern w:val="22"/>
          <w:szCs w:val="22"/>
        </w:rPr>
      </w:pPr>
      <w:r w:rsidRPr="00C20F6C">
        <w:rPr>
          <w:bCs/>
          <w:kern w:val="22"/>
          <w:szCs w:val="22"/>
        </w:rPr>
        <w:t>T</w:t>
      </w:r>
      <w:r w:rsidR="00DF2F08" w:rsidRPr="00C20F6C">
        <w:rPr>
          <w:bCs/>
          <w:kern w:val="22"/>
          <w:szCs w:val="22"/>
        </w:rPr>
        <w:t>he development of criteria, as characteristics of a speciali</w:t>
      </w:r>
      <w:r w:rsidR="003D34A2" w:rsidRPr="00C20F6C">
        <w:rPr>
          <w:bCs/>
          <w:kern w:val="22"/>
          <w:szCs w:val="22"/>
        </w:rPr>
        <w:t>z</w:t>
      </w:r>
      <w:r w:rsidR="00DF2F08" w:rsidRPr="00C20F6C">
        <w:rPr>
          <w:bCs/>
          <w:kern w:val="22"/>
          <w:szCs w:val="22"/>
        </w:rPr>
        <w:t>ed international ABS instrument, will depend on the genetic resource in question and the purpose of the instrument</w:t>
      </w:r>
      <w:r w:rsidR="00376786" w:rsidRPr="00C20F6C">
        <w:rPr>
          <w:rStyle w:val="FootnoteReference"/>
          <w:rFonts w:eastAsiaTheme="minorHAnsi"/>
          <w:snapToGrid/>
          <w:kern w:val="22"/>
          <w:szCs w:val="22"/>
          <w:vertAlign w:val="baseline"/>
          <w:lang w:val="en-GB"/>
        </w:rPr>
        <w:t>.</w:t>
      </w:r>
      <w:r w:rsidR="00DF2F08" w:rsidRPr="00C20F6C">
        <w:rPr>
          <w:rStyle w:val="FootnoteReference"/>
          <w:rFonts w:eastAsiaTheme="minorHAnsi"/>
          <w:snapToGrid/>
          <w:kern w:val="22"/>
          <w:szCs w:val="22"/>
          <w:lang w:val="en-GB"/>
        </w:rPr>
        <w:footnoteReference w:id="23"/>
      </w:r>
    </w:p>
    <w:p w14:paraId="79FF429A" w14:textId="609A2802" w:rsidR="00F642EE" w:rsidRPr="00C20F6C" w:rsidRDefault="009B506F" w:rsidP="00C20F6C">
      <w:pPr>
        <w:pStyle w:val="Para1"/>
        <w:numPr>
          <w:ilvl w:val="0"/>
          <w:numId w:val="7"/>
        </w:numPr>
        <w:suppressLineNumbers/>
        <w:tabs>
          <w:tab w:val="num" w:pos="709"/>
        </w:tabs>
        <w:suppressAutoHyphens/>
        <w:ind w:left="0" w:firstLine="0"/>
        <w:rPr>
          <w:spacing w:val="-2"/>
          <w:kern w:val="22"/>
          <w:szCs w:val="22"/>
        </w:rPr>
      </w:pPr>
      <w:r w:rsidRPr="00C20F6C">
        <w:rPr>
          <w:bCs/>
          <w:spacing w:val="-2"/>
          <w:kern w:val="22"/>
          <w:szCs w:val="22"/>
        </w:rPr>
        <w:t>Overall</w:t>
      </w:r>
      <w:r w:rsidR="00E17289" w:rsidRPr="00C20F6C">
        <w:rPr>
          <w:bCs/>
          <w:spacing w:val="-2"/>
          <w:kern w:val="22"/>
          <w:szCs w:val="22"/>
        </w:rPr>
        <w:t xml:space="preserve">, it seems that </w:t>
      </w:r>
      <w:r w:rsidR="00581684" w:rsidRPr="00C20F6C">
        <w:rPr>
          <w:bCs/>
          <w:spacing w:val="-2"/>
          <w:kern w:val="22"/>
          <w:szCs w:val="22"/>
        </w:rPr>
        <w:t xml:space="preserve">it could be </w:t>
      </w:r>
      <w:r w:rsidRPr="00C20F6C">
        <w:rPr>
          <w:bCs/>
          <w:spacing w:val="-2"/>
          <w:kern w:val="22"/>
          <w:szCs w:val="22"/>
        </w:rPr>
        <w:t xml:space="preserve">considered </w:t>
      </w:r>
      <w:r w:rsidR="00581684" w:rsidRPr="00C20F6C">
        <w:rPr>
          <w:bCs/>
          <w:spacing w:val="-2"/>
          <w:kern w:val="22"/>
          <w:szCs w:val="22"/>
        </w:rPr>
        <w:t xml:space="preserve">useful to have criteria as </w:t>
      </w:r>
      <w:r w:rsidR="000B1491" w:rsidRPr="00C20F6C">
        <w:rPr>
          <w:bCs/>
          <w:spacing w:val="-2"/>
          <w:kern w:val="22"/>
          <w:szCs w:val="22"/>
        </w:rPr>
        <w:t>reference points o</w:t>
      </w:r>
      <w:r w:rsidR="00581684" w:rsidRPr="00C20F6C">
        <w:rPr>
          <w:bCs/>
          <w:spacing w:val="-2"/>
          <w:kern w:val="22"/>
          <w:szCs w:val="22"/>
        </w:rPr>
        <w:t>r</w:t>
      </w:r>
      <w:r w:rsidR="000B1491" w:rsidRPr="00C20F6C">
        <w:rPr>
          <w:bCs/>
          <w:spacing w:val="-2"/>
          <w:kern w:val="22"/>
          <w:szCs w:val="22"/>
        </w:rPr>
        <w:t xml:space="preserve"> elements to consider </w:t>
      </w:r>
      <w:r w:rsidRPr="00C20F6C">
        <w:rPr>
          <w:bCs/>
          <w:spacing w:val="-2"/>
          <w:kern w:val="22"/>
          <w:szCs w:val="22"/>
        </w:rPr>
        <w:t xml:space="preserve">as guidance </w:t>
      </w:r>
      <w:r w:rsidR="000B1491" w:rsidRPr="00C20F6C">
        <w:rPr>
          <w:bCs/>
          <w:spacing w:val="-2"/>
          <w:kern w:val="22"/>
          <w:szCs w:val="22"/>
        </w:rPr>
        <w:t>when developing o</w:t>
      </w:r>
      <w:r w:rsidR="00544B5D" w:rsidRPr="00C20F6C">
        <w:rPr>
          <w:bCs/>
          <w:spacing w:val="-2"/>
          <w:kern w:val="22"/>
          <w:szCs w:val="22"/>
        </w:rPr>
        <w:t>r</w:t>
      </w:r>
      <w:r w:rsidR="000B1491" w:rsidRPr="00C20F6C">
        <w:rPr>
          <w:bCs/>
          <w:spacing w:val="-2"/>
          <w:kern w:val="22"/>
          <w:szCs w:val="22"/>
        </w:rPr>
        <w:t xml:space="preserve"> </w:t>
      </w:r>
      <w:r w:rsidR="00544B5D" w:rsidRPr="00C20F6C">
        <w:rPr>
          <w:bCs/>
          <w:spacing w:val="-2"/>
          <w:kern w:val="22"/>
          <w:szCs w:val="22"/>
        </w:rPr>
        <w:t>recognizing specialized</w:t>
      </w:r>
      <w:r w:rsidR="000B1491" w:rsidRPr="00C20F6C">
        <w:rPr>
          <w:bCs/>
          <w:spacing w:val="-2"/>
          <w:kern w:val="22"/>
          <w:szCs w:val="22"/>
        </w:rPr>
        <w:t xml:space="preserve"> international ABS instruments, </w:t>
      </w:r>
      <w:r w:rsidRPr="00C20F6C">
        <w:rPr>
          <w:bCs/>
          <w:spacing w:val="-2"/>
          <w:kern w:val="22"/>
          <w:szCs w:val="22"/>
        </w:rPr>
        <w:t>but that there is no need to</w:t>
      </w:r>
      <w:r w:rsidR="000B1491" w:rsidRPr="00C20F6C">
        <w:rPr>
          <w:bCs/>
          <w:spacing w:val="-2"/>
          <w:kern w:val="22"/>
          <w:szCs w:val="22"/>
        </w:rPr>
        <w:t xml:space="preserve"> create a formal set of rules for the recognition of </w:t>
      </w:r>
      <w:r w:rsidR="00544B5D" w:rsidRPr="00C20F6C">
        <w:rPr>
          <w:bCs/>
          <w:spacing w:val="-2"/>
          <w:kern w:val="22"/>
          <w:szCs w:val="22"/>
        </w:rPr>
        <w:t xml:space="preserve">specialized </w:t>
      </w:r>
      <w:r w:rsidR="000B1491" w:rsidRPr="00C20F6C">
        <w:rPr>
          <w:bCs/>
          <w:spacing w:val="-2"/>
          <w:kern w:val="22"/>
          <w:szCs w:val="22"/>
        </w:rPr>
        <w:t>international ABS instruments.</w:t>
      </w:r>
    </w:p>
    <w:p w14:paraId="4B28721F" w14:textId="5DD207DC" w:rsidR="00F642EE" w:rsidRPr="00C20F6C" w:rsidRDefault="00F642EE" w:rsidP="00C20F6C">
      <w:pPr>
        <w:pStyle w:val="Heading2"/>
        <w:numPr>
          <w:ilvl w:val="0"/>
          <w:numId w:val="29"/>
        </w:numPr>
        <w:suppressLineNumbers/>
        <w:suppressAutoHyphens/>
        <w:rPr>
          <w:kern w:val="22"/>
          <w:szCs w:val="22"/>
        </w:rPr>
      </w:pPr>
      <w:r w:rsidRPr="00C20F6C">
        <w:rPr>
          <w:kern w:val="22"/>
          <w:szCs w:val="22"/>
        </w:rPr>
        <w:t>Views on the criteria themselves</w:t>
      </w:r>
    </w:p>
    <w:p w14:paraId="3C25EB69" w14:textId="6F2BF5A9" w:rsidR="0024794B" w:rsidRPr="00C20F6C" w:rsidRDefault="000B19D7" w:rsidP="00C20F6C">
      <w:pPr>
        <w:pStyle w:val="ListParagraph"/>
        <w:keepNext/>
        <w:numPr>
          <w:ilvl w:val="0"/>
          <w:numId w:val="21"/>
        </w:numPr>
        <w:suppressLineNumbers/>
        <w:tabs>
          <w:tab w:val="left" w:pos="284"/>
        </w:tabs>
        <w:suppressAutoHyphens/>
        <w:spacing w:before="120" w:after="120"/>
        <w:ind w:left="0" w:firstLine="0"/>
        <w:contextualSpacing w:val="0"/>
        <w:jc w:val="center"/>
        <w:rPr>
          <w:i/>
          <w:kern w:val="22"/>
          <w:szCs w:val="22"/>
        </w:rPr>
      </w:pPr>
      <w:r w:rsidRPr="00C20F6C">
        <w:rPr>
          <w:i/>
          <w:kern w:val="22"/>
          <w:szCs w:val="22"/>
        </w:rPr>
        <w:t>Criteria 1</w:t>
      </w:r>
      <w:r w:rsidR="006E6032" w:rsidRPr="00C20F6C">
        <w:rPr>
          <w:i/>
          <w:kern w:val="22"/>
          <w:szCs w:val="22"/>
        </w:rPr>
        <w:t xml:space="preserve">: </w:t>
      </w:r>
      <w:r w:rsidR="002D60B6" w:rsidRPr="00C20F6C">
        <w:rPr>
          <w:i/>
          <w:kern w:val="22"/>
          <w:szCs w:val="22"/>
        </w:rPr>
        <w:t>S</w:t>
      </w:r>
      <w:r w:rsidR="006E6032" w:rsidRPr="00C20F6C">
        <w:rPr>
          <w:i/>
          <w:kern w:val="22"/>
          <w:szCs w:val="22"/>
        </w:rPr>
        <w:t>peciali</w:t>
      </w:r>
      <w:r w:rsidR="003D34A2" w:rsidRPr="00C20F6C">
        <w:rPr>
          <w:i/>
          <w:kern w:val="22"/>
          <w:szCs w:val="22"/>
        </w:rPr>
        <w:t>z</w:t>
      </w:r>
      <w:r w:rsidR="006E6032" w:rsidRPr="00C20F6C">
        <w:rPr>
          <w:i/>
          <w:kern w:val="22"/>
          <w:szCs w:val="22"/>
        </w:rPr>
        <w:t>ed international ABS instrument</w:t>
      </w:r>
      <w:r w:rsidR="00CF777C" w:rsidRPr="00C20F6C">
        <w:rPr>
          <w:i/>
          <w:kern w:val="22"/>
          <w:szCs w:val="22"/>
        </w:rPr>
        <w:t>s</w:t>
      </w:r>
      <w:r w:rsidR="006E6032" w:rsidRPr="00C20F6C">
        <w:rPr>
          <w:i/>
          <w:kern w:val="22"/>
          <w:szCs w:val="22"/>
        </w:rPr>
        <w:t xml:space="preserve"> should be</w:t>
      </w:r>
      <w:r w:rsidRPr="00C20F6C">
        <w:rPr>
          <w:i/>
          <w:kern w:val="22"/>
          <w:szCs w:val="22"/>
        </w:rPr>
        <w:t xml:space="preserve"> </w:t>
      </w:r>
      <w:proofErr w:type="spellStart"/>
      <w:r w:rsidR="006E6032" w:rsidRPr="00C20F6C">
        <w:rPr>
          <w:i/>
          <w:kern w:val="22"/>
          <w:szCs w:val="22"/>
        </w:rPr>
        <w:t>i</w:t>
      </w:r>
      <w:r w:rsidRPr="00C20F6C">
        <w:rPr>
          <w:i/>
          <w:kern w:val="22"/>
          <w:szCs w:val="22"/>
        </w:rPr>
        <w:t>ntergovernmentally</w:t>
      </w:r>
      <w:proofErr w:type="spellEnd"/>
      <w:r w:rsidRPr="00C20F6C">
        <w:rPr>
          <w:i/>
          <w:kern w:val="22"/>
          <w:szCs w:val="22"/>
        </w:rPr>
        <w:t xml:space="preserve"> agreed</w:t>
      </w:r>
    </w:p>
    <w:p w14:paraId="2A5DB204" w14:textId="14FDC14D" w:rsidR="00C24279" w:rsidRPr="00C20F6C" w:rsidRDefault="004C1D37" w:rsidP="00C20F6C">
      <w:pPr>
        <w:pStyle w:val="Para1"/>
        <w:numPr>
          <w:ilvl w:val="0"/>
          <w:numId w:val="7"/>
        </w:numPr>
        <w:suppressLineNumbers/>
        <w:tabs>
          <w:tab w:val="num" w:pos="709"/>
        </w:tabs>
        <w:suppressAutoHyphens/>
        <w:ind w:left="0" w:firstLine="0"/>
        <w:rPr>
          <w:bCs/>
          <w:kern w:val="22"/>
          <w:szCs w:val="22"/>
        </w:rPr>
      </w:pPr>
      <w:r w:rsidRPr="00C20F6C">
        <w:rPr>
          <w:bCs/>
          <w:kern w:val="22"/>
          <w:szCs w:val="22"/>
        </w:rPr>
        <w:t xml:space="preserve">Two </w:t>
      </w:r>
      <w:r w:rsidR="006E6032" w:rsidRPr="00C20F6C">
        <w:rPr>
          <w:bCs/>
          <w:kern w:val="22"/>
          <w:szCs w:val="22"/>
        </w:rPr>
        <w:t>submissions</w:t>
      </w:r>
      <w:r w:rsidRPr="00C20F6C">
        <w:rPr>
          <w:bCs/>
          <w:kern w:val="22"/>
          <w:szCs w:val="22"/>
          <w:vertAlign w:val="superscript"/>
        </w:rPr>
        <w:footnoteReference w:id="24"/>
      </w:r>
      <w:r w:rsidRPr="00C20F6C">
        <w:rPr>
          <w:bCs/>
          <w:kern w:val="22"/>
          <w:szCs w:val="22"/>
        </w:rPr>
        <w:t xml:space="preserve"> </w:t>
      </w:r>
      <w:r w:rsidR="008F4E84" w:rsidRPr="00C20F6C">
        <w:rPr>
          <w:bCs/>
          <w:kern w:val="22"/>
          <w:szCs w:val="22"/>
        </w:rPr>
        <w:t xml:space="preserve">suggested </w:t>
      </w:r>
      <w:r w:rsidR="006E6032" w:rsidRPr="00C20F6C">
        <w:rPr>
          <w:bCs/>
          <w:kern w:val="22"/>
          <w:szCs w:val="22"/>
        </w:rPr>
        <w:t xml:space="preserve">that </w:t>
      </w:r>
      <w:r w:rsidR="00330C8A" w:rsidRPr="00C20F6C">
        <w:rPr>
          <w:bCs/>
          <w:kern w:val="22"/>
          <w:szCs w:val="22"/>
        </w:rPr>
        <w:t>a speciali</w:t>
      </w:r>
      <w:r w:rsidR="002D60B6" w:rsidRPr="00C20F6C">
        <w:rPr>
          <w:bCs/>
          <w:kern w:val="22"/>
          <w:szCs w:val="22"/>
        </w:rPr>
        <w:t>z</w:t>
      </w:r>
      <w:r w:rsidR="00330C8A" w:rsidRPr="00C20F6C">
        <w:rPr>
          <w:bCs/>
          <w:kern w:val="22"/>
          <w:szCs w:val="22"/>
        </w:rPr>
        <w:t xml:space="preserve">ed international ABS instrument should be </w:t>
      </w:r>
      <w:proofErr w:type="spellStart"/>
      <w:r w:rsidRPr="00C20F6C">
        <w:rPr>
          <w:bCs/>
          <w:kern w:val="22"/>
          <w:szCs w:val="22"/>
        </w:rPr>
        <w:t>intergovernmentally</w:t>
      </w:r>
      <w:proofErr w:type="spellEnd"/>
      <w:r w:rsidRPr="00C20F6C">
        <w:rPr>
          <w:bCs/>
          <w:kern w:val="22"/>
          <w:szCs w:val="22"/>
        </w:rPr>
        <w:t xml:space="preserve"> or internationally agreed.</w:t>
      </w:r>
    </w:p>
    <w:p w14:paraId="775BE770" w14:textId="65ED6D7A" w:rsidR="00C24279" w:rsidRPr="00C20F6C" w:rsidRDefault="004C1D37" w:rsidP="00C20F6C">
      <w:pPr>
        <w:pStyle w:val="Para1"/>
        <w:numPr>
          <w:ilvl w:val="0"/>
          <w:numId w:val="7"/>
        </w:numPr>
        <w:suppressLineNumbers/>
        <w:tabs>
          <w:tab w:val="num" w:pos="709"/>
        </w:tabs>
        <w:suppressAutoHyphens/>
        <w:ind w:left="0" w:firstLine="0"/>
        <w:rPr>
          <w:bCs/>
          <w:kern w:val="22"/>
          <w:szCs w:val="22"/>
        </w:rPr>
      </w:pPr>
      <w:r w:rsidRPr="00C20F6C">
        <w:rPr>
          <w:bCs/>
          <w:kern w:val="22"/>
          <w:szCs w:val="22"/>
        </w:rPr>
        <w:t>One submission</w:t>
      </w:r>
      <w:r w:rsidR="006F122A" w:rsidRPr="009F665A">
        <w:rPr>
          <w:rStyle w:val="FootnoteReference"/>
          <w:kern w:val="22"/>
          <w:szCs w:val="22"/>
          <w:lang w:val="en-GB"/>
        </w:rPr>
        <w:footnoteReference w:id="25"/>
      </w:r>
      <w:r w:rsidRPr="00C20F6C">
        <w:rPr>
          <w:bCs/>
          <w:kern w:val="22"/>
          <w:szCs w:val="22"/>
        </w:rPr>
        <w:t xml:space="preserve"> </w:t>
      </w:r>
      <w:r w:rsidR="005C5215" w:rsidRPr="00C20F6C">
        <w:rPr>
          <w:bCs/>
          <w:kern w:val="22"/>
          <w:szCs w:val="22"/>
        </w:rPr>
        <w:t>stated</w:t>
      </w:r>
      <w:r w:rsidRPr="00C20F6C">
        <w:rPr>
          <w:bCs/>
          <w:kern w:val="22"/>
          <w:szCs w:val="22"/>
        </w:rPr>
        <w:t xml:space="preserve"> that it should also be </w:t>
      </w:r>
      <w:r w:rsidR="00330C8A" w:rsidRPr="00C20F6C">
        <w:rPr>
          <w:bCs/>
          <w:kern w:val="22"/>
          <w:szCs w:val="22"/>
        </w:rPr>
        <w:t>developed th</w:t>
      </w:r>
      <w:r w:rsidRPr="00C20F6C">
        <w:rPr>
          <w:bCs/>
          <w:kern w:val="22"/>
          <w:szCs w:val="22"/>
        </w:rPr>
        <w:t>r</w:t>
      </w:r>
      <w:r w:rsidR="00330C8A" w:rsidRPr="00C20F6C">
        <w:rPr>
          <w:bCs/>
          <w:kern w:val="22"/>
          <w:szCs w:val="22"/>
        </w:rPr>
        <w:t>ough an intergovernmental process</w:t>
      </w:r>
      <w:r w:rsidRPr="00C20F6C">
        <w:rPr>
          <w:bCs/>
          <w:kern w:val="22"/>
          <w:szCs w:val="22"/>
        </w:rPr>
        <w:t>, while other submissions</w:t>
      </w:r>
      <w:r w:rsidRPr="00C20F6C">
        <w:rPr>
          <w:rStyle w:val="FootnoteReference"/>
          <w:bCs/>
          <w:kern w:val="22"/>
          <w:szCs w:val="22"/>
          <w:lang w:val="en-GB"/>
        </w:rPr>
        <w:footnoteReference w:id="26"/>
      </w:r>
      <w:r w:rsidRPr="00C20F6C">
        <w:rPr>
          <w:bCs/>
          <w:kern w:val="22"/>
          <w:szCs w:val="22"/>
        </w:rPr>
        <w:t xml:space="preserve"> were of the view that how an instrument is developed may not be relevant.</w:t>
      </w:r>
      <w:r w:rsidR="00330C8A" w:rsidRPr="00C20F6C">
        <w:rPr>
          <w:bCs/>
          <w:kern w:val="22"/>
          <w:szCs w:val="22"/>
        </w:rPr>
        <w:t xml:space="preserve"> </w:t>
      </w:r>
      <w:r w:rsidR="00C24279" w:rsidRPr="00C20F6C">
        <w:rPr>
          <w:bCs/>
          <w:kern w:val="22"/>
          <w:szCs w:val="22"/>
        </w:rPr>
        <w:t>One submission</w:t>
      </w:r>
      <w:r w:rsidR="00C24279" w:rsidRPr="00C20F6C">
        <w:rPr>
          <w:bCs/>
          <w:kern w:val="22"/>
          <w:szCs w:val="22"/>
          <w:vertAlign w:val="superscript"/>
        </w:rPr>
        <w:footnoteReference w:id="27"/>
      </w:r>
      <w:r w:rsidR="00C24279" w:rsidRPr="00C20F6C">
        <w:rPr>
          <w:bCs/>
          <w:kern w:val="22"/>
          <w:szCs w:val="22"/>
        </w:rPr>
        <w:t xml:space="preserve"> noted that it was not always relevant that the instrument be developed through an intergovernmental process, but it was indeed important and appropriate that States or Governments endorse such instruments. For example, </w:t>
      </w:r>
      <w:r w:rsidR="00412E76" w:rsidRPr="00C20F6C">
        <w:rPr>
          <w:bCs/>
          <w:kern w:val="22"/>
          <w:szCs w:val="22"/>
        </w:rPr>
        <w:t xml:space="preserve">according to this submission, </w:t>
      </w:r>
      <w:r w:rsidR="00C24279" w:rsidRPr="00C20F6C">
        <w:rPr>
          <w:bCs/>
          <w:kern w:val="22"/>
          <w:szCs w:val="22"/>
        </w:rPr>
        <w:t>an international instrument could result from a formal process within a specific international organi</w:t>
      </w:r>
      <w:r w:rsidR="00D82F61" w:rsidRPr="00C20F6C">
        <w:rPr>
          <w:bCs/>
          <w:kern w:val="22"/>
          <w:szCs w:val="22"/>
        </w:rPr>
        <w:t>z</w:t>
      </w:r>
      <w:r w:rsidR="00C24279" w:rsidRPr="00C20F6C">
        <w:rPr>
          <w:bCs/>
          <w:kern w:val="22"/>
          <w:szCs w:val="22"/>
        </w:rPr>
        <w:t>ation and then be adopted in accordance with its rules and procedures. It could also be possible that speciali</w:t>
      </w:r>
      <w:r w:rsidR="00A8073A" w:rsidRPr="00C20F6C">
        <w:rPr>
          <w:bCs/>
          <w:kern w:val="22"/>
          <w:szCs w:val="22"/>
        </w:rPr>
        <w:t>z</w:t>
      </w:r>
      <w:r w:rsidR="00C24279" w:rsidRPr="00C20F6C">
        <w:rPr>
          <w:bCs/>
          <w:kern w:val="22"/>
          <w:szCs w:val="22"/>
        </w:rPr>
        <w:t>ed international instrument would develop as a result of existing practice, and then be endorsed by an international organi</w:t>
      </w:r>
      <w:r w:rsidR="00A8073A" w:rsidRPr="00C20F6C">
        <w:rPr>
          <w:bCs/>
          <w:kern w:val="22"/>
          <w:szCs w:val="22"/>
        </w:rPr>
        <w:t>z</w:t>
      </w:r>
      <w:r w:rsidR="00C24279" w:rsidRPr="00C20F6C">
        <w:rPr>
          <w:bCs/>
          <w:kern w:val="22"/>
          <w:szCs w:val="22"/>
        </w:rPr>
        <w:t xml:space="preserve">ation, or as a result </w:t>
      </w:r>
      <w:r w:rsidR="00412E76" w:rsidRPr="00C20F6C">
        <w:rPr>
          <w:bCs/>
          <w:kern w:val="22"/>
          <w:szCs w:val="22"/>
        </w:rPr>
        <w:t>o</w:t>
      </w:r>
      <w:r w:rsidR="00C24279" w:rsidRPr="00C20F6C">
        <w:rPr>
          <w:bCs/>
          <w:kern w:val="22"/>
          <w:szCs w:val="22"/>
        </w:rPr>
        <w:t>f informal cooperation, such as a regional cooperation initiative.</w:t>
      </w:r>
      <w:r w:rsidR="00C24279" w:rsidRPr="00C20F6C">
        <w:rPr>
          <w:bCs/>
          <w:kern w:val="22"/>
          <w:szCs w:val="22"/>
          <w:vertAlign w:val="superscript"/>
        </w:rPr>
        <w:footnoteReference w:id="28"/>
      </w:r>
    </w:p>
    <w:p w14:paraId="02ADD9BE" w14:textId="0B2587C9" w:rsidR="004C1D37" w:rsidRPr="00C20F6C" w:rsidRDefault="004C1D37" w:rsidP="00C20F6C">
      <w:pPr>
        <w:pStyle w:val="Para1"/>
        <w:numPr>
          <w:ilvl w:val="0"/>
          <w:numId w:val="7"/>
        </w:numPr>
        <w:suppressLineNumbers/>
        <w:tabs>
          <w:tab w:val="num" w:pos="709"/>
        </w:tabs>
        <w:suppressAutoHyphens/>
        <w:ind w:left="0" w:firstLine="0"/>
        <w:rPr>
          <w:bCs/>
          <w:kern w:val="22"/>
          <w:szCs w:val="22"/>
        </w:rPr>
      </w:pPr>
      <w:r w:rsidRPr="00C20F6C">
        <w:rPr>
          <w:bCs/>
          <w:kern w:val="22"/>
          <w:szCs w:val="22"/>
        </w:rPr>
        <w:t xml:space="preserve">Two submissions agreed that the instrument </w:t>
      </w:r>
      <w:r w:rsidR="00246BDA">
        <w:rPr>
          <w:bCs/>
          <w:kern w:val="22"/>
          <w:szCs w:val="22"/>
        </w:rPr>
        <w:t>need not</w:t>
      </w:r>
      <w:r w:rsidR="00246BDA" w:rsidRPr="00C20F6C">
        <w:rPr>
          <w:bCs/>
          <w:kern w:val="22"/>
          <w:szCs w:val="22"/>
        </w:rPr>
        <w:t xml:space="preserve"> </w:t>
      </w:r>
      <w:r w:rsidRPr="00C20F6C">
        <w:rPr>
          <w:bCs/>
          <w:kern w:val="22"/>
          <w:szCs w:val="22"/>
        </w:rPr>
        <w:t>be legally binding.</w:t>
      </w:r>
      <w:r w:rsidRPr="00C20F6C">
        <w:rPr>
          <w:rStyle w:val="FootnoteReference"/>
          <w:bCs/>
          <w:kern w:val="22"/>
          <w:szCs w:val="22"/>
          <w:lang w:val="en-GB"/>
        </w:rPr>
        <w:footnoteReference w:id="29"/>
      </w:r>
    </w:p>
    <w:p w14:paraId="6E99AA38" w14:textId="39D6D494" w:rsidR="00330C8A" w:rsidRPr="00C20F6C" w:rsidRDefault="00330C8A" w:rsidP="00C20F6C">
      <w:pPr>
        <w:pStyle w:val="ListParagraph"/>
        <w:keepNext/>
        <w:numPr>
          <w:ilvl w:val="0"/>
          <w:numId w:val="21"/>
        </w:numPr>
        <w:suppressLineNumbers/>
        <w:tabs>
          <w:tab w:val="left" w:pos="284"/>
        </w:tabs>
        <w:suppressAutoHyphens/>
        <w:ind w:left="0" w:firstLine="0"/>
        <w:contextualSpacing w:val="0"/>
        <w:jc w:val="center"/>
        <w:rPr>
          <w:i/>
          <w:kern w:val="22"/>
          <w:szCs w:val="22"/>
        </w:rPr>
      </w:pPr>
      <w:r w:rsidRPr="00C20F6C">
        <w:rPr>
          <w:i/>
          <w:kern w:val="22"/>
          <w:szCs w:val="22"/>
        </w:rPr>
        <w:t xml:space="preserve">Criteria 2: </w:t>
      </w:r>
      <w:r w:rsidR="002D60B6" w:rsidRPr="00C20F6C">
        <w:rPr>
          <w:i/>
          <w:kern w:val="22"/>
          <w:szCs w:val="22"/>
        </w:rPr>
        <w:t>S</w:t>
      </w:r>
      <w:r w:rsidRPr="00C20F6C">
        <w:rPr>
          <w:i/>
          <w:kern w:val="22"/>
          <w:szCs w:val="22"/>
        </w:rPr>
        <w:t>peciali</w:t>
      </w:r>
      <w:r w:rsidR="002D60B6" w:rsidRPr="00C20F6C">
        <w:rPr>
          <w:i/>
          <w:kern w:val="22"/>
          <w:szCs w:val="22"/>
        </w:rPr>
        <w:t>z</w:t>
      </w:r>
      <w:r w:rsidRPr="00C20F6C">
        <w:rPr>
          <w:i/>
          <w:kern w:val="22"/>
          <w:szCs w:val="22"/>
        </w:rPr>
        <w:t>ed international ABS instrument</w:t>
      </w:r>
      <w:r w:rsidR="00CF777C" w:rsidRPr="00C20F6C">
        <w:rPr>
          <w:i/>
          <w:kern w:val="22"/>
          <w:szCs w:val="22"/>
        </w:rPr>
        <w:t>s</w:t>
      </w:r>
      <w:r w:rsidRPr="00C20F6C">
        <w:rPr>
          <w:i/>
          <w:kern w:val="22"/>
          <w:szCs w:val="22"/>
        </w:rPr>
        <w:t xml:space="preserve"> should be speciali</w:t>
      </w:r>
      <w:r w:rsidR="002D60B6" w:rsidRPr="00C20F6C">
        <w:rPr>
          <w:i/>
          <w:kern w:val="22"/>
          <w:szCs w:val="22"/>
        </w:rPr>
        <w:t>z</w:t>
      </w:r>
      <w:r w:rsidRPr="00C20F6C">
        <w:rPr>
          <w:i/>
          <w:kern w:val="22"/>
          <w:szCs w:val="22"/>
        </w:rPr>
        <w:t>ed</w:t>
      </w:r>
    </w:p>
    <w:p w14:paraId="786356AD" w14:textId="5B14FF99" w:rsidR="00C24279" w:rsidRPr="00C20F6C" w:rsidRDefault="00CF777C" w:rsidP="00C20F6C">
      <w:pPr>
        <w:pStyle w:val="Para1"/>
        <w:numPr>
          <w:ilvl w:val="0"/>
          <w:numId w:val="7"/>
        </w:numPr>
        <w:suppressLineNumbers/>
        <w:tabs>
          <w:tab w:val="num" w:pos="709"/>
        </w:tabs>
        <w:suppressAutoHyphens/>
        <w:ind w:left="0" w:firstLine="0"/>
        <w:rPr>
          <w:bCs/>
          <w:kern w:val="22"/>
          <w:szCs w:val="22"/>
        </w:rPr>
      </w:pPr>
      <w:r w:rsidRPr="00C20F6C">
        <w:rPr>
          <w:bCs/>
          <w:kern w:val="22"/>
          <w:szCs w:val="22"/>
        </w:rPr>
        <w:t xml:space="preserve">One submission </w:t>
      </w:r>
      <w:r w:rsidR="008F4E84" w:rsidRPr="00C20F6C">
        <w:rPr>
          <w:bCs/>
          <w:kern w:val="22"/>
          <w:szCs w:val="22"/>
        </w:rPr>
        <w:t xml:space="preserve">noted </w:t>
      </w:r>
      <w:r w:rsidRPr="00C20F6C">
        <w:rPr>
          <w:bCs/>
          <w:kern w:val="22"/>
          <w:szCs w:val="22"/>
        </w:rPr>
        <w:t>that the “requirement” for a differentiated approach in sub-criteria (b)</w:t>
      </w:r>
      <w:r w:rsidR="00CF3F1F" w:rsidRPr="00C20F6C">
        <w:rPr>
          <w:bCs/>
          <w:kern w:val="22"/>
          <w:szCs w:val="22"/>
        </w:rPr>
        <w:t xml:space="preserve"> </w:t>
      </w:r>
      <w:r w:rsidR="00DD33EF">
        <w:rPr>
          <w:bCs/>
          <w:kern w:val="22"/>
          <w:szCs w:val="22"/>
        </w:rPr>
        <w:t>—</w:t>
      </w:r>
      <w:r w:rsidRPr="00C20F6C">
        <w:rPr>
          <w:bCs/>
          <w:kern w:val="22"/>
          <w:szCs w:val="22"/>
        </w:rPr>
        <w:t xml:space="preserve"> </w:t>
      </w:r>
      <w:r w:rsidR="00CF3F1F" w:rsidRPr="00C20F6C">
        <w:rPr>
          <w:bCs/>
          <w:kern w:val="22"/>
          <w:szCs w:val="22"/>
        </w:rPr>
        <w:t xml:space="preserve">i.e. </w:t>
      </w:r>
      <w:r w:rsidR="000D7753">
        <w:rPr>
          <w:bCs/>
          <w:kern w:val="22"/>
          <w:szCs w:val="22"/>
        </w:rPr>
        <w:t xml:space="preserve">that </w:t>
      </w:r>
      <w:r w:rsidR="00CF3F1F" w:rsidRPr="00C20F6C">
        <w:rPr>
          <w:bCs/>
          <w:kern w:val="22"/>
          <w:szCs w:val="22"/>
        </w:rPr>
        <w:t xml:space="preserve">the instrument would apply to specific uses of genetic resources and/or traditional knowledge associated with genetic resources which require a differentiated and hence specialized approach </w:t>
      </w:r>
      <w:r w:rsidR="00DD33EF">
        <w:rPr>
          <w:bCs/>
          <w:kern w:val="22"/>
          <w:szCs w:val="22"/>
        </w:rPr>
        <w:t>—</w:t>
      </w:r>
      <w:r w:rsidR="00CF3F1F" w:rsidRPr="00C20F6C">
        <w:rPr>
          <w:bCs/>
          <w:kern w:val="22"/>
          <w:szCs w:val="22"/>
        </w:rPr>
        <w:t xml:space="preserve"> </w:t>
      </w:r>
      <w:r w:rsidRPr="00C20F6C">
        <w:rPr>
          <w:bCs/>
          <w:kern w:val="22"/>
          <w:szCs w:val="22"/>
        </w:rPr>
        <w:t>might be difficult to analyse in practice</w:t>
      </w:r>
      <w:r w:rsidR="00C24279" w:rsidRPr="00C20F6C">
        <w:rPr>
          <w:bCs/>
          <w:kern w:val="22"/>
          <w:szCs w:val="22"/>
        </w:rPr>
        <w:t xml:space="preserve"> and that there may be specific sets or specific uses of genetic resources, for which a speciali</w:t>
      </w:r>
      <w:r w:rsidR="00D32695" w:rsidRPr="00C20F6C">
        <w:rPr>
          <w:bCs/>
          <w:kern w:val="22"/>
          <w:szCs w:val="22"/>
        </w:rPr>
        <w:t>z</w:t>
      </w:r>
      <w:r w:rsidR="00C24279" w:rsidRPr="00C20F6C">
        <w:rPr>
          <w:bCs/>
          <w:kern w:val="22"/>
          <w:szCs w:val="22"/>
        </w:rPr>
        <w:t xml:space="preserve">ed approach may </w:t>
      </w:r>
      <w:r w:rsidR="004E2EC6" w:rsidRPr="00C20F6C">
        <w:rPr>
          <w:bCs/>
          <w:kern w:val="22"/>
          <w:szCs w:val="22"/>
        </w:rPr>
        <w:t>be</w:t>
      </w:r>
      <w:r w:rsidR="00C24279" w:rsidRPr="00C20F6C">
        <w:rPr>
          <w:bCs/>
          <w:kern w:val="22"/>
          <w:szCs w:val="22"/>
        </w:rPr>
        <w:t xml:space="preserve"> more practical but may not necessarily be required</w:t>
      </w:r>
      <w:r w:rsidR="0005213C" w:rsidRPr="00C20F6C">
        <w:rPr>
          <w:bCs/>
          <w:kern w:val="22"/>
          <w:szCs w:val="22"/>
        </w:rPr>
        <w:t>.</w:t>
      </w:r>
      <w:r w:rsidRPr="00C20F6C">
        <w:rPr>
          <w:bCs/>
          <w:kern w:val="22"/>
          <w:szCs w:val="22"/>
          <w:vertAlign w:val="superscript"/>
        </w:rPr>
        <w:footnoteReference w:id="30"/>
      </w:r>
    </w:p>
    <w:p w14:paraId="2E899158" w14:textId="5970F9ED" w:rsidR="00330C8A" w:rsidRPr="00C20F6C" w:rsidRDefault="00CF777C" w:rsidP="00C20F6C">
      <w:pPr>
        <w:pStyle w:val="Para1"/>
        <w:numPr>
          <w:ilvl w:val="0"/>
          <w:numId w:val="7"/>
        </w:numPr>
        <w:suppressLineNumbers/>
        <w:tabs>
          <w:tab w:val="num" w:pos="709"/>
        </w:tabs>
        <w:suppressAutoHyphens/>
        <w:ind w:left="0" w:firstLine="0"/>
        <w:rPr>
          <w:bCs/>
          <w:kern w:val="22"/>
          <w:szCs w:val="22"/>
        </w:rPr>
      </w:pPr>
      <w:r w:rsidRPr="00C20F6C">
        <w:rPr>
          <w:bCs/>
          <w:kern w:val="22"/>
          <w:szCs w:val="22"/>
        </w:rPr>
        <w:lastRenderedPageBreak/>
        <w:t xml:space="preserve">Other submissions that did comment on this criterion </w:t>
      </w:r>
      <w:r w:rsidR="005C5215" w:rsidRPr="00C20F6C">
        <w:rPr>
          <w:bCs/>
          <w:kern w:val="22"/>
          <w:szCs w:val="22"/>
        </w:rPr>
        <w:t>suggested</w:t>
      </w:r>
      <w:r w:rsidRPr="00C20F6C">
        <w:rPr>
          <w:bCs/>
          <w:kern w:val="22"/>
          <w:szCs w:val="22"/>
        </w:rPr>
        <w:t xml:space="preserve"> that sub-criteria (a) </w:t>
      </w:r>
      <w:r w:rsidR="00663928">
        <w:rPr>
          <w:bCs/>
          <w:kern w:val="22"/>
          <w:szCs w:val="22"/>
        </w:rPr>
        <w:t>—</w:t>
      </w:r>
      <w:r w:rsidR="00CF3F1F" w:rsidRPr="00C20F6C">
        <w:rPr>
          <w:bCs/>
          <w:kern w:val="22"/>
          <w:szCs w:val="22"/>
        </w:rPr>
        <w:t xml:space="preserve"> i.e. the instrument would apply to a specific set of genetic resources and/or traditional knowledge associated with genetic resources which would otherwise fall under the scope of the Nagoya Protocol</w:t>
      </w:r>
      <w:r w:rsidR="00DA4A2A">
        <w:rPr>
          <w:bCs/>
          <w:kern w:val="22"/>
          <w:szCs w:val="22"/>
        </w:rPr>
        <w:t xml:space="preserve"> —</w:t>
      </w:r>
      <w:r w:rsidR="00CF3F1F" w:rsidRPr="00C20F6C">
        <w:rPr>
          <w:bCs/>
          <w:kern w:val="22"/>
          <w:szCs w:val="22"/>
        </w:rPr>
        <w:t xml:space="preserve"> </w:t>
      </w:r>
      <w:r w:rsidRPr="00C20F6C">
        <w:rPr>
          <w:bCs/>
          <w:kern w:val="22"/>
          <w:szCs w:val="22"/>
        </w:rPr>
        <w:t>and (b) should not be cumulative.</w:t>
      </w:r>
      <w:r w:rsidRPr="00C20F6C">
        <w:rPr>
          <w:bCs/>
          <w:kern w:val="22"/>
          <w:szCs w:val="22"/>
          <w:vertAlign w:val="superscript"/>
        </w:rPr>
        <w:footnoteReference w:id="31"/>
      </w:r>
    </w:p>
    <w:p w14:paraId="2ED96B68" w14:textId="5E30D08A" w:rsidR="00CF777C" w:rsidRPr="00C20F6C" w:rsidRDefault="00CF777C" w:rsidP="00C20F6C">
      <w:pPr>
        <w:pStyle w:val="ListParagraph"/>
        <w:numPr>
          <w:ilvl w:val="0"/>
          <w:numId w:val="21"/>
        </w:numPr>
        <w:suppressLineNumbers/>
        <w:tabs>
          <w:tab w:val="left" w:pos="284"/>
        </w:tabs>
        <w:suppressAutoHyphens/>
        <w:ind w:left="0" w:firstLine="0"/>
        <w:contextualSpacing w:val="0"/>
        <w:jc w:val="center"/>
        <w:rPr>
          <w:i/>
          <w:kern w:val="22"/>
          <w:szCs w:val="22"/>
        </w:rPr>
      </w:pPr>
      <w:r w:rsidRPr="00C20F6C">
        <w:rPr>
          <w:i/>
          <w:kern w:val="22"/>
          <w:szCs w:val="22"/>
        </w:rPr>
        <w:t xml:space="preserve">Criteria 3: </w:t>
      </w:r>
      <w:r w:rsidR="00CE491B" w:rsidRPr="00C20F6C">
        <w:rPr>
          <w:i/>
          <w:kern w:val="22"/>
          <w:szCs w:val="22"/>
        </w:rPr>
        <w:t>S</w:t>
      </w:r>
      <w:r w:rsidRPr="00C20F6C">
        <w:rPr>
          <w:i/>
          <w:kern w:val="22"/>
          <w:szCs w:val="22"/>
        </w:rPr>
        <w:t>peciali</w:t>
      </w:r>
      <w:r w:rsidR="00CE491B" w:rsidRPr="00C20F6C">
        <w:rPr>
          <w:i/>
          <w:kern w:val="22"/>
          <w:szCs w:val="22"/>
        </w:rPr>
        <w:t>z</w:t>
      </w:r>
      <w:r w:rsidRPr="00C20F6C">
        <w:rPr>
          <w:i/>
          <w:kern w:val="22"/>
          <w:szCs w:val="22"/>
        </w:rPr>
        <w:t>ed international ABS instruments should be mutually supportive</w:t>
      </w:r>
    </w:p>
    <w:p w14:paraId="332FBDC3" w14:textId="11BD1700" w:rsidR="00232A43" w:rsidRPr="00C20F6C" w:rsidRDefault="00CF777C" w:rsidP="00C20F6C">
      <w:pPr>
        <w:pStyle w:val="Para1"/>
        <w:numPr>
          <w:ilvl w:val="0"/>
          <w:numId w:val="7"/>
        </w:numPr>
        <w:suppressLineNumbers/>
        <w:tabs>
          <w:tab w:val="num" w:pos="709"/>
        </w:tabs>
        <w:suppressAutoHyphens/>
        <w:ind w:left="0" w:firstLine="0"/>
        <w:rPr>
          <w:bCs/>
          <w:kern w:val="22"/>
          <w:szCs w:val="22"/>
        </w:rPr>
      </w:pPr>
      <w:r w:rsidRPr="00C20F6C">
        <w:rPr>
          <w:bCs/>
          <w:kern w:val="22"/>
          <w:szCs w:val="22"/>
        </w:rPr>
        <w:t xml:space="preserve">No submission questioned the </w:t>
      </w:r>
      <w:r w:rsidR="00CF3F1F" w:rsidRPr="00C20F6C">
        <w:rPr>
          <w:bCs/>
          <w:kern w:val="22"/>
          <w:szCs w:val="22"/>
        </w:rPr>
        <w:t>criterion</w:t>
      </w:r>
      <w:r w:rsidRPr="00C20F6C">
        <w:rPr>
          <w:bCs/>
          <w:kern w:val="22"/>
          <w:szCs w:val="22"/>
        </w:rPr>
        <w:t xml:space="preserve"> that </w:t>
      </w:r>
      <w:r w:rsidR="0074314E" w:rsidRPr="00C20F6C">
        <w:rPr>
          <w:bCs/>
          <w:kern w:val="22"/>
          <w:szCs w:val="22"/>
        </w:rPr>
        <w:t>the</w:t>
      </w:r>
      <w:r w:rsidRPr="00C20F6C">
        <w:rPr>
          <w:bCs/>
          <w:kern w:val="22"/>
          <w:szCs w:val="22"/>
        </w:rPr>
        <w:t xml:space="preserve"> Protocol and any speciali</w:t>
      </w:r>
      <w:r w:rsidR="00CE491B" w:rsidRPr="00C20F6C">
        <w:rPr>
          <w:bCs/>
          <w:kern w:val="22"/>
          <w:szCs w:val="22"/>
        </w:rPr>
        <w:t>z</w:t>
      </w:r>
      <w:r w:rsidRPr="00C20F6C">
        <w:rPr>
          <w:bCs/>
          <w:kern w:val="22"/>
          <w:szCs w:val="22"/>
        </w:rPr>
        <w:t>ed international ABS instrument should be mutually supportive.</w:t>
      </w:r>
    </w:p>
    <w:p w14:paraId="212AC80A" w14:textId="2CF428D4" w:rsidR="00F062D4" w:rsidRPr="00C20F6C" w:rsidRDefault="00BE7A48" w:rsidP="00C20F6C">
      <w:pPr>
        <w:pStyle w:val="Para1"/>
        <w:numPr>
          <w:ilvl w:val="0"/>
          <w:numId w:val="7"/>
        </w:numPr>
        <w:suppressLineNumbers/>
        <w:tabs>
          <w:tab w:val="num" w:pos="709"/>
        </w:tabs>
        <w:suppressAutoHyphens/>
        <w:ind w:left="0" w:firstLine="0"/>
        <w:rPr>
          <w:bCs/>
          <w:kern w:val="22"/>
          <w:szCs w:val="22"/>
        </w:rPr>
      </w:pPr>
      <w:r w:rsidRPr="00C20F6C">
        <w:rPr>
          <w:bCs/>
          <w:kern w:val="22"/>
          <w:szCs w:val="22"/>
        </w:rPr>
        <w:t>While</w:t>
      </w:r>
      <w:r w:rsidR="00CF777C" w:rsidRPr="00C20F6C">
        <w:rPr>
          <w:bCs/>
          <w:kern w:val="22"/>
          <w:szCs w:val="22"/>
        </w:rPr>
        <w:t xml:space="preserve"> for one Party the sub-criteria </w:t>
      </w:r>
      <w:r w:rsidR="00CF3F1F" w:rsidRPr="00C20F6C">
        <w:rPr>
          <w:bCs/>
          <w:kern w:val="22"/>
          <w:szCs w:val="22"/>
        </w:rPr>
        <w:t xml:space="preserve">proposed </w:t>
      </w:r>
      <w:r w:rsidR="00CF777C" w:rsidRPr="00C20F6C">
        <w:rPr>
          <w:bCs/>
          <w:kern w:val="22"/>
          <w:szCs w:val="22"/>
        </w:rPr>
        <w:t>under criterion 3 should all be fulfilled,</w:t>
      </w:r>
      <w:r w:rsidR="00CF777C" w:rsidRPr="00C20F6C">
        <w:rPr>
          <w:bCs/>
          <w:kern w:val="22"/>
          <w:szCs w:val="22"/>
          <w:vertAlign w:val="superscript"/>
        </w:rPr>
        <w:footnoteReference w:id="32"/>
      </w:r>
      <w:r w:rsidR="00CF777C" w:rsidRPr="00C20F6C">
        <w:rPr>
          <w:bCs/>
          <w:kern w:val="22"/>
          <w:szCs w:val="22"/>
        </w:rPr>
        <w:t xml:space="preserve"> other submissions found that </w:t>
      </w:r>
      <w:r w:rsidR="00CF57E6" w:rsidRPr="00C20F6C">
        <w:rPr>
          <w:bCs/>
          <w:kern w:val="22"/>
          <w:szCs w:val="22"/>
        </w:rPr>
        <w:t>these sub-criteria</w:t>
      </w:r>
      <w:r w:rsidR="00CF3F1F" w:rsidRPr="00C20F6C">
        <w:rPr>
          <w:rStyle w:val="FootnoteReference"/>
          <w:bCs/>
          <w:kern w:val="22"/>
          <w:szCs w:val="22"/>
          <w:lang w:val="en-GB"/>
        </w:rPr>
        <w:footnoteReference w:id="33"/>
      </w:r>
      <w:r w:rsidR="00CF57E6" w:rsidRPr="00C20F6C">
        <w:rPr>
          <w:bCs/>
          <w:kern w:val="22"/>
          <w:szCs w:val="22"/>
        </w:rPr>
        <w:t xml:space="preserve"> are rather general or even insufficiently clear and therefore very difficult to fully meet as well as to apply and assess.</w:t>
      </w:r>
      <w:r w:rsidR="00CF57E6" w:rsidRPr="00C20F6C">
        <w:rPr>
          <w:bCs/>
          <w:kern w:val="22"/>
          <w:szCs w:val="22"/>
          <w:vertAlign w:val="superscript"/>
        </w:rPr>
        <w:footnoteReference w:id="34"/>
      </w:r>
      <w:r w:rsidR="00CF57E6" w:rsidRPr="00C20F6C">
        <w:rPr>
          <w:bCs/>
          <w:kern w:val="22"/>
          <w:szCs w:val="22"/>
        </w:rPr>
        <w:t xml:space="preserve"> It was further </w:t>
      </w:r>
      <w:r w:rsidR="00CF3F1F" w:rsidRPr="00C20F6C">
        <w:rPr>
          <w:bCs/>
          <w:kern w:val="22"/>
          <w:szCs w:val="22"/>
        </w:rPr>
        <w:t>indicated</w:t>
      </w:r>
      <w:r w:rsidR="00CF57E6" w:rsidRPr="00C20F6C">
        <w:rPr>
          <w:bCs/>
          <w:kern w:val="22"/>
          <w:szCs w:val="22"/>
        </w:rPr>
        <w:t xml:space="preserve"> that it is not clear whether these sub-criteria are cumulative.</w:t>
      </w:r>
      <w:r w:rsidR="00CF57E6" w:rsidRPr="00C20F6C">
        <w:rPr>
          <w:bCs/>
          <w:kern w:val="22"/>
          <w:szCs w:val="22"/>
          <w:vertAlign w:val="superscript"/>
        </w:rPr>
        <w:footnoteReference w:id="35"/>
      </w:r>
      <w:r w:rsidR="00CF57E6" w:rsidRPr="00C20F6C">
        <w:rPr>
          <w:bCs/>
          <w:kern w:val="22"/>
          <w:szCs w:val="22"/>
        </w:rPr>
        <w:t xml:space="preserve"> </w:t>
      </w:r>
      <w:r w:rsidR="00CF3F1F" w:rsidRPr="00C20F6C">
        <w:rPr>
          <w:bCs/>
          <w:kern w:val="22"/>
          <w:szCs w:val="22"/>
        </w:rPr>
        <w:t>O</w:t>
      </w:r>
      <w:r w:rsidR="00CF57E6" w:rsidRPr="00C20F6C">
        <w:rPr>
          <w:bCs/>
          <w:kern w:val="22"/>
          <w:szCs w:val="22"/>
        </w:rPr>
        <w:t xml:space="preserve">ne Party noted that </w:t>
      </w:r>
      <w:r w:rsidR="00633EC9" w:rsidRPr="00C20F6C">
        <w:rPr>
          <w:bCs/>
          <w:kern w:val="22"/>
          <w:szCs w:val="22"/>
        </w:rPr>
        <w:t>sub-criteria (a)</w:t>
      </w:r>
      <w:r w:rsidR="00CF57E6" w:rsidRPr="00C20F6C">
        <w:rPr>
          <w:bCs/>
          <w:kern w:val="22"/>
          <w:szCs w:val="22"/>
        </w:rPr>
        <w:t xml:space="preserve"> on</w:t>
      </w:r>
      <w:r w:rsidR="00633EC9" w:rsidRPr="00C20F6C">
        <w:rPr>
          <w:bCs/>
          <w:kern w:val="22"/>
          <w:szCs w:val="22"/>
        </w:rPr>
        <w:t xml:space="preserve"> </w:t>
      </w:r>
      <w:r w:rsidR="004676C3">
        <w:rPr>
          <w:bCs/>
          <w:kern w:val="22"/>
          <w:szCs w:val="22"/>
        </w:rPr>
        <w:t>“c</w:t>
      </w:r>
      <w:r w:rsidR="00633EC9" w:rsidRPr="00C20F6C">
        <w:rPr>
          <w:bCs/>
          <w:kern w:val="22"/>
          <w:szCs w:val="22"/>
        </w:rPr>
        <w:t>onsistency with biodiversity conservation and sustainable use objectives</w:t>
      </w:r>
      <w:r w:rsidR="004676C3">
        <w:rPr>
          <w:bCs/>
          <w:kern w:val="22"/>
          <w:szCs w:val="22"/>
        </w:rPr>
        <w:t>”</w:t>
      </w:r>
      <w:r w:rsidR="00633EC9" w:rsidRPr="00C20F6C">
        <w:rPr>
          <w:bCs/>
          <w:kern w:val="22"/>
          <w:szCs w:val="22"/>
        </w:rPr>
        <w:t xml:space="preserve"> is not applicable to pathogens, which are being eradicated</w:t>
      </w:r>
      <w:r w:rsidR="00CF57E6" w:rsidRPr="00C20F6C">
        <w:rPr>
          <w:bCs/>
          <w:kern w:val="22"/>
          <w:szCs w:val="22"/>
        </w:rPr>
        <w:t>.</w:t>
      </w:r>
    </w:p>
    <w:p w14:paraId="5394B769" w14:textId="2B13ED8E" w:rsidR="00053780" w:rsidRPr="00F80246" w:rsidRDefault="00053780" w:rsidP="00C20F6C">
      <w:pPr>
        <w:pStyle w:val="Para1"/>
        <w:numPr>
          <w:ilvl w:val="0"/>
          <w:numId w:val="7"/>
        </w:numPr>
        <w:suppressLineNumbers/>
        <w:tabs>
          <w:tab w:val="num" w:pos="709"/>
        </w:tabs>
        <w:suppressAutoHyphens/>
        <w:ind w:left="0" w:firstLine="0"/>
        <w:rPr>
          <w:kern w:val="22"/>
          <w:szCs w:val="22"/>
        </w:rPr>
      </w:pPr>
      <w:r w:rsidRPr="00F80246">
        <w:rPr>
          <w:kern w:val="22"/>
          <w:szCs w:val="22"/>
        </w:rPr>
        <w:t>One submission suggested that this criterion should read “</w:t>
      </w:r>
      <w:r w:rsidR="005B03F2">
        <w:rPr>
          <w:kern w:val="22"/>
          <w:szCs w:val="22"/>
        </w:rPr>
        <w:t>t</w:t>
      </w:r>
      <w:r w:rsidRPr="00C20F6C">
        <w:rPr>
          <w:kern w:val="22"/>
          <w:szCs w:val="22"/>
        </w:rPr>
        <w:t>he instrument is consistent with</w:t>
      </w:r>
      <w:r w:rsidRPr="00F80246">
        <w:rPr>
          <w:kern w:val="22"/>
          <w:szCs w:val="22"/>
        </w:rPr>
        <w:t xml:space="preserve">”, as written in </w:t>
      </w:r>
      <w:r w:rsidRPr="00C20F6C">
        <w:rPr>
          <w:bCs/>
          <w:kern w:val="22"/>
          <w:szCs w:val="22"/>
        </w:rPr>
        <w:t>Article</w:t>
      </w:r>
      <w:r w:rsidR="00C2218B" w:rsidRPr="00C20F6C">
        <w:rPr>
          <w:bCs/>
          <w:kern w:val="22"/>
          <w:szCs w:val="22"/>
        </w:rPr>
        <w:t xml:space="preserve"> 4</w:t>
      </w:r>
      <w:r w:rsidRPr="00F80246">
        <w:rPr>
          <w:kern w:val="22"/>
          <w:szCs w:val="22"/>
        </w:rPr>
        <w:t>, paragraph 4, and not “</w:t>
      </w:r>
      <w:r w:rsidR="005B03F2">
        <w:rPr>
          <w:kern w:val="22"/>
          <w:szCs w:val="22"/>
        </w:rPr>
        <w:t>t</w:t>
      </w:r>
      <w:r w:rsidRPr="00C20F6C">
        <w:rPr>
          <w:kern w:val="22"/>
          <w:szCs w:val="22"/>
        </w:rPr>
        <w:t>his instrument would be consistent with</w:t>
      </w:r>
      <w:r w:rsidRPr="00F80246">
        <w:rPr>
          <w:kern w:val="22"/>
          <w:szCs w:val="22"/>
        </w:rPr>
        <w:t>”, as in the annex to decision NP-3/14.</w:t>
      </w:r>
      <w:r w:rsidRPr="009F665A">
        <w:rPr>
          <w:kern w:val="22"/>
          <w:szCs w:val="22"/>
          <w:vertAlign w:val="superscript"/>
        </w:rPr>
        <w:footnoteReference w:id="36"/>
      </w:r>
    </w:p>
    <w:p w14:paraId="3B7A4FF3" w14:textId="3EF87F14" w:rsidR="00EE3EE9" w:rsidRPr="00C20F6C" w:rsidRDefault="00EE3EE9" w:rsidP="00C20F6C">
      <w:pPr>
        <w:pStyle w:val="Para1"/>
        <w:numPr>
          <w:ilvl w:val="0"/>
          <w:numId w:val="7"/>
        </w:numPr>
        <w:suppressLineNumbers/>
        <w:tabs>
          <w:tab w:val="num" w:pos="709"/>
        </w:tabs>
        <w:suppressAutoHyphens/>
        <w:ind w:left="0" w:firstLine="0"/>
        <w:rPr>
          <w:bCs/>
          <w:kern w:val="22"/>
          <w:szCs w:val="22"/>
        </w:rPr>
      </w:pPr>
      <w:r w:rsidRPr="00C20F6C">
        <w:rPr>
          <w:bCs/>
          <w:kern w:val="22"/>
          <w:szCs w:val="22"/>
        </w:rPr>
        <w:t xml:space="preserve">There </w:t>
      </w:r>
      <w:r w:rsidR="00631D35" w:rsidRPr="00C20F6C">
        <w:rPr>
          <w:bCs/>
          <w:kern w:val="22"/>
          <w:szCs w:val="22"/>
        </w:rPr>
        <w:t xml:space="preserve">seems to be convergence </w:t>
      </w:r>
      <w:r w:rsidRPr="00C20F6C">
        <w:rPr>
          <w:bCs/>
          <w:kern w:val="22"/>
          <w:szCs w:val="22"/>
        </w:rPr>
        <w:t xml:space="preserve">on criteria 1 and 2, noting </w:t>
      </w:r>
      <w:r w:rsidR="00631D35" w:rsidRPr="00C20F6C">
        <w:rPr>
          <w:bCs/>
          <w:kern w:val="22"/>
          <w:szCs w:val="22"/>
        </w:rPr>
        <w:t xml:space="preserve">some have the view </w:t>
      </w:r>
      <w:r w:rsidRPr="00C20F6C">
        <w:rPr>
          <w:bCs/>
          <w:kern w:val="22"/>
          <w:szCs w:val="22"/>
        </w:rPr>
        <w:t xml:space="preserve">that sub-criteria of criterion 2 should not be cumulative. </w:t>
      </w:r>
      <w:r w:rsidR="00631D35" w:rsidRPr="00C20F6C">
        <w:rPr>
          <w:bCs/>
          <w:kern w:val="22"/>
          <w:szCs w:val="22"/>
        </w:rPr>
        <w:t xml:space="preserve">While there seems to be convergence </w:t>
      </w:r>
      <w:r w:rsidR="00150EEA">
        <w:rPr>
          <w:bCs/>
          <w:kern w:val="22"/>
          <w:szCs w:val="22"/>
        </w:rPr>
        <w:t>on the</w:t>
      </w:r>
      <w:r w:rsidR="00150EEA" w:rsidRPr="00C20F6C">
        <w:rPr>
          <w:bCs/>
          <w:kern w:val="22"/>
          <w:szCs w:val="22"/>
        </w:rPr>
        <w:t xml:space="preserve"> </w:t>
      </w:r>
      <w:r w:rsidR="00631D35" w:rsidRPr="00C20F6C">
        <w:rPr>
          <w:bCs/>
          <w:kern w:val="22"/>
          <w:szCs w:val="22"/>
        </w:rPr>
        <w:t>view that</w:t>
      </w:r>
      <w:r w:rsidRPr="00C20F6C">
        <w:rPr>
          <w:bCs/>
          <w:kern w:val="22"/>
          <w:szCs w:val="22"/>
        </w:rPr>
        <w:t xml:space="preserve"> </w:t>
      </w:r>
      <w:r w:rsidR="00631D35" w:rsidRPr="00C20F6C">
        <w:rPr>
          <w:bCs/>
          <w:kern w:val="22"/>
          <w:szCs w:val="22"/>
        </w:rPr>
        <w:t xml:space="preserve">the Nagoya Protocol and </w:t>
      </w:r>
      <w:r w:rsidRPr="00C20F6C">
        <w:rPr>
          <w:bCs/>
          <w:kern w:val="22"/>
          <w:szCs w:val="22"/>
        </w:rPr>
        <w:t>any speciali</w:t>
      </w:r>
      <w:r w:rsidR="00CE491B" w:rsidRPr="00C20F6C">
        <w:rPr>
          <w:bCs/>
          <w:kern w:val="22"/>
          <w:szCs w:val="22"/>
        </w:rPr>
        <w:t>z</w:t>
      </w:r>
      <w:r w:rsidRPr="00C20F6C">
        <w:rPr>
          <w:bCs/>
          <w:kern w:val="22"/>
          <w:szCs w:val="22"/>
        </w:rPr>
        <w:t>ed international ABS instrument should be mutually supportive</w:t>
      </w:r>
      <w:r w:rsidR="00631D35" w:rsidRPr="00C20F6C">
        <w:rPr>
          <w:bCs/>
          <w:kern w:val="22"/>
          <w:szCs w:val="22"/>
        </w:rPr>
        <w:t>, there are some slight differences on the extent of clarity and applicability of one or more of the sub-criteria</w:t>
      </w:r>
      <w:r w:rsidRPr="00C20F6C">
        <w:rPr>
          <w:bCs/>
          <w:kern w:val="22"/>
          <w:szCs w:val="22"/>
        </w:rPr>
        <w:t>.</w:t>
      </w:r>
    </w:p>
    <w:p w14:paraId="0A1C1E8A" w14:textId="478E2214" w:rsidR="003E1C02" w:rsidRPr="00C20F6C" w:rsidRDefault="00E17BCD" w:rsidP="00C20F6C">
      <w:pPr>
        <w:pStyle w:val="Heading1"/>
        <w:numPr>
          <w:ilvl w:val="0"/>
          <w:numId w:val="24"/>
        </w:numPr>
        <w:suppressLineNumbers/>
        <w:tabs>
          <w:tab w:val="clear" w:pos="720"/>
          <w:tab w:val="left" w:pos="426"/>
        </w:tabs>
        <w:suppressAutoHyphens/>
        <w:spacing w:before="120"/>
        <w:ind w:left="0" w:firstLine="0"/>
        <w:rPr>
          <w:rFonts w:ascii="Times New Roman Bold" w:hAnsi="Times New Roman Bold"/>
          <w:b w:val="0"/>
          <w:caps w:val="0"/>
          <w:kern w:val="22"/>
          <w:szCs w:val="22"/>
        </w:rPr>
      </w:pPr>
      <w:r w:rsidRPr="00E17BCD">
        <w:rPr>
          <w:rFonts w:ascii="Times New Roman Bold" w:hAnsi="Times New Roman Bold"/>
          <w:caps w:val="0"/>
          <w:kern w:val="22"/>
          <w:szCs w:val="22"/>
        </w:rPr>
        <w:t>KEY DEVELOPMENTS IN RELEVANT INTERNATIONAL FORUMS</w:t>
      </w:r>
    </w:p>
    <w:p w14:paraId="7609BD93" w14:textId="14F21827" w:rsidR="00E04478" w:rsidRPr="00C20F6C" w:rsidRDefault="00E04478" w:rsidP="00C20F6C">
      <w:pPr>
        <w:pStyle w:val="Para1"/>
        <w:numPr>
          <w:ilvl w:val="0"/>
          <w:numId w:val="7"/>
        </w:numPr>
        <w:suppressLineNumbers/>
        <w:suppressAutoHyphens/>
        <w:ind w:left="0" w:firstLine="0"/>
        <w:rPr>
          <w:bCs/>
          <w:kern w:val="22"/>
          <w:szCs w:val="22"/>
        </w:rPr>
      </w:pPr>
      <w:r w:rsidRPr="00C20F6C">
        <w:rPr>
          <w:bCs/>
          <w:kern w:val="22"/>
          <w:szCs w:val="22"/>
        </w:rPr>
        <w:t xml:space="preserve">Issues related to access and benefit-sharing and the Nagoya Protocol are addressed in </w:t>
      </w:r>
      <w:proofErr w:type="gramStart"/>
      <w:r w:rsidRPr="00C20F6C">
        <w:rPr>
          <w:bCs/>
          <w:kern w:val="22"/>
          <w:szCs w:val="22"/>
        </w:rPr>
        <w:t>a number of</w:t>
      </w:r>
      <w:proofErr w:type="gramEnd"/>
      <w:r w:rsidRPr="00C20F6C">
        <w:rPr>
          <w:bCs/>
          <w:kern w:val="22"/>
          <w:szCs w:val="22"/>
        </w:rPr>
        <w:t xml:space="preserve"> other international forums besides the Convention on Biological Diversity and the Nagoya Protocol. The Secretariat of the Convention collaborates with intergovernmental organizations working in this area with a view to </w:t>
      </w:r>
      <w:r w:rsidR="00631D35" w:rsidRPr="00C20F6C">
        <w:rPr>
          <w:bCs/>
          <w:kern w:val="22"/>
          <w:szCs w:val="22"/>
        </w:rPr>
        <w:t>keep</w:t>
      </w:r>
      <w:r w:rsidR="003A7D09" w:rsidRPr="00C20F6C">
        <w:rPr>
          <w:bCs/>
          <w:kern w:val="22"/>
          <w:szCs w:val="22"/>
        </w:rPr>
        <w:t>ing</w:t>
      </w:r>
      <w:r w:rsidR="00631D35" w:rsidRPr="00C20F6C">
        <w:rPr>
          <w:bCs/>
          <w:kern w:val="22"/>
          <w:szCs w:val="22"/>
        </w:rPr>
        <w:t xml:space="preserve"> itself abreast of </w:t>
      </w:r>
      <w:r w:rsidRPr="00C20F6C">
        <w:rPr>
          <w:bCs/>
          <w:kern w:val="22"/>
          <w:szCs w:val="22"/>
        </w:rPr>
        <w:t xml:space="preserve">developments in </w:t>
      </w:r>
      <w:r w:rsidR="00631D35" w:rsidRPr="00C20F6C">
        <w:rPr>
          <w:bCs/>
          <w:kern w:val="22"/>
          <w:szCs w:val="22"/>
        </w:rPr>
        <w:t xml:space="preserve">these </w:t>
      </w:r>
      <w:r w:rsidRPr="00C20F6C">
        <w:rPr>
          <w:bCs/>
          <w:kern w:val="22"/>
          <w:szCs w:val="22"/>
        </w:rPr>
        <w:t xml:space="preserve">processes and </w:t>
      </w:r>
      <w:r w:rsidR="00631D35" w:rsidRPr="00C20F6C">
        <w:rPr>
          <w:bCs/>
          <w:kern w:val="22"/>
          <w:szCs w:val="22"/>
        </w:rPr>
        <w:t xml:space="preserve">to </w:t>
      </w:r>
      <w:r w:rsidRPr="00C20F6C">
        <w:rPr>
          <w:bCs/>
          <w:kern w:val="22"/>
          <w:szCs w:val="22"/>
        </w:rPr>
        <w:t>provid</w:t>
      </w:r>
      <w:r w:rsidR="00631D35" w:rsidRPr="00C20F6C">
        <w:rPr>
          <w:bCs/>
          <w:kern w:val="22"/>
          <w:szCs w:val="22"/>
        </w:rPr>
        <w:t>e</w:t>
      </w:r>
      <w:r w:rsidRPr="00C20F6C">
        <w:rPr>
          <w:bCs/>
          <w:kern w:val="22"/>
          <w:szCs w:val="22"/>
        </w:rPr>
        <w:t xml:space="preserve"> information on developments related to the Nagoya Protocol</w:t>
      </w:r>
      <w:r w:rsidR="00631D35" w:rsidRPr="00C20F6C">
        <w:rPr>
          <w:bCs/>
          <w:kern w:val="22"/>
          <w:szCs w:val="22"/>
        </w:rPr>
        <w:t xml:space="preserve">, </w:t>
      </w:r>
      <w:r w:rsidR="0026656F" w:rsidRPr="00C20F6C">
        <w:rPr>
          <w:bCs/>
          <w:kern w:val="22"/>
          <w:szCs w:val="22"/>
        </w:rPr>
        <w:t xml:space="preserve">primarily, </w:t>
      </w:r>
      <w:r w:rsidR="00631D35" w:rsidRPr="00C20F6C">
        <w:rPr>
          <w:bCs/>
          <w:kern w:val="22"/>
          <w:szCs w:val="22"/>
        </w:rPr>
        <w:t xml:space="preserve">as </w:t>
      </w:r>
      <w:r w:rsidR="0026656F" w:rsidRPr="00C20F6C">
        <w:rPr>
          <w:bCs/>
          <w:kern w:val="22"/>
          <w:szCs w:val="22"/>
        </w:rPr>
        <w:t xml:space="preserve">specified in the decisions of the Parties to the Protocol or as reported by each Party </w:t>
      </w:r>
      <w:r w:rsidR="00A41636" w:rsidRPr="00C20F6C">
        <w:rPr>
          <w:kern w:val="22"/>
          <w:szCs w:val="22"/>
        </w:rPr>
        <w:t>to</w:t>
      </w:r>
      <w:r w:rsidR="00A41636" w:rsidRPr="00C20F6C">
        <w:rPr>
          <w:bCs/>
          <w:kern w:val="22"/>
          <w:szCs w:val="22"/>
        </w:rPr>
        <w:t xml:space="preserve"> </w:t>
      </w:r>
      <w:r w:rsidR="0026656F" w:rsidRPr="00C20F6C">
        <w:rPr>
          <w:bCs/>
          <w:kern w:val="22"/>
          <w:szCs w:val="22"/>
        </w:rPr>
        <w:t>the Protocol</w:t>
      </w:r>
      <w:r w:rsidRPr="00C20F6C">
        <w:rPr>
          <w:bCs/>
          <w:kern w:val="22"/>
          <w:szCs w:val="22"/>
        </w:rPr>
        <w:t xml:space="preserve">. Many of these organizations also participate in processes under the Nagoya Protocol. As requested in decision </w:t>
      </w:r>
      <w:hyperlink r:id="rId16" w:history="1">
        <w:r w:rsidRPr="00C20F6C">
          <w:rPr>
            <w:rStyle w:val="Hyperlink"/>
            <w:bCs/>
            <w:kern w:val="22"/>
            <w:sz w:val="22"/>
            <w:szCs w:val="22"/>
          </w:rPr>
          <w:t>NP-3/7</w:t>
        </w:r>
      </w:hyperlink>
      <w:r w:rsidRPr="00C20F6C">
        <w:rPr>
          <w:bCs/>
          <w:kern w:val="22"/>
          <w:szCs w:val="22"/>
        </w:rPr>
        <w:t xml:space="preserve">, the Executive Secretary will prepare a report on cooperative activities undertaken, including key developments under international agreements and instruments of relevance to the implementation of the Nagoya Protocol for the consideration of the Conference of the Parties serving as the meeting of the Parties </w:t>
      </w:r>
      <w:r w:rsidR="00E80D2B" w:rsidRPr="00C20F6C">
        <w:rPr>
          <w:bCs/>
          <w:kern w:val="22"/>
          <w:szCs w:val="22"/>
        </w:rPr>
        <w:t xml:space="preserve">to the Nagoya Protocol </w:t>
      </w:r>
      <w:r w:rsidRPr="00C20F6C">
        <w:rPr>
          <w:bCs/>
          <w:kern w:val="22"/>
          <w:szCs w:val="22"/>
        </w:rPr>
        <w:t>at its fourth meeting.</w:t>
      </w:r>
      <w:r w:rsidR="00205323" w:rsidRPr="00C20F6C">
        <w:rPr>
          <w:bCs/>
          <w:kern w:val="22"/>
          <w:szCs w:val="22"/>
        </w:rPr>
        <w:t xml:space="preserve"> </w:t>
      </w:r>
      <w:r w:rsidR="00BB1159" w:rsidRPr="00C20F6C">
        <w:rPr>
          <w:bCs/>
          <w:kern w:val="22"/>
          <w:szCs w:val="22"/>
        </w:rPr>
        <w:t xml:space="preserve">An advance version of this report will be </w:t>
      </w:r>
      <w:r w:rsidR="00FE08E8">
        <w:rPr>
          <w:bCs/>
          <w:kern w:val="22"/>
          <w:szCs w:val="22"/>
        </w:rPr>
        <w:t>issued</w:t>
      </w:r>
      <w:r w:rsidR="00FE08E8" w:rsidRPr="00C20F6C">
        <w:rPr>
          <w:bCs/>
          <w:kern w:val="22"/>
          <w:szCs w:val="22"/>
        </w:rPr>
        <w:t xml:space="preserve"> </w:t>
      </w:r>
      <w:r w:rsidR="00BB1159" w:rsidRPr="00C20F6C">
        <w:rPr>
          <w:bCs/>
          <w:kern w:val="22"/>
          <w:szCs w:val="22"/>
        </w:rPr>
        <w:t>for the Subsidiary Body</w:t>
      </w:r>
      <w:r w:rsidR="00205323" w:rsidRPr="00C20F6C">
        <w:rPr>
          <w:bCs/>
          <w:kern w:val="22"/>
          <w:szCs w:val="22"/>
        </w:rPr>
        <w:t xml:space="preserve"> as </w:t>
      </w:r>
      <w:r w:rsidR="00FE08E8">
        <w:rPr>
          <w:bCs/>
          <w:kern w:val="22"/>
          <w:szCs w:val="22"/>
        </w:rPr>
        <w:t xml:space="preserve">an </w:t>
      </w:r>
      <w:r w:rsidR="00382446" w:rsidRPr="00C20F6C">
        <w:rPr>
          <w:bCs/>
          <w:kern w:val="22"/>
          <w:szCs w:val="22"/>
        </w:rPr>
        <w:t xml:space="preserve">information </w:t>
      </w:r>
      <w:r w:rsidR="00205323" w:rsidRPr="00C20F6C">
        <w:rPr>
          <w:bCs/>
          <w:kern w:val="22"/>
          <w:szCs w:val="22"/>
        </w:rPr>
        <w:t>document</w:t>
      </w:r>
      <w:r w:rsidR="00BB1159" w:rsidRPr="00C20F6C">
        <w:rPr>
          <w:bCs/>
          <w:kern w:val="22"/>
          <w:szCs w:val="22"/>
        </w:rPr>
        <w:t>.</w:t>
      </w:r>
    </w:p>
    <w:p w14:paraId="6EBAAE6E" w14:textId="26953F73" w:rsidR="00E04478" w:rsidRPr="00C20F6C" w:rsidRDefault="00E04478" w:rsidP="00C20F6C">
      <w:pPr>
        <w:pStyle w:val="Para1"/>
        <w:numPr>
          <w:ilvl w:val="0"/>
          <w:numId w:val="7"/>
        </w:numPr>
        <w:suppressLineNumbers/>
        <w:suppressAutoHyphens/>
        <w:ind w:left="0" w:firstLine="0"/>
        <w:rPr>
          <w:bCs/>
          <w:kern w:val="22"/>
          <w:szCs w:val="22"/>
        </w:rPr>
      </w:pPr>
      <w:r w:rsidRPr="00C20F6C">
        <w:rPr>
          <w:bCs/>
          <w:kern w:val="22"/>
          <w:szCs w:val="22"/>
        </w:rPr>
        <w:t>Th</w:t>
      </w:r>
      <w:r w:rsidR="0026656F" w:rsidRPr="00C20F6C">
        <w:rPr>
          <w:bCs/>
          <w:kern w:val="22"/>
          <w:szCs w:val="22"/>
        </w:rPr>
        <w:t>is</w:t>
      </w:r>
      <w:r w:rsidRPr="00C20F6C">
        <w:rPr>
          <w:bCs/>
          <w:kern w:val="22"/>
          <w:szCs w:val="22"/>
        </w:rPr>
        <w:t xml:space="preserve"> section summarizes information on international forums and processes of relevance to the issue of access and benefit-sharing and presents the status of key developments related to access and benefit</w:t>
      </w:r>
      <w:r w:rsidR="00FA1FC3" w:rsidRPr="00C20F6C">
        <w:rPr>
          <w:bCs/>
          <w:kern w:val="22"/>
          <w:szCs w:val="22"/>
        </w:rPr>
        <w:noBreakHyphen/>
      </w:r>
      <w:r w:rsidRPr="00C20F6C">
        <w:rPr>
          <w:bCs/>
          <w:kern w:val="22"/>
          <w:szCs w:val="22"/>
        </w:rPr>
        <w:t>sharing in th</w:t>
      </w:r>
      <w:r w:rsidR="0026656F" w:rsidRPr="00C20F6C">
        <w:rPr>
          <w:bCs/>
          <w:kern w:val="22"/>
          <w:szCs w:val="22"/>
        </w:rPr>
        <w:t xml:space="preserve">ese </w:t>
      </w:r>
      <w:r w:rsidRPr="00C20F6C">
        <w:rPr>
          <w:bCs/>
          <w:kern w:val="22"/>
          <w:szCs w:val="22"/>
        </w:rPr>
        <w:t>forums</w:t>
      </w:r>
      <w:r w:rsidR="0026656F" w:rsidRPr="00C20F6C">
        <w:rPr>
          <w:bCs/>
          <w:kern w:val="22"/>
          <w:szCs w:val="22"/>
        </w:rPr>
        <w:t xml:space="preserve"> and processes</w:t>
      </w:r>
      <w:r w:rsidRPr="00C20F6C">
        <w:rPr>
          <w:bCs/>
          <w:kern w:val="22"/>
          <w:szCs w:val="22"/>
        </w:rPr>
        <w:t>.</w:t>
      </w:r>
    </w:p>
    <w:p w14:paraId="0AC29FE2" w14:textId="77777777" w:rsidR="00E04478" w:rsidRPr="00C20F6C" w:rsidRDefault="00E04478" w:rsidP="00C20F6C">
      <w:pPr>
        <w:keepNext/>
        <w:numPr>
          <w:ilvl w:val="0"/>
          <w:numId w:val="23"/>
        </w:numPr>
        <w:suppressLineNumbers/>
        <w:tabs>
          <w:tab w:val="left" w:pos="426"/>
        </w:tabs>
        <w:suppressAutoHyphens/>
        <w:spacing w:before="120" w:after="120"/>
        <w:ind w:left="0" w:firstLine="0"/>
        <w:jc w:val="center"/>
        <w:outlineLvl w:val="1"/>
        <w:rPr>
          <w:b/>
          <w:bCs/>
          <w:iCs/>
          <w:snapToGrid w:val="0"/>
          <w:kern w:val="22"/>
          <w:szCs w:val="22"/>
        </w:rPr>
      </w:pPr>
      <w:r w:rsidRPr="009F665A">
        <w:rPr>
          <w:b/>
          <w:bCs/>
          <w:iCs/>
          <w:snapToGrid w:val="0"/>
          <w:kern w:val="22"/>
          <w:szCs w:val="22"/>
        </w:rPr>
        <w:lastRenderedPageBreak/>
        <w:t>Commission on Genetic Resources for Food and Agriculture</w:t>
      </w:r>
    </w:p>
    <w:p w14:paraId="677C668F" w14:textId="40E109F5" w:rsidR="00E04478" w:rsidRPr="00C20F6C" w:rsidRDefault="00E04478" w:rsidP="00C20F6C">
      <w:pPr>
        <w:pStyle w:val="Para1"/>
        <w:numPr>
          <w:ilvl w:val="0"/>
          <w:numId w:val="7"/>
        </w:numPr>
        <w:suppressLineNumbers/>
        <w:tabs>
          <w:tab w:val="num" w:pos="709"/>
        </w:tabs>
        <w:suppressAutoHyphens/>
        <w:ind w:left="0" w:firstLine="0"/>
        <w:rPr>
          <w:bCs/>
          <w:kern w:val="22"/>
          <w:szCs w:val="22"/>
        </w:rPr>
      </w:pPr>
      <w:r w:rsidRPr="00C20F6C">
        <w:rPr>
          <w:bCs/>
          <w:kern w:val="22"/>
          <w:szCs w:val="22"/>
        </w:rPr>
        <w:t>The Commission on Genetic Resources for Food and Agriculture of the Food and Agriculture Organization of the United Nations was established in 1983</w:t>
      </w:r>
      <w:r w:rsidR="002C3A21">
        <w:rPr>
          <w:bCs/>
          <w:kern w:val="22"/>
          <w:szCs w:val="22"/>
        </w:rPr>
        <w:t>.</w:t>
      </w:r>
      <w:r w:rsidRPr="00C20F6C">
        <w:rPr>
          <w:bCs/>
          <w:kern w:val="22"/>
          <w:szCs w:val="22"/>
        </w:rPr>
        <w:t xml:space="preserve"> The original mandate of the Commission, to deal with plant genetic resources, was broadened in 1995 to cover all components of biodiversity relevant to food and agriculture.</w:t>
      </w:r>
    </w:p>
    <w:p w14:paraId="2A776467" w14:textId="783DEA77" w:rsidR="00E04478" w:rsidRPr="00C20F6C" w:rsidRDefault="0025132E" w:rsidP="00C20F6C">
      <w:pPr>
        <w:pStyle w:val="Para1"/>
        <w:numPr>
          <w:ilvl w:val="0"/>
          <w:numId w:val="7"/>
        </w:numPr>
        <w:suppressLineNumbers/>
        <w:tabs>
          <w:tab w:val="num" w:pos="709"/>
        </w:tabs>
        <w:suppressAutoHyphens/>
        <w:ind w:left="0" w:firstLine="0"/>
        <w:rPr>
          <w:bCs/>
          <w:kern w:val="22"/>
          <w:szCs w:val="22"/>
        </w:rPr>
      </w:pPr>
      <w:r w:rsidRPr="00C20F6C">
        <w:rPr>
          <w:bCs/>
          <w:kern w:val="22"/>
          <w:szCs w:val="22"/>
        </w:rPr>
        <w:t xml:space="preserve">Between 1994 and 2001, the Commission negotiated the International Treaty on Plant Genetic Resources for Food and Agriculture. </w:t>
      </w:r>
      <w:r w:rsidR="00E04478" w:rsidRPr="00C20F6C">
        <w:rPr>
          <w:bCs/>
          <w:kern w:val="22"/>
          <w:szCs w:val="22"/>
        </w:rPr>
        <w:t xml:space="preserve">In 2007, the Commission agreed on the importance of considering access and benefit-sharing in relation to all components of biodiversity for food and </w:t>
      </w:r>
      <w:r w:rsidR="00E80D2B" w:rsidRPr="00C20F6C">
        <w:rPr>
          <w:bCs/>
          <w:kern w:val="22"/>
          <w:szCs w:val="22"/>
        </w:rPr>
        <w:t>agriculture and</w:t>
      </w:r>
      <w:r w:rsidR="00E04478" w:rsidRPr="00C20F6C">
        <w:rPr>
          <w:bCs/>
          <w:kern w:val="22"/>
          <w:szCs w:val="22"/>
        </w:rPr>
        <w:t xml:space="preserve"> decided that work in this field should be conducted within its Multi-Year Programme of Work. Since then, the Commission </w:t>
      </w:r>
      <w:r w:rsidR="00D23A59">
        <w:rPr>
          <w:bCs/>
          <w:kern w:val="22"/>
          <w:szCs w:val="22"/>
        </w:rPr>
        <w:t xml:space="preserve">has </w:t>
      </w:r>
      <w:r w:rsidR="00E04478" w:rsidRPr="00C20F6C">
        <w:rPr>
          <w:bCs/>
          <w:kern w:val="22"/>
          <w:szCs w:val="22"/>
        </w:rPr>
        <w:t>revisited the issue of access and benefit-sharing for genetic resources for food and agriculture at each of its regular sessions. In 2013, a Team of Technical and Legal Experts on Access and Benefit-sharing established by the Commission, prepared the Elements to Facilitate Domestic Implementation of Access and Benefit-sharing for Different Subsectors of Genetic Resources for Food and Agriculture (ABS Elements).</w:t>
      </w:r>
      <w:r w:rsidR="00E04478" w:rsidRPr="00C20F6C">
        <w:rPr>
          <w:rStyle w:val="FootnoteReference"/>
          <w:bCs/>
          <w:kern w:val="22"/>
          <w:szCs w:val="22"/>
          <w:lang w:val="en-GB"/>
        </w:rPr>
        <w:footnoteReference w:id="37"/>
      </w:r>
      <w:r w:rsidR="00E04478" w:rsidRPr="00C20F6C">
        <w:rPr>
          <w:bCs/>
          <w:kern w:val="22"/>
          <w:szCs w:val="22"/>
        </w:rPr>
        <w:t xml:space="preserve"> The ABS Elements were welcomed by the Commission in 2015. The Conference of the Parties to the Convention, in 2016, invited its Parties and other </w:t>
      </w:r>
      <w:r w:rsidR="00DE6EEF" w:rsidRPr="00C20F6C">
        <w:rPr>
          <w:bCs/>
          <w:kern w:val="22"/>
          <w:szCs w:val="22"/>
        </w:rPr>
        <w:t>G</w:t>
      </w:r>
      <w:r w:rsidR="00E04478" w:rsidRPr="00C20F6C">
        <w:rPr>
          <w:bCs/>
          <w:kern w:val="22"/>
          <w:szCs w:val="22"/>
        </w:rPr>
        <w:t>overnments to take note of and to apply, as appropriate, the ABS Elements (</w:t>
      </w:r>
      <w:r w:rsidR="00A22702">
        <w:rPr>
          <w:bCs/>
          <w:kern w:val="22"/>
          <w:szCs w:val="22"/>
        </w:rPr>
        <w:t xml:space="preserve">see </w:t>
      </w:r>
      <w:hyperlink r:id="rId17" w:history="1">
        <w:r w:rsidR="00E04478" w:rsidRPr="00C20F6C">
          <w:rPr>
            <w:rStyle w:val="Hyperlink"/>
            <w:bCs/>
            <w:kern w:val="22"/>
            <w:sz w:val="22"/>
            <w:szCs w:val="22"/>
          </w:rPr>
          <w:t>decision XIII/1</w:t>
        </w:r>
      </w:hyperlink>
      <w:r w:rsidR="00E04478" w:rsidRPr="00C20F6C">
        <w:rPr>
          <w:bCs/>
          <w:kern w:val="22"/>
          <w:szCs w:val="22"/>
        </w:rPr>
        <w:t>, para.</w:t>
      </w:r>
      <w:r w:rsidR="004F69DC">
        <w:rPr>
          <w:bCs/>
          <w:kern w:val="22"/>
          <w:szCs w:val="22"/>
        </w:rPr>
        <w:t> </w:t>
      </w:r>
      <w:r w:rsidR="00E04478" w:rsidRPr="00C20F6C">
        <w:rPr>
          <w:bCs/>
          <w:kern w:val="22"/>
          <w:szCs w:val="22"/>
        </w:rPr>
        <w:t>28).</w:t>
      </w:r>
    </w:p>
    <w:p w14:paraId="41537ED6" w14:textId="6B8E8AA7" w:rsidR="00E04478" w:rsidRPr="00C20F6C" w:rsidRDefault="00A22702" w:rsidP="00C20F6C">
      <w:pPr>
        <w:pStyle w:val="Para1"/>
        <w:numPr>
          <w:ilvl w:val="0"/>
          <w:numId w:val="7"/>
        </w:numPr>
        <w:suppressLineNumbers/>
        <w:tabs>
          <w:tab w:val="num" w:pos="709"/>
        </w:tabs>
        <w:suppressAutoHyphens/>
        <w:ind w:left="0" w:firstLine="0"/>
        <w:rPr>
          <w:bCs/>
          <w:kern w:val="22"/>
          <w:szCs w:val="22"/>
        </w:rPr>
      </w:pPr>
      <w:r>
        <w:rPr>
          <w:bCs/>
          <w:kern w:val="22"/>
          <w:szCs w:val="22"/>
        </w:rPr>
        <w:t>A</w:t>
      </w:r>
      <w:r w:rsidR="00E04478" w:rsidRPr="00C20F6C">
        <w:rPr>
          <w:bCs/>
          <w:kern w:val="22"/>
          <w:szCs w:val="22"/>
        </w:rPr>
        <w:t xml:space="preserve">t its seventeenth regular session, </w:t>
      </w:r>
      <w:r>
        <w:rPr>
          <w:bCs/>
          <w:kern w:val="22"/>
          <w:szCs w:val="22"/>
        </w:rPr>
        <w:t>i</w:t>
      </w:r>
      <w:r w:rsidRPr="004178CA">
        <w:rPr>
          <w:bCs/>
          <w:kern w:val="22"/>
          <w:szCs w:val="22"/>
        </w:rPr>
        <w:t xml:space="preserve">n 2019, </w:t>
      </w:r>
      <w:r w:rsidRPr="0077492A">
        <w:rPr>
          <w:bCs/>
          <w:kern w:val="22"/>
          <w:szCs w:val="22"/>
        </w:rPr>
        <w:t>the Commission</w:t>
      </w:r>
      <w:r w:rsidRPr="00F80246">
        <w:rPr>
          <w:bCs/>
          <w:kern w:val="22"/>
          <w:szCs w:val="22"/>
        </w:rPr>
        <w:t xml:space="preserve"> </w:t>
      </w:r>
      <w:r w:rsidR="00E04478" w:rsidRPr="00C20F6C">
        <w:rPr>
          <w:bCs/>
          <w:kern w:val="22"/>
          <w:szCs w:val="22"/>
        </w:rPr>
        <w:t>welcomed explanatory notes complementing the ABS Elements that had been prepared by the Expert Team in collaboration with the Commission’s Working Groups. The explanatory notes describe, within the context of the ABS Elements, the distinctive features and specific practices of different subsectors of genetic resources for food and agriculture.</w:t>
      </w:r>
      <w:r w:rsidR="00E04478" w:rsidRPr="00C20F6C">
        <w:rPr>
          <w:bCs/>
          <w:kern w:val="22"/>
          <w:szCs w:val="22"/>
          <w:vertAlign w:val="superscript"/>
        </w:rPr>
        <w:footnoteReference w:id="38"/>
      </w:r>
      <w:r w:rsidR="00E04478" w:rsidRPr="00C20F6C">
        <w:rPr>
          <w:bCs/>
          <w:kern w:val="22"/>
          <w:szCs w:val="22"/>
        </w:rPr>
        <w:t xml:space="preserve"> In addition, the Commission initiated a survey of existing legislative, administrative and policy approaches, including best practices, for ABS for the different subsectors of genetic resources for food and agriculture and traditional knowledge associated with genetic resources for food and agriculture held by indigenous peoples and local communities, with the aim of identifying typical approaches and lessons learned.</w:t>
      </w:r>
      <w:r w:rsidR="00205323" w:rsidRPr="00C20F6C">
        <w:rPr>
          <w:rStyle w:val="FootnoteReference"/>
          <w:bCs/>
          <w:kern w:val="22"/>
          <w:szCs w:val="22"/>
          <w:lang w:val="en-GB"/>
        </w:rPr>
        <w:footnoteReference w:id="39"/>
      </w:r>
    </w:p>
    <w:p w14:paraId="3B35B328" w14:textId="77777777" w:rsidR="00E04478" w:rsidRPr="00C20F6C" w:rsidRDefault="00E04478" w:rsidP="00C20F6C">
      <w:pPr>
        <w:keepNext/>
        <w:numPr>
          <w:ilvl w:val="0"/>
          <w:numId w:val="23"/>
        </w:numPr>
        <w:suppressLineNumbers/>
        <w:tabs>
          <w:tab w:val="left" w:pos="426"/>
        </w:tabs>
        <w:suppressAutoHyphens/>
        <w:spacing w:before="120" w:after="120"/>
        <w:ind w:left="0" w:firstLine="0"/>
        <w:jc w:val="center"/>
        <w:outlineLvl w:val="1"/>
        <w:rPr>
          <w:b/>
          <w:bCs/>
          <w:iCs/>
          <w:snapToGrid w:val="0"/>
          <w:kern w:val="22"/>
          <w:szCs w:val="22"/>
        </w:rPr>
      </w:pPr>
      <w:r w:rsidRPr="009F665A">
        <w:rPr>
          <w:b/>
          <w:bCs/>
          <w:iCs/>
          <w:snapToGrid w:val="0"/>
          <w:kern w:val="22"/>
          <w:szCs w:val="22"/>
        </w:rPr>
        <w:t>International Treaty on Plan</w:t>
      </w:r>
      <w:r w:rsidRPr="00C20F6C">
        <w:rPr>
          <w:b/>
          <w:bCs/>
          <w:iCs/>
          <w:snapToGrid w:val="0"/>
          <w:kern w:val="22"/>
          <w:szCs w:val="22"/>
        </w:rPr>
        <w:t>t Genetic Resources for Food and Agriculture</w:t>
      </w:r>
    </w:p>
    <w:p w14:paraId="1626D016" w14:textId="4EDD73C4" w:rsidR="00E04478" w:rsidRPr="00C20F6C" w:rsidRDefault="00E04478" w:rsidP="00C20F6C">
      <w:pPr>
        <w:pStyle w:val="Para1"/>
        <w:numPr>
          <w:ilvl w:val="0"/>
          <w:numId w:val="7"/>
        </w:numPr>
        <w:suppressLineNumbers/>
        <w:tabs>
          <w:tab w:val="num" w:pos="709"/>
        </w:tabs>
        <w:suppressAutoHyphens/>
        <w:ind w:left="0" w:firstLine="0"/>
        <w:rPr>
          <w:bCs/>
          <w:kern w:val="22"/>
          <w:szCs w:val="22"/>
        </w:rPr>
      </w:pPr>
      <w:r w:rsidRPr="00C20F6C">
        <w:rPr>
          <w:bCs/>
          <w:kern w:val="22"/>
          <w:szCs w:val="22"/>
        </w:rPr>
        <w:t xml:space="preserve">The International Treaty on Plant Genetic Resources for Food and Agriculture was adopted in 2001 and entered into force in 2004. Pursuant to Article 1 of the International Treaty, </w:t>
      </w:r>
      <w:r w:rsidR="00EB6EB3" w:rsidRPr="00C20F6C">
        <w:rPr>
          <w:bCs/>
          <w:kern w:val="22"/>
          <w:szCs w:val="22"/>
        </w:rPr>
        <w:t>its</w:t>
      </w:r>
      <w:r w:rsidRPr="00C20F6C">
        <w:rPr>
          <w:bCs/>
          <w:kern w:val="22"/>
          <w:szCs w:val="22"/>
        </w:rPr>
        <w:t xml:space="preserve"> objectives are “the conservation and sustainable use of plant genetic resources for food and agriculture and the fair and equitable sharing of the benefits arising out of their use, in harmony with the Convention on Biological Diversity, for sustainable agriculture and food security.”</w:t>
      </w:r>
      <w:r w:rsidRPr="00C20F6C">
        <w:rPr>
          <w:rStyle w:val="FootnoteReference"/>
          <w:bCs/>
          <w:kern w:val="22"/>
          <w:szCs w:val="22"/>
          <w:lang w:val="en-GB"/>
        </w:rPr>
        <w:footnoteReference w:id="40"/>
      </w:r>
    </w:p>
    <w:p w14:paraId="6A09AB90" w14:textId="77777777" w:rsidR="00E04478" w:rsidRPr="00C20F6C" w:rsidRDefault="00E04478" w:rsidP="00C20F6C">
      <w:pPr>
        <w:pStyle w:val="Para1"/>
        <w:numPr>
          <w:ilvl w:val="0"/>
          <w:numId w:val="7"/>
        </w:numPr>
        <w:suppressLineNumbers/>
        <w:suppressAutoHyphens/>
        <w:ind w:left="0" w:firstLine="0"/>
        <w:rPr>
          <w:bCs/>
          <w:kern w:val="22"/>
          <w:szCs w:val="22"/>
        </w:rPr>
      </w:pPr>
      <w:r w:rsidRPr="00C20F6C">
        <w:rPr>
          <w:bCs/>
          <w:kern w:val="22"/>
          <w:szCs w:val="22"/>
        </w:rPr>
        <w:t>Under its Article 10.2, the International Treaty establishes a Multilateral System of Access and Benefit-sharing, “which is efficient, effective, and transparent, both to facilitate access to plant genetic resources for food and agriculture, and to share, in a fair and equitable way, the benefits arising from the utilization of these resources, on a complementary and mutually reinforcing basis.”</w:t>
      </w:r>
      <w:r w:rsidRPr="00C20F6C">
        <w:rPr>
          <w:rStyle w:val="FootnoteReference"/>
          <w:bCs/>
          <w:kern w:val="22"/>
          <w:szCs w:val="22"/>
          <w:lang w:val="en-GB"/>
        </w:rPr>
        <w:footnoteReference w:id="41"/>
      </w:r>
    </w:p>
    <w:p w14:paraId="1007AFC6" w14:textId="566A1B02" w:rsidR="00E04478" w:rsidRPr="00C20F6C" w:rsidRDefault="00E04478" w:rsidP="00C20F6C">
      <w:pPr>
        <w:pStyle w:val="Para1"/>
        <w:numPr>
          <w:ilvl w:val="0"/>
          <w:numId w:val="7"/>
        </w:numPr>
        <w:suppressLineNumbers/>
        <w:suppressAutoHyphens/>
        <w:ind w:left="0" w:firstLine="0"/>
        <w:rPr>
          <w:bCs/>
          <w:kern w:val="22"/>
          <w:szCs w:val="22"/>
        </w:rPr>
      </w:pPr>
      <w:r w:rsidRPr="00C20F6C">
        <w:rPr>
          <w:kern w:val="22"/>
          <w:szCs w:val="22"/>
        </w:rPr>
        <w:t xml:space="preserve">In 2013, the Governing Body of the International Treaty launched </w:t>
      </w:r>
      <w:r w:rsidR="00E263B7" w:rsidRPr="00C20F6C">
        <w:rPr>
          <w:kern w:val="22"/>
          <w:szCs w:val="22"/>
        </w:rPr>
        <w:t xml:space="preserve">a </w:t>
      </w:r>
      <w:r w:rsidRPr="00C20F6C">
        <w:rPr>
          <w:kern w:val="22"/>
          <w:szCs w:val="22"/>
        </w:rPr>
        <w:t xml:space="preserve">process to enhance the </w:t>
      </w:r>
      <w:r w:rsidRPr="00C20F6C">
        <w:rPr>
          <w:bCs/>
          <w:kern w:val="22"/>
          <w:szCs w:val="22"/>
        </w:rPr>
        <w:t>Multilateral System of Access and Benefit-sharing</w:t>
      </w:r>
      <w:r w:rsidRPr="00C20F6C">
        <w:rPr>
          <w:kern w:val="22"/>
          <w:szCs w:val="22"/>
        </w:rPr>
        <w:t xml:space="preserve"> by establishing an Ad Hoc Open-ended Working Group, which was tasked, </w:t>
      </w:r>
      <w:r w:rsidR="00991AC4">
        <w:rPr>
          <w:kern w:val="22"/>
          <w:szCs w:val="22"/>
        </w:rPr>
        <w:t>among other things</w:t>
      </w:r>
      <w:r w:rsidRPr="00C20F6C">
        <w:rPr>
          <w:kern w:val="22"/>
          <w:szCs w:val="22"/>
        </w:rPr>
        <w:t xml:space="preserve">, with developing measures for the increase in user-based payments and contributions to the Benefit-Sharing Fund in a sustainable and predictable long-term manner. The Working Group considered, among other matters, revisions to the Standard Material Transfer Agreement as well as possible changes to the coverage of the Multilateral System. As countries’ interdependence in </w:t>
      </w:r>
      <w:r w:rsidRPr="00C20F6C">
        <w:rPr>
          <w:kern w:val="22"/>
          <w:szCs w:val="22"/>
        </w:rPr>
        <w:lastRenderedPageBreak/>
        <w:t>plant genetic resources represents one of the key arguments for the Multilateral System of the Plant Treaty, the basis for considering its enhancement included a fully updated estimation of such interdependence, as provided in a recent study</w:t>
      </w:r>
      <w:r w:rsidR="00C91C8D" w:rsidRPr="00C20F6C">
        <w:rPr>
          <w:kern w:val="22"/>
          <w:szCs w:val="22"/>
        </w:rPr>
        <w:t>.</w:t>
      </w:r>
      <w:r w:rsidRPr="00C20F6C">
        <w:rPr>
          <w:rStyle w:val="FootnoteReference"/>
          <w:kern w:val="22"/>
          <w:szCs w:val="22"/>
          <w:lang w:val="en-GB"/>
        </w:rPr>
        <w:footnoteReference w:id="42"/>
      </w:r>
    </w:p>
    <w:p w14:paraId="11EEE718" w14:textId="3F9AFCC2" w:rsidR="00E04478" w:rsidRPr="00C20F6C" w:rsidRDefault="00E04478" w:rsidP="00C20F6C">
      <w:pPr>
        <w:pStyle w:val="Para1"/>
        <w:numPr>
          <w:ilvl w:val="0"/>
          <w:numId w:val="7"/>
        </w:numPr>
        <w:suppressLineNumbers/>
        <w:suppressAutoHyphens/>
        <w:ind w:left="0" w:firstLine="0"/>
        <w:rPr>
          <w:bCs/>
          <w:kern w:val="22"/>
          <w:szCs w:val="22"/>
        </w:rPr>
      </w:pPr>
      <w:proofErr w:type="gramStart"/>
      <w:r w:rsidRPr="00C20F6C">
        <w:rPr>
          <w:kern w:val="22"/>
          <w:szCs w:val="22"/>
        </w:rPr>
        <w:t>In the course of</w:t>
      </w:r>
      <w:proofErr w:type="gramEnd"/>
      <w:r w:rsidRPr="00C20F6C">
        <w:rPr>
          <w:kern w:val="22"/>
          <w:szCs w:val="22"/>
        </w:rPr>
        <w:t xml:space="preserve"> the biennium 2018-2019, the Working Group considered, </w:t>
      </w:r>
      <w:r w:rsidR="00A82BAB">
        <w:rPr>
          <w:kern w:val="22"/>
          <w:szCs w:val="22"/>
        </w:rPr>
        <w:t>among other things</w:t>
      </w:r>
      <w:r w:rsidRPr="00C20F6C">
        <w:rPr>
          <w:kern w:val="22"/>
          <w:szCs w:val="22"/>
        </w:rPr>
        <w:t>, criteria and options for the possible adaptation of coverage of the Multilateral System and supportive measures to facilitate the implementation of the possible expansion of the coverage of the Multilateral System. The Working Group considered a possible process to review the status of: ratifications to the amended Annex I of the International Treaty (i.e. crops and forages covered by the Multilateral System); the level of user</w:t>
      </w:r>
      <w:r w:rsidR="00C91C8D" w:rsidRPr="00C20F6C">
        <w:rPr>
          <w:kern w:val="22"/>
          <w:szCs w:val="22"/>
        </w:rPr>
        <w:noBreakHyphen/>
      </w:r>
      <w:r w:rsidRPr="00C20F6C">
        <w:rPr>
          <w:kern w:val="22"/>
          <w:szCs w:val="22"/>
        </w:rPr>
        <w:t>based income accruing to the Benefit-sharing Fund; availability of and access provided to material within the Multilateral System.</w:t>
      </w:r>
    </w:p>
    <w:p w14:paraId="152444FC" w14:textId="290391D6" w:rsidR="00E04478" w:rsidRPr="00C20F6C" w:rsidRDefault="00E04478" w:rsidP="00C20F6C">
      <w:pPr>
        <w:pStyle w:val="Para1"/>
        <w:numPr>
          <w:ilvl w:val="0"/>
          <w:numId w:val="7"/>
        </w:numPr>
        <w:suppressLineNumbers/>
        <w:suppressAutoHyphens/>
        <w:ind w:left="0" w:firstLine="0"/>
        <w:rPr>
          <w:bCs/>
          <w:kern w:val="22"/>
          <w:szCs w:val="22"/>
        </w:rPr>
      </w:pPr>
      <w:r w:rsidRPr="00C20F6C">
        <w:rPr>
          <w:bCs/>
          <w:kern w:val="22"/>
          <w:szCs w:val="22"/>
        </w:rPr>
        <w:t>In 2019, at its eighth session, the Governing Body of the International Treaty was aiming to reach consensus on measures to enhance the functioning of the Multilateral System of Access and Benefit</w:t>
      </w:r>
      <w:r w:rsidR="002907CD" w:rsidRPr="00C20F6C">
        <w:rPr>
          <w:bCs/>
          <w:kern w:val="22"/>
          <w:szCs w:val="22"/>
        </w:rPr>
        <w:noBreakHyphen/>
      </w:r>
      <w:r w:rsidRPr="00C20F6C">
        <w:rPr>
          <w:bCs/>
          <w:kern w:val="22"/>
          <w:szCs w:val="22"/>
        </w:rPr>
        <w:t>sharing, an item which has been under negotiations for six years. Despite intense negotiations, the Governing Body could not reach consensus on the enhancement of the Multilateral System and adopted resolution 2/2019.</w:t>
      </w:r>
      <w:r w:rsidRPr="00C20F6C">
        <w:rPr>
          <w:bCs/>
          <w:kern w:val="22"/>
          <w:szCs w:val="22"/>
          <w:vertAlign w:val="superscript"/>
        </w:rPr>
        <w:footnoteReference w:id="43"/>
      </w:r>
      <w:r w:rsidRPr="00C20F6C">
        <w:rPr>
          <w:bCs/>
          <w:kern w:val="22"/>
          <w:szCs w:val="22"/>
        </w:rPr>
        <w:t xml:space="preserve"> It encouraged informal consultations among Contracting Parties and especially national consultations among sectors and relevant stakeholders. Some Contracting Parties wanted the Governing Body, at its future </w:t>
      </w:r>
      <w:r w:rsidR="00E80D2B" w:rsidRPr="00C20F6C">
        <w:rPr>
          <w:bCs/>
          <w:kern w:val="22"/>
          <w:szCs w:val="22"/>
        </w:rPr>
        <w:t>n</w:t>
      </w:r>
      <w:r w:rsidRPr="00C20F6C">
        <w:rPr>
          <w:bCs/>
          <w:kern w:val="22"/>
          <w:szCs w:val="22"/>
        </w:rPr>
        <w:t>inth Session, planned for December 2021, to consider how to carry out further work on the enhancement of the Multilateral System, noting the need to consider outcomes of relevant debates under the Convention on Biological Diversity.</w:t>
      </w:r>
    </w:p>
    <w:p w14:paraId="2B77330B" w14:textId="77777777" w:rsidR="00E04478" w:rsidRPr="009F665A" w:rsidRDefault="00E04478" w:rsidP="00C20F6C">
      <w:pPr>
        <w:keepNext/>
        <w:numPr>
          <w:ilvl w:val="0"/>
          <w:numId w:val="23"/>
        </w:numPr>
        <w:suppressLineNumbers/>
        <w:tabs>
          <w:tab w:val="left" w:pos="426"/>
        </w:tabs>
        <w:suppressAutoHyphens/>
        <w:spacing w:before="120" w:after="120"/>
        <w:ind w:left="0" w:firstLine="0"/>
        <w:jc w:val="center"/>
        <w:outlineLvl w:val="1"/>
        <w:rPr>
          <w:b/>
          <w:bCs/>
          <w:iCs/>
          <w:snapToGrid w:val="0"/>
          <w:kern w:val="22"/>
          <w:szCs w:val="22"/>
        </w:rPr>
      </w:pPr>
      <w:r w:rsidRPr="009F665A">
        <w:rPr>
          <w:b/>
          <w:bCs/>
          <w:iCs/>
          <w:snapToGrid w:val="0"/>
          <w:kern w:val="22"/>
          <w:szCs w:val="22"/>
        </w:rPr>
        <w:t>United Nations Convention on the Law of the Sea</w:t>
      </w:r>
    </w:p>
    <w:p w14:paraId="16EDE904" w14:textId="0AD4A9BD" w:rsidR="00E04478" w:rsidRPr="00C20F6C" w:rsidRDefault="00E04478" w:rsidP="00C20F6C">
      <w:pPr>
        <w:pStyle w:val="Para1"/>
        <w:numPr>
          <w:ilvl w:val="0"/>
          <w:numId w:val="7"/>
        </w:numPr>
        <w:suppressLineNumbers/>
        <w:suppressAutoHyphens/>
        <w:ind w:left="0" w:firstLine="0"/>
        <w:rPr>
          <w:bCs/>
          <w:kern w:val="22"/>
          <w:szCs w:val="22"/>
        </w:rPr>
      </w:pPr>
      <w:r w:rsidRPr="00C20F6C">
        <w:rPr>
          <w:bCs/>
          <w:kern w:val="22"/>
          <w:szCs w:val="22"/>
        </w:rPr>
        <w:t xml:space="preserve">The United Nations Convention on the Law of the Sea was adopted in </w:t>
      </w:r>
      <w:r w:rsidR="00EB6EB3" w:rsidRPr="00C20F6C">
        <w:rPr>
          <w:bCs/>
          <w:kern w:val="22"/>
          <w:szCs w:val="22"/>
        </w:rPr>
        <w:t xml:space="preserve">December </w:t>
      </w:r>
      <w:r w:rsidRPr="00C20F6C">
        <w:rPr>
          <w:bCs/>
          <w:kern w:val="22"/>
          <w:szCs w:val="22"/>
        </w:rPr>
        <w:t xml:space="preserve">1982 and entered into force in </w:t>
      </w:r>
      <w:r w:rsidR="00EB6EB3" w:rsidRPr="00C20F6C">
        <w:rPr>
          <w:bCs/>
          <w:kern w:val="22"/>
          <w:szCs w:val="22"/>
        </w:rPr>
        <w:t xml:space="preserve">November </w:t>
      </w:r>
      <w:r w:rsidRPr="00C20F6C">
        <w:rPr>
          <w:bCs/>
          <w:kern w:val="22"/>
          <w:szCs w:val="22"/>
        </w:rPr>
        <w:t xml:space="preserve">1994, with the objectives, </w:t>
      </w:r>
      <w:r w:rsidR="00D01D7E">
        <w:rPr>
          <w:bCs/>
          <w:kern w:val="22"/>
          <w:szCs w:val="22"/>
        </w:rPr>
        <w:t>among others</w:t>
      </w:r>
      <w:r w:rsidRPr="00C20F6C">
        <w:rPr>
          <w:bCs/>
          <w:kern w:val="22"/>
          <w:szCs w:val="22"/>
        </w:rPr>
        <w:t>, o</w:t>
      </w:r>
      <w:r w:rsidR="00D01D7E">
        <w:rPr>
          <w:bCs/>
          <w:kern w:val="22"/>
          <w:szCs w:val="22"/>
        </w:rPr>
        <w:t>f</w:t>
      </w:r>
      <w:r w:rsidRPr="00C20F6C">
        <w:rPr>
          <w:kern w:val="22"/>
          <w:szCs w:val="22"/>
        </w:rPr>
        <w:t xml:space="preserve"> </w:t>
      </w:r>
      <w:r w:rsidRPr="00C20F6C">
        <w:rPr>
          <w:bCs/>
          <w:kern w:val="22"/>
          <w:szCs w:val="22"/>
        </w:rPr>
        <w:t>enabl</w:t>
      </w:r>
      <w:r w:rsidR="00D01D7E">
        <w:rPr>
          <w:bCs/>
          <w:kern w:val="22"/>
          <w:szCs w:val="22"/>
        </w:rPr>
        <w:t>ing</w:t>
      </w:r>
      <w:r w:rsidRPr="00C20F6C">
        <w:rPr>
          <w:bCs/>
          <w:kern w:val="22"/>
          <w:szCs w:val="22"/>
        </w:rPr>
        <w:t xml:space="preserve"> equitable and efficient utilization of ocean resources and protect</w:t>
      </w:r>
      <w:r w:rsidR="00617935">
        <w:rPr>
          <w:bCs/>
          <w:kern w:val="22"/>
          <w:szCs w:val="22"/>
        </w:rPr>
        <w:t>ing</w:t>
      </w:r>
      <w:r w:rsidRPr="00C20F6C">
        <w:rPr>
          <w:bCs/>
          <w:kern w:val="22"/>
          <w:szCs w:val="22"/>
        </w:rPr>
        <w:t xml:space="preserve"> and preserv</w:t>
      </w:r>
      <w:r w:rsidR="00617935">
        <w:rPr>
          <w:bCs/>
          <w:kern w:val="22"/>
          <w:szCs w:val="22"/>
        </w:rPr>
        <w:t>ing</w:t>
      </w:r>
      <w:r w:rsidRPr="00C20F6C">
        <w:rPr>
          <w:bCs/>
          <w:kern w:val="22"/>
          <w:szCs w:val="22"/>
        </w:rPr>
        <w:t xml:space="preserve"> the marine environment.</w:t>
      </w:r>
    </w:p>
    <w:p w14:paraId="401104E3" w14:textId="1B806CDD" w:rsidR="00E04478" w:rsidRPr="00C20F6C" w:rsidRDefault="005A0163" w:rsidP="00C20F6C">
      <w:pPr>
        <w:pStyle w:val="Para1"/>
        <w:numPr>
          <w:ilvl w:val="0"/>
          <w:numId w:val="7"/>
        </w:numPr>
        <w:suppressLineNumbers/>
        <w:tabs>
          <w:tab w:val="num" w:pos="709"/>
        </w:tabs>
        <w:suppressAutoHyphens/>
        <w:ind w:left="0" w:firstLine="0"/>
        <w:rPr>
          <w:bCs/>
          <w:kern w:val="22"/>
          <w:szCs w:val="22"/>
        </w:rPr>
      </w:pPr>
      <w:r w:rsidRPr="00C20F6C">
        <w:rPr>
          <w:bCs/>
          <w:kern w:val="22"/>
          <w:szCs w:val="22"/>
        </w:rPr>
        <w:t>T</w:t>
      </w:r>
      <w:r w:rsidR="00E04478" w:rsidRPr="00C20F6C">
        <w:rPr>
          <w:bCs/>
          <w:kern w:val="22"/>
          <w:szCs w:val="22"/>
        </w:rPr>
        <w:t>he General Assembly of the United Nations</w:t>
      </w:r>
      <w:r w:rsidRPr="00C20F6C">
        <w:rPr>
          <w:bCs/>
          <w:kern w:val="22"/>
          <w:szCs w:val="22"/>
        </w:rPr>
        <w:t>,</w:t>
      </w:r>
      <w:r w:rsidR="00E04478" w:rsidRPr="00C20F6C">
        <w:rPr>
          <w:bCs/>
          <w:kern w:val="22"/>
          <w:szCs w:val="22"/>
        </w:rPr>
        <w:t xml:space="preserve"> </w:t>
      </w:r>
      <w:r w:rsidRPr="00C20F6C">
        <w:rPr>
          <w:bCs/>
          <w:kern w:val="22"/>
          <w:szCs w:val="22"/>
        </w:rPr>
        <w:t>i</w:t>
      </w:r>
      <w:r w:rsidR="00E04478" w:rsidRPr="00C20F6C">
        <w:rPr>
          <w:bCs/>
          <w:kern w:val="22"/>
          <w:szCs w:val="22"/>
        </w:rPr>
        <w:t xml:space="preserve">n its resolution 72/249 of 24 December 2017, decided to convene an Intergovernmental Conference on the Conservation and Sustainable Use of Marine Biodiversity of Areas Beyond National Jurisdiction (BBNJ), under the auspices of the United Nations, to consider the recommendations of the Preparatory Committee established by resolution 69/292 of 19 June 2015 on the elements and to elaborate the text of an international legally binding instrument under </w:t>
      </w:r>
      <w:r w:rsidR="00323E23">
        <w:rPr>
          <w:bCs/>
          <w:kern w:val="22"/>
          <w:szCs w:val="22"/>
        </w:rPr>
        <w:t>t</w:t>
      </w:r>
      <w:r w:rsidR="00323E23" w:rsidRPr="00AC0A3D">
        <w:rPr>
          <w:bCs/>
          <w:kern w:val="22"/>
          <w:szCs w:val="22"/>
        </w:rPr>
        <w:t>he Convention on the Law of the Sea</w:t>
      </w:r>
      <w:r w:rsidR="00E04478" w:rsidRPr="00C20F6C">
        <w:rPr>
          <w:bCs/>
          <w:kern w:val="22"/>
          <w:szCs w:val="22"/>
        </w:rPr>
        <w:t>, with a view to developing the instrument as soon as possible.</w:t>
      </w:r>
    </w:p>
    <w:p w14:paraId="67F54869" w14:textId="08FE7F7C" w:rsidR="00E04478" w:rsidRPr="00C20F6C" w:rsidRDefault="00E04478" w:rsidP="00C20F6C">
      <w:pPr>
        <w:pStyle w:val="Para1"/>
        <w:numPr>
          <w:ilvl w:val="0"/>
          <w:numId w:val="7"/>
        </w:numPr>
        <w:suppressLineNumbers/>
        <w:tabs>
          <w:tab w:val="num" w:pos="709"/>
        </w:tabs>
        <w:suppressAutoHyphens/>
        <w:ind w:left="0" w:firstLine="0"/>
        <w:rPr>
          <w:bCs/>
          <w:kern w:val="22"/>
          <w:szCs w:val="22"/>
        </w:rPr>
      </w:pPr>
      <w:r w:rsidRPr="00C20F6C">
        <w:rPr>
          <w:bCs/>
          <w:kern w:val="22"/>
          <w:szCs w:val="22"/>
        </w:rPr>
        <w:t xml:space="preserve">In accordance with resolution 72/249, the Intergovernmental Conference addresses the following topics: </w:t>
      </w:r>
      <w:r w:rsidR="00E056E5" w:rsidRPr="00C20F6C">
        <w:rPr>
          <w:bCs/>
          <w:kern w:val="22"/>
          <w:szCs w:val="22"/>
        </w:rPr>
        <w:t>t</w:t>
      </w:r>
      <w:r w:rsidRPr="00C20F6C">
        <w:rPr>
          <w:bCs/>
          <w:kern w:val="22"/>
          <w:szCs w:val="22"/>
        </w:rPr>
        <w:t>he conservation and sustainable use of marine biological diversity of areas beyond national jurisdiction, in particular, together and as a whole, marine genetic resources, including questions on the sharing of benefits, measures such as area-based management tools, including marine protected areas, environmental impact assessments and capacity-building and the transfer of marine technology.</w:t>
      </w:r>
    </w:p>
    <w:p w14:paraId="47E7DD14" w14:textId="433205D7" w:rsidR="00E04478" w:rsidRPr="00C20F6C" w:rsidRDefault="00E04478" w:rsidP="00C20F6C">
      <w:pPr>
        <w:pStyle w:val="Para1"/>
        <w:numPr>
          <w:ilvl w:val="0"/>
          <w:numId w:val="7"/>
        </w:numPr>
        <w:suppressLineNumbers/>
        <w:tabs>
          <w:tab w:val="num" w:pos="709"/>
        </w:tabs>
        <w:suppressAutoHyphens/>
        <w:ind w:left="0" w:firstLine="0"/>
        <w:rPr>
          <w:bCs/>
          <w:kern w:val="22"/>
          <w:szCs w:val="22"/>
        </w:rPr>
      </w:pPr>
      <w:r w:rsidRPr="00C20F6C">
        <w:rPr>
          <w:bCs/>
          <w:kern w:val="22"/>
          <w:szCs w:val="22"/>
        </w:rPr>
        <w:t xml:space="preserve">Three sessions of the Intergovernmental Conference on an international legally binding instrument were convened between September 2018 and August 2019. Delegates at the third session of the </w:t>
      </w:r>
      <w:r w:rsidR="005A0163" w:rsidRPr="00C20F6C">
        <w:rPr>
          <w:bCs/>
          <w:kern w:val="22"/>
          <w:szCs w:val="22"/>
        </w:rPr>
        <w:t>Conference embarked</w:t>
      </w:r>
      <w:r w:rsidRPr="00C20F6C">
        <w:rPr>
          <w:bCs/>
          <w:kern w:val="22"/>
          <w:szCs w:val="22"/>
        </w:rPr>
        <w:t xml:space="preserve">, for the first time, </w:t>
      </w:r>
      <w:r w:rsidR="000E6C84">
        <w:rPr>
          <w:bCs/>
          <w:kern w:val="22"/>
          <w:szCs w:val="22"/>
        </w:rPr>
        <w:t>on</w:t>
      </w:r>
      <w:r w:rsidR="000E6C84" w:rsidRPr="00C20F6C">
        <w:rPr>
          <w:bCs/>
          <w:kern w:val="22"/>
          <w:szCs w:val="22"/>
        </w:rPr>
        <w:t xml:space="preserve"> </w:t>
      </w:r>
      <w:r w:rsidRPr="00C20F6C">
        <w:rPr>
          <w:bCs/>
          <w:kern w:val="22"/>
          <w:szCs w:val="22"/>
        </w:rPr>
        <w:t xml:space="preserve">textual negotiations </w:t>
      </w:r>
      <w:proofErr w:type="gramStart"/>
      <w:r w:rsidRPr="00C20F6C">
        <w:rPr>
          <w:bCs/>
          <w:kern w:val="22"/>
          <w:szCs w:val="22"/>
        </w:rPr>
        <w:t>on the basis of</w:t>
      </w:r>
      <w:proofErr w:type="gramEnd"/>
      <w:r w:rsidRPr="00C20F6C">
        <w:rPr>
          <w:bCs/>
          <w:kern w:val="22"/>
          <w:szCs w:val="22"/>
        </w:rPr>
        <w:t xml:space="preserve"> a “zero draft” containing treaty text developed by the President of the Conference.</w:t>
      </w:r>
    </w:p>
    <w:p w14:paraId="2519288D" w14:textId="4E7BF1F5" w:rsidR="00E04478" w:rsidRPr="00C20F6C" w:rsidRDefault="00E04478" w:rsidP="00C20F6C">
      <w:pPr>
        <w:pStyle w:val="Para1"/>
        <w:numPr>
          <w:ilvl w:val="0"/>
          <w:numId w:val="7"/>
        </w:numPr>
        <w:suppressLineNumbers/>
        <w:tabs>
          <w:tab w:val="num" w:pos="709"/>
        </w:tabs>
        <w:suppressAutoHyphens/>
        <w:ind w:left="0" w:firstLine="0"/>
        <w:rPr>
          <w:bCs/>
          <w:kern w:val="22"/>
          <w:szCs w:val="22"/>
        </w:rPr>
      </w:pPr>
      <w:r w:rsidRPr="00C20F6C">
        <w:rPr>
          <w:bCs/>
          <w:kern w:val="22"/>
          <w:szCs w:val="22"/>
        </w:rPr>
        <w:t>A revised draft text</w:t>
      </w:r>
      <w:r w:rsidRPr="00C20F6C">
        <w:rPr>
          <w:bCs/>
          <w:kern w:val="22"/>
          <w:szCs w:val="22"/>
          <w:vertAlign w:val="superscript"/>
        </w:rPr>
        <w:footnoteReference w:id="44"/>
      </w:r>
      <w:r w:rsidRPr="00C20F6C">
        <w:rPr>
          <w:bCs/>
          <w:kern w:val="22"/>
          <w:szCs w:val="22"/>
        </w:rPr>
        <w:t xml:space="preserve"> of an agreement under </w:t>
      </w:r>
      <w:r w:rsidR="00165287">
        <w:rPr>
          <w:bCs/>
          <w:kern w:val="22"/>
          <w:szCs w:val="22"/>
        </w:rPr>
        <w:t>t</w:t>
      </w:r>
      <w:r w:rsidR="00165287" w:rsidRPr="00AC0A3D">
        <w:rPr>
          <w:bCs/>
          <w:kern w:val="22"/>
          <w:szCs w:val="22"/>
        </w:rPr>
        <w:t xml:space="preserve">he Convention on the Law of the Sea </w:t>
      </w:r>
      <w:r w:rsidRPr="00C20F6C">
        <w:rPr>
          <w:bCs/>
          <w:kern w:val="22"/>
          <w:szCs w:val="22"/>
        </w:rPr>
        <w:t xml:space="preserve">has been prepared by the President </w:t>
      </w:r>
      <w:r w:rsidR="00BA201B">
        <w:rPr>
          <w:bCs/>
          <w:kern w:val="22"/>
          <w:szCs w:val="22"/>
        </w:rPr>
        <w:t>for consideration</w:t>
      </w:r>
      <w:r w:rsidRPr="00C20F6C">
        <w:rPr>
          <w:bCs/>
          <w:kern w:val="22"/>
          <w:szCs w:val="22"/>
        </w:rPr>
        <w:t xml:space="preserve"> at the fourth session</w:t>
      </w:r>
      <w:r w:rsidR="00541CFE" w:rsidRPr="00C20F6C">
        <w:rPr>
          <w:bCs/>
          <w:kern w:val="22"/>
          <w:szCs w:val="22"/>
        </w:rPr>
        <w:t>.</w:t>
      </w:r>
      <w:r w:rsidRPr="00C20F6C">
        <w:rPr>
          <w:bCs/>
          <w:kern w:val="22"/>
          <w:szCs w:val="22"/>
        </w:rPr>
        <w:t xml:space="preserve"> The revised draft text includes a section on access </w:t>
      </w:r>
      <w:r w:rsidRPr="00C20F6C">
        <w:rPr>
          <w:bCs/>
          <w:kern w:val="22"/>
          <w:szCs w:val="22"/>
        </w:rPr>
        <w:lastRenderedPageBreak/>
        <w:t xml:space="preserve">and benefit-sharing for marine genetic resources and addresses traditional knowledge of indigenous peoples and local communities associated with marine genetic resources (Section II of the </w:t>
      </w:r>
      <w:r w:rsidR="00EB6EB3" w:rsidRPr="00C20F6C">
        <w:rPr>
          <w:bCs/>
          <w:kern w:val="22"/>
          <w:szCs w:val="22"/>
        </w:rPr>
        <w:t>revised draft text</w:t>
      </w:r>
      <w:r w:rsidRPr="00C20F6C">
        <w:rPr>
          <w:bCs/>
          <w:kern w:val="22"/>
          <w:szCs w:val="22"/>
        </w:rPr>
        <w:t>).</w:t>
      </w:r>
    </w:p>
    <w:p w14:paraId="51356C5C" w14:textId="77777777" w:rsidR="00E04478" w:rsidRPr="00C20F6C" w:rsidRDefault="00E04478" w:rsidP="00C20F6C">
      <w:pPr>
        <w:keepNext/>
        <w:numPr>
          <w:ilvl w:val="0"/>
          <w:numId w:val="23"/>
        </w:numPr>
        <w:suppressLineNumbers/>
        <w:tabs>
          <w:tab w:val="left" w:pos="426"/>
        </w:tabs>
        <w:suppressAutoHyphens/>
        <w:spacing w:before="120" w:after="120"/>
        <w:ind w:left="0" w:firstLine="0"/>
        <w:jc w:val="center"/>
        <w:outlineLvl w:val="1"/>
        <w:rPr>
          <w:b/>
          <w:bCs/>
          <w:iCs/>
          <w:snapToGrid w:val="0"/>
          <w:kern w:val="22"/>
          <w:szCs w:val="22"/>
        </w:rPr>
      </w:pPr>
      <w:r w:rsidRPr="009F665A">
        <w:rPr>
          <w:b/>
          <w:bCs/>
          <w:iCs/>
          <w:snapToGrid w:val="0"/>
          <w:kern w:val="22"/>
          <w:szCs w:val="22"/>
        </w:rPr>
        <w:t>World Health Organization</w:t>
      </w:r>
    </w:p>
    <w:p w14:paraId="098AD5AC" w14:textId="474FF331" w:rsidR="00E04478" w:rsidRPr="00C20F6C" w:rsidRDefault="00E04478" w:rsidP="00C20F6C">
      <w:pPr>
        <w:pStyle w:val="Para1"/>
        <w:numPr>
          <w:ilvl w:val="0"/>
          <w:numId w:val="7"/>
        </w:numPr>
        <w:suppressLineNumbers/>
        <w:suppressAutoHyphens/>
        <w:ind w:left="0" w:firstLine="0"/>
        <w:rPr>
          <w:bCs/>
          <w:kern w:val="22"/>
          <w:szCs w:val="22"/>
        </w:rPr>
      </w:pPr>
      <w:r w:rsidRPr="00C20F6C">
        <w:rPr>
          <w:bCs/>
          <w:kern w:val="22"/>
          <w:szCs w:val="22"/>
        </w:rPr>
        <w:t xml:space="preserve">In 2011, the </w:t>
      </w:r>
      <w:r w:rsidR="00FA3AD5" w:rsidRPr="00C20F6C">
        <w:rPr>
          <w:bCs/>
          <w:kern w:val="22"/>
          <w:szCs w:val="22"/>
        </w:rPr>
        <w:t>G</w:t>
      </w:r>
      <w:r w:rsidRPr="00C20F6C">
        <w:rPr>
          <w:bCs/>
          <w:kern w:val="22"/>
          <w:szCs w:val="22"/>
        </w:rPr>
        <w:t xml:space="preserve">overning </w:t>
      </w:r>
      <w:r w:rsidR="00FA3AD5" w:rsidRPr="00C20F6C">
        <w:rPr>
          <w:bCs/>
          <w:kern w:val="22"/>
          <w:szCs w:val="22"/>
        </w:rPr>
        <w:t>B</w:t>
      </w:r>
      <w:r w:rsidRPr="00C20F6C">
        <w:rPr>
          <w:bCs/>
          <w:kern w:val="22"/>
          <w:szCs w:val="22"/>
        </w:rPr>
        <w:t xml:space="preserve">ody of the World Health Organization (WHO), the World Health Assembly, adopted the Pandemic Influenza Preparedness Framework for the Sharing of Influenza Viruses and Access to Vaccines and Other Benefits (PIP Framework). The PIP Framework is a public health instrument that seeks to better prepare the world to respond to pandemic influenza. Its key goals include: </w:t>
      </w:r>
      <w:r w:rsidR="00EB6EB3" w:rsidRPr="00C20F6C">
        <w:rPr>
          <w:bCs/>
          <w:kern w:val="22"/>
          <w:szCs w:val="22"/>
        </w:rPr>
        <w:t>t</w:t>
      </w:r>
      <w:r w:rsidRPr="00C20F6C">
        <w:rPr>
          <w:bCs/>
          <w:kern w:val="22"/>
          <w:szCs w:val="22"/>
        </w:rPr>
        <w:t>o improve and strengthen the sharing of influenza viruses with human pandemic potential; and to increase the access of developing countries to vaccines and other pandemic</w:t>
      </w:r>
      <w:r w:rsidR="00FA0B9C">
        <w:rPr>
          <w:bCs/>
          <w:kern w:val="22"/>
          <w:szCs w:val="22"/>
        </w:rPr>
        <w:t>-</w:t>
      </w:r>
      <w:r w:rsidRPr="00C20F6C">
        <w:rPr>
          <w:bCs/>
          <w:kern w:val="22"/>
          <w:szCs w:val="22"/>
        </w:rPr>
        <w:t>related supplies.</w:t>
      </w:r>
    </w:p>
    <w:p w14:paraId="2E33EF91" w14:textId="50B83BAB" w:rsidR="00E04478" w:rsidRPr="00C20F6C" w:rsidRDefault="00E04478" w:rsidP="00C20F6C">
      <w:pPr>
        <w:pStyle w:val="Para1"/>
        <w:numPr>
          <w:ilvl w:val="0"/>
          <w:numId w:val="7"/>
        </w:numPr>
        <w:suppressLineNumbers/>
        <w:suppressAutoHyphens/>
        <w:ind w:left="0" w:firstLine="0"/>
        <w:rPr>
          <w:bCs/>
          <w:kern w:val="22"/>
          <w:szCs w:val="22"/>
        </w:rPr>
      </w:pPr>
      <w:r w:rsidRPr="00C20F6C">
        <w:rPr>
          <w:kern w:val="22"/>
          <w:szCs w:val="22"/>
        </w:rPr>
        <w:t xml:space="preserve">WHO coordinates the sharing of influenza viruses through an international network of public health laboratories called the </w:t>
      </w:r>
      <w:r w:rsidR="00C2057C">
        <w:rPr>
          <w:kern w:val="22"/>
          <w:szCs w:val="22"/>
        </w:rPr>
        <w:t>“</w:t>
      </w:r>
      <w:r w:rsidRPr="00C20F6C">
        <w:rPr>
          <w:kern w:val="22"/>
          <w:szCs w:val="22"/>
        </w:rPr>
        <w:t xml:space="preserve">Global Influenza Surveillance and Response </w:t>
      </w:r>
      <w:proofErr w:type="gramStart"/>
      <w:r w:rsidRPr="00C20F6C">
        <w:rPr>
          <w:kern w:val="22"/>
          <w:szCs w:val="22"/>
        </w:rPr>
        <w:t>System</w:t>
      </w:r>
      <w:r w:rsidR="00C2057C">
        <w:rPr>
          <w:kern w:val="22"/>
          <w:szCs w:val="22"/>
        </w:rPr>
        <w:t>”</w:t>
      </w:r>
      <w:r w:rsidR="008F4E84" w:rsidRPr="00C20F6C">
        <w:rPr>
          <w:kern w:val="22"/>
          <w:szCs w:val="22"/>
        </w:rPr>
        <w:t xml:space="preserve"> </w:t>
      </w:r>
      <w:r w:rsidRPr="00C20F6C">
        <w:rPr>
          <w:kern w:val="22"/>
          <w:szCs w:val="22"/>
        </w:rPr>
        <w:t>(GISRS).</w:t>
      </w:r>
      <w:proofErr w:type="gramEnd"/>
      <w:r w:rsidRPr="00C20F6C">
        <w:rPr>
          <w:kern w:val="22"/>
          <w:szCs w:val="22"/>
        </w:rPr>
        <w:t xml:space="preserve"> The PIP Framework established </w:t>
      </w:r>
      <w:r w:rsidR="00343E3E">
        <w:rPr>
          <w:kern w:val="22"/>
          <w:szCs w:val="22"/>
        </w:rPr>
        <w:t>t</w:t>
      </w:r>
      <w:r w:rsidRPr="00C20F6C">
        <w:rPr>
          <w:kern w:val="22"/>
          <w:szCs w:val="22"/>
        </w:rPr>
        <w:t xml:space="preserve">erms of </w:t>
      </w:r>
      <w:r w:rsidR="00343E3E">
        <w:rPr>
          <w:kern w:val="22"/>
          <w:szCs w:val="22"/>
        </w:rPr>
        <w:t>r</w:t>
      </w:r>
      <w:r w:rsidRPr="00C20F6C">
        <w:rPr>
          <w:kern w:val="22"/>
          <w:szCs w:val="22"/>
        </w:rPr>
        <w:t>eference for the GISRS laboratories related to their work with influenza viruses with human pandemic potential. The laboratories in GISRS exchange viruses using standard material transfer agreements, binding contracts that establishe</w:t>
      </w:r>
      <w:r w:rsidR="00FA3AD5" w:rsidRPr="00C20F6C">
        <w:rPr>
          <w:kern w:val="22"/>
          <w:szCs w:val="22"/>
        </w:rPr>
        <w:t>d</w:t>
      </w:r>
      <w:r w:rsidRPr="00C20F6C">
        <w:rPr>
          <w:kern w:val="22"/>
          <w:szCs w:val="22"/>
        </w:rPr>
        <w:t xml:space="preserve"> the conditions and obligations for benefit-sharing.</w:t>
      </w:r>
    </w:p>
    <w:p w14:paraId="197A5D7A" w14:textId="46D5F972" w:rsidR="00E04478" w:rsidRPr="00C20F6C" w:rsidRDefault="00E04478" w:rsidP="00C20F6C">
      <w:pPr>
        <w:pStyle w:val="Para1"/>
        <w:numPr>
          <w:ilvl w:val="0"/>
          <w:numId w:val="7"/>
        </w:numPr>
        <w:suppressLineNumbers/>
        <w:tabs>
          <w:tab w:val="num" w:pos="709"/>
        </w:tabs>
        <w:suppressAutoHyphens/>
        <w:ind w:left="0" w:firstLine="0"/>
        <w:rPr>
          <w:bCs/>
          <w:kern w:val="22"/>
          <w:szCs w:val="22"/>
        </w:rPr>
      </w:pPr>
      <w:r w:rsidRPr="00C20F6C">
        <w:rPr>
          <w:bCs/>
          <w:kern w:val="22"/>
          <w:szCs w:val="22"/>
        </w:rPr>
        <w:t>At its 72nd meeting</w:t>
      </w:r>
      <w:r w:rsidR="0062128A">
        <w:rPr>
          <w:bCs/>
          <w:kern w:val="22"/>
          <w:szCs w:val="22"/>
        </w:rPr>
        <w:t>,</w:t>
      </w:r>
      <w:r w:rsidRPr="00C20F6C">
        <w:rPr>
          <w:bCs/>
          <w:kern w:val="22"/>
          <w:szCs w:val="22"/>
        </w:rPr>
        <w:t xml:space="preserve"> in May 2019, the World Health Assembly addressed two items directly related to access and benefit-sharing: the PIP Framework and public health implications of implementation of the Nagoya Protocol.</w:t>
      </w:r>
    </w:p>
    <w:p w14:paraId="0660D5F5" w14:textId="19CF5A97" w:rsidR="00E04478" w:rsidRPr="00C20F6C" w:rsidRDefault="00E04478" w:rsidP="00C20F6C">
      <w:pPr>
        <w:pStyle w:val="Para1"/>
        <w:numPr>
          <w:ilvl w:val="0"/>
          <w:numId w:val="7"/>
        </w:numPr>
        <w:suppressLineNumbers/>
        <w:tabs>
          <w:tab w:val="num" w:pos="709"/>
        </w:tabs>
        <w:suppressAutoHyphens/>
        <w:ind w:left="0" w:firstLine="0"/>
        <w:rPr>
          <w:bCs/>
          <w:kern w:val="22"/>
          <w:szCs w:val="22"/>
        </w:rPr>
      </w:pPr>
      <w:r w:rsidRPr="00C20F6C">
        <w:rPr>
          <w:bCs/>
          <w:kern w:val="22"/>
          <w:szCs w:val="22"/>
        </w:rPr>
        <w:t>With regard to the PIP Framework, decision WHA72(12)</w:t>
      </w:r>
      <w:r w:rsidRPr="00C20F6C">
        <w:rPr>
          <w:bCs/>
          <w:kern w:val="22"/>
          <w:szCs w:val="22"/>
          <w:vertAlign w:val="superscript"/>
        </w:rPr>
        <w:footnoteReference w:id="45"/>
      </w:r>
      <w:r w:rsidRPr="00C20F6C">
        <w:rPr>
          <w:bCs/>
          <w:kern w:val="22"/>
          <w:szCs w:val="22"/>
        </w:rPr>
        <w:t xml:space="preserve"> includes paragraphs that request the Director-General</w:t>
      </w:r>
      <w:r w:rsidR="0026715A">
        <w:rPr>
          <w:bCs/>
          <w:kern w:val="22"/>
          <w:szCs w:val="22"/>
        </w:rPr>
        <w:t>:</w:t>
      </w:r>
      <w:r w:rsidRPr="00C20F6C">
        <w:rPr>
          <w:bCs/>
          <w:kern w:val="22"/>
          <w:szCs w:val="22"/>
        </w:rPr>
        <w:t xml:space="preserve"> (a) to urgently work with the GISRS and other partners to identify and address the challenges and uncertainties related to the sharing of seasonal influenza viruses that have emerged as countries implement the Nagoya Protocol; and (b) to prepare a report on the treatment of influenza virus sharing and the public health considerations thereof by existing relevant legislation and regulatory measures, including those implementing the Nagoya Protocol, in consultation with the Secretariat of the Convention; and </w:t>
      </w:r>
      <w:r w:rsidR="00883577">
        <w:rPr>
          <w:bCs/>
          <w:kern w:val="22"/>
          <w:szCs w:val="22"/>
        </w:rPr>
        <w:t xml:space="preserve">(c) </w:t>
      </w:r>
      <w:r w:rsidRPr="00C20F6C">
        <w:rPr>
          <w:bCs/>
          <w:kern w:val="22"/>
          <w:szCs w:val="22"/>
        </w:rPr>
        <w:t xml:space="preserve">to work collaboratively across WHO to raise awareness among </w:t>
      </w:r>
      <w:r w:rsidR="00B87C8F" w:rsidRPr="00C20F6C">
        <w:rPr>
          <w:bCs/>
          <w:kern w:val="22"/>
          <w:szCs w:val="22"/>
        </w:rPr>
        <w:t>m</w:t>
      </w:r>
      <w:r w:rsidRPr="00C20F6C">
        <w:rPr>
          <w:bCs/>
          <w:kern w:val="22"/>
          <w:szCs w:val="22"/>
        </w:rPr>
        <w:t>ember States of the implications for public health of implementation of the Nagoya Protocol, particularly given the cross</w:t>
      </w:r>
      <w:r w:rsidR="00134728" w:rsidRPr="00C20F6C">
        <w:rPr>
          <w:bCs/>
          <w:kern w:val="22"/>
          <w:szCs w:val="22"/>
        </w:rPr>
        <w:noBreakHyphen/>
      </w:r>
      <w:r w:rsidRPr="00C20F6C">
        <w:rPr>
          <w:bCs/>
          <w:kern w:val="22"/>
          <w:szCs w:val="22"/>
        </w:rPr>
        <w:t>cutting nature of relevant issues.</w:t>
      </w:r>
    </w:p>
    <w:p w14:paraId="4BFCDA2A" w14:textId="36B1E504" w:rsidR="00E04478" w:rsidRPr="00C20F6C" w:rsidRDefault="00E04478" w:rsidP="00C20F6C">
      <w:pPr>
        <w:pStyle w:val="Para1"/>
        <w:numPr>
          <w:ilvl w:val="0"/>
          <w:numId w:val="7"/>
        </w:numPr>
        <w:suppressLineNumbers/>
        <w:tabs>
          <w:tab w:val="num" w:pos="709"/>
        </w:tabs>
        <w:suppressAutoHyphens/>
        <w:ind w:left="0" w:firstLine="0"/>
        <w:rPr>
          <w:bCs/>
          <w:kern w:val="22"/>
          <w:szCs w:val="22"/>
        </w:rPr>
      </w:pPr>
      <w:r w:rsidRPr="00C20F6C">
        <w:rPr>
          <w:bCs/>
          <w:kern w:val="22"/>
          <w:szCs w:val="22"/>
        </w:rPr>
        <w:t>The WHA adopted decision WHA72(13) on public health implications of implementation of the Nagoya Protocol</w:t>
      </w:r>
      <w:r w:rsidRPr="00C20F6C">
        <w:rPr>
          <w:bCs/>
          <w:kern w:val="22"/>
          <w:szCs w:val="22"/>
          <w:vertAlign w:val="superscript"/>
        </w:rPr>
        <w:footnoteReference w:id="46"/>
      </w:r>
      <w:r w:rsidRPr="00C20F6C">
        <w:rPr>
          <w:bCs/>
          <w:kern w:val="22"/>
          <w:szCs w:val="22"/>
        </w:rPr>
        <w:t xml:space="preserve"> which requests the Director-General to broaden engagement with </w:t>
      </w:r>
      <w:r w:rsidR="007E0A78" w:rsidRPr="00C20F6C">
        <w:rPr>
          <w:bCs/>
          <w:kern w:val="22"/>
          <w:szCs w:val="22"/>
        </w:rPr>
        <w:t>m</w:t>
      </w:r>
      <w:r w:rsidRPr="00C20F6C">
        <w:rPr>
          <w:bCs/>
          <w:kern w:val="22"/>
          <w:szCs w:val="22"/>
        </w:rPr>
        <w:t>ember States, the Secretariat of the Convention</w:t>
      </w:r>
      <w:r w:rsidR="00A70325" w:rsidRPr="00C20F6C">
        <w:rPr>
          <w:bCs/>
          <w:kern w:val="22"/>
          <w:szCs w:val="22"/>
        </w:rPr>
        <w:t xml:space="preserve"> on Biological Diversity</w:t>
      </w:r>
      <w:r w:rsidRPr="00C20F6C">
        <w:rPr>
          <w:bCs/>
          <w:kern w:val="22"/>
          <w:szCs w:val="22"/>
        </w:rPr>
        <w:t>, relevant international organizations and relevant stakeholders: (</w:t>
      </w:r>
      <w:r w:rsidR="00856E46">
        <w:rPr>
          <w:bCs/>
          <w:kern w:val="22"/>
          <w:szCs w:val="22"/>
        </w:rPr>
        <w:t>a</w:t>
      </w:r>
      <w:r w:rsidRPr="00C20F6C">
        <w:rPr>
          <w:bCs/>
          <w:kern w:val="22"/>
          <w:szCs w:val="22"/>
        </w:rPr>
        <w:t>) to provide information on current pathogen-sharing practices and arrangements, the implementation of access and benefit-sharing measures, as well as the potential public health outcomes and other implications; and (</w:t>
      </w:r>
      <w:r w:rsidR="00856E46">
        <w:rPr>
          <w:bCs/>
          <w:kern w:val="22"/>
          <w:szCs w:val="22"/>
        </w:rPr>
        <w:t>b</w:t>
      </w:r>
      <w:r w:rsidRPr="00C20F6C">
        <w:rPr>
          <w:bCs/>
          <w:kern w:val="22"/>
          <w:szCs w:val="22"/>
        </w:rPr>
        <w:t>) to provide a report to the 74th World Health Assembly, through the Executive Board at its 148th session, as well as an interim report to the Executive Board at its 146th session.</w:t>
      </w:r>
    </w:p>
    <w:p w14:paraId="3E4A6602" w14:textId="61AB8EB6" w:rsidR="00E04478" w:rsidRPr="00C20F6C" w:rsidRDefault="00E04478" w:rsidP="00C20F6C">
      <w:pPr>
        <w:pStyle w:val="Para1"/>
        <w:numPr>
          <w:ilvl w:val="0"/>
          <w:numId w:val="7"/>
        </w:numPr>
        <w:suppressLineNumbers/>
        <w:tabs>
          <w:tab w:val="num" w:pos="709"/>
        </w:tabs>
        <w:suppressAutoHyphens/>
        <w:ind w:left="0" w:firstLine="0"/>
        <w:rPr>
          <w:bCs/>
          <w:kern w:val="22"/>
          <w:szCs w:val="22"/>
        </w:rPr>
      </w:pPr>
      <w:r w:rsidRPr="00C20F6C">
        <w:rPr>
          <w:bCs/>
          <w:kern w:val="22"/>
          <w:szCs w:val="22"/>
        </w:rPr>
        <w:t>In the context of the implementation of decision WHA72(13), WHO developed</w:t>
      </w:r>
      <w:r w:rsidR="007F068A">
        <w:rPr>
          <w:bCs/>
          <w:kern w:val="22"/>
          <w:szCs w:val="22"/>
        </w:rPr>
        <w:t>,</w:t>
      </w:r>
      <w:r w:rsidRPr="00C20F6C">
        <w:rPr>
          <w:bCs/>
          <w:kern w:val="22"/>
          <w:szCs w:val="22"/>
        </w:rPr>
        <w:t xml:space="preserve"> in consultation with the Secretariat of the Convention</w:t>
      </w:r>
      <w:r w:rsidR="007F068A">
        <w:rPr>
          <w:bCs/>
          <w:kern w:val="22"/>
          <w:szCs w:val="22"/>
        </w:rPr>
        <w:t>,</w:t>
      </w:r>
      <w:r w:rsidRPr="00C20F6C">
        <w:rPr>
          <w:bCs/>
          <w:kern w:val="22"/>
          <w:szCs w:val="22"/>
        </w:rPr>
        <w:t xml:space="preserve"> a survey to collect information </w:t>
      </w:r>
      <w:r w:rsidR="007C1B6D" w:rsidRPr="00C20F6C">
        <w:rPr>
          <w:bCs/>
          <w:kern w:val="22"/>
          <w:szCs w:val="22"/>
        </w:rPr>
        <w:t xml:space="preserve">on: </w:t>
      </w:r>
      <w:r w:rsidRPr="00C20F6C">
        <w:rPr>
          <w:bCs/>
          <w:kern w:val="22"/>
          <w:szCs w:val="22"/>
        </w:rPr>
        <w:t xml:space="preserve">(a) current pathogen-sharing practices and arrangements; and (b) implementation of access and benefit-sharing measures. The survey </w:t>
      </w:r>
      <w:r w:rsidR="00A70325" w:rsidRPr="00C20F6C">
        <w:rPr>
          <w:bCs/>
          <w:kern w:val="22"/>
          <w:szCs w:val="22"/>
        </w:rPr>
        <w:t xml:space="preserve">was </w:t>
      </w:r>
      <w:r w:rsidRPr="00C20F6C">
        <w:rPr>
          <w:bCs/>
          <w:kern w:val="22"/>
          <w:szCs w:val="22"/>
        </w:rPr>
        <w:t xml:space="preserve">also </w:t>
      </w:r>
      <w:r w:rsidR="00A70325" w:rsidRPr="00C20F6C">
        <w:rPr>
          <w:bCs/>
          <w:kern w:val="22"/>
          <w:szCs w:val="22"/>
        </w:rPr>
        <w:t xml:space="preserve">intended to </w:t>
      </w:r>
      <w:r w:rsidRPr="00C20F6C">
        <w:rPr>
          <w:bCs/>
          <w:kern w:val="22"/>
          <w:szCs w:val="22"/>
        </w:rPr>
        <w:t xml:space="preserve">gather perspectives on potential public health outcomes and other implications, as requested </w:t>
      </w:r>
      <w:r w:rsidR="0000792C">
        <w:rPr>
          <w:bCs/>
          <w:kern w:val="22"/>
          <w:szCs w:val="22"/>
        </w:rPr>
        <w:t>in</w:t>
      </w:r>
      <w:r w:rsidR="0000792C" w:rsidRPr="00C20F6C">
        <w:rPr>
          <w:bCs/>
          <w:kern w:val="22"/>
          <w:szCs w:val="22"/>
        </w:rPr>
        <w:t xml:space="preserve"> </w:t>
      </w:r>
      <w:r w:rsidRPr="00C20F6C">
        <w:rPr>
          <w:bCs/>
          <w:kern w:val="22"/>
          <w:szCs w:val="22"/>
        </w:rPr>
        <w:t>the decision. Through a notification,</w:t>
      </w:r>
      <w:r w:rsidRPr="00C20F6C">
        <w:rPr>
          <w:bCs/>
          <w:kern w:val="22"/>
          <w:szCs w:val="22"/>
          <w:vertAlign w:val="superscript"/>
        </w:rPr>
        <w:footnoteReference w:id="47"/>
      </w:r>
      <w:r w:rsidRPr="00C20F6C">
        <w:rPr>
          <w:bCs/>
          <w:kern w:val="22"/>
          <w:szCs w:val="22"/>
        </w:rPr>
        <w:t xml:space="preserve"> CBD and ABS </w:t>
      </w:r>
      <w:r w:rsidR="00152AF5" w:rsidRPr="00C20F6C">
        <w:rPr>
          <w:bCs/>
          <w:kern w:val="22"/>
          <w:szCs w:val="22"/>
        </w:rPr>
        <w:t>n</w:t>
      </w:r>
      <w:r w:rsidRPr="00C20F6C">
        <w:rPr>
          <w:bCs/>
          <w:kern w:val="22"/>
          <w:szCs w:val="22"/>
        </w:rPr>
        <w:t xml:space="preserve">ational </w:t>
      </w:r>
      <w:r w:rsidR="00152AF5" w:rsidRPr="00C20F6C">
        <w:rPr>
          <w:bCs/>
          <w:kern w:val="22"/>
          <w:szCs w:val="22"/>
        </w:rPr>
        <w:t>f</w:t>
      </w:r>
      <w:r w:rsidRPr="00C20F6C">
        <w:rPr>
          <w:bCs/>
          <w:kern w:val="22"/>
          <w:szCs w:val="22"/>
        </w:rPr>
        <w:t xml:space="preserve">ocal </w:t>
      </w:r>
      <w:r w:rsidR="00152AF5" w:rsidRPr="00C20F6C">
        <w:rPr>
          <w:bCs/>
          <w:kern w:val="22"/>
          <w:szCs w:val="22"/>
        </w:rPr>
        <w:t>p</w:t>
      </w:r>
      <w:r w:rsidRPr="00C20F6C">
        <w:rPr>
          <w:bCs/>
          <w:kern w:val="22"/>
          <w:szCs w:val="22"/>
        </w:rPr>
        <w:t xml:space="preserve">oints were invited to participate in the survey, in addition to WHO </w:t>
      </w:r>
      <w:r w:rsidR="007E0A78" w:rsidRPr="00C20F6C">
        <w:rPr>
          <w:bCs/>
          <w:kern w:val="22"/>
          <w:szCs w:val="22"/>
        </w:rPr>
        <w:t>m</w:t>
      </w:r>
      <w:r w:rsidRPr="00C20F6C">
        <w:rPr>
          <w:bCs/>
          <w:kern w:val="22"/>
          <w:szCs w:val="22"/>
        </w:rPr>
        <w:t>ember States, international and national agencies, WHO Collaborating Centres, non-State actors in official relations with WHO, private sector and other relevant stakeholders.</w:t>
      </w:r>
    </w:p>
    <w:p w14:paraId="43DAB2DA" w14:textId="0D8EC82B" w:rsidR="00323709" w:rsidRPr="00C20F6C" w:rsidRDefault="00323709" w:rsidP="00C20F6C">
      <w:pPr>
        <w:pStyle w:val="Para1"/>
        <w:numPr>
          <w:ilvl w:val="0"/>
          <w:numId w:val="7"/>
        </w:numPr>
        <w:suppressLineNumbers/>
        <w:tabs>
          <w:tab w:val="num" w:pos="709"/>
        </w:tabs>
        <w:suppressAutoHyphens/>
        <w:ind w:left="0" w:firstLine="0"/>
        <w:rPr>
          <w:bCs/>
          <w:spacing w:val="-2"/>
          <w:kern w:val="22"/>
          <w:szCs w:val="22"/>
        </w:rPr>
      </w:pPr>
      <w:r w:rsidRPr="00C20F6C">
        <w:rPr>
          <w:bCs/>
          <w:spacing w:val="-2"/>
          <w:kern w:val="22"/>
          <w:szCs w:val="22"/>
        </w:rPr>
        <w:lastRenderedPageBreak/>
        <w:t>The WHA held</w:t>
      </w:r>
      <w:r w:rsidR="006E40C4" w:rsidRPr="00C20F6C">
        <w:rPr>
          <w:bCs/>
          <w:spacing w:val="-2"/>
          <w:kern w:val="22"/>
          <w:szCs w:val="22"/>
        </w:rPr>
        <w:t xml:space="preserve"> the first part of</w:t>
      </w:r>
      <w:r w:rsidRPr="00C20F6C">
        <w:rPr>
          <w:bCs/>
          <w:spacing w:val="-2"/>
          <w:kern w:val="22"/>
          <w:szCs w:val="22"/>
        </w:rPr>
        <w:t xml:space="preserve"> its 73</w:t>
      </w:r>
      <w:r w:rsidR="006E40C4" w:rsidRPr="00C20F6C">
        <w:rPr>
          <w:bCs/>
          <w:spacing w:val="-2"/>
          <w:kern w:val="22"/>
          <w:szCs w:val="22"/>
          <w:vertAlign w:val="superscript"/>
        </w:rPr>
        <w:t>rd</w:t>
      </w:r>
      <w:r w:rsidR="006E40C4" w:rsidRPr="00C20F6C">
        <w:rPr>
          <w:bCs/>
          <w:spacing w:val="-2"/>
          <w:kern w:val="22"/>
          <w:szCs w:val="22"/>
        </w:rPr>
        <w:t xml:space="preserve"> </w:t>
      </w:r>
      <w:r w:rsidRPr="00C20F6C">
        <w:rPr>
          <w:bCs/>
          <w:spacing w:val="-2"/>
          <w:kern w:val="22"/>
          <w:szCs w:val="22"/>
        </w:rPr>
        <w:t xml:space="preserve">session </w:t>
      </w:r>
      <w:r w:rsidR="006E40C4" w:rsidRPr="00C20F6C">
        <w:rPr>
          <w:bCs/>
          <w:spacing w:val="-2"/>
          <w:kern w:val="22"/>
          <w:szCs w:val="22"/>
        </w:rPr>
        <w:t>virtually on 18 and 19 M</w:t>
      </w:r>
      <w:r w:rsidRPr="00C20F6C">
        <w:rPr>
          <w:bCs/>
          <w:spacing w:val="-2"/>
          <w:kern w:val="22"/>
          <w:szCs w:val="22"/>
        </w:rPr>
        <w:t xml:space="preserve">ay </w:t>
      </w:r>
      <w:r w:rsidR="006E40C4" w:rsidRPr="00C20F6C">
        <w:rPr>
          <w:bCs/>
          <w:spacing w:val="-2"/>
          <w:kern w:val="22"/>
          <w:szCs w:val="22"/>
        </w:rPr>
        <w:t>2020. U</w:t>
      </w:r>
      <w:r w:rsidRPr="00C20F6C">
        <w:rPr>
          <w:bCs/>
          <w:spacing w:val="-2"/>
          <w:kern w:val="22"/>
          <w:szCs w:val="22"/>
        </w:rPr>
        <w:t>nder agenda item</w:t>
      </w:r>
      <w:r w:rsidR="00152AF5" w:rsidRPr="00C20F6C">
        <w:rPr>
          <w:bCs/>
          <w:spacing w:val="-2"/>
          <w:kern w:val="22"/>
          <w:szCs w:val="22"/>
        </w:rPr>
        <w:t> </w:t>
      </w:r>
      <w:r w:rsidRPr="00C20F6C">
        <w:rPr>
          <w:bCs/>
          <w:spacing w:val="-2"/>
          <w:kern w:val="22"/>
          <w:szCs w:val="22"/>
        </w:rPr>
        <w:t xml:space="preserve">3 on </w:t>
      </w:r>
      <w:r w:rsidR="00954762" w:rsidRPr="00C20F6C">
        <w:rPr>
          <w:bCs/>
          <w:spacing w:val="-2"/>
          <w:kern w:val="22"/>
          <w:szCs w:val="22"/>
        </w:rPr>
        <w:t xml:space="preserve">the </w:t>
      </w:r>
      <w:r w:rsidR="00940F58" w:rsidRPr="00C20F6C">
        <w:rPr>
          <w:bCs/>
          <w:spacing w:val="-2"/>
          <w:kern w:val="22"/>
          <w:szCs w:val="22"/>
        </w:rPr>
        <w:t>COVID-</w:t>
      </w:r>
      <w:r w:rsidRPr="00C20F6C">
        <w:rPr>
          <w:bCs/>
          <w:spacing w:val="-2"/>
          <w:kern w:val="22"/>
          <w:szCs w:val="22"/>
        </w:rPr>
        <w:t xml:space="preserve">19 response, </w:t>
      </w:r>
      <w:r w:rsidR="00940F58" w:rsidRPr="00C20F6C">
        <w:rPr>
          <w:bCs/>
          <w:spacing w:val="-2"/>
          <w:kern w:val="22"/>
          <w:szCs w:val="22"/>
        </w:rPr>
        <w:t xml:space="preserve">WHA </w:t>
      </w:r>
      <w:r w:rsidR="006E40C4" w:rsidRPr="00C20F6C">
        <w:rPr>
          <w:bCs/>
          <w:spacing w:val="-2"/>
          <w:kern w:val="22"/>
          <w:szCs w:val="22"/>
        </w:rPr>
        <w:t>recognized</w:t>
      </w:r>
      <w:r w:rsidR="00202E2A" w:rsidRPr="00C20F6C">
        <w:rPr>
          <w:bCs/>
          <w:spacing w:val="-2"/>
          <w:kern w:val="22"/>
          <w:szCs w:val="22"/>
        </w:rPr>
        <w:t>, among other things,</w:t>
      </w:r>
      <w:r w:rsidR="006E40C4" w:rsidRPr="00C20F6C">
        <w:rPr>
          <w:bCs/>
          <w:spacing w:val="-2"/>
          <w:kern w:val="22"/>
          <w:szCs w:val="22"/>
        </w:rPr>
        <w:t xml:space="preserve"> the need for all countries to have unhindered, timely access to quality, safe, efficacious and affordable diagnostics, therapeutics, medicines and vaccines, and essential health technologies, and their components as well as equipment</w:t>
      </w:r>
      <w:r w:rsidR="00202E2A" w:rsidRPr="00C20F6C">
        <w:rPr>
          <w:bCs/>
          <w:spacing w:val="-2"/>
          <w:kern w:val="22"/>
          <w:szCs w:val="22"/>
        </w:rPr>
        <w:t xml:space="preserve"> for </w:t>
      </w:r>
      <w:r w:rsidR="006E40C4" w:rsidRPr="00C20F6C">
        <w:rPr>
          <w:bCs/>
          <w:spacing w:val="-2"/>
          <w:kern w:val="22"/>
          <w:szCs w:val="22"/>
        </w:rPr>
        <w:t>COVID</w:t>
      </w:r>
      <w:r w:rsidR="00180269" w:rsidRPr="00C20F6C">
        <w:rPr>
          <w:bCs/>
          <w:spacing w:val="-2"/>
          <w:kern w:val="22"/>
          <w:szCs w:val="22"/>
        </w:rPr>
        <w:noBreakHyphen/>
      </w:r>
      <w:r w:rsidR="006E40C4" w:rsidRPr="00C20F6C">
        <w:rPr>
          <w:bCs/>
          <w:spacing w:val="-2"/>
          <w:kern w:val="22"/>
          <w:szCs w:val="22"/>
        </w:rPr>
        <w:t xml:space="preserve">19 response </w:t>
      </w:r>
      <w:r w:rsidRPr="00C20F6C">
        <w:rPr>
          <w:bCs/>
          <w:spacing w:val="-2"/>
          <w:kern w:val="22"/>
          <w:szCs w:val="22"/>
        </w:rPr>
        <w:t>(</w:t>
      </w:r>
      <w:r w:rsidR="00202E2A" w:rsidRPr="00C20F6C">
        <w:rPr>
          <w:bCs/>
          <w:spacing w:val="-2"/>
          <w:kern w:val="22"/>
          <w:szCs w:val="22"/>
        </w:rPr>
        <w:t>PP</w:t>
      </w:r>
      <w:r w:rsidRPr="00C20F6C">
        <w:rPr>
          <w:bCs/>
          <w:spacing w:val="-2"/>
          <w:kern w:val="22"/>
          <w:szCs w:val="22"/>
        </w:rPr>
        <w:t xml:space="preserve"> 13</w:t>
      </w:r>
      <w:r w:rsidR="006E40C4" w:rsidRPr="00C20F6C">
        <w:rPr>
          <w:bCs/>
          <w:spacing w:val="-2"/>
          <w:kern w:val="22"/>
          <w:szCs w:val="22"/>
        </w:rPr>
        <w:t>)</w:t>
      </w:r>
      <w:r w:rsidR="002F7879" w:rsidRPr="00C20F6C">
        <w:rPr>
          <w:bCs/>
          <w:spacing w:val="-2"/>
          <w:kern w:val="22"/>
          <w:szCs w:val="22"/>
        </w:rPr>
        <w:t>.</w:t>
      </w:r>
      <w:r w:rsidR="00940F58" w:rsidRPr="00C20F6C">
        <w:rPr>
          <w:bCs/>
          <w:spacing w:val="-2"/>
          <w:kern w:val="22"/>
          <w:szCs w:val="22"/>
        </w:rPr>
        <w:t xml:space="preserve"> It also recogni</w:t>
      </w:r>
      <w:r w:rsidR="0073127A" w:rsidRPr="00C20F6C">
        <w:rPr>
          <w:bCs/>
          <w:spacing w:val="-2"/>
          <w:kern w:val="22"/>
          <w:szCs w:val="22"/>
        </w:rPr>
        <w:t>z</w:t>
      </w:r>
      <w:r w:rsidR="00940F58" w:rsidRPr="00C20F6C">
        <w:rPr>
          <w:bCs/>
          <w:spacing w:val="-2"/>
          <w:kern w:val="22"/>
          <w:szCs w:val="22"/>
        </w:rPr>
        <w:t>ed the role of extensive immuni</w:t>
      </w:r>
      <w:r w:rsidR="00E14B74" w:rsidRPr="00C20F6C">
        <w:rPr>
          <w:bCs/>
          <w:spacing w:val="-2"/>
          <w:kern w:val="22"/>
          <w:szCs w:val="22"/>
        </w:rPr>
        <w:t>z</w:t>
      </w:r>
      <w:r w:rsidR="00940F58" w:rsidRPr="00C20F6C">
        <w:rPr>
          <w:bCs/>
          <w:spacing w:val="-2"/>
          <w:kern w:val="22"/>
          <w:szCs w:val="22"/>
        </w:rPr>
        <w:t>ation against COV</w:t>
      </w:r>
      <w:r w:rsidR="006E40C4" w:rsidRPr="00C20F6C">
        <w:rPr>
          <w:bCs/>
          <w:spacing w:val="-2"/>
          <w:kern w:val="22"/>
          <w:szCs w:val="22"/>
        </w:rPr>
        <w:t>I</w:t>
      </w:r>
      <w:r w:rsidR="00940F58" w:rsidRPr="00C20F6C">
        <w:rPr>
          <w:bCs/>
          <w:spacing w:val="-2"/>
          <w:kern w:val="22"/>
          <w:szCs w:val="22"/>
        </w:rPr>
        <w:t>D-19 as a global public good for health in preventing, containing and stopping transmission in order the bring the pandemic to an end, once safe, quality, efficacious, effective, accessible, and affordable vaccines are available (</w:t>
      </w:r>
      <w:r w:rsidR="00202E2A" w:rsidRPr="00C20F6C">
        <w:rPr>
          <w:bCs/>
          <w:spacing w:val="-2"/>
          <w:kern w:val="22"/>
          <w:szCs w:val="22"/>
        </w:rPr>
        <w:t>OP</w:t>
      </w:r>
      <w:r w:rsidR="00E14B74" w:rsidRPr="00C20F6C">
        <w:rPr>
          <w:bCs/>
          <w:spacing w:val="-2"/>
          <w:kern w:val="22"/>
          <w:szCs w:val="22"/>
        </w:rPr>
        <w:t> </w:t>
      </w:r>
      <w:r w:rsidR="00940F58" w:rsidRPr="00C20F6C">
        <w:rPr>
          <w:bCs/>
          <w:spacing w:val="-2"/>
          <w:kern w:val="22"/>
          <w:szCs w:val="22"/>
        </w:rPr>
        <w:t>6).</w:t>
      </w:r>
      <w:r w:rsidR="006E40C4" w:rsidRPr="00C20F6C">
        <w:rPr>
          <w:rStyle w:val="FootnoteReference"/>
          <w:bCs/>
          <w:spacing w:val="-2"/>
          <w:kern w:val="22"/>
          <w:szCs w:val="22"/>
          <w:lang w:val="en-GB"/>
        </w:rPr>
        <w:footnoteReference w:id="48"/>
      </w:r>
    </w:p>
    <w:p w14:paraId="47383205" w14:textId="77777777" w:rsidR="00E04478" w:rsidRPr="009F665A" w:rsidRDefault="00E04478" w:rsidP="00C20F6C">
      <w:pPr>
        <w:keepNext/>
        <w:numPr>
          <w:ilvl w:val="0"/>
          <w:numId w:val="23"/>
        </w:numPr>
        <w:suppressLineNumbers/>
        <w:tabs>
          <w:tab w:val="left" w:pos="426"/>
        </w:tabs>
        <w:suppressAutoHyphens/>
        <w:spacing w:before="120" w:after="120"/>
        <w:ind w:left="0" w:firstLine="0"/>
        <w:jc w:val="center"/>
        <w:outlineLvl w:val="1"/>
        <w:rPr>
          <w:b/>
          <w:bCs/>
          <w:iCs/>
          <w:snapToGrid w:val="0"/>
          <w:kern w:val="22"/>
          <w:szCs w:val="22"/>
        </w:rPr>
      </w:pPr>
      <w:r w:rsidRPr="009F665A">
        <w:rPr>
          <w:b/>
          <w:bCs/>
          <w:iCs/>
          <w:snapToGrid w:val="0"/>
          <w:kern w:val="22"/>
          <w:szCs w:val="22"/>
        </w:rPr>
        <w:t>World Intellectual Property Organization</w:t>
      </w:r>
    </w:p>
    <w:p w14:paraId="51E3B4BE" w14:textId="52B1D716" w:rsidR="00E04478" w:rsidRPr="00C20F6C" w:rsidRDefault="00E04478" w:rsidP="00C20F6C">
      <w:pPr>
        <w:pStyle w:val="Para1"/>
        <w:numPr>
          <w:ilvl w:val="0"/>
          <w:numId w:val="7"/>
        </w:numPr>
        <w:suppressLineNumbers/>
        <w:tabs>
          <w:tab w:val="num" w:pos="709"/>
        </w:tabs>
        <w:suppressAutoHyphens/>
        <w:ind w:left="0" w:firstLine="0"/>
        <w:rPr>
          <w:bCs/>
          <w:kern w:val="22"/>
          <w:szCs w:val="22"/>
        </w:rPr>
      </w:pPr>
      <w:r w:rsidRPr="00C20F6C">
        <w:rPr>
          <w:bCs/>
          <w:kern w:val="22"/>
          <w:szCs w:val="22"/>
        </w:rPr>
        <w:t xml:space="preserve">The Intergovernmental Committee on Intellectual Property and Genetic Resources, Traditional Knowledge was established by the General Assembly </w:t>
      </w:r>
      <w:r w:rsidR="00697181">
        <w:rPr>
          <w:bCs/>
          <w:kern w:val="22"/>
          <w:szCs w:val="22"/>
        </w:rPr>
        <w:t xml:space="preserve">of the </w:t>
      </w:r>
      <w:r w:rsidR="00697181" w:rsidRPr="00AC0A3D">
        <w:rPr>
          <w:bCs/>
          <w:kern w:val="22"/>
          <w:szCs w:val="22"/>
        </w:rPr>
        <w:t xml:space="preserve">World Intellectual Property Organization (WIPO) </w:t>
      </w:r>
      <w:r w:rsidRPr="00C20F6C">
        <w:rPr>
          <w:bCs/>
          <w:kern w:val="22"/>
          <w:szCs w:val="22"/>
        </w:rPr>
        <w:t xml:space="preserve">in 2000 as a forum for discussions among </w:t>
      </w:r>
      <w:r w:rsidR="00B87C8F" w:rsidRPr="00C20F6C">
        <w:rPr>
          <w:bCs/>
          <w:kern w:val="22"/>
          <w:szCs w:val="22"/>
        </w:rPr>
        <w:t>m</w:t>
      </w:r>
      <w:r w:rsidRPr="00C20F6C">
        <w:rPr>
          <w:bCs/>
          <w:kern w:val="22"/>
          <w:szCs w:val="22"/>
        </w:rPr>
        <w:t xml:space="preserve">ember States and text-based negotiations with the objective of reaching an agreement on an international legal instrument(s) that </w:t>
      </w:r>
      <w:r w:rsidR="00CE09A1">
        <w:rPr>
          <w:bCs/>
          <w:kern w:val="22"/>
          <w:szCs w:val="22"/>
        </w:rPr>
        <w:t>would</w:t>
      </w:r>
      <w:r w:rsidR="00CE09A1" w:rsidRPr="00C20F6C">
        <w:rPr>
          <w:bCs/>
          <w:kern w:val="22"/>
          <w:szCs w:val="22"/>
        </w:rPr>
        <w:t xml:space="preserve"> </w:t>
      </w:r>
      <w:r w:rsidRPr="00C20F6C">
        <w:rPr>
          <w:bCs/>
          <w:kern w:val="22"/>
          <w:szCs w:val="22"/>
        </w:rPr>
        <w:t>ensure the effective protection of traditional knowledge, traditional cultural expressions/folklore and genetic resources.</w:t>
      </w:r>
    </w:p>
    <w:p w14:paraId="2799CF71" w14:textId="76A23B33" w:rsidR="00E04478" w:rsidRPr="00C20F6C" w:rsidRDefault="00E04478" w:rsidP="00C20F6C">
      <w:pPr>
        <w:pStyle w:val="Para1"/>
        <w:numPr>
          <w:ilvl w:val="0"/>
          <w:numId w:val="7"/>
        </w:numPr>
        <w:suppressLineNumbers/>
        <w:tabs>
          <w:tab w:val="num" w:pos="709"/>
        </w:tabs>
        <w:suppressAutoHyphens/>
        <w:ind w:left="0" w:firstLine="0"/>
        <w:rPr>
          <w:bCs/>
          <w:spacing w:val="-2"/>
          <w:kern w:val="22"/>
          <w:szCs w:val="22"/>
        </w:rPr>
      </w:pPr>
      <w:r w:rsidRPr="00C20F6C">
        <w:rPr>
          <w:bCs/>
          <w:spacing w:val="-2"/>
          <w:kern w:val="22"/>
          <w:szCs w:val="22"/>
        </w:rPr>
        <w:t xml:space="preserve">At the sixth and last session under the current mandate for 2018-2019, the Intergovernmental Committee addressed traditional knowledge and traditional cultural expressions, took stock of the progress made over the biennium </w:t>
      </w:r>
      <w:r w:rsidR="00B80772" w:rsidRPr="00C20F6C">
        <w:rPr>
          <w:bCs/>
          <w:spacing w:val="-2"/>
          <w:kern w:val="22"/>
          <w:szCs w:val="22"/>
        </w:rPr>
        <w:t xml:space="preserve">2018-2019 </w:t>
      </w:r>
      <w:r w:rsidRPr="00C20F6C">
        <w:rPr>
          <w:bCs/>
          <w:spacing w:val="-2"/>
          <w:kern w:val="22"/>
          <w:szCs w:val="22"/>
        </w:rPr>
        <w:t>and made recommendations to the WIPO General Assembly. Among other things, the Committee agreed that the draft articles on genetic resources, traditional knowledge and traditional cultural expressions</w:t>
      </w:r>
      <w:r w:rsidR="007E0A78" w:rsidRPr="00C20F6C">
        <w:rPr>
          <w:bCs/>
          <w:spacing w:val="-2"/>
          <w:kern w:val="22"/>
          <w:szCs w:val="22"/>
        </w:rPr>
        <w:t>,</w:t>
      </w:r>
      <w:r w:rsidRPr="00C20F6C">
        <w:rPr>
          <w:rStyle w:val="FootnoteReference"/>
          <w:bCs/>
          <w:spacing w:val="-2"/>
          <w:kern w:val="22"/>
          <w:szCs w:val="22"/>
          <w:lang w:val="en-GB"/>
        </w:rPr>
        <w:footnoteReference w:id="49"/>
      </w:r>
      <w:r w:rsidRPr="00C20F6C">
        <w:rPr>
          <w:bCs/>
          <w:spacing w:val="-2"/>
          <w:kern w:val="22"/>
          <w:szCs w:val="22"/>
        </w:rPr>
        <w:t xml:space="preserve"> as well as the Chair’s </w:t>
      </w:r>
      <w:r w:rsidR="0072402E" w:rsidRPr="00C20F6C">
        <w:rPr>
          <w:bCs/>
          <w:spacing w:val="-2"/>
          <w:kern w:val="22"/>
          <w:szCs w:val="22"/>
        </w:rPr>
        <w:t>t</w:t>
      </w:r>
      <w:r w:rsidRPr="00C20F6C">
        <w:rPr>
          <w:bCs/>
          <w:spacing w:val="-2"/>
          <w:kern w:val="22"/>
          <w:szCs w:val="22"/>
        </w:rPr>
        <w:t>ext of a Draft International Legal Instrument Relating to Intellectual Property, Genetic Resources and Traditional Knowledge Associated with Genetic Resources</w:t>
      </w:r>
      <w:r w:rsidRPr="00C20F6C">
        <w:rPr>
          <w:rStyle w:val="FootnoteReference"/>
          <w:bCs/>
          <w:spacing w:val="-2"/>
          <w:kern w:val="22"/>
          <w:szCs w:val="22"/>
          <w:lang w:val="en-GB"/>
        </w:rPr>
        <w:footnoteReference w:id="50"/>
      </w:r>
      <w:r w:rsidRPr="00C20F6C">
        <w:rPr>
          <w:bCs/>
          <w:spacing w:val="-2"/>
          <w:kern w:val="22"/>
          <w:szCs w:val="22"/>
        </w:rPr>
        <w:t xml:space="preserve"> </w:t>
      </w:r>
      <w:r w:rsidR="00C13090" w:rsidRPr="00C20F6C">
        <w:rPr>
          <w:bCs/>
          <w:spacing w:val="-2"/>
          <w:kern w:val="22"/>
          <w:szCs w:val="22"/>
        </w:rPr>
        <w:t xml:space="preserve">should </w:t>
      </w:r>
      <w:r w:rsidRPr="00C20F6C">
        <w:rPr>
          <w:bCs/>
          <w:spacing w:val="-2"/>
          <w:kern w:val="22"/>
          <w:szCs w:val="22"/>
        </w:rPr>
        <w:t>be transmitted to the 2019 WIPO General Assembly</w:t>
      </w:r>
      <w:r w:rsidR="0068237B" w:rsidRPr="00C20F6C">
        <w:rPr>
          <w:bCs/>
          <w:spacing w:val="-2"/>
          <w:kern w:val="22"/>
          <w:szCs w:val="22"/>
        </w:rPr>
        <w:t>.</w:t>
      </w:r>
      <w:r w:rsidRPr="00C20F6C">
        <w:rPr>
          <w:bCs/>
          <w:spacing w:val="-2"/>
          <w:kern w:val="22"/>
          <w:szCs w:val="22"/>
        </w:rPr>
        <w:t xml:space="preserve"> </w:t>
      </w:r>
      <w:r w:rsidR="0068237B" w:rsidRPr="00C20F6C">
        <w:rPr>
          <w:bCs/>
          <w:spacing w:val="-2"/>
          <w:kern w:val="22"/>
          <w:szCs w:val="22"/>
        </w:rPr>
        <w:t>I</w:t>
      </w:r>
      <w:r w:rsidR="00C13090" w:rsidRPr="00C20F6C">
        <w:rPr>
          <w:bCs/>
          <w:spacing w:val="-2"/>
          <w:kern w:val="22"/>
          <w:szCs w:val="22"/>
        </w:rPr>
        <w:t xml:space="preserve">t also decided </w:t>
      </w:r>
      <w:r w:rsidRPr="00C20F6C">
        <w:rPr>
          <w:bCs/>
          <w:spacing w:val="-2"/>
          <w:kern w:val="22"/>
          <w:szCs w:val="22"/>
        </w:rPr>
        <w:t>to recommend to the 2019 WIPO General Assembly that the mandate of the Committee be renewed for the biennium</w:t>
      </w:r>
      <w:r w:rsidR="00C20430" w:rsidRPr="00C20F6C">
        <w:rPr>
          <w:bCs/>
          <w:spacing w:val="-2"/>
          <w:kern w:val="22"/>
          <w:szCs w:val="22"/>
        </w:rPr>
        <w:t xml:space="preserve"> </w:t>
      </w:r>
      <w:r w:rsidR="00B80772" w:rsidRPr="00C20F6C">
        <w:rPr>
          <w:bCs/>
          <w:spacing w:val="-2"/>
          <w:kern w:val="22"/>
          <w:szCs w:val="22"/>
        </w:rPr>
        <w:t>2020-2021</w:t>
      </w:r>
      <w:r w:rsidRPr="00C20F6C">
        <w:rPr>
          <w:bCs/>
          <w:spacing w:val="-2"/>
          <w:kern w:val="22"/>
          <w:szCs w:val="22"/>
        </w:rPr>
        <w:t>.</w:t>
      </w:r>
    </w:p>
    <w:p w14:paraId="0974727B" w14:textId="57FD029E" w:rsidR="008F4E84" w:rsidRPr="00C20F6C" w:rsidRDefault="00E04478" w:rsidP="00C20F6C">
      <w:pPr>
        <w:pStyle w:val="Para1"/>
        <w:numPr>
          <w:ilvl w:val="0"/>
          <w:numId w:val="7"/>
        </w:numPr>
        <w:suppressLineNumbers/>
        <w:tabs>
          <w:tab w:val="num" w:pos="709"/>
        </w:tabs>
        <w:suppressAutoHyphens/>
        <w:ind w:left="0" w:firstLine="0"/>
        <w:rPr>
          <w:bCs/>
          <w:kern w:val="22"/>
          <w:szCs w:val="22"/>
        </w:rPr>
      </w:pPr>
      <w:r w:rsidRPr="00C20F6C">
        <w:rPr>
          <w:bCs/>
          <w:kern w:val="22"/>
          <w:szCs w:val="22"/>
        </w:rPr>
        <w:t>The WIPO General Assembly, at its 51</w:t>
      </w:r>
      <w:r w:rsidRPr="00C20F6C">
        <w:rPr>
          <w:bCs/>
          <w:kern w:val="22"/>
          <w:szCs w:val="22"/>
          <w:vertAlign w:val="superscript"/>
        </w:rPr>
        <w:t>st</w:t>
      </w:r>
      <w:r w:rsidRPr="00C20F6C">
        <w:rPr>
          <w:bCs/>
          <w:kern w:val="22"/>
          <w:szCs w:val="22"/>
        </w:rPr>
        <w:t xml:space="preserve"> session</w:t>
      </w:r>
      <w:r w:rsidR="0068237B">
        <w:rPr>
          <w:bCs/>
          <w:kern w:val="22"/>
          <w:szCs w:val="22"/>
        </w:rPr>
        <w:t>,</w:t>
      </w:r>
      <w:r w:rsidRPr="00C20F6C">
        <w:rPr>
          <w:bCs/>
          <w:kern w:val="22"/>
          <w:szCs w:val="22"/>
        </w:rPr>
        <w:t xml:space="preserve"> in 2019, agreed on the renewal of the mandate of the Intergovernmental Committee on Intellectual Property and Genetic Resources, Traditional Knowledge and Folklore for the 2020-2021 biennium, as well as the work plan for the biennium. According to the agreed mandate, the Intergovernmental Committee will continue to expedite its work with the objective of finalizing an agreement on an international legal instrument(s), without prejudging the nature of outcome(s), relating to intellectual property which will ensure the balanced and effective protection of genetic resources, traditional knowledge and traditional cultural expressions</w:t>
      </w:r>
      <w:r w:rsidR="00B971AD" w:rsidRPr="00C20F6C">
        <w:rPr>
          <w:bCs/>
          <w:kern w:val="22"/>
          <w:szCs w:val="22"/>
        </w:rPr>
        <w:t>.</w:t>
      </w:r>
      <w:r w:rsidRPr="00C20F6C">
        <w:rPr>
          <w:rStyle w:val="FootnoteReference"/>
          <w:bCs/>
          <w:kern w:val="22"/>
          <w:szCs w:val="22"/>
          <w:lang w:val="en-GB"/>
        </w:rPr>
        <w:footnoteReference w:id="51"/>
      </w:r>
    </w:p>
    <w:p w14:paraId="33BB0107" w14:textId="1A137ECE" w:rsidR="008F4E84" w:rsidRPr="00C20F6C" w:rsidRDefault="008F4E84" w:rsidP="00C20F6C">
      <w:pPr>
        <w:pStyle w:val="Heading1"/>
        <w:numPr>
          <w:ilvl w:val="0"/>
          <w:numId w:val="24"/>
        </w:numPr>
        <w:suppressLineNumbers/>
        <w:tabs>
          <w:tab w:val="clear" w:pos="720"/>
          <w:tab w:val="left" w:pos="567"/>
        </w:tabs>
        <w:suppressAutoHyphens/>
        <w:spacing w:before="120"/>
        <w:ind w:left="0" w:firstLine="0"/>
        <w:rPr>
          <w:rFonts w:ascii="Times New Roman Bold" w:hAnsi="Times New Roman Bold"/>
          <w:b w:val="0"/>
          <w:bCs/>
          <w:caps w:val="0"/>
          <w:kern w:val="22"/>
          <w:szCs w:val="22"/>
        </w:rPr>
      </w:pPr>
      <w:r w:rsidRPr="00C20F6C">
        <w:rPr>
          <w:rFonts w:ascii="Times New Roman Bold" w:hAnsi="Times New Roman Bold"/>
          <w:bCs/>
          <w:caps w:val="0"/>
          <w:kern w:val="22"/>
          <w:szCs w:val="22"/>
        </w:rPr>
        <w:t>SUGGESTED ELEMENTS OF A DRAFT RECOMMENDATION</w:t>
      </w:r>
    </w:p>
    <w:p w14:paraId="52B7E38A" w14:textId="150875A5" w:rsidR="00E04478" w:rsidRPr="00C20F6C" w:rsidRDefault="008F4E84" w:rsidP="00C20F6C">
      <w:pPr>
        <w:pStyle w:val="Para1"/>
        <w:numPr>
          <w:ilvl w:val="0"/>
          <w:numId w:val="7"/>
        </w:numPr>
        <w:suppressLineNumbers/>
        <w:tabs>
          <w:tab w:val="num" w:pos="709"/>
        </w:tabs>
        <w:suppressAutoHyphens/>
        <w:ind w:left="0" w:firstLine="0"/>
        <w:rPr>
          <w:bCs/>
          <w:kern w:val="22"/>
          <w:szCs w:val="22"/>
        </w:rPr>
      </w:pPr>
      <w:r w:rsidRPr="00C20F6C">
        <w:rPr>
          <w:kern w:val="22"/>
          <w:szCs w:val="22"/>
        </w:rPr>
        <w:t xml:space="preserve">In the light of the synthesis of views and </w:t>
      </w:r>
      <w:r w:rsidRPr="00C20F6C">
        <w:rPr>
          <w:bCs/>
          <w:kern w:val="22"/>
          <w:szCs w:val="22"/>
        </w:rPr>
        <w:t xml:space="preserve">the various points of consensus </w:t>
      </w:r>
      <w:r w:rsidRPr="00C20F6C">
        <w:rPr>
          <w:kern w:val="22"/>
          <w:szCs w:val="22"/>
        </w:rPr>
        <w:t>identified through the analysis above, the Subsidiary Body on Implementation may wish to consider making recommendation to the Conference of the Parties serving as the meeting of the Parties to the Nagoya Protocol, to take a decision, at its fourth meeting, along the following lines:</w:t>
      </w:r>
    </w:p>
    <w:p w14:paraId="19252DB9" w14:textId="35612391" w:rsidR="00E75253" w:rsidRPr="00C20F6C" w:rsidRDefault="00E75253" w:rsidP="00C20F6C">
      <w:pPr>
        <w:suppressLineNumbers/>
        <w:suppressAutoHyphens/>
        <w:spacing w:before="120" w:after="120"/>
        <w:ind w:firstLine="720"/>
        <w:jc w:val="left"/>
        <w:rPr>
          <w:bCs/>
          <w:i/>
          <w:iCs/>
          <w:kern w:val="22"/>
          <w:szCs w:val="22"/>
        </w:rPr>
      </w:pPr>
      <w:r w:rsidRPr="00C20F6C">
        <w:rPr>
          <w:bCs/>
          <w:i/>
          <w:iCs/>
          <w:kern w:val="22"/>
          <w:szCs w:val="22"/>
        </w:rPr>
        <w:t>The Conference of the Parties serving as the meeting of the Parties to the Nagoya Protocol</w:t>
      </w:r>
      <w:r w:rsidR="00626F54">
        <w:rPr>
          <w:bCs/>
          <w:i/>
          <w:iCs/>
          <w:kern w:val="22"/>
          <w:szCs w:val="22"/>
        </w:rPr>
        <w:t xml:space="preserve"> on Access and Benefit-sharing</w:t>
      </w:r>
      <w:r w:rsidRPr="00C20F6C">
        <w:rPr>
          <w:bCs/>
          <w:i/>
          <w:iCs/>
          <w:kern w:val="22"/>
          <w:szCs w:val="22"/>
        </w:rPr>
        <w:t>,</w:t>
      </w:r>
    </w:p>
    <w:p w14:paraId="4257E168" w14:textId="73291082" w:rsidR="00E75253" w:rsidRPr="00C20F6C" w:rsidRDefault="00E75253" w:rsidP="00C20F6C">
      <w:pPr>
        <w:suppressLineNumbers/>
        <w:suppressAutoHyphens/>
        <w:spacing w:before="120" w:after="120"/>
        <w:ind w:firstLine="720"/>
        <w:rPr>
          <w:bCs/>
          <w:kern w:val="22"/>
          <w:szCs w:val="22"/>
        </w:rPr>
      </w:pPr>
      <w:r w:rsidRPr="00C20F6C">
        <w:rPr>
          <w:bCs/>
          <w:i/>
          <w:iCs/>
          <w:kern w:val="22"/>
          <w:szCs w:val="22"/>
        </w:rPr>
        <w:t xml:space="preserve">Taking note </w:t>
      </w:r>
      <w:r w:rsidRPr="00C20F6C">
        <w:rPr>
          <w:bCs/>
          <w:kern w:val="22"/>
          <w:szCs w:val="22"/>
        </w:rPr>
        <w:t>of</w:t>
      </w:r>
      <w:r w:rsidRPr="00C20F6C">
        <w:rPr>
          <w:bCs/>
          <w:i/>
          <w:iCs/>
          <w:kern w:val="22"/>
          <w:szCs w:val="22"/>
        </w:rPr>
        <w:t xml:space="preserve"> </w:t>
      </w:r>
      <w:r w:rsidRPr="00C20F6C">
        <w:rPr>
          <w:bCs/>
          <w:kern w:val="22"/>
          <w:szCs w:val="22"/>
        </w:rPr>
        <w:t>the information and views submitted in accordance with decision NP-3/14, paragraph</w:t>
      </w:r>
      <w:r w:rsidR="00BB7FC1">
        <w:rPr>
          <w:bCs/>
          <w:kern w:val="22"/>
          <w:szCs w:val="22"/>
        </w:rPr>
        <w:t> </w:t>
      </w:r>
      <w:r w:rsidRPr="00C20F6C">
        <w:rPr>
          <w:bCs/>
          <w:kern w:val="22"/>
          <w:szCs w:val="22"/>
        </w:rPr>
        <w:t>2,</w:t>
      </w:r>
    </w:p>
    <w:p w14:paraId="406F2C65" w14:textId="096B2FC9" w:rsidR="00E75253" w:rsidRPr="00C20F6C" w:rsidRDefault="00E75253" w:rsidP="00C20F6C">
      <w:pPr>
        <w:suppressLineNumbers/>
        <w:suppressAutoHyphens/>
        <w:spacing w:before="120" w:after="120"/>
        <w:ind w:firstLine="720"/>
        <w:rPr>
          <w:bCs/>
          <w:kern w:val="22"/>
          <w:szCs w:val="22"/>
        </w:rPr>
      </w:pPr>
      <w:r w:rsidRPr="00C20F6C">
        <w:rPr>
          <w:bCs/>
          <w:i/>
          <w:iCs/>
          <w:kern w:val="22"/>
          <w:szCs w:val="22"/>
        </w:rPr>
        <w:t>Recalling</w:t>
      </w:r>
      <w:r w:rsidRPr="00C20F6C">
        <w:rPr>
          <w:bCs/>
          <w:kern w:val="22"/>
          <w:szCs w:val="22"/>
        </w:rPr>
        <w:t xml:space="preserve"> Article 4, paragraph 4, of the Protocol</w:t>
      </w:r>
      <w:r w:rsidR="00CD1F85" w:rsidRPr="00C20F6C">
        <w:rPr>
          <w:bCs/>
          <w:kern w:val="22"/>
          <w:szCs w:val="22"/>
        </w:rPr>
        <w:t>,</w:t>
      </w:r>
    </w:p>
    <w:p w14:paraId="040701D3" w14:textId="7014DC80" w:rsidR="00E75253" w:rsidRPr="00C20F6C" w:rsidRDefault="00E75253" w:rsidP="00C20F6C">
      <w:pPr>
        <w:suppressLineNumbers/>
        <w:suppressAutoHyphens/>
        <w:spacing w:before="120" w:after="120"/>
        <w:ind w:firstLine="720"/>
        <w:rPr>
          <w:bCs/>
          <w:kern w:val="22"/>
          <w:szCs w:val="22"/>
        </w:rPr>
      </w:pPr>
      <w:r w:rsidRPr="00C20F6C">
        <w:rPr>
          <w:kern w:val="22"/>
          <w:szCs w:val="22"/>
        </w:rPr>
        <w:lastRenderedPageBreak/>
        <w:t>1.</w:t>
      </w:r>
      <w:r w:rsidRPr="00C20F6C">
        <w:rPr>
          <w:kern w:val="22"/>
          <w:szCs w:val="22"/>
        </w:rPr>
        <w:tab/>
      </w:r>
      <w:r w:rsidRPr="00C20F6C">
        <w:rPr>
          <w:i/>
          <w:iCs/>
          <w:kern w:val="22"/>
          <w:szCs w:val="22"/>
        </w:rPr>
        <w:t>Welcomes</w:t>
      </w:r>
      <w:r w:rsidRPr="00C20F6C">
        <w:rPr>
          <w:kern w:val="22"/>
          <w:szCs w:val="22"/>
        </w:rPr>
        <w:t xml:space="preserve"> the indicative criteria for specialized international access and benefit-sharing instruments in the context of Article 4, paragraph 4, of the Nagoya Protocol contained in the </w:t>
      </w:r>
      <w:r w:rsidR="00B25EE3" w:rsidRPr="00C20F6C">
        <w:rPr>
          <w:kern w:val="22"/>
          <w:szCs w:val="22"/>
        </w:rPr>
        <w:t>a</w:t>
      </w:r>
      <w:r w:rsidRPr="00C20F6C">
        <w:rPr>
          <w:kern w:val="22"/>
          <w:szCs w:val="22"/>
        </w:rPr>
        <w:t xml:space="preserve">nnex to </w:t>
      </w:r>
      <w:r w:rsidR="00BF58AC" w:rsidRPr="00C20F6C">
        <w:rPr>
          <w:kern w:val="22"/>
          <w:szCs w:val="22"/>
        </w:rPr>
        <w:t>the present</w:t>
      </w:r>
      <w:r w:rsidR="007C5415" w:rsidRPr="00C20F6C">
        <w:rPr>
          <w:kern w:val="22"/>
          <w:szCs w:val="22"/>
        </w:rPr>
        <w:t xml:space="preserve"> draft</w:t>
      </w:r>
      <w:r w:rsidR="00BF58AC" w:rsidRPr="00C20F6C">
        <w:rPr>
          <w:kern w:val="22"/>
          <w:szCs w:val="22"/>
        </w:rPr>
        <w:t xml:space="preserve"> </w:t>
      </w:r>
      <w:r w:rsidRPr="00C20F6C">
        <w:rPr>
          <w:kern w:val="22"/>
          <w:szCs w:val="22"/>
        </w:rPr>
        <w:t>decision, noting that they are intended to contribute to strengthening coordination and mutual supportiveness between the Nagoya Protocol and other international access and benefit-sharing instruments, without creating a hierarchy among them;</w:t>
      </w:r>
    </w:p>
    <w:p w14:paraId="1BDDBB0B" w14:textId="77777777" w:rsidR="00E75253" w:rsidRPr="00C20F6C" w:rsidRDefault="00E75253" w:rsidP="00C20F6C">
      <w:pPr>
        <w:suppressLineNumbers/>
        <w:suppressAutoHyphens/>
        <w:spacing w:before="120" w:after="120"/>
        <w:ind w:firstLine="720"/>
        <w:rPr>
          <w:kern w:val="22"/>
          <w:szCs w:val="22"/>
        </w:rPr>
      </w:pPr>
      <w:r w:rsidRPr="00C20F6C">
        <w:rPr>
          <w:kern w:val="22"/>
          <w:szCs w:val="22"/>
        </w:rPr>
        <w:t>2.</w:t>
      </w:r>
      <w:r w:rsidRPr="00C20F6C">
        <w:rPr>
          <w:kern w:val="22"/>
          <w:szCs w:val="22"/>
        </w:rPr>
        <w:tab/>
      </w:r>
      <w:r w:rsidRPr="00C20F6C">
        <w:rPr>
          <w:i/>
          <w:iCs/>
          <w:kern w:val="22"/>
          <w:szCs w:val="22"/>
        </w:rPr>
        <w:t>Invite</w:t>
      </w:r>
      <w:r w:rsidRPr="00C20F6C">
        <w:rPr>
          <w:kern w:val="22"/>
          <w:szCs w:val="22"/>
        </w:rPr>
        <w:t xml:space="preserve">s Parties, and other Governments to </w:t>
      </w:r>
      <w:proofErr w:type="gramStart"/>
      <w:r w:rsidRPr="00C20F6C">
        <w:rPr>
          <w:kern w:val="22"/>
          <w:szCs w:val="22"/>
        </w:rPr>
        <w:t>take into account</w:t>
      </w:r>
      <w:proofErr w:type="gramEnd"/>
      <w:r w:rsidRPr="00C20F6C">
        <w:rPr>
          <w:kern w:val="22"/>
          <w:szCs w:val="22"/>
        </w:rPr>
        <w:t xml:space="preserve"> the indicative criteria in developing and/or applying access and benefit-sharing measures;</w:t>
      </w:r>
    </w:p>
    <w:p w14:paraId="245D6219" w14:textId="6AEB60B6" w:rsidR="00E75253" w:rsidRPr="00C20F6C" w:rsidRDefault="00E75253" w:rsidP="00C20F6C">
      <w:pPr>
        <w:suppressLineNumbers/>
        <w:suppressAutoHyphens/>
        <w:spacing w:before="120" w:after="120"/>
        <w:ind w:firstLine="720"/>
        <w:rPr>
          <w:kern w:val="22"/>
          <w:szCs w:val="22"/>
        </w:rPr>
      </w:pPr>
      <w:r w:rsidRPr="00C20F6C">
        <w:rPr>
          <w:kern w:val="22"/>
          <w:szCs w:val="22"/>
        </w:rPr>
        <w:t>3.</w:t>
      </w:r>
      <w:r w:rsidRPr="00C20F6C">
        <w:rPr>
          <w:kern w:val="22"/>
          <w:szCs w:val="22"/>
        </w:rPr>
        <w:tab/>
      </w:r>
      <w:r w:rsidRPr="00C20F6C">
        <w:rPr>
          <w:i/>
          <w:iCs/>
          <w:kern w:val="22"/>
          <w:szCs w:val="22"/>
        </w:rPr>
        <w:t xml:space="preserve">Invites </w:t>
      </w:r>
      <w:r w:rsidRPr="00C20F6C">
        <w:rPr>
          <w:kern w:val="22"/>
          <w:szCs w:val="22"/>
        </w:rPr>
        <w:t xml:space="preserve">relevant international organizations and intergovernmental processes to </w:t>
      </w:r>
      <w:proofErr w:type="gramStart"/>
      <w:r w:rsidRPr="00C20F6C">
        <w:rPr>
          <w:kern w:val="22"/>
          <w:szCs w:val="22"/>
        </w:rPr>
        <w:t>take into account</w:t>
      </w:r>
      <w:proofErr w:type="gramEnd"/>
      <w:r w:rsidRPr="00C20F6C">
        <w:rPr>
          <w:kern w:val="22"/>
          <w:szCs w:val="22"/>
        </w:rPr>
        <w:t xml:space="preserve"> the indicative criteria in their efforts to develop international instruments that include provisions on access and benefit-sharing;</w:t>
      </w:r>
    </w:p>
    <w:p w14:paraId="2D892F67" w14:textId="47E046B3" w:rsidR="00E75253" w:rsidRPr="00C20F6C" w:rsidRDefault="00E75253" w:rsidP="00C20F6C">
      <w:pPr>
        <w:suppressLineNumbers/>
        <w:suppressAutoHyphens/>
        <w:spacing w:before="120" w:after="120"/>
        <w:ind w:firstLine="720"/>
        <w:rPr>
          <w:kern w:val="22"/>
          <w:szCs w:val="22"/>
        </w:rPr>
      </w:pPr>
      <w:r w:rsidRPr="00C20F6C">
        <w:rPr>
          <w:kern w:val="22"/>
          <w:szCs w:val="22"/>
        </w:rPr>
        <w:t>4.</w:t>
      </w:r>
      <w:r w:rsidRPr="00C20F6C">
        <w:rPr>
          <w:kern w:val="22"/>
          <w:szCs w:val="22"/>
        </w:rPr>
        <w:tab/>
      </w:r>
      <w:r w:rsidRPr="00C20F6C">
        <w:rPr>
          <w:i/>
          <w:iCs/>
          <w:kern w:val="22"/>
          <w:szCs w:val="22"/>
        </w:rPr>
        <w:t>Requests</w:t>
      </w:r>
      <w:r w:rsidRPr="00C20F6C">
        <w:rPr>
          <w:kern w:val="22"/>
          <w:szCs w:val="22"/>
        </w:rPr>
        <w:t xml:space="preserve"> Parties to include information in their national reports, and </w:t>
      </w:r>
      <w:r w:rsidRPr="00C20F6C">
        <w:rPr>
          <w:i/>
          <w:iCs/>
          <w:kern w:val="22"/>
          <w:szCs w:val="22"/>
        </w:rPr>
        <w:t>invites</w:t>
      </w:r>
      <w:r w:rsidRPr="00C20F6C">
        <w:rPr>
          <w:kern w:val="22"/>
          <w:szCs w:val="22"/>
        </w:rPr>
        <w:t xml:space="preserve"> other Governments and relevant international organizations to share information, on any steps that they have taken towards the development and/or implementation of specialized international access and benefit</w:t>
      </w:r>
      <w:r w:rsidR="003E7F77" w:rsidRPr="00C20F6C">
        <w:rPr>
          <w:kern w:val="22"/>
          <w:szCs w:val="22"/>
        </w:rPr>
        <w:noBreakHyphen/>
      </w:r>
      <w:r w:rsidRPr="00C20F6C">
        <w:rPr>
          <w:kern w:val="22"/>
          <w:szCs w:val="22"/>
        </w:rPr>
        <w:t xml:space="preserve">sharing instrument </w:t>
      </w:r>
      <w:r w:rsidR="00382446" w:rsidRPr="00C20F6C">
        <w:rPr>
          <w:kern w:val="22"/>
          <w:szCs w:val="22"/>
        </w:rPr>
        <w:t>that is consistent</w:t>
      </w:r>
      <w:r w:rsidR="0013716B" w:rsidRPr="00C20F6C">
        <w:rPr>
          <w:kern w:val="22"/>
          <w:szCs w:val="22"/>
        </w:rPr>
        <w:t xml:space="preserve"> </w:t>
      </w:r>
      <w:r w:rsidRPr="00C20F6C">
        <w:rPr>
          <w:kern w:val="22"/>
          <w:szCs w:val="22"/>
        </w:rPr>
        <w:t>with the objectives of the Convention and the Protocol, including information on the specific genetic resource covered by and for the purpose of the specialized instrument</w:t>
      </w:r>
      <w:r w:rsidR="00390F4E" w:rsidRPr="00C20F6C">
        <w:rPr>
          <w:kern w:val="22"/>
          <w:szCs w:val="22"/>
        </w:rPr>
        <w:t>;</w:t>
      </w:r>
    </w:p>
    <w:p w14:paraId="02EC3F7D" w14:textId="476ADDDC" w:rsidR="00E75253" w:rsidRPr="00C20F6C" w:rsidRDefault="00E75253" w:rsidP="00C20F6C">
      <w:pPr>
        <w:suppressLineNumbers/>
        <w:suppressAutoHyphens/>
        <w:spacing w:before="120" w:after="120"/>
        <w:ind w:firstLine="720"/>
        <w:rPr>
          <w:kern w:val="22"/>
          <w:szCs w:val="22"/>
        </w:rPr>
      </w:pPr>
      <w:r w:rsidRPr="00C20F6C">
        <w:rPr>
          <w:kern w:val="22"/>
          <w:szCs w:val="22"/>
        </w:rPr>
        <w:t>5.</w:t>
      </w:r>
      <w:r w:rsidRPr="00C20F6C">
        <w:rPr>
          <w:kern w:val="22"/>
          <w:szCs w:val="22"/>
        </w:rPr>
        <w:tab/>
      </w:r>
      <w:r w:rsidRPr="00C20F6C">
        <w:rPr>
          <w:i/>
          <w:iCs/>
          <w:kern w:val="22"/>
          <w:szCs w:val="22"/>
        </w:rPr>
        <w:t>Decides</w:t>
      </w:r>
      <w:r w:rsidRPr="00C20F6C">
        <w:rPr>
          <w:kern w:val="22"/>
          <w:szCs w:val="22"/>
        </w:rPr>
        <w:t xml:space="preserve"> to review this decision in the context of the assessment and review process as provided in Article 31 of the Protocol, taking into account relevant developments and with a view to taking any steps necessary to promot</w:t>
      </w:r>
      <w:r w:rsidR="00C86061">
        <w:rPr>
          <w:kern w:val="22"/>
          <w:szCs w:val="22"/>
        </w:rPr>
        <w:t>e</w:t>
      </w:r>
      <w:r w:rsidRPr="00C20F6C">
        <w:rPr>
          <w:kern w:val="22"/>
          <w:szCs w:val="22"/>
        </w:rPr>
        <w:t xml:space="preserve"> coherence in the international regime on access and benefit-sharing.</w:t>
      </w:r>
    </w:p>
    <w:p w14:paraId="3DF45E25" w14:textId="77777777" w:rsidR="008F4E84" w:rsidRPr="00C20F6C" w:rsidRDefault="008F4E84" w:rsidP="00C20F6C">
      <w:pPr>
        <w:pStyle w:val="Para1"/>
        <w:numPr>
          <w:ilvl w:val="0"/>
          <w:numId w:val="0"/>
        </w:numPr>
        <w:suppressLineNumbers/>
        <w:suppressAutoHyphens/>
        <w:rPr>
          <w:kern w:val="22"/>
          <w:szCs w:val="22"/>
        </w:rPr>
      </w:pPr>
    </w:p>
    <w:p w14:paraId="50C5BD79" w14:textId="77777777" w:rsidR="00D61E2B" w:rsidRPr="00C20F6C" w:rsidRDefault="00D61E2B" w:rsidP="00C20F6C">
      <w:pPr>
        <w:suppressLineNumbers/>
        <w:suppressAutoHyphens/>
        <w:spacing w:after="200" w:line="276" w:lineRule="auto"/>
        <w:jc w:val="left"/>
        <w:rPr>
          <w:i/>
          <w:iCs/>
          <w:snapToGrid w:val="0"/>
          <w:kern w:val="22"/>
          <w:szCs w:val="22"/>
        </w:rPr>
      </w:pPr>
      <w:r w:rsidRPr="00C20F6C">
        <w:rPr>
          <w:i/>
          <w:iCs/>
          <w:kern w:val="22"/>
          <w:szCs w:val="22"/>
        </w:rPr>
        <w:br w:type="page"/>
      </w:r>
    </w:p>
    <w:p w14:paraId="35814D4E" w14:textId="0E32DFF0" w:rsidR="00E403DF" w:rsidRPr="00C20F6C" w:rsidRDefault="00A15B36" w:rsidP="00C20F6C">
      <w:pPr>
        <w:pStyle w:val="Para1"/>
        <w:numPr>
          <w:ilvl w:val="0"/>
          <w:numId w:val="0"/>
        </w:numPr>
        <w:suppressLineNumbers/>
        <w:suppressAutoHyphens/>
        <w:spacing w:before="0"/>
        <w:jc w:val="center"/>
        <w:rPr>
          <w:i/>
          <w:iCs/>
          <w:kern w:val="22"/>
          <w:szCs w:val="22"/>
        </w:rPr>
      </w:pPr>
      <w:r w:rsidRPr="00C20F6C">
        <w:rPr>
          <w:i/>
          <w:iCs/>
          <w:kern w:val="22"/>
          <w:szCs w:val="22"/>
        </w:rPr>
        <w:lastRenderedPageBreak/>
        <w:t>Annex</w:t>
      </w:r>
    </w:p>
    <w:p w14:paraId="50DBBE4D" w14:textId="6598B5E8" w:rsidR="008F4E84" w:rsidRPr="00C20F6C" w:rsidRDefault="004E2EC6" w:rsidP="00C20F6C">
      <w:pPr>
        <w:pStyle w:val="Heading1"/>
        <w:suppressLineNumbers/>
        <w:tabs>
          <w:tab w:val="clear" w:pos="720"/>
        </w:tabs>
        <w:suppressAutoHyphens/>
        <w:spacing w:before="120"/>
        <w:rPr>
          <w:caps w:val="0"/>
          <w:kern w:val="22"/>
          <w:szCs w:val="22"/>
        </w:rPr>
      </w:pPr>
      <w:r w:rsidRPr="00C20F6C">
        <w:rPr>
          <w:caps w:val="0"/>
          <w:kern w:val="22"/>
          <w:szCs w:val="22"/>
        </w:rPr>
        <w:t xml:space="preserve">INDICATIVE </w:t>
      </w:r>
      <w:r w:rsidR="00A15B36" w:rsidRPr="00C20F6C">
        <w:rPr>
          <w:caps w:val="0"/>
          <w:kern w:val="22"/>
          <w:szCs w:val="22"/>
        </w:rPr>
        <w:t>CRITERIA FOR SPECIALIZED INTERNATIONAL ACCESS AND BENEFIT</w:t>
      </w:r>
      <w:r w:rsidR="00D61E2B" w:rsidRPr="00C20F6C">
        <w:rPr>
          <w:caps w:val="0"/>
          <w:kern w:val="22"/>
          <w:szCs w:val="22"/>
        </w:rPr>
        <w:noBreakHyphen/>
      </w:r>
      <w:r w:rsidR="00A15B36" w:rsidRPr="00C20F6C">
        <w:rPr>
          <w:caps w:val="0"/>
          <w:kern w:val="22"/>
          <w:szCs w:val="22"/>
        </w:rPr>
        <w:t>SHARING INSTRUMENTS IN THE CONTEXT OF ARTICLE</w:t>
      </w:r>
      <w:r w:rsidR="00AE07D5" w:rsidRPr="00C20F6C">
        <w:rPr>
          <w:caps w:val="0"/>
          <w:kern w:val="22"/>
          <w:szCs w:val="22"/>
        </w:rPr>
        <w:t> </w:t>
      </w:r>
      <w:r w:rsidR="00A15B36" w:rsidRPr="00C20F6C">
        <w:rPr>
          <w:caps w:val="0"/>
          <w:kern w:val="22"/>
          <w:szCs w:val="22"/>
        </w:rPr>
        <w:t>4,</w:t>
      </w:r>
      <w:r w:rsidR="00C83D72" w:rsidRPr="00C20F6C">
        <w:rPr>
          <w:caps w:val="0"/>
          <w:kern w:val="22"/>
          <w:szCs w:val="22"/>
        </w:rPr>
        <w:t xml:space="preserve"> </w:t>
      </w:r>
      <w:r w:rsidR="00A15B36" w:rsidRPr="00C20F6C">
        <w:rPr>
          <w:caps w:val="0"/>
          <w:kern w:val="22"/>
          <w:szCs w:val="22"/>
        </w:rPr>
        <w:t>PARAGRAPH</w:t>
      </w:r>
      <w:r w:rsidR="00AE07D5" w:rsidRPr="00C20F6C">
        <w:rPr>
          <w:caps w:val="0"/>
          <w:kern w:val="22"/>
          <w:szCs w:val="22"/>
        </w:rPr>
        <w:t> </w:t>
      </w:r>
      <w:r w:rsidR="00A15B36" w:rsidRPr="00C20F6C">
        <w:rPr>
          <w:caps w:val="0"/>
          <w:kern w:val="22"/>
          <w:szCs w:val="22"/>
        </w:rPr>
        <w:t>4, OF THE NAGOYA PROTOCOL ON ACCESS TO GENETIC RESOURCES AND THE FAIR AND EQUITABLE SHARING OF BENEFITS ARISING FROM THEIR UTILIZATION</w:t>
      </w:r>
    </w:p>
    <w:p w14:paraId="419B0CFF" w14:textId="69CE1690" w:rsidR="00E75253" w:rsidRPr="00C20F6C" w:rsidRDefault="00E75253" w:rsidP="00C20F6C">
      <w:pPr>
        <w:pStyle w:val="Para1"/>
        <w:suppressLineNumbers/>
        <w:tabs>
          <w:tab w:val="clear" w:pos="360"/>
        </w:tabs>
        <w:suppressAutoHyphens/>
        <w:rPr>
          <w:kern w:val="22"/>
          <w:szCs w:val="22"/>
        </w:rPr>
      </w:pPr>
      <w:r w:rsidRPr="00C20F6C">
        <w:rPr>
          <w:kern w:val="22"/>
          <w:szCs w:val="22"/>
        </w:rPr>
        <w:t xml:space="preserve">These indicative criteria are reference points or elements to consider as guidance when developing or recognizing specialized international </w:t>
      </w:r>
      <w:r w:rsidR="00525B9F" w:rsidRPr="00C20F6C">
        <w:rPr>
          <w:kern w:val="22"/>
          <w:szCs w:val="22"/>
        </w:rPr>
        <w:t xml:space="preserve">access and benefit-sharing </w:t>
      </w:r>
      <w:r w:rsidRPr="00C20F6C">
        <w:rPr>
          <w:kern w:val="22"/>
          <w:szCs w:val="22"/>
        </w:rPr>
        <w:t>instruments. They are intended to contribute to strengthening coordination and mutual supportiveness between the Nagoya Protocol and other international access and benefit-sharing instruments, without creating a hierarchy among them.</w:t>
      </w:r>
    </w:p>
    <w:p w14:paraId="4305AA86" w14:textId="429946DB" w:rsidR="00E403DF" w:rsidRPr="00C20F6C" w:rsidRDefault="00A15B36" w:rsidP="00C20F6C">
      <w:pPr>
        <w:pStyle w:val="Para1"/>
        <w:suppressLineNumbers/>
        <w:tabs>
          <w:tab w:val="clear" w:pos="360"/>
        </w:tabs>
        <w:suppressAutoHyphens/>
        <w:rPr>
          <w:kern w:val="22"/>
          <w:szCs w:val="22"/>
        </w:rPr>
      </w:pPr>
      <w:proofErr w:type="spellStart"/>
      <w:r w:rsidRPr="00C20F6C">
        <w:rPr>
          <w:i/>
          <w:iCs/>
          <w:kern w:val="22"/>
          <w:szCs w:val="22"/>
        </w:rPr>
        <w:t>Intergovernmentally</w:t>
      </w:r>
      <w:proofErr w:type="spellEnd"/>
      <w:r w:rsidR="001A56DF" w:rsidRPr="00C20F6C">
        <w:rPr>
          <w:i/>
          <w:iCs/>
          <w:kern w:val="22"/>
          <w:szCs w:val="22"/>
        </w:rPr>
        <w:t xml:space="preserve"> or internationally</w:t>
      </w:r>
      <w:r w:rsidRPr="00C20F6C">
        <w:rPr>
          <w:i/>
          <w:iCs/>
          <w:kern w:val="22"/>
          <w:szCs w:val="22"/>
        </w:rPr>
        <w:t xml:space="preserve"> agreed</w:t>
      </w:r>
      <w:r w:rsidR="005B1A5E">
        <w:rPr>
          <w:i/>
          <w:iCs/>
          <w:kern w:val="22"/>
          <w:szCs w:val="22"/>
        </w:rPr>
        <w:t xml:space="preserve"> </w:t>
      </w:r>
      <w:r w:rsidRPr="00C20F6C">
        <w:rPr>
          <w:kern w:val="22"/>
          <w:szCs w:val="22"/>
        </w:rPr>
        <w:t>—</w:t>
      </w:r>
      <w:r w:rsidR="005B1A5E">
        <w:rPr>
          <w:kern w:val="22"/>
          <w:szCs w:val="22"/>
        </w:rPr>
        <w:t xml:space="preserve"> </w:t>
      </w:r>
      <w:r w:rsidRPr="00C20F6C">
        <w:rPr>
          <w:kern w:val="22"/>
          <w:szCs w:val="22"/>
        </w:rPr>
        <w:t xml:space="preserve">The instrument would be developed and agreed through an intergovernmental </w:t>
      </w:r>
      <w:r w:rsidR="001A56DF" w:rsidRPr="00C20F6C">
        <w:rPr>
          <w:kern w:val="22"/>
          <w:szCs w:val="22"/>
        </w:rPr>
        <w:t xml:space="preserve">process </w:t>
      </w:r>
      <w:r w:rsidR="004E2EC6" w:rsidRPr="00C20F6C">
        <w:rPr>
          <w:kern w:val="22"/>
          <w:szCs w:val="22"/>
        </w:rPr>
        <w:t>and/</w:t>
      </w:r>
      <w:r w:rsidR="001A56DF" w:rsidRPr="00C20F6C">
        <w:rPr>
          <w:kern w:val="22"/>
          <w:szCs w:val="22"/>
        </w:rPr>
        <w:t>or be endorsed by States and/or Governments</w:t>
      </w:r>
      <w:r w:rsidRPr="00C20F6C">
        <w:rPr>
          <w:kern w:val="22"/>
          <w:szCs w:val="22"/>
        </w:rPr>
        <w:t>. The instrument</w:t>
      </w:r>
      <w:r w:rsidR="00E403DF" w:rsidRPr="00C20F6C">
        <w:rPr>
          <w:kern w:val="22"/>
          <w:szCs w:val="22"/>
        </w:rPr>
        <w:t xml:space="preserve"> </w:t>
      </w:r>
      <w:r w:rsidRPr="00C20F6C">
        <w:rPr>
          <w:kern w:val="22"/>
          <w:szCs w:val="22"/>
        </w:rPr>
        <w:t>may be binding or non-binding.</w:t>
      </w:r>
    </w:p>
    <w:p w14:paraId="5354D593" w14:textId="224483C2" w:rsidR="00E403DF" w:rsidRPr="00C20F6C" w:rsidRDefault="00A15B36" w:rsidP="00C20F6C">
      <w:pPr>
        <w:pStyle w:val="Para1"/>
        <w:suppressLineNumbers/>
        <w:tabs>
          <w:tab w:val="clear" w:pos="360"/>
        </w:tabs>
        <w:suppressAutoHyphens/>
        <w:rPr>
          <w:kern w:val="22"/>
          <w:szCs w:val="22"/>
        </w:rPr>
      </w:pPr>
      <w:r w:rsidRPr="00C20F6C">
        <w:rPr>
          <w:i/>
          <w:iCs/>
          <w:kern w:val="22"/>
          <w:szCs w:val="22"/>
        </w:rPr>
        <w:t>Specialized</w:t>
      </w:r>
      <w:r w:rsidR="0036171E">
        <w:rPr>
          <w:i/>
          <w:iCs/>
          <w:kern w:val="22"/>
          <w:szCs w:val="22"/>
        </w:rPr>
        <w:t xml:space="preserve"> </w:t>
      </w:r>
      <w:r w:rsidRPr="00C20F6C">
        <w:rPr>
          <w:kern w:val="22"/>
          <w:szCs w:val="22"/>
        </w:rPr>
        <w:t>—</w:t>
      </w:r>
      <w:r w:rsidR="0036171E">
        <w:rPr>
          <w:kern w:val="22"/>
          <w:szCs w:val="22"/>
        </w:rPr>
        <w:t xml:space="preserve"> </w:t>
      </w:r>
      <w:r w:rsidRPr="00C20F6C">
        <w:rPr>
          <w:kern w:val="22"/>
          <w:szCs w:val="22"/>
        </w:rPr>
        <w:t>The instrument would:</w:t>
      </w:r>
    </w:p>
    <w:p w14:paraId="11B04E88" w14:textId="397F5D1A" w:rsidR="00E403DF" w:rsidRPr="00C20F6C" w:rsidRDefault="00A15B36" w:rsidP="00C20F6C">
      <w:pPr>
        <w:pStyle w:val="Para1"/>
        <w:numPr>
          <w:ilvl w:val="0"/>
          <w:numId w:val="0"/>
        </w:numPr>
        <w:suppressLineNumbers/>
        <w:suppressAutoHyphens/>
        <w:spacing w:before="0"/>
        <w:ind w:firstLine="720"/>
        <w:rPr>
          <w:kern w:val="22"/>
          <w:szCs w:val="22"/>
        </w:rPr>
      </w:pPr>
      <w:r w:rsidRPr="00C20F6C">
        <w:rPr>
          <w:kern w:val="22"/>
          <w:szCs w:val="22"/>
        </w:rPr>
        <w:t>(a)</w:t>
      </w:r>
      <w:r w:rsidR="00AE3AB5" w:rsidRPr="00C20F6C">
        <w:rPr>
          <w:kern w:val="22"/>
          <w:szCs w:val="22"/>
        </w:rPr>
        <w:tab/>
      </w:r>
      <w:r w:rsidRPr="00C20F6C">
        <w:rPr>
          <w:kern w:val="22"/>
          <w:szCs w:val="22"/>
        </w:rPr>
        <w:t xml:space="preserve">Apply to a specific set of genetic resources and/or traditional knowledge associated with genetic resources which would otherwise fall under the scope of the Nagoya Protocol; </w:t>
      </w:r>
      <w:r w:rsidR="001A56DF" w:rsidRPr="00C20F6C">
        <w:rPr>
          <w:kern w:val="22"/>
          <w:szCs w:val="22"/>
        </w:rPr>
        <w:t>or</w:t>
      </w:r>
    </w:p>
    <w:p w14:paraId="7A5A72C6" w14:textId="17B7A0C4" w:rsidR="00E403DF" w:rsidRPr="00C20F6C" w:rsidRDefault="00A15B36" w:rsidP="00C20F6C">
      <w:pPr>
        <w:pStyle w:val="Para1"/>
        <w:numPr>
          <w:ilvl w:val="0"/>
          <w:numId w:val="0"/>
        </w:numPr>
        <w:suppressLineNumbers/>
        <w:suppressAutoHyphens/>
        <w:spacing w:before="0"/>
        <w:ind w:firstLine="720"/>
        <w:rPr>
          <w:kern w:val="22"/>
          <w:szCs w:val="22"/>
        </w:rPr>
      </w:pPr>
      <w:r w:rsidRPr="00C20F6C">
        <w:rPr>
          <w:kern w:val="22"/>
          <w:szCs w:val="22"/>
        </w:rPr>
        <w:t>(b)</w:t>
      </w:r>
      <w:r w:rsidR="00AE3AB5" w:rsidRPr="00C20F6C">
        <w:rPr>
          <w:kern w:val="22"/>
          <w:szCs w:val="22"/>
        </w:rPr>
        <w:tab/>
      </w:r>
      <w:r w:rsidRPr="00C20F6C">
        <w:rPr>
          <w:kern w:val="22"/>
          <w:szCs w:val="22"/>
        </w:rPr>
        <w:t>Apply to specific uses of genetic resources and/or traditional knowledge associated with genetic resources</w:t>
      </w:r>
      <w:r w:rsidR="00E403DF" w:rsidRPr="00C20F6C">
        <w:rPr>
          <w:kern w:val="22"/>
          <w:szCs w:val="22"/>
        </w:rPr>
        <w:t xml:space="preserve"> </w:t>
      </w:r>
      <w:r w:rsidRPr="00C20F6C">
        <w:rPr>
          <w:kern w:val="22"/>
          <w:szCs w:val="22"/>
        </w:rPr>
        <w:t>which require a differentiated and hence specialized approach.</w:t>
      </w:r>
    </w:p>
    <w:p w14:paraId="7208471C" w14:textId="06E5E8F6" w:rsidR="00E403DF" w:rsidRPr="00C20F6C" w:rsidRDefault="00A15B36" w:rsidP="00C20F6C">
      <w:pPr>
        <w:pStyle w:val="Para1"/>
        <w:suppressLineNumbers/>
        <w:tabs>
          <w:tab w:val="clear" w:pos="360"/>
        </w:tabs>
        <w:suppressAutoHyphens/>
        <w:rPr>
          <w:kern w:val="22"/>
          <w:szCs w:val="22"/>
        </w:rPr>
      </w:pPr>
      <w:r w:rsidRPr="00C20F6C">
        <w:rPr>
          <w:i/>
          <w:iCs/>
          <w:kern w:val="22"/>
          <w:szCs w:val="22"/>
        </w:rPr>
        <w:t>Mutually supportive</w:t>
      </w:r>
      <w:r w:rsidR="00D47CC7">
        <w:rPr>
          <w:i/>
          <w:iCs/>
          <w:kern w:val="22"/>
          <w:szCs w:val="22"/>
        </w:rPr>
        <w:t xml:space="preserve"> </w:t>
      </w:r>
      <w:r w:rsidRPr="00C20F6C">
        <w:rPr>
          <w:kern w:val="22"/>
          <w:szCs w:val="22"/>
        </w:rPr>
        <w:t>—</w:t>
      </w:r>
      <w:r w:rsidR="00D47CC7">
        <w:rPr>
          <w:kern w:val="22"/>
          <w:szCs w:val="22"/>
        </w:rPr>
        <w:t xml:space="preserve"> </w:t>
      </w:r>
      <w:r w:rsidRPr="00C20F6C">
        <w:rPr>
          <w:kern w:val="22"/>
          <w:szCs w:val="22"/>
        </w:rPr>
        <w:t xml:space="preserve">The instrument </w:t>
      </w:r>
      <w:r w:rsidR="001A56DF" w:rsidRPr="00C20F6C">
        <w:rPr>
          <w:kern w:val="22"/>
          <w:szCs w:val="22"/>
        </w:rPr>
        <w:t>is</w:t>
      </w:r>
      <w:r w:rsidRPr="00C20F6C">
        <w:rPr>
          <w:kern w:val="22"/>
          <w:szCs w:val="22"/>
        </w:rPr>
        <w:t xml:space="preserve"> consistent with, supportive of, and </w:t>
      </w:r>
      <w:r w:rsidR="001A56DF" w:rsidRPr="00C20F6C">
        <w:rPr>
          <w:kern w:val="22"/>
          <w:szCs w:val="22"/>
        </w:rPr>
        <w:t xml:space="preserve">does </w:t>
      </w:r>
      <w:r w:rsidRPr="00C20F6C">
        <w:rPr>
          <w:kern w:val="22"/>
          <w:szCs w:val="22"/>
        </w:rPr>
        <w:t>not run counter to the objectives of the Convention on Biological Diversity and the Nagoya Protocol, including with respect</w:t>
      </w:r>
      <w:r w:rsidR="00B11DF7" w:rsidRPr="00C20F6C">
        <w:rPr>
          <w:kern w:val="22"/>
          <w:szCs w:val="22"/>
        </w:rPr>
        <w:t xml:space="preserve"> </w:t>
      </w:r>
      <w:r w:rsidRPr="00C20F6C">
        <w:rPr>
          <w:kern w:val="22"/>
          <w:szCs w:val="22"/>
        </w:rPr>
        <w:t>to:</w:t>
      </w:r>
    </w:p>
    <w:p w14:paraId="713AAF34" w14:textId="66238E0D" w:rsidR="00E403DF" w:rsidRPr="00C20F6C" w:rsidRDefault="00A15B36" w:rsidP="00C20F6C">
      <w:pPr>
        <w:pStyle w:val="Para1"/>
        <w:numPr>
          <w:ilvl w:val="0"/>
          <w:numId w:val="0"/>
        </w:numPr>
        <w:suppressLineNumbers/>
        <w:suppressAutoHyphens/>
        <w:spacing w:before="0"/>
        <w:ind w:firstLine="720"/>
        <w:rPr>
          <w:kern w:val="22"/>
          <w:szCs w:val="22"/>
        </w:rPr>
      </w:pPr>
      <w:r w:rsidRPr="00C20F6C">
        <w:rPr>
          <w:kern w:val="22"/>
          <w:szCs w:val="22"/>
        </w:rPr>
        <w:t>(a)</w:t>
      </w:r>
      <w:r w:rsidR="00AE3AB5" w:rsidRPr="00C20F6C">
        <w:rPr>
          <w:kern w:val="22"/>
          <w:szCs w:val="22"/>
        </w:rPr>
        <w:tab/>
      </w:r>
      <w:r w:rsidRPr="00C20F6C">
        <w:rPr>
          <w:kern w:val="22"/>
          <w:szCs w:val="22"/>
        </w:rPr>
        <w:t>Consistency with biodiversity conservation and sustainable use objectives;</w:t>
      </w:r>
    </w:p>
    <w:p w14:paraId="7635B416" w14:textId="09FD4CC6" w:rsidR="00E403DF" w:rsidRPr="00C20F6C" w:rsidRDefault="00A15B36" w:rsidP="00C20F6C">
      <w:pPr>
        <w:pStyle w:val="Para1"/>
        <w:numPr>
          <w:ilvl w:val="0"/>
          <w:numId w:val="0"/>
        </w:numPr>
        <w:suppressLineNumbers/>
        <w:suppressAutoHyphens/>
        <w:spacing w:before="0"/>
        <w:ind w:firstLine="720"/>
        <w:rPr>
          <w:kern w:val="22"/>
          <w:szCs w:val="22"/>
        </w:rPr>
      </w:pPr>
      <w:r w:rsidRPr="00C20F6C">
        <w:rPr>
          <w:kern w:val="22"/>
          <w:szCs w:val="22"/>
        </w:rPr>
        <w:t>(b)</w:t>
      </w:r>
      <w:r w:rsidR="00AE3AB5" w:rsidRPr="00C20F6C">
        <w:rPr>
          <w:kern w:val="22"/>
          <w:szCs w:val="22"/>
        </w:rPr>
        <w:tab/>
      </w:r>
      <w:r w:rsidRPr="00C20F6C">
        <w:rPr>
          <w:kern w:val="22"/>
          <w:szCs w:val="22"/>
        </w:rPr>
        <w:t>Fairness and equity in the sharing of benefits;</w:t>
      </w:r>
    </w:p>
    <w:p w14:paraId="0DB2FE6D" w14:textId="53327873" w:rsidR="00E403DF" w:rsidRPr="00C20F6C" w:rsidRDefault="00A15B36" w:rsidP="00C20F6C">
      <w:pPr>
        <w:pStyle w:val="Para1"/>
        <w:numPr>
          <w:ilvl w:val="0"/>
          <w:numId w:val="0"/>
        </w:numPr>
        <w:suppressLineNumbers/>
        <w:suppressAutoHyphens/>
        <w:spacing w:before="0"/>
        <w:ind w:firstLine="720"/>
        <w:rPr>
          <w:kern w:val="22"/>
          <w:szCs w:val="22"/>
        </w:rPr>
      </w:pPr>
      <w:r w:rsidRPr="00C20F6C">
        <w:rPr>
          <w:kern w:val="22"/>
          <w:szCs w:val="22"/>
        </w:rPr>
        <w:t>(c)</w:t>
      </w:r>
      <w:r w:rsidR="00AE3AB5" w:rsidRPr="00C20F6C">
        <w:rPr>
          <w:kern w:val="22"/>
          <w:szCs w:val="22"/>
        </w:rPr>
        <w:tab/>
      </w:r>
      <w:r w:rsidRPr="00C20F6C">
        <w:rPr>
          <w:kern w:val="22"/>
          <w:szCs w:val="22"/>
        </w:rPr>
        <w:t>Legal certainty with respect to access to genetic resources or traditional knowledge and to benefit-sharing;</w:t>
      </w:r>
    </w:p>
    <w:p w14:paraId="76B35845" w14:textId="09CA13AD" w:rsidR="00E403DF" w:rsidRPr="00C20F6C" w:rsidRDefault="00A15B36" w:rsidP="00C20F6C">
      <w:pPr>
        <w:pStyle w:val="Para1"/>
        <w:numPr>
          <w:ilvl w:val="0"/>
          <w:numId w:val="0"/>
        </w:numPr>
        <w:suppressLineNumbers/>
        <w:suppressAutoHyphens/>
        <w:spacing w:before="0"/>
        <w:ind w:firstLine="720"/>
        <w:rPr>
          <w:kern w:val="22"/>
          <w:szCs w:val="22"/>
        </w:rPr>
      </w:pPr>
      <w:r w:rsidRPr="00C20F6C">
        <w:rPr>
          <w:kern w:val="22"/>
          <w:szCs w:val="22"/>
        </w:rPr>
        <w:t>(d)</w:t>
      </w:r>
      <w:r w:rsidR="00AE3AB5" w:rsidRPr="00C20F6C">
        <w:rPr>
          <w:kern w:val="22"/>
          <w:szCs w:val="22"/>
        </w:rPr>
        <w:tab/>
      </w:r>
      <w:r w:rsidRPr="00C20F6C">
        <w:rPr>
          <w:kern w:val="22"/>
          <w:szCs w:val="22"/>
        </w:rPr>
        <w:t>Contribution to sustainable development, as reflected in internationally agreed goals;</w:t>
      </w:r>
    </w:p>
    <w:p w14:paraId="68E85B7C" w14:textId="518B6BC1" w:rsidR="008F4E84" w:rsidRPr="00C20F6C" w:rsidRDefault="00A15B36" w:rsidP="00C20F6C">
      <w:pPr>
        <w:pStyle w:val="Para1"/>
        <w:numPr>
          <w:ilvl w:val="0"/>
          <w:numId w:val="0"/>
        </w:numPr>
        <w:suppressLineNumbers/>
        <w:suppressAutoHyphens/>
        <w:spacing w:before="0"/>
        <w:ind w:firstLine="720"/>
        <w:rPr>
          <w:kern w:val="22"/>
          <w:szCs w:val="22"/>
        </w:rPr>
      </w:pPr>
      <w:r w:rsidRPr="00C20F6C">
        <w:rPr>
          <w:kern w:val="22"/>
          <w:szCs w:val="22"/>
        </w:rPr>
        <w:t>(e)</w:t>
      </w:r>
      <w:r w:rsidR="00AE3AB5" w:rsidRPr="00C20F6C">
        <w:rPr>
          <w:kern w:val="22"/>
          <w:szCs w:val="22"/>
        </w:rPr>
        <w:tab/>
      </w:r>
      <w:r w:rsidRPr="00C20F6C">
        <w:rPr>
          <w:kern w:val="22"/>
          <w:szCs w:val="22"/>
        </w:rPr>
        <w:t>Other general principles of law,</w:t>
      </w:r>
      <w:r w:rsidR="00E403DF" w:rsidRPr="00C20F6C">
        <w:rPr>
          <w:kern w:val="22"/>
          <w:szCs w:val="22"/>
        </w:rPr>
        <w:t xml:space="preserve"> </w:t>
      </w:r>
      <w:r w:rsidRPr="00C20F6C">
        <w:rPr>
          <w:kern w:val="22"/>
          <w:szCs w:val="22"/>
        </w:rPr>
        <w:t>including good faith, effectiveness and legitimate expectations.</w:t>
      </w:r>
    </w:p>
    <w:p w14:paraId="6FA8D255" w14:textId="6CB1A733" w:rsidR="008F4E84" w:rsidRPr="00C20F6C" w:rsidRDefault="00AE3AB5" w:rsidP="00C20F6C">
      <w:pPr>
        <w:suppressLineNumbers/>
        <w:suppressAutoHyphens/>
        <w:jc w:val="center"/>
        <w:rPr>
          <w:kern w:val="22"/>
          <w:szCs w:val="22"/>
        </w:rPr>
      </w:pPr>
      <w:r w:rsidRPr="00C20F6C">
        <w:rPr>
          <w:kern w:val="22"/>
          <w:szCs w:val="22"/>
        </w:rPr>
        <w:t>__________</w:t>
      </w:r>
    </w:p>
    <w:sectPr w:rsidR="008F4E84" w:rsidRPr="00C20F6C" w:rsidSect="00790C20">
      <w:headerReference w:type="even" r:id="rId18"/>
      <w:headerReference w:type="default" r:id="rId19"/>
      <w:pgSz w:w="12240" w:h="15840"/>
      <w:pgMar w:top="567"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EB88" w16cex:dateUtc="2020-06-24T19:11:00Z"/>
  <w16cex:commentExtensible w16cex:durableId="229DEB6F" w16cex:dateUtc="2020-06-24T19:10:00Z"/>
  <w16cex:commentExtensible w16cex:durableId="229DEE34" w16cex:dateUtc="2020-06-24T19:22:00Z"/>
  <w16cex:commentExtensible w16cex:durableId="229DED91" w16cex:dateUtc="2020-06-24T19:19:00Z"/>
  <w16cex:commentExtensible w16cex:durableId="229DEE9A" w16cex:dateUtc="2020-06-24T19: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A7CEE" w14:textId="77777777" w:rsidR="00A74CAF" w:rsidRDefault="00A74CAF" w:rsidP="004872C4">
      <w:r>
        <w:separator/>
      </w:r>
    </w:p>
  </w:endnote>
  <w:endnote w:type="continuationSeparator" w:id="0">
    <w:p w14:paraId="5EB709E8" w14:textId="77777777" w:rsidR="00A74CAF" w:rsidRDefault="00A74CAF" w:rsidP="004872C4">
      <w:r>
        <w:continuationSeparator/>
      </w:r>
    </w:p>
  </w:endnote>
  <w:endnote w:type="continuationNotice" w:id="1">
    <w:p w14:paraId="43E4E5A8" w14:textId="77777777" w:rsidR="00A74CAF" w:rsidRDefault="00A74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notTrueType/>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B53F2" w14:textId="77777777" w:rsidR="00A74CAF" w:rsidRDefault="00A74CAF" w:rsidP="004872C4">
      <w:r>
        <w:separator/>
      </w:r>
    </w:p>
  </w:footnote>
  <w:footnote w:type="continuationSeparator" w:id="0">
    <w:p w14:paraId="29D7B306" w14:textId="77777777" w:rsidR="00A74CAF" w:rsidRDefault="00A74CAF" w:rsidP="004872C4">
      <w:r>
        <w:continuationSeparator/>
      </w:r>
    </w:p>
  </w:footnote>
  <w:footnote w:type="continuationNotice" w:id="1">
    <w:p w14:paraId="1DBEB722" w14:textId="77777777" w:rsidR="00A74CAF" w:rsidRDefault="00A74CAF"/>
  </w:footnote>
  <w:footnote w:id="2">
    <w:p w14:paraId="7630DD9B" w14:textId="77777777"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t>*</w:t>
      </w:r>
      <w:r w:rsidRPr="00C20F6C">
        <w:rPr>
          <w:kern w:val="18"/>
          <w:szCs w:val="18"/>
        </w:rPr>
        <w:t>CBD/SBI/3/1.</w:t>
      </w:r>
    </w:p>
  </w:footnote>
  <w:footnote w:id="3">
    <w:p w14:paraId="5FCD3925" w14:textId="18209D21" w:rsidR="003C50B3" w:rsidRPr="00C20F6C" w:rsidRDefault="003C50B3" w:rsidP="00C20F6C">
      <w:pPr>
        <w:pStyle w:val="FootnoteText"/>
        <w:suppressLineNumbers/>
        <w:suppressAutoHyphens/>
        <w:ind w:firstLine="0"/>
        <w:jc w:val="left"/>
        <w:rPr>
          <w:kern w:val="18"/>
          <w:szCs w:val="18"/>
          <w:lang w:val="fr-FR"/>
        </w:rPr>
      </w:pPr>
      <w:r w:rsidRPr="00C20F6C">
        <w:rPr>
          <w:rStyle w:val="FootnoteReference"/>
          <w:kern w:val="18"/>
          <w:szCs w:val="18"/>
          <w:lang w:val="en-GB"/>
        </w:rPr>
        <w:footnoteRef/>
      </w:r>
      <w:r w:rsidRPr="00C20F6C">
        <w:rPr>
          <w:kern w:val="18"/>
          <w:szCs w:val="18"/>
          <w:lang w:val="fr-FR"/>
        </w:rPr>
        <w:t xml:space="preserve"> </w:t>
      </w:r>
      <w:hyperlink r:id="rId1" w:history="1">
        <w:r w:rsidRPr="00C20F6C">
          <w:rPr>
            <w:rStyle w:val="Hyperlink"/>
            <w:kern w:val="18"/>
            <w:szCs w:val="18"/>
            <w:lang w:val="fr-FR"/>
          </w:rPr>
          <w:t>CBD/SBI/2/INF/17</w:t>
        </w:r>
      </w:hyperlink>
      <w:r w:rsidRPr="00C20F6C">
        <w:rPr>
          <w:kern w:val="18"/>
          <w:szCs w:val="18"/>
          <w:lang w:val="fr-FR"/>
        </w:rPr>
        <w:t>.</w:t>
      </w:r>
    </w:p>
  </w:footnote>
  <w:footnote w:id="4">
    <w:p w14:paraId="5B1CA800" w14:textId="312CB87D" w:rsidR="003C50B3" w:rsidRPr="00C20F6C" w:rsidRDefault="003C50B3" w:rsidP="00C20F6C">
      <w:pPr>
        <w:pStyle w:val="FootnoteText"/>
        <w:suppressLineNumbers/>
        <w:suppressAutoHyphens/>
        <w:ind w:firstLine="0"/>
        <w:jc w:val="left"/>
        <w:rPr>
          <w:kern w:val="18"/>
          <w:szCs w:val="18"/>
          <w:lang w:val="fr-FR"/>
        </w:rPr>
      </w:pPr>
      <w:r w:rsidRPr="00C20F6C">
        <w:rPr>
          <w:rStyle w:val="FootnoteReference"/>
          <w:kern w:val="18"/>
          <w:szCs w:val="18"/>
          <w:lang w:val="en-GB"/>
        </w:rPr>
        <w:footnoteRef/>
      </w:r>
      <w:r w:rsidRPr="00C20F6C">
        <w:rPr>
          <w:kern w:val="18"/>
          <w:szCs w:val="18"/>
          <w:lang w:val="fr-FR"/>
        </w:rPr>
        <w:t xml:space="preserve"> </w:t>
      </w:r>
      <w:r w:rsidR="00A74CAF">
        <w:fldChar w:fldCharType="begin"/>
      </w:r>
      <w:r w:rsidR="00A74CAF" w:rsidRPr="00AA4E6A">
        <w:rPr>
          <w:lang w:val="fr-FR"/>
        </w:rPr>
        <w:instrText xml:space="preserve"> HYPERLINK "https://www.cbd.int/doc/notifications/2019/ntf-2019-025-abs-en.pdf" </w:instrText>
      </w:r>
      <w:r w:rsidR="00A74CAF">
        <w:fldChar w:fldCharType="separate"/>
      </w:r>
      <w:r w:rsidRPr="00AA4E6A">
        <w:rPr>
          <w:rStyle w:val="Hyperlink"/>
          <w:kern w:val="18"/>
          <w:szCs w:val="18"/>
          <w:lang w:val="fr-FR"/>
        </w:rPr>
        <w:t>https://www.cbd.int/doc/notifications/2019/ntf-2019-025-abs-en.pdf</w:t>
      </w:r>
      <w:r w:rsidR="00A74CAF">
        <w:rPr>
          <w:rStyle w:val="Hyperlink"/>
          <w:kern w:val="18"/>
          <w:szCs w:val="18"/>
        </w:rPr>
        <w:fldChar w:fldCharType="end"/>
      </w:r>
      <w:r w:rsidRPr="00C20F6C">
        <w:rPr>
          <w:kern w:val="18"/>
          <w:szCs w:val="18"/>
          <w:lang w:val="fr-FR"/>
        </w:rPr>
        <w:t>.</w:t>
      </w:r>
    </w:p>
  </w:footnote>
  <w:footnote w:id="5">
    <w:p w14:paraId="538652CF" w14:textId="0915282B" w:rsidR="003C50B3" w:rsidRPr="00C20F6C" w:rsidRDefault="003C50B3" w:rsidP="00C20F6C">
      <w:pPr>
        <w:pStyle w:val="FootnoteText"/>
        <w:suppressLineNumbers/>
        <w:suppressAutoHyphens/>
        <w:ind w:firstLine="0"/>
        <w:jc w:val="left"/>
        <w:rPr>
          <w:kern w:val="18"/>
          <w:szCs w:val="18"/>
          <w:lang w:val="fr-FR"/>
        </w:rPr>
      </w:pPr>
      <w:r w:rsidRPr="00C20F6C">
        <w:rPr>
          <w:rStyle w:val="FootnoteReference"/>
          <w:kern w:val="18"/>
          <w:szCs w:val="18"/>
          <w:lang w:val="en-GB"/>
        </w:rPr>
        <w:footnoteRef/>
      </w:r>
      <w:r w:rsidRPr="00C20F6C">
        <w:rPr>
          <w:kern w:val="18"/>
          <w:szCs w:val="18"/>
          <w:lang w:val="fr-FR"/>
        </w:rPr>
        <w:t xml:space="preserve"> </w:t>
      </w:r>
      <w:r w:rsidR="00A74CAF">
        <w:fldChar w:fldCharType="begin"/>
      </w:r>
      <w:r w:rsidR="00A74CAF" w:rsidRPr="00AA4E6A">
        <w:rPr>
          <w:lang w:val="fr-FR"/>
        </w:rPr>
        <w:instrText xml:space="preserve"> HYPERLINK "https://www.cbd.int/abs/specialized-instruments</w:instrText>
      </w:r>
      <w:r w:rsidR="00A74CAF" w:rsidRPr="00AA4E6A">
        <w:rPr>
          <w:lang w:val="fr-FR"/>
        </w:rPr>
        <w:instrText xml:space="preserve">/2019-2020/" </w:instrText>
      </w:r>
      <w:r w:rsidR="00A74CAF">
        <w:fldChar w:fldCharType="separate"/>
      </w:r>
      <w:r w:rsidRPr="00AA4E6A">
        <w:rPr>
          <w:rStyle w:val="Hyperlink"/>
          <w:kern w:val="18"/>
          <w:szCs w:val="18"/>
          <w:lang w:val="fr-FR"/>
        </w:rPr>
        <w:t>https://www.cbd.int/abs/specialized-instruments/2019-2020/</w:t>
      </w:r>
      <w:r w:rsidR="00A74CAF">
        <w:rPr>
          <w:rStyle w:val="Hyperlink"/>
          <w:kern w:val="18"/>
          <w:szCs w:val="18"/>
        </w:rPr>
        <w:fldChar w:fldCharType="end"/>
      </w:r>
      <w:r w:rsidRPr="00C20F6C">
        <w:rPr>
          <w:kern w:val="18"/>
          <w:szCs w:val="18"/>
          <w:lang w:val="fr-FR"/>
        </w:rPr>
        <w:t>.</w:t>
      </w:r>
    </w:p>
  </w:footnote>
  <w:footnote w:id="6">
    <w:p w14:paraId="75F1317B" w14:textId="74E13A03" w:rsidR="003C50B3" w:rsidRPr="00C20F6C" w:rsidRDefault="003C50B3" w:rsidP="00C20F6C">
      <w:pPr>
        <w:pStyle w:val="FootnoteText"/>
        <w:suppressLineNumbers/>
        <w:suppressAutoHyphens/>
        <w:ind w:firstLine="0"/>
        <w:jc w:val="left"/>
        <w:rPr>
          <w:kern w:val="18"/>
        </w:rPr>
      </w:pPr>
      <w:r w:rsidRPr="00C20F6C">
        <w:rPr>
          <w:rStyle w:val="FootnoteReference"/>
          <w:kern w:val="18"/>
          <w:lang w:val="en-GB"/>
        </w:rPr>
        <w:footnoteRef/>
      </w:r>
      <w:r w:rsidRPr="00C20F6C">
        <w:rPr>
          <w:kern w:val="18"/>
        </w:rPr>
        <w:t xml:space="preserve"> Sheppard AW, Paynter Q, Mason P, Murphy S, </w:t>
      </w:r>
      <w:proofErr w:type="spellStart"/>
      <w:r w:rsidRPr="00C20F6C">
        <w:rPr>
          <w:kern w:val="18"/>
        </w:rPr>
        <w:t>Stoett</w:t>
      </w:r>
      <w:proofErr w:type="spellEnd"/>
      <w:r w:rsidRPr="00C20F6C">
        <w:rPr>
          <w:kern w:val="18"/>
        </w:rPr>
        <w:t xml:space="preserve"> P, Cowan P, Brodeur J, Warner K, Villegas C, Shaw R, </w:t>
      </w:r>
      <w:proofErr w:type="spellStart"/>
      <w:r w:rsidRPr="00C20F6C">
        <w:rPr>
          <w:kern w:val="18"/>
        </w:rPr>
        <w:t>Hinz</w:t>
      </w:r>
      <w:proofErr w:type="spellEnd"/>
      <w:r w:rsidRPr="00C20F6C">
        <w:rPr>
          <w:kern w:val="18"/>
        </w:rPr>
        <w:t xml:space="preserve"> H, Hill, M and </w:t>
      </w:r>
      <w:proofErr w:type="spellStart"/>
      <w:r w:rsidRPr="00C20F6C">
        <w:rPr>
          <w:kern w:val="18"/>
        </w:rPr>
        <w:t>Genovesi</w:t>
      </w:r>
      <w:proofErr w:type="spellEnd"/>
      <w:r w:rsidRPr="00C20F6C">
        <w:rPr>
          <w:kern w:val="18"/>
        </w:rPr>
        <w:t xml:space="preserve"> P (2019), IUCN SSC Invasive Species Specialist Group. </w:t>
      </w:r>
      <w:r w:rsidRPr="00C20F6C">
        <w:rPr>
          <w:i/>
          <w:iCs/>
          <w:kern w:val="18"/>
        </w:rPr>
        <w:t>The Application of Biological Control for the Management of Established Invasive Alien Species Causing Environmental Impacts</w:t>
      </w:r>
      <w:r w:rsidRPr="00C20F6C">
        <w:rPr>
          <w:kern w:val="18"/>
        </w:rPr>
        <w:t xml:space="preserve">. Secretariat of the Convention on Biological Diversity, </w:t>
      </w:r>
      <w:r w:rsidRPr="00C20F6C">
        <w:rPr>
          <w:i/>
          <w:iCs/>
          <w:kern w:val="18"/>
        </w:rPr>
        <w:t>Technical Series No. 91</w:t>
      </w:r>
      <w:r w:rsidRPr="00C20F6C">
        <w:rPr>
          <w:kern w:val="18"/>
        </w:rPr>
        <w:t>. Montreal, Canada, 74 pp.</w:t>
      </w:r>
    </w:p>
  </w:footnote>
  <w:footnote w:id="7">
    <w:p w14:paraId="4DFDDF79" w14:textId="30269A4A" w:rsidR="003C50B3" w:rsidRPr="00C20F6C" w:rsidRDefault="003C50B3" w:rsidP="00C20F6C">
      <w:pPr>
        <w:pStyle w:val="FootnoteText"/>
        <w:suppressLineNumbers/>
        <w:suppressAutoHyphens/>
        <w:ind w:firstLine="0"/>
        <w:jc w:val="left"/>
        <w:rPr>
          <w:kern w:val="18"/>
        </w:rPr>
      </w:pPr>
      <w:r w:rsidRPr="00C20F6C">
        <w:rPr>
          <w:rStyle w:val="FootnoteReference"/>
          <w:kern w:val="18"/>
          <w:lang w:val="en-GB"/>
        </w:rPr>
        <w:footnoteRef/>
      </w:r>
      <w:r w:rsidRPr="00C20F6C">
        <w:rPr>
          <w:kern w:val="18"/>
        </w:rPr>
        <w:t xml:space="preserve"> Mason, P.G., Cock, M.J.W., Barratt, B.I.P. </w:t>
      </w:r>
      <w:r w:rsidRPr="00C20F6C">
        <w:rPr>
          <w:i/>
          <w:iCs/>
          <w:kern w:val="18"/>
        </w:rPr>
        <w:t>et al.</w:t>
      </w:r>
      <w:r w:rsidRPr="00C20F6C">
        <w:rPr>
          <w:kern w:val="18"/>
        </w:rPr>
        <w:t xml:space="preserve"> “Best practices for the use and exchange of invertebrate biological control genetic resources relevant for food and agriculture”. </w:t>
      </w:r>
      <w:proofErr w:type="spellStart"/>
      <w:r w:rsidRPr="00C20F6C">
        <w:rPr>
          <w:i/>
          <w:iCs/>
          <w:kern w:val="18"/>
        </w:rPr>
        <w:t>BioControl</w:t>
      </w:r>
      <w:proofErr w:type="spellEnd"/>
      <w:r w:rsidRPr="00C20F6C">
        <w:rPr>
          <w:kern w:val="18"/>
        </w:rPr>
        <w:t xml:space="preserve"> </w:t>
      </w:r>
      <w:r w:rsidRPr="00C20F6C">
        <w:rPr>
          <w:b/>
          <w:bCs/>
          <w:kern w:val="18"/>
        </w:rPr>
        <w:t>63</w:t>
      </w:r>
      <w:r w:rsidRPr="00C20F6C">
        <w:rPr>
          <w:kern w:val="18"/>
        </w:rPr>
        <w:t>, 149-154 (2018). https://doi.org/10.1007/s10526-017-9810-3.</w:t>
      </w:r>
    </w:p>
  </w:footnote>
  <w:footnote w:id="8">
    <w:p w14:paraId="039CD1B3" w14:textId="3638C937"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Out of the six submissions received, one submission represents the views of the European Union and its member States and, another, the views of the African Union. Two of these submissions are from non-Parties to the Protocol.</w:t>
      </w:r>
    </w:p>
  </w:footnote>
  <w:footnote w:id="9">
    <w:p w14:paraId="10E90D8F" w14:textId="27167450"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Switzerland</w:t>
      </w:r>
      <w:r w:rsidRPr="00DE0746">
        <w:rPr>
          <w:kern w:val="18"/>
          <w:szCs w:val="18"/>
        </w:rPr>
        <w:t>,</w:t>
      </w:r>
      <w:r w:rsidRPr="00C20F6C">
        <w:rPr>
          <w:kern w:val="18"/>
          <w:szCs w:val="18"/>
        </w:rPr>
        <w:t xml:space="preserve"> New Zealand</w:t>
      </w:r>
      <w:r w:rsidRPr="00DE0746">
        <w:rPr>
          <w:kern w:val="18"/>
          <w:szCs w:val="18"/>
        </w:rPr>
        <w:t>,</w:t>
      </w:r>
      <w:r w:rsidRPr="00C20F6C">
        <w:rPr>
          <w:kern w:val="18"/>
          <w:szCs w:val="18"/>
        </w:rPr>
        <w:t xml:space="preserve"> Norway.</w:t>
      </w:r>
    </w:p>
  </w:footnote>
  <w:footnote w:id="10">
    <w:p w14:paraId="1D9AD5E9" w14:textId="2378F595"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The European Union and its member States.</w:t>
      </w:r>
    </w:p>
  </w:footnote>
  <w:footnote w:id="11">
    <w:p w14:paraId="7F112C6B" w14:textId="04D0264A"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The European Union and its member States</w:t>
      </w:r>
      <w:r w:rsidRPr="00DE0746">
        <w:rPr>
          <w:kern w:val="18"/>
          <w:szCs w:val="18"/>
        </w:rPr>
        <w:t>,</w:t>
      </w:r>
      <w:r w:rsidRPr="00C20F6C">
        <w:rPr>
          <w:kern w:val="18"/>
          <w:szCs w:val="18"/>
        </w:rPr>
        <w:t xml:space="preserve"> Norway</w:t>
      </w:r>
      <w:r w:rsidRPr="00DE0746">
        <w:rPr>
          <w:kern w:val="18"/>
          <w:szCs w:val="18"/>
        </w:rPr>
        <w:t>,</w:t>
      </w:r>
      <w:r w:rsidRPr="00C20F6C">
        <w:rPr>
          <w:kern w:val="18"/>
          <w:szCs w:val="18"/>
        </w:rPr>
        <w:t xml:space="preserve"> Switzerland</w:t>
      </w:r>
      <w:r w:rsidRPr="00DE0746">
        <w:rPr>
          <w:kern w:val="18"/>
          <w:szCs w:val="18"/>
        </w:rPr>
        <w:t>,</w:t>
      </w:r>
      <w:r w:rsidRPr="00C20F6C">
        <w:rPr>
          <w:kern w:val="18"/>
          <w:szCs w:val="18"/>
        </w:rPr>
        <w:t xml:space="preserve"> Canada</w:t>
      </w:r>
      <w:r w:rsidRPr="00DE0746">
        <w:rPr>
          <w:kern w:val="18"/>
          <w:szCs w:val="18"/>
        </w:rPr>
        <w:t>,</w:t>
      </w:r>
      <w:r w:rsidRPr="00C20F6C">
        <w:rPr>
          <w:kern w:val="18"/>
          <w:szCs w:val="18"/>
        </w:rPr>
        <w:t xml:space="preserve"> New Zealand.</w:t>
      </w:r>
    </w:p>
  </w:footnote>
  <w:footnote w:id="12">
    <w:p w14:paraId="202E6ABF" w14:textId="532B41DE"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The European Union and its member States</w:t>
      </w:r>
      <w:r w:rsidRPr="00DE0746">
        <w:rPr>
          <w:kern w:val="18"/>
          <w:szCs w:val="18"/>
        </w:rPr>
        <w:t>,</w:t>
      </w:r>
      <w:r w:rsidRPr="00C20F6C">
        <w:rPr>
          <w:kern w:val="18"/>
          <w:szCs w:val="18"/>
        </w:rPr>
        <w:t xml:space="preserve"> Canada</w:t>
      </w:r>
      <w:r w:rsidRPr="00DE0746">
        <w:rPr>
          <w:kern w:val="18"/>
          <w:szCs w:val="18"/>
        </w:rPr>
        <w:t>,</w:t>
      </w:r>
      <w:r w:rsidRPr="00C20F6C">
        <w:rPr>
          <w:kern w:val="18"/>
          <w:szCs w:val="18"/>
        </w:rPr>
        <w:t xml:space="preserve"> and the African Union.</w:t>
      </w:r>
    </w:p>
  </w:footnote>
  <w:footnote w:id="13">
    <w:p w14:paraId="18A8B72A" w14:textId="78CC49CE"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Switzerland</w:t>
      </w:r>
      <w:r w:rsidRPr="00DE0746">
        <w:rPr>
          <w:kern w:val="18"/>
          <w:szCs w:val="18"/>
        </w:rPr>
        <w:t>,</w:t>
      </w:r>
      <w:r w:rsidRPr="00C20F6C">
        <w:rPr>
          <w:kern w:val="18"/>
          <w:szCs w:val="18"/>
        </w:rPr>
        <w:t xml:space="preserve"> New Zealand</w:t>
      </w:r>
      <w:r w:rsidRPr="00DE0746">
        <w:rPr>
          <w:kern w:val="18"/>
          <w:szCs w:val="18"/>
        </w:rPr>
        <w:t>,</w:t>
      </w:r>
      <w:r w:rsidRPr="00C20F6C">
        <w:rPr>
          <w:kern w:val="18"/>
          <w:szCs w:val="18"/>
        </w:rPr>
        <w:t xml:space="preserve"> the African Union.</w:t>
      </w:r>
    </w:p>
  </w:footnote>
  <w:footnote w:id="14">
    <w:p w14:paraId="3EE83A4A" w14:textId="6226CD25" w:rsidR="003C50B3" w:rsidRPr="00C20F6C" w:rsidRDefault="003C50B3" w:rsidP="00C20F6C">
      <w:pPr>
        <w:keepLines/>
        <w:suppressLineNumbers/>
        <w:suppressAutoHyphens/>
        <w:spacing w:after="60"/>
        <w:jc w:val="left"/>
        <w:rPr>
          <w:kern w:val="18"/>
          <w:sz w:val="18"/>
          <w:szCs w:val="18"/>
        </w:rPr>
      </w:pPr>
      <w:r w:rsidRPr="00C20F6C">
        <w:rPr>
          <w:rStyle w:val="FootnoteReference"/>
          <w:kern w:val="18"/>
          <w:sz w:val="18"/>
          <w:szCs w:val="18"/>
          <w:lang w:val="en-GB"/>
        </w:rPr>
        <w:footnoteRef/>
      </w:r>
      <w:r w:rsidRPr="00C20F6C">
        <w:rPr>
          <w:kern w:val="18"/>
          <w:sz w:val="18"/>
          <w:szCs w:val="18"/>
        </w:rPr>
        <w:t xml:space="preserve"> The European Union and its member States</w:t>
      </w:r>
      <w:r w:rsidRPr="00DE0746">
        <w:rPr>
          <w:kern w:val="18"/>
          <w:sz w:val="18"/>
          <w:szCs w:val="18"/>
        </w:rPr>
        <w:t>,</w:t>
      </w:r>
      <w:r w:rsidRPr="00C20F6C">
        <w:rPr>
          <w:kern w:val="18"/>
          <w:sz w:val="18"/>
          <w:szCs w:val="18"/>
        </w:rPr>
        <w:t xml:space="preserve"> Norway</w:t>
      </w:r>
      <w:r w:rsidRPr="00DE0746">
        <w:rPr>
          <w:kern w:val="18"/>
          <w:sz w:val="18"/>
          <w:szCs w:val="18"/>
        </w:rPr>
        <w:t>,</w:t>
      </w:r>
      <w:r w:rsidRPr="00C20F6C">
        <w:rPr>
          <w:kern w:val="18"/>
          <w:sz w:val="18"/>
          <w:szCs w:val="18"/>
        </w:rPr>
        <w:t xml:space="preserve"> Switzerland</w:t>
      </w:r>
      <w:r w:rsidRPr="00DE0746">
        <w:rPr>
          <w:kern w:val="18"/>
          <w:sz w:val="18"/>
          <w:szCs w:val="18"/>
        </w:rPr>
        <w:t>,</w:t>
      </w:r>
      <w:r w:rsidRPr="00C20F6C">
        <w:rPr>
          <w:kern w:val="18"/>
          <w:sz w:val="18"/>
          <w:szCs w:val="18"/>
        </w:rPr>
        <w:t xml:space="preserve"> Canada</w:t>
      </w:r>
      <w:r w:rsidRPr="00DE0746">
        <w:rPr>
          <w:kern w:val="18"/>
          <w:sz w:val="18"/>
          <w:szCs w:val="18"/>
        </w:rPr>
        <w:t>,</w:t>
      </w:r>
      <w:r w:rsidRPr="00C20F6C">
        <w:rPr>
          <w:kern w:val="18"/>
          <w:sz w:val="18"/>
          <w:szCs w:val="18"/>
        </w:rPr>
        <w:t xml:space="preserve"> New Zealand.</w:t>
      </w:r>
    </w:p>
  </w:footnote>
  <w:footnote w:id="15">
    <w:p w14:paraId="58F6B449" w14:textId="0598F98F"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The African Union.</w:t>
      </w:r>
    </w:p>
  </w:footnote>
  <w:footnote w:id="16">
    <w:p w14:paraId="795C26B8" w14:textId="58AA92C1"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Norway.</w:t>
      </w:r>
    </w:p>
  </w:footnote>
  <w:footnote w:id="17">
    <w:p w14:paraId="6F5C905D" w14:textId="22CCCB9C"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European Union and its member States.</w:t>
      </w:r>
    </w:p>
  </w:footnote>
  <w:footnote w:id="18">
    <w:p w14:paraId="7FBA9134" w14:textId="660C4392"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The African Union</w:t>
      </w:r>
      <w:r w:rsidRPr="00DE0746">
        <w:rPr>
          <w:kern w:val="18"/>
          <w:szCs w:val="18"/>
        </w:rPr>
        <w:t>.</w:t>
      </w:r>
    </w:p>
  </w:footnote>
  <w:footnote w:id="19">
    <w:p w14:paraId="557AD063" w14:textId="49447580"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The European Union and its member States</w:t>
      </w:r>
      <w:r w:rsidRPr="00DE0746">
        <w:rPr>
          <w:kern w:val="18"/>
          <w:szCs w:val="18"/>
        </w:rPr>
        <w:t>,</w:t>
      </w:r>
      <w:r w:rsidRPr="00C20F6C">
        <w:rPr>
          <w:kern w:val="18"/>
          <w:szCs w:val="18"/>
        </w:rPr>
        <w:t xml:space="preserve"> Switzerland</w:t>
      </w:r>
      <w:r w:rsidRPr="00DE0746">
        <w:rPr>
          <w:kern w:val="18"/>
          <w:szCs w:val="18"/>
        </w:rPr>
        <w:t>,</w:t>
      </w:r>
      <w:r w:rsidRPr="00C20F6C">
        <w:rPr>
          <w:kern w:val="18"/>
          <w:szCs w:val="18"/>
        </w:rPr>
        <w:t xml:space="preserve"> New Zealand</w:t>
      </w:r>
      <w:r w:rsidRPr="00DE0746">
        <w:rPr>
          <w:kern w:val="18"/>
          <w:szCs w:val="18"/>
        </w:rPr>
        <w:t>,</w:t>
      </w:r>
      <w:r w:rsidRPr="00C20F6C">
        <w:rPr>
          <w:kern w:val="18"/>
          <w:szCs w:val="18"/>
        </w:rPr>
        <w:t xml:space="preserve"> the African Union.</w:t>
      </w:r>
    </w:p>
  </w:footnote>
  <w:footnote w:id="20">
    <w:p w14:paraId="4FEF7EA7" w14:textId="11DA0E1E"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Switzerland</w:t>
      </w:r>
      <w:r w:rsidRPr="00DE0746">
        <w:rPr>
          <w:kern w:val="18"/>
          <w:szCs w:val="18"/>
        </w:rPr>
        <w:t>,</w:t>
      </w:r>
      <w:r w:rsidRPr="00C20F6C">
        <w:rPr>
          <w:kern w:val="18"/>
          <w:szCs w:val="18"/>
        </w:rPr>
        <w:t xml:space="preserve"> New Zealand.</w:t>
      </w:r>
    </w:p>
  </w:footnote>
  <w:footnote w:id="21">
    <w:p w14:paraId="6144ED9E" w14:textId="62486B51"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Norway</w:t>
      </w:r>
      <w:r w:rsidRPr="00DE0746">
        <w:rPr>
          <w:kern w:val="18"/>
          <w:szCs w:val="18"/>
        </w:rPr>
        <w:t>,</w:t>
      </w:r>
      <w:r w:rsidRPr="00C20F6C">
        <w:rPr>
          <w:kern w:val="18"/>
          <w:szCs w:val="18"/>
        </w:rPr>
        <w:t xml:space="preserve"> Switzerland</w:t>
      </w:r>
      <w:r w:rsidRPr="00DE0746">
        <w:rPr>
          <w:kern w:val="18"/>
          <w:szCs w:val="18"/>
        </w:rPr>
        <w:t>,</w:t>
      </w:r>
      <w:r w:rsidRPr="00C20F6C">
        <w:rPr>
          <w:kern w:val="18"/>
          <w:szCs w:val="18"/>
        </w:rPr>
        <w:t xml:space="preserve"> New Zealand.</w:t>
      </w:r>
    </w:p>
  </w:footnote>
  <w:footnote w:id="22">
    <w:p w14:paraId="50DEEC5A" w14:textId="0F49E782"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New Zealand.</w:t>
      </w:r>
    </w:p>
  </w:footnote>
  <w:footnote w:id="23">
    <w:p w14:paraId="58F61F27" w14:textId="21431AFA"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Norway.</w:t>
      </w:r>
    </w:p>
  </w:footnote>
  <w:footnote w:id="24">
    <w:p w14:paraId="1417146B" w14:textId="0176A759"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Norway</w:t>
      </w:r>
      <w:r w:rsidRPr="00DE0746">
        <w:rPr>
          <w:kern w:val="18"/>
          <w:szCs w:val="18"/>
        </w:rPr>
        <w:t>,</w:t>
      </w:r>
      <w:r w:rsidRPr="00C20F6C">
        <w:rPr>
          <w:kern w:val="18"/>
          <w:szCs w:val="18"/>
        </w:rPr>
        <w:t xml:space="preserve"> Switzerland.</w:t>
      </w:r>
    </w:p>
  </w:footnote>
  <w:footnote w:id="25">
    <w:p w14:paraId="778810A2" w14:textId="3FFEAF90"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New Zealand.</w:t>
      </w:r>
    </w:p>
  </w:footnote>
  <w:footnote w:id="26">
    <w:p w14:paraId="611A87D7" w14:textId="6A7D6D84"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The European Union and its member States</w:t>
      </w:r>
      <w:r w:rsidRPr="00DE0746">
        <w:rPr>
          <w:kern w:val="18"/>
          <w:szCs w:val="18"/>
        </w:rPr>
        <w:t>,</w:t>
      </w:r>
      <w:r w:rsidRPr="00C20F6C">
        <w:rPr>
          <w:kern w:val="18"/>
          <w:szCs w:val="18"/>
        </w:rPr>
        <w:t xml:space="preserve"> Switzerland.</w:t>
      </w:r>
    </w:p>
  </w:footnote>
  <w:footnote w:id="27">
    <w:p w14:paraId="0BD989A6" w14:textId="68DF59A9"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The European Union and its member States.</w:t>
      </w:r>
    </w:p>
  </w:footnote>
  <w:footnote w:id="28">
    <w:p w14:paraId="33825C3A" w14:textId="5B7F9A22"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The European Union and its member States.</w:t>
      </w:r>
    </w:p>
  </w:footnote>
  <w:footnote w:id="29">
    <w:p w14:paraId="2F1853E0" w14:textId="109A0D1C"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Norway</w:t>
      </w:r>
      <w:r w:rsidRPr="00DE0746">
        <w:rPr>
          <w:kern w:val="18"/>
          <w:szCs w:val="18"/>
        </w:rPr>
        <w:t>,</w:t>
      </w:r>
      <w:r w:rsidRPr="00C20F6C">
        <w:rPr>
          <w:kern w:val="18"/>
          <w:szCs w:val="18"/>
        </w:rPr>
        <w:t xml:space="preserve"> Switzerland.</w:t>
      </w:r>
    </w:p>
  </w:footnote>
  <w:footnote w:id="30">
    <w:p w14:paraId="19B33652" w14:textId="00F59775"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Switzerland.</w:t>
      </w:r>
    </w:p>
  </w:footnote>
  <w:footnote w:id="31">
    <w:p w14:paraId="140C70FF" w14:textId="2E40F5B5"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The European Union and its member States</w:t>
      </w:r>
      <w:r w:rsidRPr="00DE0746">
        <w:rPr>
          <w:kern w:val="18"/>
          <w:szCs w:val="18"/>
        </w:rPr>
        <w:t>,</w:t>
      </w:r>
      <w:r w:rsidRPr="00C20F6C">
        <w:rPr>
          <w:kern w:val="18"/>
          <w:szCs w:val="18"/>
        </w:rPr>
        <w:t xml:space="preserve"> New Zealand.</w:t>
      </w:r>
    </w:p>
  </w:footnote>
  <w:footnote w:id="32">
    <w:p w14:paraId="08FF4737" w14:textId="2B663712"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The European Union and its member States.</w:t>
      </w:r>
    </w:p>
  </w:footnote>
  <w:footnote w:id="33">
    <w:p w14:paraId="73874C3D" w14:textId="734E29BB"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(a) Consistency with biodiversity conservation and sustainable use objectives; (b) </w:t>
      </w:r>
      <w:r w:rsidRPr="00DE0746">
        <w:rPr>
          <w:kern w:val="18"/>
          <w:szCs w:val="18"/>
        </w:rPr>
        <w:t>f</w:t>
      </w:r>
      <w:r w:rsidRPr="00C20F6C">
        <w:rPr>
          <w:kern w:val="18"/>
          <w:szCs w:val="18"/>
        </w:rPr>
        <w:t xml:space="preserve">airness and equity in the sharing of benefits; (c) </w:t>
      </w:r>
      <w:r w:rsidRPr="00DE0746">
        <w:rPr>
          <w:kern w:val="18"/>
          <w:szCs w:val="18"/>
        </w:rPr>
        <w:t>l</w:t>
      </w:r>
      <w:r w:rsidRPr="00C20F6C">
        <w:rPr>
          <w:kern w:val="18"/>
          <w:szCs w:val="18"/>
        </w:rPr>
        <w:t xml:space="preserve">egal certainty with respect to access to genetic resources or traditional knowledge and to benefit-sharing; (d) </w:t>
      </w:r>
      <w:r w:rsidRPr="00DE0746">
        <w:rPr>
          <w:kern w:val="18"/>
          <w:szCs w:val="18"/>
        </w:rPr>
        <w:t>c</w:t>
      </w:r>
      <w:r w:rsidRPr="00C20F6C">
        <w:rPr>
          <w:kern w:val="18"/>
          <w:szCs w:val="18"/>
        </w:rPr>
        <w:t xml:space="preserve">ontribution to sustainable development, as reflected in internationally agreed goals; (e) </w:t>
      </w:r>
      <w:r w:rsidRPr="00DE0746">
        <w:rPr>
          <w:kern w:val="18"/>
          <w:szCs w:val="18"/>
        </w:rPr>
        <w:t>o</w:t>
      </w:r>
      <w:r w:rsidRPr="00C20F6C">
        <w:rPr>
          <w:kern w:val="18"/>
          <w:szCs w:val="18"/>
        </w:rPr>
        <w:t>ther general principles of law, including good faith, effectiveness and legitimate expectations.</w:t>
      </w:r>
    </w:p>
  </w:footnote>
  <w:footnote w:id="34">
    <w:p w14:paraId="67196D02" w14:textId="73499ECE"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Switzerland</w:t>
      </w:r>
      <w:r w:rsidRPr="00DE0746">
        <w:rPr>
          <w:kern w:val="18"/>
          <w:szCs w:val="18"/>
        </w:rPr>
        <w:t>,</w:t>
      </w:r>
      <w:r w:rsidRPr="00C20F6C">
        <w:rPr>
          <w:kern w:val="18"/>
          <w:szCs w:val="18"/>
        </w:rPr>
        <w:t xml:space="preserve"> Canada</w:t>
      </w:r>
      <w:r w:rsidRPr="00DE0746">
        <w:rPr>
          <w:kern w:val="18"/>
          <w:szCs w:val="18"/>
        </w:rPr>
        <w:t>,</w:t>
      </w:r>
      <w:r w:rsidRPr="00C20F6C">
        <w:rPr>
          <w:kern w:val="18"/>
          <w:szCs w:val="18"/>
        </w:rPr>
        <w:t xml:space="preserve"> New Zealand.</w:t>
      </w:r>
    </w:p>
  </w:footnote>
  <w:footnote w:id="35">
    <w:p w14:paraId="36737CB7" w14:textId="6A5E38BF"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Switzerland.</w:t>
      </w:r>
    </w:p>
  </w:footnote>
  <w:footnote w:id="36">
    <w:p w14:paraId="0B4D1F13" w14:textId="3BB3F797"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Norway.</w:t>
      </w:r>
    </w:p>
  </w:footnote>
  <w:footnote w:id="37">
    <w:p w14:paraId="73A0F587" w14:textId="1FB7B5EB"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w:t>
      </w:r>
      <w:hyperlink r:id="rId2" w:history="1">
        <w:r w:rsidRPr="00C20F6C">
          <w:rPr>
            <w:rStyle w:val="Hyperlink"/>
            <w:kern w:val="18"/>
          </w:rPr>
          <w:t>http://www.fao.org/3/a-i5033e.pdf</w:t>
        </w:r>
      </w:hyperlink>
      <w:r w:rsidRPr="00C20F6C">
        <w:rPr>
          <w:kern w:val="18"/>
          <w:szCs w:val="18"/>
        </w:rPr>
        <w:t>.</w:t>
      </w:r>
    </w:p>
  </w:footnote>
  <w:footnote w:id="38">
    <w:p w14:paraId="00F8386E" w14:textId="2D2B3980"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w:t>
      </w:r>
      <w:hyperlink r:id="rId3" w:history="1">
        <w:r w:rsidRPr="00C20F6C">
          <w:rPr>
            <w:rStyle w:val="Hyperlink"/>
            <w:kern w:val="18"/>
          </w:rPr>
          <w:t>http://www.fao.org/3/ca5088en/CA5088EN.pdf</w:t>
        </w:r>
      </w:hyperlink>
      <w:r w:rsidRPr="00C20F6C">
        <w:rPr>
          <w:kern w:val="18"/>
          <w:szCs w:val="18"/>
        </w:rPr>
        <w:t>.</w:t>
      </w:r>
    </w:p>
  </w:footnote>
  <w:footnote w:id="39">
    <w:p w14:paraId="53A427F4" w14:textId="0413BED0" w:rsidR="003C50B3" w:rsidRPr="00C20F6C" w:rsidRDefault="003C50B3" w:rsidP="00C20F6C">
      <w:pPr>
        <w:pStyle w:val="FootnoteText"/>
        <w:suppressLineNumbers/>
        <w:suppressAutoHyphens/>
        <w:ind w:firstLine="0"/>
        <w:jc w:val="left"/>
        <w:rPr>
          <w:kern w:val="18"/>
          <w:szCs w:val="18"/>
        </w:rPr>
      </w:pPr>
      <w:r w:rsidRPr="009C788B">
        <w:rPr>
          <w:rStyle w:val="FootnoteReference"/>
          <w:kern w:val="18"/>
          <w:szCs w:val="18"/>
          <w:lang w:val="en-GB"/>
        </w:rPr>
        <w:footnoteRef/>
      </w:r>
      <w:r w:rsidRPr="009C788B">
        <w:rPr>
          <w:kern w:val="18"/>
          <w:szCs w:val="18"/>
        </w:rPr>
        <w:t xml:space="preserve"> </w:t>
      </w:r>
      <w:r w:rsidRPr="009C788B">
        <w:rPr>
          <w:bCs/>
          <w:kern w:val="18"/>
          <w:szCs w:val="18"/>
        </w:rPr>
        <w:t>Further information on cooperation with FAO and its CGRFA is provided in CBD/SBI/3/INF/6.</w:t>
      </w:r>
    </w:p>
  </w:footnote>
  <w:footnote w:id="40">
    <w:p w14:paraId="4D997527" w14:textId="56E3CB78"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w:t>
      </w:r>
      <w:hyperlink r:id="rId4" w:history="1">
        <w:r w:rsidRPr="00C20F6C">
          <w:rPr>
            <w:rStyle w:val="Hyperlink"/>
            <w:kern w:val="18"/>
          </w:rPr>
          <w:t>http://www.fao.org/3/i0510e/i0510e.pdf</w:t>
        </w:r>
      </w:hyperlink>
      <w:r w:rsidRPr="00C20F6C">
        <w:rPr>
          <w:kern w:val="18"/>
          <w:szCs w:val="18"/>
        </w:rPr>
        <w:t>.</w:t>
      </w:r>
    </w:p>
  </w:footnote>
  <w:footnote w:id="41">
    <w:p w14:paraId="133044EB" w14:textId="77777777"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Ibid.</w:t>
      </w:r>
    </w:p>
  </w:footnote>
  <w:footnote w:id="42">
    <w:p w14:paraId="3DD0B1F4" w14:textId="504C19FD"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The study is available at: </w:t>
      </w:r>
      <w:hyperlink r:id="rId5" w:history="1">
        <w:r w:rsidRPr="00C20F6C">
          <w:rPr>
            <w:rStyle w:val="Hyperlink"/>
            <w:kern w:val="18"/>
          </w:rPr>
          <w:t>http://www.fao.org/3/a-bq533e.pdf</w:t>
        </w:r>
      </w:hyperlink>
      <w:r w:rsidRPr="00C20F6C">
        <w:rPr>
          <w:kern w:val="18"/>
          <w:szCs w:val="18"/>
        </w:rPr>
        <w:t>.</w:t>
      </w:r>
    </w:p>
  </w:footnote>
  <w:footnote w:id="43">
    <w:p w14:paraId="0A47BB88" w14:textId="3A48CFF3"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w:t>
      </w:r>
      <w:r w:rsidRPr="00DE0746">
        <w:rPr>
          <w:snapToGrid w:val="0"/>
          <w:kern w:val="18"/>
          <w:szCs w:val="18"/>
        </w:rPr>
        <w:t xml:space="preserve">Resolution 2/2019 available at: </w:t>
      </w:r>
      <w:hyperlink r:id="rId6" w:history="1">
        <w:r w:rsidRPr="00DE0746">
          <w:rPr>
            <w:rStyle w:val="Hyperlink"/>
            <w:snapToGrid w:val="0"/>
            <w:kern w:val="18"/>
            <w:szCs w:val="18"/>
          </w:rPr>
          <w:t>http://www.fao.org/3/nb779en/nb779en.pdf</w:t>
        </w:r>
      </w:hyperlink>
      <w:r w:rsidRPr="00DE0746">
        <w:rPr>
          <w:snapToGrid w:val="0"/>
          <w:kern w:val="18"/>
          <w:szCs w:val="18"/>
        </w:rPr>
        <w:t>.</w:t>
      </w:r>
    </w:p>
  </w:footnote>
  <w:footnote w:id="44">
    <w:p w14:paraId="7CF1F45E" w14:textId="77777777"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Advanced unedited version available at: </w:t>
      </w:r>
      <w:hyperlink r:id="rId7" w:history="1">
        <w:r w:rsidRPr="00C20F6C">
          <w:rPr>
            <w:rStyle w:val="Hyperlink"/>
            <w:kern w:val="18"/>
            <w:szCs w:val="18"/>
          </w:rPr>
          <w:t>https://www.un.org/bbnj/sites/www.un.org.bbnj/files/revised_draft_text_a.conf_.232.2020.11_advance_unedited_version.pdf</w:t>
        </w:r>
      </w:hyperlink>
    </w:p>
  </w:footnote>
  <w:footnote w:id="45">
    <w:p w14:paraId="6938C18B" w14:textId="77777777"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Document WHA72(12), available at: </w:t>
      </w:r>
      <w:hyperlink r:id="rId8" w:history="1">
        <w:r w:rsidRPr="00C20F6C">
          <w:rPr>
            <w:rStyle w:val="Hyperlink"/>
            <w:kern w:val="18"/>
            <w:szCs w:val="18"/>
          </w:rPr>
          <w:t>http://apps.who.int/gb/ebwha/pdf_files/WHA72/A72(12)-en.pdf</w:t>
        </w:r>
      </w:hyperlink>
      <w:r w:rsidRPr="00C20F6C">
        <w:rPr>
          <w:kern w:val="18"/>
          <w:szCs w:val="18"/>
        </w:rPr>
        <w:t>.</w:t>
      </w:r>
    </w:p>
  </w:footnote>
  <w:footnote w:id="46">
    <w:p w14:paraId="4165D407" w14:textId="77777777"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Document WHA72(13), available at: </w:t>
      </w:r>
      <w:hyperlink r:id="rId9" w:history="1">
        <w:r w:rsidRPr="00C20F6C">
          <w:rPr>
            <w:rStyle w:val="Hyperlink"/>
            <w:kern w:val="18"/>
            <w:szCs w:val="18"/>
          </w:rPr>
          <w:t>http://apps.who.int/gb/ebwha/pdf_files/WHA72/A72(13)-en.pdf</w:t>
        </w:r>
      </w:hyperlink>
      <w:r w:rsidRPr="00C20F6C">
        <w:rPr>
          <w:kern w:val="18"/>
          <w:szCs w:val="18"/>
        </w:rPr>
        <w:t>.</w:t>
      </w:r>
    </w:p>
  </w:footnote>
  <w:footnote w:id="47">
    <w:p w14:paraId="7A83E4E9" w14:textId="77777777"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Notification 2020-012 issued on 24 January 2020, available at: </w:t>
      </w:r>
      <w:hyperlink r:id="rId10" w:history="1">
        <w:r w:rsidRPr="00C20F6C">
          <w:rPr>
            <w:rStyle w:val="Hyperlink"/>
            <w:kern w:val="18"/>
            <w:szCs w:val="18"/>
          </w:rPr>
          <w:t>https://www.cbd.int/doc/notifications/2020/ntf-2020-012-abs-en.pdf</w:t>
        </w:r>
      </w:hyperlink>
      <w:r w:rsidRPr="00C20F6C">
        <w:rPr>
          <w:kern w:val="18"/>
          <w:szCs w:val="18"/>
        </w:rPr>
        <w:t>.</w:t>
      </w:r>
    </w:p>
  </w:footnote>
  <w:footnote w:id="48">
    <w:p w14:paraId="5EB2B731" w14:textId="0B770728"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See the text of the resolution at: </w:t>
      </w:r>
      <w:hyperlink r:id="rId11" w:history="1">
        <w:r w:rsidRPr="00C20F6C">
          <w:rPr>
            <w:rStyle w:val="Hyperlink"/>
            <w:kern w:val="18"/>
            <w:szCs w:val="18"/>
          </w:rPr>
          <w:t>https://apps.who.int/gb/ebwha/pdf_files/WHA73/A73_R1-en.pdf</w:t>
        </w:r>
      </w:hyperlink>
    </w:p>
  </w:footnote>
  <w:footnote w:id="49">
    <w:p w14:paraId="30F1ACB7" w14:textId="77777777"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Draft articles are contained in documents WIPO/GRTKF/IC/40/6, WIPO/GRTKF/IC/40/18 and WIPO/GRTKF/IC/40/19 respectively, available at: </w:t>
      </w:r>
      <w:hyperlink r:id="rId12" w:history="1">
        <w:r w:rsidRPr="00C20F6C">
          <w:rPr>
            <w:rStyle w:val="Hyperlink"/>
            <w:kern w:val="18"/>
            <w:szCs w:val="18"/>
          </w:rPr>
          <w:t>https://www.wipo.int/meetings/en/details.jsp?meeting_id=50424</w:t>
        </w:r>
      </w:hyperlink>
      <w:r w:rsidRPr="00C20F6C">
        <w:rPr>
          <w:kern w:val="18"/>
          <w:szCs w:val="18"/>
        </w:rPr>
        <w:t>.</w:t>
      </w:r>
    </w:p>
  </w:footnote>
  <w:footnote w:id="50">
    <w:p w14:paraId="427BBBE0" w14:textId="368C2FF5"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WIPO/GRTKF/IC/40/CHAIR TEXT available at: </w:t>
      </w:r>
      <w:hyperlink r:id="rId13" w:history="1">
        <w:r w:rsidRPr="00C20F6C">
          <w:rPr>
            <w:rStyle w:val="Hyperlink"/>
            <w:kern w:val="18"/>
            <w:szCs w:val="18"/>
          </w:rPr>
          <w:t>https://www.wipo.int/meetings/en/doc_details.jsp?doc_id=438199</w:t>
        </w:r>
      </w:hyperlink>
    </w:p>
  </w:footnote>
  <w:footnote w:id="51">
    <w:p w14:paraId="1FE36096" w14:textId="77777777" w:rsidR="003C50B3" w:rsidRPr="00C20F6C" w:rsidRDefault="003C50B3" w:rsidP="00C20F6C">
      <w:pPr>
        <w:pStyle w:val="FootnoteText"/>
        <w:suppressLineNumbers/>
        <w:suppressAutoHyphens/>
        <w:ind w:firstLine="0"/>
        <w:jc w:val="left"/>
        <w:rPr>
          <w:kern w:val="18"/>
          <w:szCs w:val="18"/>
        </w:rPr>
      </w:pPr>
      <w:r w:rsidRPr="00C20F6C">
        <w:rPr>
          <w:rStyle w:val="FootnoteReference"/>
          <w:kern w:val="18"/>
          <w:szCs w:val="18"/>
          <w:lang w:val="en-GB"/>
        </w:rPr>
        <w:footnoteRef/>
      </w:r>
      <w:r w:rsidRPr="00C20F6C">
        <w:rPr>
          <w:kern w:val="18"/>
          <w:szCs w:val="18"/>
        </w:rPr>
        <w:t xml:space="preserve"> Report on the Intergovernmental Committee on Intellectual Property and Genetic Resources, Traditional Knowledge and Folklore (document WO/GA/51/12) available at: </w:t>
      </w:r>
      <w:hyperlink r:id="rId14" w:history="1">
        <w:r w:rsidRPr="00C20F6C">
          <w:rPr>
            <w:rStyle w:val="Hyperlink"/>
            <w:kern w:val="18"/>
            <w:szCs w:val="18"/>
          </w:rPr>
          <w:t>https://www.wipo.int/meetings/en/doc_details.jsp?doc_id=443934</w:t>
        </w:r>
      </w:hyperlink>
      <w:r w:rsidRPr="00C20F6C">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B757F" w14:textId="77777777" w:rsidR="003C50B3" w:rsidRPr="00C20F6C" w:rsidRDefault="00A74CAF" w:rsidP="00C20F6C">
    <w:pPr>
      <w:keepLines/>
      <w:suppressLineNumbers/>
      <w:suppressAutoHyphens/>
      <w:jc w:val="left"/>
      <w:rPr>
        <w:noProof/>
        <w:kern w:val="22"/>
      </w:rPr>
    </w:pPr>
    <w:sdt>
      <w:sdtPr>
        <w:rPr>
          <w:noProof/>
          <w:kern w:val="22"/>
        </w:rPr>
        <w:alias w:val="Subject"/>
        <w:tag w:val=""/>
        <w:id w:val="-41521684"/>
        <w:placeholder>
          <w:docPart w:val="46CBDF5CE6364D01BEB293E548E3A54D"/>
        </w:placeholder>
        <w:dataBinding w:prefixMappings="xmlns:ns0='http://purl.org/dc/elements/1.1/' xmlns:ns1='http://schemas.openxmlformats.org/package/2006/metadata/core-properties' " w:xpath="/ns1:coreProperties[1]/ns0:subject[1]" w:storeItemID="{6C3C8BC8-F283-45AE-878A-BAB7291924A1}"/>
        <w:text/>
      </w:sdtPr>
      <w:sdtEndPr/>
      <w:sdtContent>
        <w:r w:rsidR="003C50B3" w:rsidRPr="00C20F6C">
          <w:rPr>
            <w:noProof/>
            <w:kern w:val="22"/>
          </w:rPr>
          <w:t>CBD/SBI/3/14</w:t>
        </w:r>
      </w:sdtContent>
    </w:sdt>
  </w:p>
  <w:p w14:paraId="21741ADF" w14:textId="26F5C61F" w:rsidR="003C50B3" w:rsidRDefault="003C50B3" w:rsidP="00175B01">
    <w:pPr>
      <w:pStyle w:val="Header"/>
      <w:keepLines/>
      <w:suppressLineNumbers/>
      <w:suppressAutoHyphens/>
      <w:jc w:val="left"/>
      <w:rPr>
        <w:noProof/>
        <w:kern w:val="22"/>
      </w:rPr>
    </w:pPr>
    <w:r w:rsidRPr="00C20F6C">
      <w:rPr>
        <w:noProof/>
        <w:kern w:val="22"/>
      </w:rPr>
      <w:t xml:space="preserve">Page </w:t>
    </w:r>
    <w:r w:rsidRPr="00C20F6C">
      <w:rPr>
        <w:noProof/>
        <w:kern w:val="22"/>
      </w:rPr>
      <w:fldChar w:fldCharType="begin"/>
    </w:r>
    <w:r w:rsidRPr="00C20F6C">
      <w:rPr>
        <w:noProof/>
        <w:kern w:val="22"/>
      </w:rPr>
      <w:instrText xml:space="preserve"> PAGE   \* MERGEFORMAT </w:instrText>
    </w:r>
    <w:r w:rsidRPr="00C20F6C">
      <w:rPr>
        <w:noProof/>
        <w:kern w:val="22"/>
      </w:rPr>
      <w:fldChar w:fldCharType="separate"/>
    </w:r>
    <w:r w:rsidRPr="00C20F6C">
      <w:rPr>
        <w:noProof/>
        <w:kern w:val="22"/>
      </w:rPr>
      <w:t>1</w:t>
    </w:r>
    <w:r w:rsidRPr="00C20F6C">
      <w:rPr>
        <w:noProof/>
        <w:kern w:val="22"/>
      </w:rPr>
      <w:fldChar w:fldCharType="end"/>
    </w:r>
  </w:p>
  <w:p w14:paraId="3DBE66F5" w14:textId="77777777" w:rsidR="003C50B3" w:rsidRPr="00C20F6C" w:rsidRDefault="003C50B3" w:rsidP="00C20F6C">
    <w:pPr>
      <w:pStyle w:val="Header"/>
      <w:keepLines/>
      <w:suppressLineNumber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2490" w14:textId="125D34A8" w:rsidR="003C50B3" w:rsidRPr="00C20F6C" w:rsidRDefault="00A74CAF" w:rsidP="00C20F6C">
    <w:pPr>
      <w:keepLines/>
      <w:suppressLineNumbers/>
      <w:tabs>
        <w:tab w:val="left" w:pos="1809"/>
      </w:tabs>
      <w:suppressAutoHyphens/>
      <w:jc w:val="right"/>
      <w:rPr>
        <w:noProof/>
        <w:kern w:val="22"/>
      </w:rPr>
    </w:pPr>
    <w:sdt>
      <w:sdtPr>
        <w:rPr>
          <w:noProof/>
          <w:kern w:val="22"/>
        </w:rPr>
        <w:alias w:val="Subject"/>
        <w:tag w:val=""/>
        <w:id w:val="-1885015078"/>
        <w:placeholder>
          <w:docPart w:val="E2AA006806B442D0AD1F2355E0F5E50E"/>
        </w:placeholder>
        <w:dataBinding w:prefixMappings="xmlns:ns0='http://purl.org/dc/elements/1.1/' xmlns:ns1='http://schemas.openxmlformats.org/package/2006/metadata/core-properties' " w:xpath="/ns1:coreProperties[1]/ns0:subject[1]" w:storeItemID="{6C3C8BC8-F283-45AE-878A-BAB7291924A1}"/>
        <w:text/>
      </w:sdtPr>
      <w:sdtEndPr/>
      <w:sdtContent>
        <w:r w:rsidR="003C50B3" w:rsidRPr="00C20F6C">
          <w:rPr>
            <w:noProof/>
            <w:kern w:val="22"/>
          </w:rPr>
          <w:t>CBD/SBI/3/14</w:t>
        </w:r>
      </w:sdtContent>
    </w:sdt>
  </w:p>
  <w:p w14:paraId="3A1126F4" w14:textId="67589118" w:rsidR="003C50B3" w:rsidRPr="00C20F6C" w:rsidRDefault="003C50B3" w:rsidP="00C20F6C">
    <w:pPr>
      <w:keepLines/>
      <w:suppressLineNumbers/>
      <w:tabs>
        <w:tab w:val="center" w:pos="4320"/>
        <w:tab w:val="right" w:pos="8640"/>
      </w:tabs>
      <w:suppressAutoHyphens/>
      <w:jc w:val="right"/>
      <w:rPr>
        <w:noProof/>
        <w:kern w:val="22"/>
      </w:rPr>
    </w:pPr>
    <w:r w:rsidRPr="00C20F6C">
      <w:rPr>
        <w:noProof/>
        <w:kern w:val="22"/>
      </w:rPr>
      <w:t xml:space="preserve">Page </w:t>
    </w:r>
    <w:r w:rsidRPr="00C20F6C">
      <w:rPr>
        <w:noProof/>
        <w:kern w:val="22"/>
      </w:rPr>
      <w:fldChar w:fldCharType="begin"/>
    </w:r>
    <w:r w:rsidRPr="00C20F6C">
      <w:rPr>
        <w:noProof/>
        <w:kern w:val="22"/>
      </w:rPr>
      <w:instrText xml:space="preserve"> PAGE   \* MERGEFORMAT </w:instrText>
    </w:r>
    <w:r w:rsidRPr="00C20F6C">
      <w:rPr>
        <w:noProof/>
        <w:kern w:val="22"/>
      </w:rPr>
      <w:fldChar w:fldCharType="separate"/>
    </w:r>
    <w:r w:rsidRPr="00C20F6C">
      <w:rPr>
        <w:noProof/>
        <w:kern w:val="22"/>
      </w:rPr>
      <w:t>2</w:t>
    </w:r>
    <w:r w:rsidRPr="00C20F6C">
      <w:rPr>
        <w:noProof/>
        <w:kern w:val="22"/>
      </w:rPr>
      <w:fldChar w:fldCharType="end"/>
    </w:r>
  </w:p>
  <w:p w14:paraId="4BC340E7" w14:textId="77777777" w:rsidR="003C50B3" w:rsidRPr="00C20F6C" w:rsidRDefault="003C50B3" w:rsidP="00C20F6C">
    <w:pPr>
      <w:keepLines/>
      <w:suppressLineNumber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5F2"/>
    <w:multiLevelType w:val="hybridMultilevel"/>
    <w:tmpl w:val="2F4A86EA"/>
    <w:lvl w:ilvl="0" w:tplc="1009000F">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C7435F"/>
    <w:multiLevelType w:val="hybridMultilevel"/>
    <w:tmpl w:val="BD68E7CE"/>
    <w:lvl w:ilvl="0" w:tplc="5B3C62F6">
      <w:start w:val="1"/>
      <w:numFmt w:val="upperRoman"/>
      <w:lvlText w:val="%1."/>
      <w:lvlJc w:val="left"/>
      <w:pPr>
        <w:ind w:left="2160" w:hanging="720"/>
      </w:pPr>
      <w:rPr>
        <w:rFonts w:hint="default"/>
        <w:b/>
        <w:bCs/>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50A29"/>
    <w:multiLevelType w:val="hybridMultilevel"/>
    <w:tmpl w:val="90C2F1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E44CFC"/>
    <w:multiLevelType w:val="hybridMultilevel"/>
    <w:tmpl w:val="245A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1E5FFB"/>
    <w:multiLevelType w:val="hybridMultilevel"/>
    <w:tmpl w:val="BA18B912"/>
    <w:lvl w:ilvl="0" w:tplc="6A825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226A49"/>
    <w:multiLevelType w:val="hybridMultilevel"/>
    <w:tmpl w:val="37CE3FF0"/>
    <w:lvl w:ilvl="0" w:tplc="4E28B730">
      <w:start w:val="1"/>
      <w:numFmt w:val="upperRoman"/>
      <w:lvlText w:val="%1."/>
      <w:lvlJc w:val="left"/>
      <w:pPr>
        <w:ind w:left="2160" w:hanging="720"/>
      </w:pPr>
      <w:rPr>
        <w:rFonts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E51B5"/>
    <w:multiLevelType w:val="hybridMultilevel"/>
    <w:tmpl w:val="B33C9B4C"/>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3185686"/>
    <w:multiLevelType w:val="hybridMultilevel"/>
    <w:tmpl w:val="96FE1250"/>
    <w:lvl w:ilvl="0" w:tplc="10090013">
      <w:start w:val="1"/>
      <w:numFmt w:val="upp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346E232A"/>
    <w:multiLevelType w:val="hybridMultilevel"/>
    <w:tmpl w:val="91F0285C"/>
    <w:lvl w:ilvl="0" w:tplc="10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16AC6"/>
    <w:multiLevelType w:val="hybridMultilevel"/>
    <w:tmpl w:val="D3AAD1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16760D"/>
    <w:multiLevelType w:val="hybridMultilevel"/>
    <w:tmpl w:val="778238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473032FA"/>
    <w:multiLevelType w:val="hybridMultilevel"/>
    <w:tmpl w:val="90C2F1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FAD7229"/>
    <w:multiLevelType w:val="hybridMultilevel"/>
    <w:tmpl w:val="37AAFEAE"/>
    <w:lvl w:ilvl="0" w:tplc="529466CC">
      <w:start w:val="1"/>
      <w:numFmt w:val="decimal"/>
      <w:lvlText w:val="%1."/>
      <w:lvlJc w:val="left"/>
      <w:pPr>
        <w:ind w:left="1080" w:hanging="720"/>
      </w:pPr>
      <w:rPr>
        <w:rFonts w:eastAsia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73026C3"/>
    <w:multiLevelType w:val="hybridMultilevel"/>
    <w:tmpl w:val="85C452EC"/>
    <w:lvl w:ilvl="0" w:tplc="B0620EB4">
      <w:start w:val="1"/>
      <w:numFmt w:val="lowerLetter"/>
      <w:lvlText w:val="(%1)"/>
      <w:lvlJc w:val="left"/>
      <w:pPr>
        <w:ind w:left="720" w:hanging="360"/>
      </w:pPr>
      <w:rPr>
        <w:rFonts w:ascii="Times New Roman" w:hAnsi="Times New Roman"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E1690E"/>
    <w:multiLevelType w:val="hybridMultilevel"/>
    <w:tmpl w:val="23002178"/>
    <w:lvl w:ilvl="0" w:tplc="10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FA76A3"/>
    <w:multiLevelType w:val="hybridMultilevel"/>
    <w:tmpl w:val="37CE3FF0"/>
    <w:lvl w:ilvl="0" w:tplc="4E28B730">
      <w:start w:val="1"/>
      <w:numFmt w:val="upperRoman"/>
      <w:lvlText w:val="%1."/>
      <w:lvlJc w:val="left"/>
      <w:pPr>
        <w:ind w:left="1080" w:hanging="72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275DE"/>
    <w:multiLevelType w:val="hybridMultilevel"/>
    <w:tmpl w:val="971EFA62"/>
    <w:lvl w:ilvl="0" w:tplc="5858B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8"/>
  </w:num>
  <w:num w:numId="4">
    <w:abstractNumId w:val="3"/>
  </w:num>
  <w:num w:numId="5">
    <w:abstractNumId w:val="17"/>
  </w:num>
  <w:num w:numId="6">
    <w:abstractNumId w:val="8"/>
  </w:num>
  <w:num w:numId="7">
    <w:abstractNumId w:val="2"/>
  </w:num>
  <w:num w:numId="8">
    <w:abstractNumId w:val="16"/>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3"/>
  </w:num>
  <w:num w:numId="22">
    <w:abstractNumId w:val="15"/>
  </w:num>
  <w:num w:numId="23">
    <w:abstractNumId w:val="11"/>
  </w:num>
  <w:num w:numId="24">
    <w:abstractNumId w:val="1"/>
  </w:num>
  <w:num w:numId="25">
    <w:abstractNumId w:val="6"/>
  </w:num>
  <w:num w:numId="26">
    <w:abstractNumId w:val="20"/>
  </w:num>
  <w:num w:numId="27">
    <w:abstractNumId w:val="0"/>
  </w:num>
  <w:num w:numId="28">
    <w:abstractNumId w:val="5"/>
  </w:num>
  <w:num w:numId="29">
    <w:abstractNumId w:val="4"/>
  </w:num>
  <w:num w:numId="30">
    <w:abstractNumId w:val="21"/>
  </w:num>
  <w:num w:numId="31">
    <w:abstractNumId w:val="19"/>
  </w:num>
  <w:num w:numId="32">
    <w:abstractNumId w:val="12"/>
  </w:num>
  <w:num w:numId="33">
    <w:abstractNumId w:val="7"/>
  </w:num>
  <w:num w:numId="34">
    <w:abstractNumId w:val="15"/>
  </w:num>
  <w:num w:numId="35">
    <w:abstractNumId w:val="1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5"/>
    <w:rsid w:val="00002FA5"/>
    <w:rsid w:val="0000792C"/>
    <w:rsid w:val="0001252E"/>
    <w:rsid w:val="0002292F"/>
    <w:rsid w:val="0003047E"/>
    <w:rsid w:val="00030C54"/>
    <w:rsid w:val="00041EC5"/>
    <w:rsid w:val="0004498D"/>
    <w:rsid w:val="0004559B"/>
    <w:rsid w:val="000513C6"/>
    <w:rsid w:val="0005213C"/>
    <w:rsid w:val="00052CF2"/>
    <w:rsid w:val="00053780"/>
    <w:rsid w:val="00055F6A"/>
    <w:rsid w:val="00061E8B"/>
    <w:rsid w:val="0006645A"/>
    <w:rsid w:val="000673E6"/>
    <w:rsid w:val="0007261F"/>
    <w:rsid w:val="00072859"/>
    <w:rsid w:val="00073940"/>
    <w:rsid w:val="00081D57"/>
    <w:rsid w:val="00092FC7"/>
    <w:rsid w:val="00097239"/>
    <w:rsid w:val="00097CD6"/>
    <w:rsid w:val="000A3D04"/>
    <w:rsid w:val="000A6841"/>
    <w:rsid w:val="000A7B45"/>
    <w:rsid w:val="000B0B17"/>
    <w:rsid w:val="000B0FE6"/>
    <w:rsid w:val="000B1491"/>
    <w:rsid w:val="000B19D7"/>
    <w:rsid w:val="000B774C"/>
    <w:rsid w:val="000C2049"/>
    <w:rsid w:val="000C26E4"/>
    <w:rsid w:val="000C369C"/>
    <w:rsid w:val="000D36E2"/>
    <w:rsid w:val="000D51CE"/>
    <w:rsid w:val="000D7753"/>
    <w:rsid w:val="000E354A"/>
    <w:rsid w:val="000E6C84"/>
    <w:rsid w:val="000F070C"/>
    <w:rsid w:val="000F08B7"/>
    <w:rsid w:val="000F3D76"/>
    <w:rsid w:val="000F43CE"/>
    <w:rsid w:val="00105155"/>
    <w:rsid w:val="001057DA"/>
    <w:rsid w:val="0010656A"/>
    <w:rsid w:val="00110208"/>
    <w:rsid w:val="0011263E"/>
    <w:rsid w:val="001175FB"/>
    <w:rsid w:val="00120077"/>
    <w:rsid w:val="001212EA"/>
    <w:rsid w:val="00130E67"/>
    <w:rsid w:val="0013331B"/>
    <w:rsid w:val="0013413C"/>
    <w:rsid w:val="00134728"/>
    <w:rsid w:val="001352ED"/>
    <w:rsid w:val="0013716B"/>
    <w:rsid w:val="0014510F"/>
    <w:rsid w:val="00150EEA"/>
    <w:rsid w:val="001512CB"/>
    <w:rsid w:val="00152AF5"/>
    <w:rsid w:val="00152F06"/>
    <w:rsid w:val="001534FB"/>
    <w:rsid w:val="00157708"/>
    <w:rsid w:val="0016033C"/>
    <w:rsid w:val="00164686"/>
    <w:rsid w:val="00165287"/>
    <w:rsid w:val="00166843"/>
    <w:rsid w:val="00167B46"/>
    <w:rsid w:val="0017056B"/>
    <w:rsid w:val="00175B01"/>
    <w:rsid w:val="001776E0"/>
    <w:rsid w:val="00177FD0"/>
    <w:rsid w:val="00180269"/>
    <w:rsid w:val="00181ECF"/>
    <w:rsid w:val="00190165"/>
    <w:rsid w:val="0019037D"/>
    <w:rsid w:val="001976AE"/>
    <w:rsid w:val="00197ABB"/>
    <w:rsid w:val="001A2AA7"/>
    <w:rsid w:val="001A56DF"/>
    <w:rsid w:val="001A5AD4"/>
    <w:rsid w:val="001A6429"/>
    <w:rsid w:val="001A6863"/>
    <w:rsid w:val="001A7CFE"/>
    <w:rsid w:val="001C3914"/>
    <w:rsid w:val="001C43EC"/>
    <w:rsid w:val="001C6438"/>
    <w:rsid w:val="001D747E"/>
    <w:rsid w:val="001E0C19"/>
    <w:rsid w:val="001E28F4"/>
    <w:rsid w:val="001E47CA"/>
    <w:rsid w:val="001E7543"/>
    <w:rsid w:val="001E7912"/>
    <w:rsid w:val="001F5025"/>
    <w:rsid w:val="001F5C99"/>
    <w:rsid w:val="001F72B4"/>
    <w:rsid w:val="00202B1D"/>
    <w:rsid w:val="00202E2A"/>
    <w:rsid w:val="00204FD0"/>
    <w:rsid w:val="00205323"/>
    <w:rsid w:val="00207DA9"/>
    <w:rsid w:val="00214C52"/>
    <w:rsid w:val="0021551A"/>
    <w:rsid w:val="00217293"/>
    <w:rsid w:val="00221D3E"/>
    <w:rsid w:val="00222D80"/>
    <w:rsid w:val="00222E57"/>
    <w:rsid w:val="0022739C"/>
    <w:rsid w:val="00232A43"/>
    <w:rsid w:val="002339F2"/>
    <w:rsid w:val="00243322"/>
    <w:rsid w:val="00243495"/>
    <w:rsid w:val="00246BDA"/>
    <w:rsid w:val="0024794B"/>
    <w:rsid w:val="00247C3A"/>
    <w:rsid w:val="00250F42"/>
    <w:rsid w:val="0025132E"/>
    <w:rsid w:val="002634FE"/>
    <w:rsid w:val="002645EF"/>
    <w:rsid w:val="0026656F"/>
    <w:rsid w:val="00266C57"/>
    <w:rsid w:val="0026715A"/>
    <w:rsid w:val="00267575"/>
    <w:rsid w:val="00271035"/>
    <w:rsid w:val="00271BC8"/>
    <w:rsid w:val="0027256B"/>
    <w:rsid w:val="0028022C"/>
    <w:rsid w:val="00280843"/>
    <w:rsid w:val="00280F48"/>
    <w:rsid w:val="00282EF1"/>
    <w:rsid w:val="00283DC3"/>
    <w:rsid w:val="00283FE6"/>
    <w:rsid w:val="0028766A"/>
    <w:rsid w:val="00287E13"/>
    <w:rsid w:val="002907CD"/>
    <w:rsid w:val="00290C62"/>
    <w:rsid w:val="0029398F"/>
    <w:rsid w:val="002A01F6"/>
    <w:rsid w:val="002A2C32"/>
    <w:rsid w:val="002A5219"/>
    <w:rsid w:val="002A777A"/>
    <w:rsid w:val="002A7C4E"/>
    <w:rsid w:val="002B0FB4"/>
    <w:rsid w:val="002B3ED6"/>
    <w:rsid w:val="002C0E76"/>
    <w:rsid w:val="002C3A21"/>
    <w:rsid w:val="002C5762"/>
    <w:rsid w:val="002C622C"/>
    <w:rsid w:val="002D0C5C"/>
    <w:rsid w:val="002D55F1"/>
    <w:rsid w:val="002D5D26"/>
    <w:rsid w:val="002D60B6"/>
    <w:rsid w:val="002E093A"/>
    <w:rsid w:val="002F028B"/>
    <w:rsid w:val="002F77AD"/>
    <w:rsid w:val="002F7879"/>
    <w:rsid w:val="00302C53"/>
    <w:rsid w:val="00311FFD"/>
    <w:rsid w:val="00312D98"/>
    <w:rsid w:val="00315A97"/>
    <w:rsid w:val="00323709"/>
    <w:rsid w:val="00323E23"/>
    <w:rsid w:val="00325605"/>
    <w:rsid w:val="0032611D"/>
    <w:rsid w:val="00330C8A"/>
    <w:rsid w:val="0034395E"/>
    <w:rsid w:val="00343E3E"/>
    <w:rsid w:val="00343FE4"/>
    <w:rsid w:val="003465FE"/>
    <w:rsid w:val="00350B02"/>
    <w:rsid w:val="003575AD"/>
    <w:rsid w:val="003605AB"/>
    <w:rsid w:val="0036171E"/>
    <w:rsid w:val="00364A2C"/>
    <w:rsid w:val="003717D7"/>
    <w:rsid w:val="00371A7E"/>
    <w:rsid w:val="00376786"/>
    <w:rsid w:val="003770C8"/>
    <w:rsid w:val="00382446"/>
    <w:rsid w:val="0038258F"/>
    <w:rsid w:val="00385985"/>
    <w:rsid w:val="00387360"/>
    <w:rsid w:val="00390F4E"/>
    <w:rsid w:val="00391C72"/>
    <w:rsid w:val="00394D9B"/>
    <w:rsid w:val="00396CA4"/>
    <w:rsid w:val="00397FD0"/>
    <w:rsid w:val="003A4B56"/>
    <w:rsid w:val="003A6320"/>
    <w:rsid w:val="003A6F5E"/>
    <w:rsid w:val="003A7D09"/>
    <w:rsid w:val="003B21FB"/>
    <w:rsid w:val="003C2941"/>
    <w:rsid w:val="003C50B3"/>
    <w:rsid w:val="003D34A2"/>
    <w:rsid w:val="003E10D5"/>
    <w:rsid w:val="003E1C02"/>
    <w:rsid w:val="003E2B94"/>
    <w:rsid w:val="003E7F77"/>
    <w:rsid w:val="003F5590"/>
    <w:rsid w:val="0040098E"/>
    <w:rsid w:val="00401342"/>
    <w:rsid w:val="00402E9E"/>
    <w:rsid w:val="004036A6"/>
    <w:rsid w:val="004039B3"/>
    <w:rsid w:val="00405EEC"/>
    <w:rsid w:val="00412684"/>
    <w:rsid w:val="00412E76"/>
    <w:rsid w:val="0042281C"/>
    <w:rsid w:val="004248D8"/>
    <w:rsid w:val="0042574B"/>
    <w:rsid w:val="00432C86"/>
    <w:rsid w:val="00437799"/>
    <w:rsid w:val="0044028D"/>
    <w:rsid w:val="00461F5E"/>
    <w:rsid w:val="004676C3"/>
    <w:rsid w:val="004677F9"/>
    <w:rsid w:val="00472BC3"/>
    <w:rsid w:val="0047522C"/>
    <w:rsid w:val="00476F4F"/>
    <w:rsid w:val="004872C4"/>
    <w:rsid w:val="00487F98"/>
    <w:rsid w:val="00490BB7"/>
    <w:rsid w:val="004A5400"/>
    <w:rsid w:val="004A5811"/>
    <w:rsid w:val="004B081C"/>
    <w:rsid w:val="004B3D1C"/>
    <w:rsid w:val="004B79EF"/>
    <w:rsid w:val="004C1D37"/>
    <w:rsid w:val="004C6FFB"/>
    <w:rsid w:val="004D3499"/>
    <w:rsid w:val="004D577B"/>
    <w:rsid w:val="004E2EC6"/>
    <w:rsid w:val="004E5954"/>
    <w:rsid w:val="004E5A22"/>
    <w:rsid w:val="004E5B76"/>
    <w:rsid w:val="004F6217"/>
    <w:rsid w:val="004F69DC"/>
    <w:rsid w:val="004F7685"/>
    <w:rsid w:val="0051160A"/>
    <w:rsid w:val="00515099"/>
    <w:rsid w:val="0051659C"/>
    <w:rsid w:val="00523843"/>
    <w:rsid w:val="00523D7C"/>
    <w:rsid w:val="00525B9F"/>
    <w:rsid w:val="00526FF3"/>
    <w:rsid w:val="005276F3"/>
    <w:rsid w:val="005277ED"/>
    <w:rsid w:val="00541CFE"/>
    <w:rsid w:val="00544B5D"/>
    <w:rsid w:val="00557AAA"/>
    <w:rsid w:val="00564779"/>
    <w:rsid w:val="005753AB"/>
    <w:rsid w:val="00581684"/>
    <w:rsid w:val="00584278"/>
    <w:rsid w:val="00585592"/>
    <w:rsid w:val="00590F9D"/>
    <w:rsid w:val="005A0163"/>
    <w:rsid w:val="005A0279"/>
    <w:rsid w:val="005A1C97"/>
    <w:rsid w:val="005A4CB8"/>
    <w:rsid w:val="005B03F2"/>
    <w:rsid w:val="005B0F78"/>
    <w:rsid w:val="005B1A5E"/>
    <w:rsid w:val="005B5FC3"/>
    <w:rsid w:val="005C5215"/>
    <w:rsid w:val="005D6B1B"/>
    <w:rsid w:val="005E29B9"/>
    <w:rsid w:val="005F33EA"/>
    <w:rsid w:val="005F6B05"/>
    <w:rsid w:val="005F6F16"/>
    <w:rsid w:val="00606EA4"/>
    <w:rsid w:val="00607B87"/>
    <w:rsid w:val="0061555D"/>
    <w:rsid w:val="00617267"/>
    <w:rsid w:val="00617935"/>
    <w:rsid w:val="0062128A"/>
    <w:rsid w:val="006222D9"/>
    <w:rsid w:val="00626F54"/>
    <w:rsid w:val="00630CA6"/>
    <w:rsid w:val="00631D35"/>
    <w:rsid w:val="00633EC9"/>
    <w:rsid w:val="00640FF6"/>
    <w:rsid w:val="006413D8"/>
    <w:rsid w:val="006442C4"/>
    <w:rsid w:val="006457A1"/>
    <w:rsid w:val="0064621A"/>
    <w:rsid w:val="00651C5E"/>
    <w:rsid w:val="006531C0"/>
    <w:rsid w:val="00663928"/>
    <w:rsid w:val="0066578F"/>
    <w:rsid w:val="00665A8B"/>
    <w:rsid w:val="00665FD6"/>
    <w:rsid w:val="0066644E"/>
    <w:rsid w:val="0066647E"/>
    <w:rsid w:val="0066748C"/>
    <w:rsid w:val="00670F8E"/>
    <w:rsid w:val="00671C31"/>
    <w:rsid w:val="00673426"/>
    <w:rsid w:val="006741A4"/>
    <w:rsid w:val="006771AB"/>
    <w:rsid w:val="0068237B"/>
    <w:rsid w:val="00683B7A"/>
    <w:rsid w:val="00694B16"/>
    <w:rsid w:val="00697129"/>
    <w:rsid w:val="00697181"/>
    <w:rsid w:val="006A79F6"/>
    <w:rsid w:val="006B7403"/>
    <w:rsid w:val="006D6983"/>
    <w:rsid w:val="006E1F89"/>
    <w:rsid w:val="006E40C4"/>
    <w:rsid w:val="006E47AB"/>
    <w:rsid w:val="006E5C44"/>
    <w:rsid w:val="006E6032"/>
    <w:rsid w:val="006F122A"/>
    <w:rsid w:val="006F1B27"/>
    <w:rsid w:val="006F445F"/>
    <w:rsid w:val="006F5035"/>
    <w:rsid w:val="006F5C7A"/>
    <w:rsid w:val="00701A27"/>
    <w:rsid w:val="00702BC9"/>
    <w:rsid w:val="0070411D"/>
    <w:rsid w:val="0070416B"/>
    <w:rsid w:val="00704446"/>
    <w:rsid w:val="00705A16"/>
    <w:rsid w:val="00711F6F"/>
    <w:rsid w:val="007176A8"/>
    <w:rsid w:val="00720D70"/>
    <w:rsid w:val="0072402E"/>
    <w:rsid w:val="007271C7"/>
    <w:rsid w:val="00730D6B"/>
    <w:rsid w:val="0073127A"/>
    <w:rsid w:val="00733A08"/>
    <w:rsid w:val="0074314E"/>
    <w:rsid w:val="0074684A"/>
    <w:rsid w:val="00747130"/>
    <w:rsid w:val="00750395"/>
    <w:rsid w:val="00750578"/>
    <w:rsid w:val="00752163"/>
    <w:rsid w:val="007547D8"/>
    <w:rsid w:val="00763184"/>
    <w:rsid w:val="00781EFD"/>
    <w:rsid w:val="007826B6"/>
    <w:rsid w:val="00790C20"/>
    <w:rsid w:val="00791B91"/>
    <w:rsid w:val="007925DE"/>
    <w:rsid w:val="00793F4C"/>
    <w:rsid w:val="00794CD1"/>
    <w:rsid w:val="007A2045"/>
    <w:rsid w:val="007A34DC"/>
    <w:rsid w:val="007A5615"/>
    <w:rsid w:val="007A7E47"/>
    <w:rsid w:val="007B587F"/>
    <w:rsid w:val="007C11D9"/>
    <w:rsid w:val="007C1B6D"/>
    <w:rsid w:val="007C365B"/>
    <w:rsid w:val="007C3B37"/>
    <w:rsid w:val="007C5415"/>
    <w:rsid w:val="007C5964"/>
    <w:rsid w:val="007C66B0"/>
    <w:rsid w:val="007C765F"/>
    <w:rsid w:val="007E0A78"/>
    <w:rsid w:val="007E2A1E"/>
    <w:rsid w:val="007E3AC9"/>
    <w:rsid w:val="007E43B1"/>
    <w:rsid w:val="007F068A"/>
    <w:rsid w:val="007F682B"/>
    <w:rsid w:val="007F7CB7"/>
    <w:rsid w:val="0080115C"/>
    <w:rsid w:val="00814F9F"/>
    <w:rsid w:val="008245E7"/>
    <w:rsid w:val="00827B16"/>
    <w:rsid w:val="008325A2"/>
    <w:rsid w:val="0083318A"/>
    <w:rsid w:val="008355F8"/>
    <w:rsid w:val="00840924"/>
    <w:rsid w:val="0084570D"/>
    <w:rsid w:val="00856E46"/>
    <w:rsid w:val="00866D8D"/>
    <w:rsid w:val="00873B2B"/>
    <w:rsid w:val="00880F49"/>
    <w:rsid w:val="00882033"/>
    <w:rsid w:val="00883577"/>
    <w:rsid w:val="0088653B"/>
    <w:rsid w:val="00887E4B"/>
    <w:rsid w:val="0089062A"/>
    <w:rsid w:val="00892F74"/>
    <w:rsid w:val="00892FE4"/>
    <w:rsid w:val="00895A75"/>
    <w:rsid w:val="008A5A06"/>
    <w:rsid w:val="008A6EA0"/>
    <w:rsid w:val="008B2355"/>
    <w:rsid w:val="008C4A43"/>
    <w:rsid w:val="008D6FDA"/>
    <w:rsid w:val="008D7652"/>
    <w:rsid w:val="008E1596"/>
    <w:rsid w:val="008E27AC"/>
    <w:rsid w:val="008F3168"/>
    <w:rsid w:val="008F3E0A"/>
    <w:rsid w:val="008F4E84"/>
    <w:rsid w:val="008F79FD"/>
    <w:rsid w:val="00900494"/>
    <w:rsid w:val="00912F56"/>
    <w:rsid w:val="00913BC2"/>
    <w:rsid w:val="0092135D"/>
    <w:rsid w:val="009221FB"/>
    <w:rsid w:val="009243F5"/>
    <w:rsid w:val="00924457"/>
    <w:rsid w:val="009369F4"/>
    <w:rsid w:val="00940F58"/>
    <w:rsid w:val="009420B6"/>
    <w:rsid w:val="009437F8"/>
    <w:rsid w:val="00945BDD"/>
    <w:rsid w:val="00945FB5"/>
    <w:rsid w:val="00954762"/>
    <w:rsid w:val="009610D2"/>
    <w:rsid w:val="00961A9F"/>
    <w:rsid w:val="009641C9"/>
    <w:rsid w:val="00967389"/>
    <w:rsid w:val="00971112"/>
    <w:rsid w:val="0097540D"/>
    <w:rsid w:val="00981AF5"/>
    <w:rsid w:val="009824C5"/>
    <w:rsid w:val="009876C4"/>
    <w:rsid w:val="0098785B"/>
    <w:rsid w:val="00991AC4"/>
    <w:rsid w:val="0099588D"/>
    <w:rsid w:val="009A12E4"/>
    <w:rsid w:val="009A3E99"/>
    <w:rsid w:val="009B12E2"/>
    <w:rsid w:val="009B2D13"/>
    <w:rsid w:val="009B474C"/>
    <w:rsid w:val="009B506F"/>
    <w:rsid w:val="009C0323"/>
    <w:rsid w:val="009C0446"/>
    <w:rsid w:val="009C2037"/>
    <w:rsid w:val="009C788B"/>
    <w:rsid w:val="009D153F"/>
    <w:rsid w:val="009F604D"/>
    <w:rsid w:val="009F665A"/>
    <w:rsid w:val="00A07AF2"/>
    <w:rsid w:val="00A10993"/>
    <w:rsid w:val="00A11285"/>
    <w:rsid w:val="00A131EC"/>
    <w:rsid w:val="00A15B36"/>
    <w:rsid w:val="00A214FC"/>
    <w:rsid w:val="00A22702"/>
    <w:rsid w:val="00A2688E"/>
    <w:rsid w:val="00A31911"/>
    <w:rsid w:val="00A34CD3"/>
    <w:rsid w:val="00A41636"/>
    <w:rsid w:val="00A42E38"/>
    <w:rsid w:val="00A45D45"/>
    <w:rsid w:val="00A6177B"/>
    <w:rsid w:val="00A63AEC"/>
    <w:rsid w:val="00A6694F"/>
    <w:rsid w:val="00A67EA3"/>
    <w:rsid w:val="00A70325"/>
    <w:rsid w:val="00A74CAF"/>
    <w:rsid w:val="00A8073A"/>
    <w:rsid w:val="00A82BAB"/>
    <w:rsid w:val="00A94F35"/>
    <w:rsid w:val="00AA31FD"/>
    <w:rsid w:val="00AA4038"/>
    <w:rsid w:val="00AA4E6A"/>
    <w:rsid w:val="00AB2F34"/>
    <w:rsid w:val="00AB6391"/>
    <w:rsid w:val="00AC5F87"/>
    <w:rsid w:val="00AC7D42"/>
    <w:rsid w:val="00AD548E"/>
    <w:rsid w:val="00AE07C1"/>
    <w:rsid w:val="00AE07D5"/>
    <w:rsid w:val="00AE3AB5"/>
    <w:rsid w:val="00AE4BB3"/>
    <w:rsid w:val="00AF133E"/>
    <w:rsid w:val="00AF18B5"/>
    <w:rsid w:val="00AF2B76"/>
    <w:rsid w:val="00B00707"/>
    <w:rsid w:val="00B1103F"/>
    <w:rsid w:val="00B11133"/>
    <w:rsid w:val="00B11DF7"/>
    <w:rsid w:val="00B143F6"/>
    <w:rsid w:val="00B15ABE"/>
    <w:rsid w:val="00B167D3"/>
    <w:rsid w:val="00B21985"/>
    <w:rsid w:val="00B25EE3"/>
    <w:rsid w:val="00B34F7A"/>
    <w:rsid w:val="00B36041"/>
    <w:rsid w:val="00B50864"/>
    <w:rsid w:val="00B511DF"/>
    <w:rsid w:val="00B5749F"/>
    <w:rsid w:val="00B578B3"/>
    <w:rsid w:val="00B61636"/>
    <w:rsid w:val="00B66C4D"/>
    <w:rsid w:val="00B70197"/>
    <w:rsid w:val="00B73081"/>
    <w:rsid w:val="00B80659"/>
    <w:rsid w:val="00B80772"/>
    <w:rsid w:val="00B80B5E"/>
    <w:rsid w:val="00B83893"/>
    <w:rsid w:val="00B83C43"/>
    <w:rsid w:val="00B87C8F"/>
    <w:rsid w:val="00B90C64"/>
    <w:rsid w:val="00B93789"/>
    <w:rsid w:val="00B955C5"/>
    <w:rsid w:val="00B971AD"/>
    <w:rsid w:val="00BA201B"/>
    <w:rsid w:val="00BA2191"/>
    <w:rsid w:val="00BA2BF1"/>
    <w:rsid w:val="00BA570B"/>
    <w:rsid w:val="00BB1159"/>
    <w:rsid w:val="00BB2D63"/>
    <w:rsid w:val="00BB4658"/>
    <w:rsid w:val="00BB7FC1"/>
    <w:rsid w:val="00BC08F4"/>
    <w:rsid w:val="00BC1934"/>
    <w:rsid w:val="00BC4F33"/>
    <w:rsid w:val="00BC7B4C"/>
    <w:rsid w:val="00BD0429"/>
    <w:rsid w:val="00BD48FB"/>
    <w:rsid w:val="00BE7A48"/>
    <w:rsid w:val="00BF58AC"/>
    <w:rsid w:val="00BF78CA"/>
    <w:rsid w:val="00C13090"/>
    <w:rsid w:val="00C20430"/>
    <w:rsid w:val="00C2057C"/>
    <w:rsid w:val="00C20F6C"/>
    <w:rsid w:val="00C2106D"/>
    <w:rsid w:val="00C2218B"/>
    <w:rsid w:val="00C23BF7"/>
    <w:rsid w:val="00C24279"/>
    <w:rsid w:val="00C31665"/>
    <w:rsid w:val="00C32F86"/>
    <w:rsid w:val="00C43529"/>
    <w:rsid w:val="00C546B2"/>
    <w:rsid w:val="00C546FD"/>
    <w:rsid w:val="00C571F7"/>
    <w:rsid w:val="00C6157E"/>
    <w:rsid w:val="00C65693"/>
    <w:rsid w:val="00C8251F"/>
    <w:rsid w:val="00C83D72"/>
    <w:rsid w:val="00C86061"/>
    <w:rsid w:val="00C9050F"/>
    <w:rsid w:val="00C91C8D"/>
    <w:rsid w:val="00C92C4B"/>
    <w:rsid w:val="00C94DDB"/>
    <w:rsid w:val="00CA6546"/>
    <w:rsid w:val="00CC4E33"/>
    <w:rsid w:val="00CD1F85"/>
    <w:rsid w:val="00CD7D5A"/>
    <w:rsid w:val="00CE09A1"/>
    <w:rsid w:val="00CE343F"/>
    <w:rsid w:val="00CE3CC4"/>
    <w:rsid w:val="00CE4687"/>
    <w:rsid w:val="00CE491B"/>
    <w:rsid w:val="00CE717C"/>
    <w:rsid w:val="00CF3F1F"/>
    <w:rsid w:val="00CF57E6"/>
    <w:rsid w:val="00CF777C"/>
    <w:rsid w:val="00D01D7E"/>
    <w:rsid w:val="00D06F3F"/>
    <w:rsid w:val="00D07EE9"/>
    <w:rsid w:val="00D1284E"/>
    <w:rsid w:val="00D1532D"/>
    <w:rsid w:val="00D16732"/>
    <w:rsid w:val="00D23A59"/>
    <w:rsid w:val="00D25BA9"/>
    <w:rsid w:val="00D32695"/>
    <w:rsid w:val="00D428B5"/>
    <w:rsid w:val="00D44AD5"/>
    <w:rsid w:val="00D455A2"/>
    <w:rsid w:val="00D47CC7"/>
    <w:rsid w:val="00D576D9"/>
    <w:rsid w:val="00D61E2B"/>
    <w:rsid w:val="00D6212B"/>
    <w:rsid w:val="00D64A63"/>
    <w:rsid w:val="00D66664"/>
    <w:rsid w:val="00D72499"/>
    <w:rsid w:val="00D72CE7"/>
    <w:rsid w:val="00D7402E"/>
    <w:rsid w:val="00D82F61"/>
    <w:rsid w:val="00D860D1"/>
    <w:rsid w:val="00D87E73"/>
    <w:rsid w:val="00D94D15"/>
    <w:rsid w:val="00D96A2B"/>
    <w:rsid w:val="00DA2975"/>
    <w:rsid w:val="00DA4A2A"/>
    <w:rsid w:val="00DA4EF9"/>
    <w:rsid w:val="00DA537D"/>
    <w:rsid w:val="00DA5EB1"/>
    <w:rsid w:val="00DB74EB"/>
    <w:rsid w:val="00DC7366"/>
    <w:rsid w:val="00DD33EF"/>
    <w:rsid w:val="00DD555F"/>
    <w:rsid w:val="00DD6E98"/>
    <w:rsid w:val="00DE00D1"/>
    <w:rsid w:val="00DE0746"/>
    <w:rsid w:val="00DE5690"/>
    <w:rsid w:val="00DE6EEF"/>
    <w:rsid w:val="00DF2F08"/>
    <w:rsid w:val="00DF6AE8"/>
    <w:rsid w:val="00E04478"/>
    <w:rsid w:val="00E04573"/>
    <w:rsid w:val="00E04726"/>
    <w:rsid w:val="00E056E5"/>
    <w:rsid w:val="00E103CB"/>
    <w:rsid w:val="00E14B74"/>
    <w:rsid w:val="00E15370"/>
    <w:rsid w:val="00E16DAE"/>
    <w:rsid w:val="00E17289"/>
    <w:rsid w:val="00E17BCD"/>
    <w:rsid w:val="00E231F9"/>
    <w:rsid w:val="00E263B7"/>
    <w:rsid w:val="00E272E8"/>
    <w:rsid w:val="00E32DB3"/>
    <w:rsid w:val="00E403DF"/>
    <w:rsid w:val="00E445A5"/>
    <w:rsid w:val="00E44DD9"/>
    <w:rsid w:val="00E6024D"/>
    <w:rsid w:val="00E673D2"/>
    <w:rsid w:val="00E75253"/>
    <w:rsid w:val="00E80D2B"/>
    <w:rsid w:val="00E87B3A"/>
    <w:rsid w:val="00E9088E"/>
    <w:rsid w:val="00E912DD"/>
    <w:rsid w:val="00E91791"/>
    <w:rsid w:val="00EA1121"/>
    <w:rsid w:val="00EA1B7B"/>
    <w:rsid w:val="00EB19CC"/>
    <w:rsid w:val="00EB3CB0"/>
    <w:rsid w:val="00EB6610"/>
    <w:rsid w:val="00EB6EB3"/>
    <w:rsid w:val="00EC207E"/>
    <w:rsid w:val="00EC3DA8"/>
    <w:rsid w:val="00EC3DCC"/>
    <w:rsid w:val="00ED4555"/>
    <w:rsid w:val="00EE3EE9"/>
    <w:rsid w:val="00EF074D"/>
    <w:rsid w:val="00EF1FC8"/>
    <w:rsid w:val="00F02132"/>
    <w:rsid w:val="00F058AC"/>
    <w:rsid w:val="00F062D4"/>
    <w:rsid w:val="00F11CAB"/>
    <w:rsid w:val="00F161F6"/>
    <w:rsid w:val="00F1775D"/>
    <w:rsid w:val="00F17E10"/>
    <w:rsid w:val="00F2369D"/>
    <w:rsid w:val="00F40EC7"/>
    <w:rsid w:val="00F41C6D"/>
    <w:rsid w:val="00F421A2"/>
    <w:rsid w:val="00F465E6"/>
    <w:rsid w:val="00F5322B"/>
    <w:rsid w:val="00F538EC"/>
    <w:rsid w:val="00F55E7F"/>
    <w:rsid w:val="00F56EF9"/>
    <w:rsid w:val="00F642EE"/>
    <w:rsid w:val="00F6501C"/>
    <w:rsid w:val="00F65393"/>
    <w:rsid w:val="00F746E5"/>
    <w:rsid w:val="00F80246"/>
    <w:rsid w:val="00F81CD7"/>
    <w:rsid w:val="00F96862"/>
    <w:rsid w:val="00F96E4E"/>
    <w:rsid w:val="00FA0B9C"/>
    <w:rsid w:val="00FA1FC3"/>
    <w:rsid w:val="00FA3AD5"/>
    <w:rsid w:val="00FA3E86"/>
    <w:rsid w:val="00FA4087"/>
    <w:rsid w:val="00FA609B"/>
    <w:rsid w:val="00FA65AF"/>
    <w:rsid w:val="00FA7F31"/>
    <w:rsid w:val="00FB60A6"/>
    <w:rsid w:val="00FD54D8"/>
    <w:rsid w:val="00FE08E8"/>
    <w:rsid w:val="00FF0AC4"/>
    <w:rsid w:val="00FF7E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FC808"/>
  <w15:chartTrackingRefBased/>
  <w15:docId w15:val="{80556517-BB7A-4DC1-832A-E6A1799C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9FD"/>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8F79FD"/>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8F79FD"/>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8F79FD"/>
    <w:pPr>
      <w:keepNext/>
      <w:tabs>
        <w:tab w:val="left" w:pos="567"/>
      </w:tabs>
      <w:spacing w:before="120" w:after="120"/>
      <w:jc w:val="center"/>
      <w:outlineLvl w:val="2"/>
    </w:pPr>
    <w:rPr>
      <w:i/>
      <w:iCs/>
    </w:rPr>
  </w:style>
  <w:style w:type="paragraph" w:styleId="Heading4">
    <w:name w:val="heading 4"/>
    <w:basedOn w:val="Normal"/>
    <w:link w:val="Heading4Char"/>
    <w:qFormat/>
    <w:rsid w:val="008F79F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8F79FD"/>
    <w:pPr>
      <w:keepNext/>
      <w:numPr>
        <w:ilvl w:val="4"/>
        <w:numId w:val="33"/>
      </w:numPr>
      <w:spacing w:before="120" w:after="120"/>
      <w:jc w:val="left"/>
      <w:outlineLvl w:val="4"/>
    </w:pPr>
    <w:rPr>
      <w:bCs/>
      <w:i/>
      <w:szCs w:val="26"/>
      <w:lang w:val="en-CA"/>
    </w:rPr>
  </w:style>
  <w:style w:type="paragraph" w:styleId="Heading6">
    <w:name w:val="heading 6"/>
    <w:basedOn w:val="Normal"/>
    <w:next w:val="Normal"/>
    <w:link w:val="Heading6Char"/>
    <w:qFormat/>
    <w:rsid w:val="008F79FD"/>
    <w:pPr>
      <w:keepNext/>
      <w:spacing w:after="240" w:line="240" w:lineRule="exact"/>
      <w:ind w:left="720"/>
      <w:outlineLvl w:val="5"/>
    </w:pPr>
    <w:rPr>
      <w:u w:val="single"/>
    </w:rPr>
  </w:style>
  <w:style w:type="paragraph" w:styleId="Heading7">
    <w:name w:val="heading 7"/>
    <w:basedOn w:val="Normal"/>
    <w:next w:val="Normal"/>
    <w:link w:val="Heading7Char"/>
    <w:rsid w:val="008F79FD"/>
    <w:pPr>
      <w:keepNext/>
      <w:jc w:val="right"/>
      <w:outlineLvl w:val="6"/>
    </w:pPr>
    <w:rPr>
      <w:rFonts w:ascii="Univers" w:hAnsi="Univers"/>
      <w:b/>
      <w:sz w:val="28"/>
    </w:rPr>
  </w:style>
  <w:style w:type="paragraph" w:styleId="Heading8">
    <w:name w:val="heading 8"/>
    <w:basedOn w:val="Normal"/>
    <w:next w:val="Normal"/>
    <w:link w:val="Heading8Char"/>
    <w:qFormat/>
    <w:rsid w:val="008F79FD"/>
    <w:pPr>
      <w:keepNext/>
      <w:jc w:val="right"/>
      <w:outlineLvl w:val="7"/>
    </w:pPr>
    <w:rPr>
      <w:rFonts w:ascii="Univers" w:hAnsi="Univers"/>
      <w:b/>
      <w:sz w:val="32"/>
    </w:rPr>
  </w:style>
  <w:style w:type="paragraph" w:styleId="Heading9">
    <w:name w:val="heading 9"/>
    <w:basedOn w:val="Normal"/>
    <w:next w:val="Normal"/>
    <w:link w:val="Heading9Char"/>
    <w:rsid w:val="008F79F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FD"/>
    <w:pPr>
      <w:ind w:left="720"/>
      <w:contextualSpacing/>
    </w:pPr>
  </w:style>
  <w:style w:type="character" w:styleId="CommentReference">
    <w:name w:val="annotation reference"/>
    <w:semiHidden/>
    <w:rsid w:val="008F79FD"/>
    <w:rPr>
      <w:sz w:val="16"/>
    </w:rPr>
  </w:style>
  <w:style w:type="paragraph" w:styleId="CommentText">
    <w:name w:val="annotation text"/>
    <w:basedOn w:val="Normal"/>
    <w:link w:val="CommentTextChar"/>
    <w:rsid w:val="008F79FD"/>
    <w:pPr>
      <w:spacing w:after="120" w:line="240" w:lineRule="exact"/>
    </w:pPr>
  </w:style>
  <w:style w:type="character" w:customStyle="1" w:styleId="CommentTextChar">
    <w:name w:val="Comment Text Char"/>
    <w:basedOn w:val="DefaultParagraphFont"/>
    <w:link w:val="CommentText"/>
    <w:rsid w:val="008F79FD"/>
    <w:rPr>
      <w:rFonts w:ascii="Times New Roman" w:eastAsia="Times New Roman" w:hAnsi="Times New Roman" w:cs="Times New Roman"/>
      <w:szCs w:val="24"/>
      <w:lang w:val="en-GB"/>
    </w:rPr>
  </w:style>
  <w:style w:type="paragraph" w:styleId="CommentSubject">
    <w:name w:val="annotation subject"/>
    <w:basedOn w:val="CommentText"/>
    <w:next w:val="CommentText"/>
    <w:link w:val="CommentSubjectChar"/>
    <w:uiPriority w:val="99"/>
    <w:semiHidden/>
    <w:unhideWhenUsed/>
    <w:rsid w:val="00BF78CA"/>
    <w:rPr>
      <w:b/>
      <w:bCs/>
    </w:rPr>
  </w:style>
  <w:style w:type="character" w:customStyle="1" w:styleId="CommentSubjectChar">
    <w:name w:val="Comment Subject Char"/>
    <w:basedOn w:val="CommentTextChar"/>
    <w:link w:val="CommentSubject"/>
    <w:uiPriority w:val="99"/>
    <w:semiHidden/>
    <w:rsid w:val="00BF78CA"/>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8F7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FD"/>
    <w:rPr>
      <w:rFonts w:ascii="Lucida Grande" w:eastAsia="Times New Roman" w:hAnsi="Lucida Grande" w:cs="Lucida Grande"/>
      <w:sz w:val="18"/>
      <w:szCs w:val="18"/>
      <w:lang w:val="en-GB"/>
    </w:rPr>
  </w:style>
  <w:style w:type="paragraph" w:styleId="Header">
    <w:name w:val="header"/>
    <w:basedOn w:val="Normal"/>
    <w:link w:val="HeaderChar"/>
    <w:rsid w:val="008F79FD"/>
    <w:pPr>
      <w:tabs>
        <w:tab w:val="center" w:pos="4320"/>
        <w:tab w:val="right" w:pos="8640"/>
      </w:tabs>
    </w:pPr>
  </w:style>
  <w:style w:type="character" w:customStyle="1" w:styleId="HeaderChar">
    <w:name w:val="Header Char"/>
    <w:basedOn w:val="DefaultParagraphFont"/>
    <w:link w:val="Header"/>
    <w:rsid w:val="008F79FD"/>
    <w:rPr>
      <w:rFonts w:ascii="Times New Roman" w:eastAsia="Times New Roman" w:hAnsi="Times New Roman" w:cs="Times New Roman"/>
      <w:szCs w:val="24"/>
      <w:lang w:val="en-GB"/>
    </w:rPr>
  </w:style>
  <w:style w:type="paragraph" w:styleId="Footer">
    <w:name w:val="footer"/>
    <w:basedOn w:val="Normal"/>
    <w:link w:val="FooterChar"/>
    <w:rsid w:val="008F79FD"/>
    <w:pPr>
      <w:tabs>
        <w:tab w:val="center" w:pos="4320"/>
        <w:tab w:val="right" w:pos="8640"/>
      </w:tabs>
      <w:ind w:firstLine="720"/>
      <w:jc w:val="right"/>
    </w:pPr>
  </w:style>
  <w:style w:type="character" w:customStyle="1" w:styleId="FooterChar">
    <w:name w:val="Footer Char"/>
    <w:basedOn w:val="DefaultParagraphFont"/>
    <w:link w:val="Footer"/>
    <w:rsid w:val="008F79FD"/>
    <w:rPr>
      <w:rFonts w:ascii="Times New Roman" w:eastAsia="Times New Roman" w:hAnsi="Times New Roman" w:cs="Times New Roman"/>
      <w:szCs w:val="24"/>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8F79FD"/>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8F79FD"/>
    <w:rPr>
      <w:rFonts w:ascii="Times New Roman" w:eastAsia="Times New Roman" w:hAnsi="Times New Roman" w:cs="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8F79FD"/>
    <w:rPr>
      <w:rFonts w:eastAsiaTheme="minorEastAsia"/>
      <w:szCs w:val="24"/>
      <w:vertAlign w:val="superscript"/>
      <w:lang w:val="fr-CA"/>
    </w:rPr>
  </w:style>
  <w:style w:type="character" w:styleId="Strong">
    <w:name w:val="Strong"/>
    <w:basedOn w:val="DefaultParagraphFont"/>
    <w:uiPriority w:val="22"/>
    <w:qFormat/>
    <w:rsid w:val="006531C0"/>
    <w:rPr>
      <w:b/>
      <w:bCs/>
    </w:rPr>
  </w:style>
  <w:style w:type="character" w:customStyle="1" w:styleId="highlight">
    <w:name w:val="highlight"/>
    <w:basedOn w:val="DefaultParagraphFont"/>
    <w:rsid w:val="004A5400"/>
  </w:style>
  <w:style w:type="paragraph" w:customStyle="1" w:styleId="Heading1longmultiline">
    <w:name w:val="Heading 1 (long multiline)"/>
    <w:basedOn w:val="Heading1"/>
    <w:rsid w:val="008F79FD"/>
    <w:pPr>
      <w:ind w:left="1843" w:hanging="1134"/>
      <w:jc w:val="left"/>
    </w:pPr>
  </w:style>
  <w:style w:type="character" w:customStyle="1" w:styleId="Heading1Char">
    <w:name w:val="Heading 1 Char"/>
    <w:basedOn w:val="DefaultParagraphFont"/>
    <w:link w:val="Heading1"/>
    <w:rsid w:val="008F79FD"/>
    <w:rPr>
      <w:rFonts w:ascii="Times New Roman" w:eastAsia="Times New Roman" w:hAnsi="Times New Roman" w:cs="Times New Roman"/>
      <w:b/>
      <w:caps/>
      <w:szCs w:val="24"/>
      <w:lang w:val="en-GB"/>
    </w:rPr>
  </w:style>
  <w:style w:type="table" w:customStyle="1" w:styleId="TableGrid1">
    <w:name w:val="Table Grid1"/>
    <w:basedOn w:val="TableNormal"/>
    <w:next w:val="TableGrid"/>
    <w:uiPriority w:val="59"/>
    <w:rsid w:val="001A5AD4"/>
    <w:pPr>
      <w:spacing w:after="0" w:line="240" w:lineRule="auto"/>
    </w:pPr>
    <w:rPr>
      <w:rFonts w:eastAsia="MS Mincho"/>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F79FD"/>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79FD"/>
    <w:rPr>
      <w:color w:val="808080"/>
    </w:rPr>
  </w:style>
  <w:style w:type="character" w:customStyle="1" w:styleId="Heading2Char">
    <w:name w:val="Heading 2 Char"/>
    <w:basedOn w:val="DefaultParagraphFont"/>
    <w:link w:val="Heading2"/>
    <w:rsid w:val="008F79FD"/>
    <w:rPr>
      <w:rFonts w:ascii="Times New Roman" w:eastAsia="Times New Roman" w:hAnsi="Times New Roman" w:cs="Times New Roman"/>
      <w:b/>
      <w:bCs/>
      <w:iCs/>
      <w:szCs w:val="24"/>
      <w:lang w:val="en-GB"/>
    </w:rPr>
  </w:style>
  <w:style w:type="character" w:customStyle="1" w:styleId="Heading2Char1">
    <w:name w:val="Heading 2 Char1"/>
    <w:basedOn w:val="DefaultParagraphFont"/>
    <w:uiPriority w:val="9"/>
    <w:semiHidden/>
    <w:rsid w:val="00BD0429"/>
    <w:rPr>
      <w:rFonts w:asciiTheme="majorHAnsi" w:eastAsiaTheme="majorEastAsia" w:hAnsiTheme="majorHAnsi" w:cstheme="majorBidi"/>
      <w:color w:val="365F91" w:themeColor="accent1" w:themeShade="BF"/>
      <w:sz w:val="26"/>
      <w:szCs w:val="26"/>
    </w:rPr>
  </w:style>
  <w:style w:type="paragraph" w:customStyle="1" w:styleId="Para1">
    <w:name w:val="Para1"/>
    <w:basedOn w:val="Normal"/>
    <w:link w:val="Para1Char"/>
    <w:uiPriority w:val="99"/>
    <w:rsid w:val="008F79FD"/>
    <w:pPr>
      <w:numPr>
        <w:numId w:val="34"/>
      </w:numPr>
      <w:spacing w:before="120" w:after="120"/>
    </w:pPr>
    <w:rPr>
      <w:snapToGrid w:val="0"/>
      <w:szCs w:val="18"/>
    </w:rPr>
  </w:style>
  <w:style w:type="character" w:styleId="Hyperlink">
    <w:name w:val="Hyperlink"/>
    <w:rsid w:val="008F79FD"/>
    <w:rPr>
      <w:color w:val="0000FF"/>
      <w:sz w:val="18"/>
      <w:u w:val="single"/>
    </w:rPr>
  </w:style>
  <w:style w:type="character" w:styleId="UnresolvedMention">
    <w:name w:val="Unresolved Mention"/>
    <w:basedOn w:val="DefaultParagraphFont"/>
    <w:uiPriority w:val="99"/>
    <w:semiHidden/>
    <w:unhideWhenUsed/>
    <w:rsid w:val="00665FD6"/>
    <w:rPr>
      <w:color w:val="605E5C"/>
      <w:shd w:val="clear" w:color="auto" w:fill="E1DFDD"/>
    </w:rPr>
  </w:style>
  <w:style w:type="character" w:styleId="FollowedHyperlink">
    <w:name w:val="FollowedHyperlink"/>
    <w:rsid w:val="008F79FD"/>
    <w:rPr>
      <w:color w:val="800080"/>
      <w:u w:val="single"/>
    </w:rPr>
  </w:style>
  <w:style w:type="table" w:customStyle="1" w:styleId="TableGrid2">
    <w:name w:val="Table Grid2"/>
    <w:basedOn w:val="TableNormal"/>
    <w:next w:val="TableGrid"/>
    <w:uiPriority w:val="59"/>
    <w:rsid w:val="007E43B1"/>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F79FD"/>
    <w:pPr>
      <w:spacing w:before="120" w:after="120"/>
      <w:ind w:firstLine="720"/>
    </w:pPr>
    <w:rPr>
      <w:iCs/>
    </w:rPr>
  </w:style>
  <w:style w:type="character" w:customStyle="1" w:styleId="BodyTextChar">
    <w:name w:val="Body Text Char"/>
    <w:basedOn w:val="DefaultParagraphFont"/>
    <w:link w:val="BodyText"/>
    <w:rsid w:val="008F79FD"/>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8F79FD"/>
    <w:pPr>
      <w:spacing w:before="120" w:after="120"/>
      <w:ind w:left="1440" w:hanging="720"/>
      <w:jc w:val="left"/>
    </w:pPr>
  </w:style>
  <w:style w:type="character" w:customStyle="1" w:styleId="BodyTextIndentChar">
    <w:name w:val="Body Text Indent Char"/>
    <w:basedOn w:val="DefaultParagraphFont"/>
    <w:link w:val="BodyTextIndent"/>
    <w:rsid w:val="008F79FD"/>
    <w:rPr>
      <w:rFonts w:ascii="Times New Roman" w:eastAsia="Times New Roman" w:hAnsi="Times New Roman" w:cs="Times New Roman"/>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F79FD"/>
    <w:pPr>
      <w:spacing w:after="160" w:line="240" w:lineRule="exact"/>
      <w:jc w:val="left"/>
    </w:pPr>
    <w:rPr>
      <w:rFonts w:asciiTheme="minorHAnsi" w:eastAsiaTheme="minorEastAsia" w:hAnsiTheme="minorHAnsi" w:cstheme="minorBidi"/>
      <w:vertAlign w:val="superscript"/>
      <w:lang w:val="fr-CA"/>
    </w:rPr>
  </w:style>
  <w:style w:type="paragraph" w:styleId="Caption">
    <w:name w:val="caption"/>
    <w:basedOn w:val="Normal"/>
    <w:next w:val="Normal"/>
    <w:uiPriority w:val="35"/>
    <w:unhideWhenUsed/>
    <w:qFormat/>
    <w:rsid w:val="008F79FD"/>
    <w:pPr>
      <w:keepNext/>
      <w:keepLines/>
      <w:spacing w:after="200"/>
    </w:pPr>
    <w:rPr>
      <w:b/>
      <w:iCs/>
      <w:szCs w:val="18"/>
    </w:rPr>
  </w:style>
  <w:style w:type="paragraph" w:customStyle="1" w:styleId="CBD-Doc">
    <w:name w:val="CBD-Doc"/>
    <w:basedOn w:val="Normal"/>
    <w:rsid w:val="008F79FD"/>
    <w:pPr>
      <w:keepLines/>
      <w:numPr>
        <w:numId w:val="31"/>
      </w:numPr>
      <w:spacing w:after="120"/>
    </w:pPr>
    <w:rPr>
      <w:rFonts w:cs="Angsana New"/>
    </w:rPr>
  </w:style>
  <w:style w:type="paragraph" w:customStyle="1" w:styleId="CBD-Doc-Type">
    <w:name w:val="CBD-Doc-Type"/>
    <w:basedOn w:val="Normal"/>
    <w:rsid w:val="008F79FD"/>
    <w:pPr>
      <w:keepLines/>
      <w:spacing w:before="240" w:after="120"/>
    </w:pPr>
    <w:rPr>
      <w:rFonts w:cs="Angsana New"/>
      <w:b/>
      <w:i/>
      <w:sz w:val="24"/>
    </w:rPr>
  </w:style>
  <w:style w:type="paragraph" w:customStyle="1" w:styleId="CBD-Para">
    <w:name w:val="CBD-Para"/>
    <w:basedOn w:val="Normal"/>
    <w:link w:val="CBD-ParaCharChar"/>
    <w:uiPriority w:val="99"/>
    <w:rsid w:val="008F79FD"/>
    <w:pPr>
      <w:keepLines/>
      <w:numPr>
        <w:numId w:val="32"/>
      </w:numPr>
      <w:spacing w:before="120" w:after="120"/>
    </w:pPr>
    <w:rPr>
      <w:szCs w:val="22"/>
      <w:lang w:val="en-US"/>
    </w:rPr>
  </w:style>
  <w:style w:type="character" w:customStyle="1" w:styleId="CBD-ParaCharChar">
    <w:name w:val="CBD-Para Char Char"/>
    <w:link w:val="CBD-Para"/>
    <w:uiPriority w:val="99"/>
    <w:locked/>
    <w:rsid w:val="008F79FD"/>
    <w:rPr>
      <w:rFonts w:ascii="Times New Roman" w:eastAsia="Times New Roman" w:hAnsi="Times New Roman" w:cs="Times New Roman"/>
      <w:lang w:val="en-US"/>
    </w:rPr>
  </w:style>
  <w:style w:type="paragraph" w:customStyle="1" w:styleId="Cornernotation">
    <w:name w:val="Corner notation"/>
    <w:basedOn w:val="Normal"/>
    <w:rsid w:val="008F79FD"/>
    <w:pPr>
      <w:ind w:left="170" w:right="3119" w:hanging="170"/>
      <w:jc w:val="left"/>
    </w:pPr>
  </w:style>
  <w:style w:type="character" w:styleId="EndnoteReference">
    <w:name w:val="endnote reference"/>
    <w:semiHidden/>
    <w:rsid w:val="008F79FD"/>
    <w:rPr>
      <w:vertAlign w:val="superscript"/>
    </w:rPr>
  </w:style>
  <w:style w:type="paragraph" w:styleId="EndnoteText">
    <w:name w:val="endnote text"/>
    <w:basedOn w:val="Normal"/>
    <w:link w:val="EndnoteTextChar"/>
    <w:semiHidden/>
    <w:rsid w:val="008F79FD"/>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8F79FD"/>
    <w:rPr>
      <w:rFonts w:ascii="Courier New" w:eastAsia="Times New Roman" w:hAnsi="Courier New" w:cs="Times New Roman"/>
      <w:szCs w:val="24"/>
      <w:lang w:val="en-GB"/>
    </w:rPr>
  </w:style>
  <w:style w:type="paragraph" w:customStyle="1" w:styleId="HEADING">
    <w:name w:val="HEADING"/>
    <w:basedOn w:val="Normal"/>
    <w:rsid w:val="008F79FD"/>
    <w:pPr>
      <w:keepNext/>
      <w:spacing w:before="240" w:after="120"/>
      <w:jc w:val="center"/>
    </w:pPr>
    <w:rPr>
      <w:b/>
      <w:bCs/>
      <w:caps/>
    </w:rPr>
  </w:style>
  <w:style w:type="paragraph" w:customStyle="1" w:styleId="HEADINGNOTFORTOC">
    <w:name w:val="HEADING (NOT FOR TOC)"/>
    <w:basedOn w:val="Heading1"/>
    <w:next w:val="Heading2"/>
    <w:rsid w:val="008F79FD"/>
  </w:style>
  <w:style w:type="paragraph" w:customStyle="1" w:styleId="Heading1multiline">
    <w:name w:val="Heading 1 (multiline)"/>
    <w:basedOn w:val="Heading1"/>
    <w:rsid w:val="008F79FD"/>
    <w:pPr>
      <w:ind w:left="1843" w:right="996" w:hanging="567"/>
      <w:jc w:val="left"/>
    </w:pPr>
  </w:style>
  <w:style w:type="paragraph" w:customStyle="1" w:styleId="Heading2multiline">
    <w:name w:val="Heading 2 (multiline)"/>
    <w:basedOn w:val="Heading1"/>
    <w:next w:val="Normal"/>
    <w:rsid w:val="008F79FD"/>
    <w:pPr>
      <w:spacing w:before="120"/>
      <w:ind w:left="1843" w:right="998" w:hanging="567"/>
      <w:jc w:val="left"/>
    </w:pPr>
    <w:rPr>
      <w:i/>
      <w:iCs/>
      <w:caps w:val="0"/>
    </w:rPr>
  </w:style>
  <w:style w:type="paragraph" w:customStyle="1" w:styleId="Heading2longmultiline">
    <w:name w:val="Heading 2 (long multiline)"/>
    <w:basedOn w:val="Heading2multiline"/>
    <w:rsid w:val="008F79FD"/>
    <w:pPr>
      <w:ind w:left="2127" w:hanging="1276"/>
    </w:pPr>
  </w:style>
  <w:style w:type="character" w:customStyle="1" w:styleId="Heading3Char">
    <w:name w:val="Heading 3 Char"/>
    <w:basedOn w:val="DefaultParagraphFont"/>
    <w:link w:val="Heading3"/>
    <w:rsid w:val="008F79FD"/>
    <w:rPr>
      <w:rFonts w:ascii="Times New Roman" w:eastAsia="Times New Roman" w:hAnsi="Times New Roman" w:cs="Times New Roman"/>
      <w:i/>
      <w:iCs/>
      <w:szCs w:val="24"/>
      <w:lang w:val="en-GB"/>
    </w:rPr>
  </w:style>
  <w:style w:type="paragraph" w:customStyle="1" w:styleId="heading2notforTOC">
    <w:name w:val="heading 2 not for TOC"/>
    <w:basedOn w:val="Heading3"/>
    <w:rsid w:val="008F79FD"/>
  </w:style>
  <w:style w:type="paragraph" w:customStyle="1" w:styleId="Heading3multiline">
    <w:name w:val="Heading 3 (multiline)"/>
    <w:basedOn w:val="Heading3"/>
    <w:next w:val="Normal"/>
    <w:rsid w:val="008F79FD"/>
    <w:pPr>
      <w:ind w:left="1418" w:hanging="425"/>
      <w:jc w:val="left"/>
    </w:pPr>
  </w:style>
  <w:style w:type="character" w:customStyle="1" w:styleId="Heading4Char">
    <w:name w:val="Heading 4 Char"/>
    <w:basedOn w:val="DefaultParagraphFont"/>
    <w:link w:val="Heading4"/>
    <w:rsid w:val="008F79FD"/>
    <w:rPr>
      <w:rFonts w:ascii="Times New Roman Bold" w:eastAsia="Arial Unicode MS" w:hAnsi="Times New Roman Bold" w:cs="Arial"/>
      <w:b/>
      <w:bCs/>
      <w:i/>
      <w:szCs w:val="24"/>
      <w:lang w:val="en-GB"/>
    </w:rPr>
  </w:style>
  <w:style w:type="paragraph" w:customStyle="1" w:styleId="Heading4indent">
    <w:name w:val="Heading 4 indent"/>
    <w:basedOn w:val="Heading4"/>
    <w:rsid w:val="008F79FD"/>
    <w:pPr>
      <w:ind w:left="720"/>
      <w:outlineLvl w:val="9"/>
    </w:pPr>
    <w:rPr>
      <w:rFonts w:ascii="Times New Roman" w:hAnsi="Times New Roman"/>
    </w:rPr>
  </w:style>
  <w:style w:type="character" w:customStyle="1" w:styleId="Heading5Char">
    <w:name w:val="Heading 5 Char"/>
    <w:basedOn w:val="DefaultParagraphFont"/>
    <w:link w:val="Heading5"/>
    <w:rsid w:val="008F79FD"/>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8F79FD"/>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8F79FD"/>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8F79FD"/>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8F79FD"/>
    <w:rPr>
      <w:rFonts w:ascii="Times New Roman" w:eastAsia="Times New Roman" w:hAnsi="Times New Roman" w:cs="Times New Roman"/>
      <w:i/>
      <w:iCs/>
      <w:szCs w:val="24"/>
      <w:lang w:val="en-GB"/>
    </w:rPr>
  </w:style>
  <w:style w:type="paragraph" w:customStyle="1" w:styleId="meetingname">
    <w:name w:val="meeting name"/>
    <w:basedOn w:val="Normal"/>
    <w:qFormat/>
    <w:rsid w:val="008F79FD"/>
    <w:pPr>
      <w:ind w:left="142" w:right="4218" w:hanging="142"/>
    </w:pPr>
    <w:rPr>
      <w:caps/>
      <w:szCs w:val="22"/>
    </w:rPr>
  </w:style>
  <w:style w:type="character" w:styleId="PageNumber">
    <w:name w:val="page number"/>
    <w:rsid w:val="008F79FD"/>
    <w:rPr>
      <w:rFonts w:ascii="Times New Roman" w:hAnsi="Times New Roman"/>
      <w:sz w:val="22"/>
    </w:rPr>
  </w:style>
  <w:style w:type="character" w:customStyle="1" w:styleId="Para1Char">
    <w:name w:val="Para1 Char"/>
    <w:link w:val="Para1"/>
    <w:uiPriority w:val="99"/>
    <w:locked/>
    <w:rsid w:val="008F79FD"/>
    <w:rPr>
      <w:rFonts w:ascii="Times New Roman" w:eastAsia="Times New Roman" w:hAnsi="Times New Roman" w:cs="Times New Roman"/>
      <w:snapToGrid w:val="0"/>
      <w:szCs w:val="18"/>
      <w:lang w:val="en-GB"/>
    </w:rPr>
  </w:style>
  <w:style w:type="paragraph" w:customStyle="1" w:styleId="Para2">
    <w:name w:val="Para2"/>
    <w:basedOn w:val="Para1"/>
    <w:rsid w:val="008F79FD"/>
    <w:pPr>
      <w:numPr>
        <w:numId w:val="0"/>
      </w:numPr>
      <w:autoSpaceDE w:val="0"/>
      <w:autoSpaceDN w:val="0"/>
    </w:pPr>
  </w:style>
  <w:style w:type="paragraph" w:customStyle="1" w:styleId="Para3">
    <w:name w:val="Para3"/>
    <w:basedOn w:val="Normal"/>
    <w:rsid w:val="008F79FD"/>
    <w:pPr>
      <w:numPr>
        <w:ilvl w:val="3"/>
        <w:numId w:val="35"/>
      </w:numPr>
      <w:tabs>
        <w:tab w:val="left" w:pos="1980"/>
      </w:tabs>
      <w:spacing w:before="80" w:after="80"/>
    </w:pPr>
    <w:rPr>
      <w:szCs w:val="20"/>
    </w:rPr>
  </w:style>
  <w:style w:type="paragraph" w:customStyle="1" w:styleId="para4">
    <w:name w:val="para4"/>
    <w:basedOn w:val="Normal"/>
    <w:rsid w:val="008F79FD"/>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8F79F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8F79FD"/>
    <w:pPr>
      <w:spacing w:before="120" w:after="120"/>
      <w:ind w:left="720" w:right="720"/>
    </w:pPr>
    <w:rPr>
      <w:bCs/>
    </w:rPr>
  </w:style>
  <w:style w:type="paragraph" w:customStyle="1" w:styleId="recommendationheader">
    <w:name w:val="recommendation header"/>
    <w:basedOn w:val="Heading2"/>
    <w:qFormat/>
    <w:rsid w:val="008F79FD"/>
  </w:style>
  <w:style w:type="paragraph" w:customStyle="1" w:styleId="recommendationheaderlong">
    <w:name w:val="recommendation header long"/>
    <w:basedOn w:val="Heading2longmultiline"/>
    <w:qFormat/>
    <w:rsid w:val="008F79FD"/>
  </w:style>
  <w:style w:type="paragraph" w:customStyle="1" w:styleId="reference">
    <w:name w:val="reference"/>
    <w:basedOn w:val="Heading9"/>
    <w:qFormat/>
    <w:rsid w:val="008F79FD"/>
    <w:rPr>
      <w:i w:val="0"/>
      <w:sz w:val="18"/>
    </w:rPr>
  </w:style>
  <w:style w:type="character" w:customStyle="1" w:styleId="StyleFootnoteReferenceNounderline">
    <w:name w:val="Style Footnote Reference + No underline"/>
    <w:rsid w:val="008F79FD"/>
    <w:rPr>
      <w:sz w:val="18"/>
      <w:u w:val="none"/>
      <w:vertAlign w:val="baseline"/>
    </w:rPr>
  </w:style>
  <w:style w:type="paragraph" w:customStyle="1" w:styleId="Style1">
    <w:name w:val="Style1"/>
    <w:basedOn w:val="Heading2"/>
    <w:qFormat/>
    <w:rsid w:val="008F79FD"/>
    <w:rPr>
      <w:i/>
    </w:rPr>
  </w:style>
  <w:style w:type="paragraph" w:styleId="Subtitle">
    <w:name w:val="Subtitle"/>
    <w:basedOn w:val="Normal"/>
    <w:next w:val="Normal"/>
    <w:link w:val="SubtitleChar"/>
    <w:uiPriority w:val="11"/>
    <w:qFormat/>
    <w:rsid w:val="008F79F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8F79FD"/>
    <w:rPr>
      <w:rFonts w:asciiTheme="majorHAnsi" w:eastAsiaTheme="majorEastAsia" w:hAnsiTheme="majorHAnsi" w:cstheme="majorBidi"/>
      <w:i/>
      <w:iCs/>
      <w:color w:val="4F81BD" w:themeColor="accent1"/>
      <w:spacing w:val="15"/>
      <w:sz w:val="24"/>
      <w:szCs w:val="24"/>
      <w:lang w:val="en-GB"/>
    </w:rPr>
  </w:style>
  <w:style w:type="paragraph" w:customStyle="1" w:styleId="tabletitle">
    <w:name w:val="table title"/>
    <w:basedOn w:val="Heading2"/>
    <w:qFormat/>
    <w:rsid w:val="008F79FD"/>
    <w:pPr>
      <w:jc w:val="left"/>
      <w:outlineLvl w:val="9"/>
    </w:pPr>
    <w:rPr>
      <w:i/>
    </w:rPr>
  </w:style>
  <w:style w:type="paragraph" w:styleId="Title">
    <w:name w:val="Title"/>
    <w:basedOn w:val="Normal"/>
    <w:next w:val="Normal"/>
    <w:link w:val="TitleChar"/>
    <w:uiPriority w:val="10"/>
    <w:qFormat/>
    <w:rsid w:val="008F79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79F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semiHidden/>
    <w:rsid w:val="008F79FD"/>
    <w:pPr>
      <w:spacing w:before="120"/>
    </w:pPr>
    <w:rPr>
      <w:rFonts w:cs="Arial"/>
      <w:b/>
      <w:bCs/>
      <w:sz w:val="24"/>
    </w:rPr>
  </w:style>
  <w:style w:type="paragraph" w:styleId="TOC1">
    <w:name w:val="toc 1"/>
    <w:basedOn w:val="Normal"/>
    <w:next w:val="Normal"/>
    <w:autoRedefine/>
    <w:semiHidden/>
    <w:rsid w:val="008F79FD"/>
    <w:pPr>
      <w:ind w:left="720" w:hanging="720"/>
    </w:pPr>
    <w:rPr>
      <w:caps/>
    </w:rPr>
  </w:style>
  <w:style w:type="paragraph" w:styleId="TOC2">
    <w:name w:val="toc 2"/>
    <w:basedOn w:val="Normal"/>
    <w:next w:val="Normal"/>
    <w:autoRedefine/>
    <w:semiHidden/>
    <w:rsid w:val="008F79FD"/>
    <w:pPr>
      <w:tabs>
        <w:tab w:val="right" w:leader="dot" w:pos="9356"/>
      </w:tabs>
      <w:ind w:left="1440" w:hanging="720"/>
    </w:pPr>
    <w:rPr>
      <w:noProof/>
      <w:szCs w:val="22"/>
    </w:rPr>
  </w:style>
  <w:style w:type="paragraph" w:styleId="TOC3">
    <w:name w:val="toc 3"/>
    <w:basedOn w:val="Normal"/>
    <w:next w:val="Normal"/>
    <w:autoRedefine/>
    <w:semiHidden/>
    <w:rsid w:val="008F79FD"/>
    <w:pPr>
      <w:ind w:left="2160" w:hanging="720"/>
    </w:pPr>
  </w:style>
  <w:style w:type="paragraph" w:styleId="TOC4">
    <w:name w:val="toc 4"/>
    <w:basedOn w:val="Normal"/>
    <w:next w:val="Normal"/>
    <w:autoRedefine/>
    <w:semiHidden/>
    <w:rsid w:val="008F79FD"/>
    <w:pPr>
      <w:spacing w:before="120" w:after="120"/>
      <w:ind w:left="660"/>
      <w:jc w:val="left"/>
    </w:pPr>
  </w:style>
  <w:style w:type="paragraph" w:styleId="TOC5">
    <w:name w:val="toc 5"/>
    <w:basedOn w:val="Normal"/>
    <w:next w:val="Normal"/>
    <w:autoRedefine/>
    <w:semiHidden/>
    <w:rsid w:val="008F79FD"/>
    <w:pPr>
      <w:spacing w:before="120" w:after="120"/>
      <w:ind w:left="880"/>
      <w:jc w:val="left"/>
    </w:pPr>
  </w:style>
  <w:style w:type="paragraph" w:styleId="TOC6">
    <w:name w:val="toc 6"/>
    <w:basedOn w:val="Normal"/>
    <w:next w:val="Normal"/>
    <w:autoRedefine/>
    <w:semiHidden/>
    <w:rsid w:val="008F79FD"/>
    <w:pPr>
      <w:spacing w:before="120" w:after="120"/>
      <w:ind w:left="1100"/>
      <w:jc w:val="left"/>
    </w:pPr>
  </w:style>
  <w:style w:type="paragraph" w:styleId="TOC7">
    <w:name w:val="toc 7"/>
    <w:basedOn w:val="Normal"/>
    <w:next w:val="Normal"/>
    <w:autoRedefine/>
    <w:semiHidden/>
    <w:rsid w:val="008F79FD"/>
    <w:pPr>
      <w:spacing w:before="120" w:after="120"/>
      <w:ind w:left="1320"/>
      <w:jc w:val="left"/>
    </w:pPr>
  </w:style>
  <w:style w:type="paragraph" w:styleId="TOC8">
    <w:name w:val="toc 8"/>
    <w:basedOn w:val="Normal"/>
    <w:next w:val="Normal"/>
    <w:autoRedefine/>
    <w:semiHidden/>
    <w:rsid w:val="008F79FD"/>
    <w:pPr>
      <w:spacing w:before="120" w:after="120"/>
      <w:ind w:left="1540"/>
      <w:jc w:val="left"/>
    </w:pPr>
  </w:style>
  <w:style w:type="paragraph" w:styleId="TOC9">
    <w:name w:val="toc 9"/>
    <w:basedOn w:val="Normal"/>
    <w:next w:val="Normal"/>
    <w:autoRedefine/>
    <w:semiHidden/>
    <w:rsid w:val="008F79FD"/>
    <w:pPr>
      <w:spacing w:before="120" w:after="120"/>
      <w:ind w:left="1760"/>
      <w:jc w:val="left"/>
    </w:pPr>
  </w:style>
  <w:style w:type="paragraph" w:styleId="Revision">
    <w:name w:val="Revision"/>
    <w:hidden/>
    <w:uiPriority w:val="99"/>
    <w:semiHidden/>
    <w:rsid w:val="00C546FD"/>
    <w:pPr>
      <w:spacing w:after="0" w:line="240" w:lineRule="auto"/>
    </w:pPr>
    <w:rPr>
      <w:rFonts w:ascii="Times New Roman" w:eastAsia="Times New Roman"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3677">
      <w:bodyDiv w:val="1"/>
      <w:marLeft w:val="0"/>
      <w:marRight w:val="0"/>
      <w:marTop w:val="0"/>
      <w:marBottom w:val="0"/>
      <w:divBdr>
        <w:top w:val="none" w:sz="0" w:space="0" w:color="auto"/>
        <w:left w:val="none" w:sz="0" w:space="0" w:color="auto"/>
        <w:bottom w:val="none" w:sz="0" w:space="0" w:color="auto"/>
        <w:right w:val="none" w:sz="0" w:space="0" w:color="auto"/>
      </w:divBdr>
    </w:div>
    <w:div w:id="233439958">
      <w:bodyDiv w:val="1"/>
      <w:marLeft w:val="0"/>
      <w:marRight w:val="0"/>
      <w:marTop w:val="0"/>
      <w:marBottom w:val="0"/>
      <w:divBdr>
        <w:top w:val="none" w:sz="0" w:space="0" w:color="auto"/>
        <w:left w:val="none" w:sz="0" w:space="0" w:color="auto"/>
        <w:bottom w:val="none" w:sz="0" w:space="0" w:color="auto"/>
        <w:right w:val="none" w:sz="0" w:space="0" w:color="auto"/>
      </w:divBdr>
    </w:div>
    <w:div w:id="902790216">
      <w:bodyDiv w:val="1"/>
      <w:marLeft w:val="0"/>
      <w:marRight w:val="0"/>
      <w:marTop w:val="0"/>
      <w:marBottom w:val="0"/>
      <w:divBdr>
        <w:top w:val="none" w:sz="0" w:space="0" w:color="auto"/>
        <w:left w:val="none" w:sz="0" w:space="0" w:color="auto"/>
        <w:bottom w:val="none" w:sz="0" w:space="0" w:color="auto"/>
        <w:right w:val="none" w:sz="0" w:space="0" w:color="auto"/>
      </w:divBdr>
    </w:div>
    <w:div w:id="10573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3/cop-13-dec-01-en.pdf" TargetMode="External"/><Relationship Id="rId2" Type="http://schemas.openxmlformats.org/officeDocument/2006/relationships/customXml" Target="../customXml/item2.xml"/><Relationship Id="rId16" Type="http://schemas.openxmlformats.org/officeDocument/2006/relationships/hyperlink" Target="https://www.cbd.int/doc/decisions/np-mop-03/np-mop-03-dec-07-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google.com/url?client=internal-element-cse&amp;cx=002693159031035132009:etadhtewsy4&amp;q=https://www.cbd.int/doc/c/9376/a644/1bed20a1837af8e3d1edc5f9/sbi-02-inf-17-en.pdf&amp;sa=U&amp;ved=2ahUKEwjtgN-L14vqAhXomXIEHes1COkQFjAAegQIARAC&amp;usg=AOvVaw2x-qCIOeT46szvzoUvhRyc"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3/np-mop-03-dec-14-en.pdf"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apps.who.int/gb/ebwha/pdf_files/WHA72/A72(12)-en.pdf" TargetMode="External"/><Relationship Id="rId13" Type="http://schemas.openxmlformats.org/officeDocument/2006/relationships/hyperlink" Target="https://www.wipo.int/meetings/en/doc_details.jsp?doc_id=438199" TargetMode="External"/><Relationship Id="rId3" Type="http://schemas.openxmlformats.org/officeDocument/2006/relationships/hyperlink" Target="http://www.fao.org/3/ca5088en/CA5088EN.pdf" TargetMode="External"/><Relationship Id="rId7" Type="http://schemas.openxmlformats.org/officeDocument/2006/relationships/hyperlink" Target="https://www.un.org/bbnj/sites/www.un.org.bbnj/files/revised_draft_text_a.conf_.232.2020.11_advance_unedited_version.pdf" TargetMode="External"/><Relationship Id="rId12" Type="http://schemas.openxmlformats.org/officeDocument/2006/relationships/hyperlink" Target="https://www.wipo.int/meetings/en/details.jsp?meeting_id=50424" TargetMode="External"/><Relationship Id="rId2" Type="http://schemas.openxmlformats.org/officeDocument/2006/relationships/hyperlink" Target="http://www.fao.org/3/a-i5033e.pdf" TargetMode="External"/><Relationship Id="rId1" Type="http://schemas.openxmlformats.org/officeDocument/2006/relationships/hyperlink" Target="https://www.google.com/url?client=internal-element-cse&amp;cx=002693159031035132009:etadhtewsy4&amp;q=https://www.cbd.int/doc/c/9376/a644/1bed20a1837af8e3d1edc5f9/sbi-02-inf-17-en.pdf&amp;sa=U&amp;ved=2ahUKEwjtgN-L14vqAhXomXIEHes1COkQFjAAegQIARAC&amp;usg=AOvVaw2x-qCIOeT46szvzoUvhRyc" TargetMode="External"/><Relationship Id="rId6" Type="http://schemas.openxmlformats.org/officeDocument/2006/relationships/hyperlink" Target="http://www.fao.org/3/nb779en/nb779en.pdf" TargetMode="External"/><Relationship Id="rId11" Type="http://schemas.openxmlformats.org/officeDocument/2006/relationships/hyperlink" Target="https://apps.who.int/gb/ebwha/pdf_files/WHA73/A73_R1-en.pdf" TargetMode="External"/><Relationship Id="rId5" Type="http://schemas.openxmlformats.org/officeDocument/2006/relationships/hyperlink" Target="http://www.fao.org/3/a-bq533e.pdf" TargetMode="External"/><Relationship Id="rId10" Type="http://schemas.openxmlformats.org/officeDocument/2006/relationships/hyperlink" Target="https://www.cbd.int/doc/notifications/2020/ntf-2020-012-abs-en.pdf" TargetMode="External"/><Relationship Id="rId4" Type="http://schemas.openxmlformats.org/officeDocument/2006/relationships/hyperlink" Target="http://www.fao.org/3/i0510e/i0510e.pdf" TargetMode="External"/><Relationship Id="rId9" Type="http://schemas.openxmlformats.org/officeDocument/2006/relationships/hyperlink" Target="http://apps.who.int/gb/ebwha/pdf_files/WHA72/A72(13)-en.pdf" TargetMode="External"/><Relationship Id="rId14" Type="http://schemas.openxmlformats.org/officeDocument/2006/relationships/hyperlink" Target="https://www.wipo.int/meetings/en/doc_details.jsp?doc_id=44393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305E74F6414307AD1721559D441000"/>
        <w:category>
          <w:name w:val="General"/>
          <w:gallery w:val="placeholder"/>
        </w:category>
        <w:types>
          <w:type w:val="bbPlcHdr"/>
        </w:types>
        <w:behaviors>
          <w:behavior w:val="content"/>
        </w:behaviors>
        <w:guid w:val="{B6CEA587-C61C-4EE7-BF5C-6013B6DD02A9}"/>
      </w:docPartPr>
      <w:docPartBody>
        <w:p w:rsidR="00814780" w:rsidRDefault="000C2715" w:rsidP="000C2715">
          <w:pPr>
            <w:pStyle w:val="AE305E74F6414307AD1721559D441000"/>
          </w:pPr>
          <w:r w:rsidRPr="007E02EB">
            <w:rPr>
              <w:rStyle w:val="PlaceholderText"/>
            </w:rPr>
            <w:t>[Subject]</w:t>
          </w:r>
        </w:p>
      </w:docPartBody>
    </w:docPart>
    <w:docPart>
      <w:docPartPr>
        <w:name w:val="E2AA006806B442D0AD1F2355E0F5E50E"/>
        <w:category>
          <w:name w:val="General"/>
          <w:gallery w:val="placeholder"/>
        </w:category>
        <w:types>
          <w:type w:val="bbPlcHdr"/>
        </w:types>
        <w:behaviors>
          <w:behavior w:val="content"/>
        </w:behaviors>
        <w:guid w:val="{71AAC6AB-6061-498A-9D67-C5D78DE5856A}"/>
      </w:docPartPr>
      <w:docPartBody>
        <w:p w:rsidR="00814780" w:rsidRDefault="000C2715" w:rsidP="000C2715">
          <w:pPr>
            <w:pStyle w:val="E2AA006806B442D0AD1F2355E0F5E50E"/>
          </w:pPr>
          <w:r w:rsidRPr="006D0F48">
            <w:rPr>
              <w:rStyle w:val="PlaceholderText"/>
            </w:rPr>
            <w:t>[Subject]</w:t>
          </w:r>
        </w:p>
      </w:docPartBody>
    </w:docPart>
    <w:docPart>
      <w:docPartPr>
        <w:name w:val="996C540115DE44FCB7D29127AD839903"/>
        <w:category>
          <w:name w:val="General"/>
          <w:gallery w:val="placeholder"/>
        </w:category>
        <w:types>
          <w:type w:val="bbPlcHdr"/>
        </w:types>
        <w:behaviors>
          <w:behavior w:val="content"/>
        </w:behaviors>
        <w:guid w:val="{601505B1-6ACD-4EAE-A7E2-249405BFE68F}"/>
      </w:docPartPr>
      <w:docPartBody>
        <w:p w:rsidR="003A10A8" w:rsidRDefault="00B51886">
          <w:r w:rsidRPr="0042236B">
            <w:rPr>
              <w:rStyle w:val="PlaceholderText"/>
            </w:rPr>
            <w:t>[Title]</w:t>
          </w:r>
        </w:p>
      </w:docPartBody>
    </w:docPart>
    <w:docPart>
      <w:docPartPr>
        <w:name w:val="46CBDF5CE6364D01BEB293E548E3A54D"/>
        <w:category>
          <w:name w:val="General"/>
          <w:gallery w:val="placeholder"/>
        </w:category>
        <w:types>
          <w:type w:val="bbPlcHdr"/>
        </w:types>
        <w:behaviors>
          <w:behavior w:val="content"/>
        </w:behaviors>
        <w:guid w:val="{E3582BC3-D81E-4E02-9CE4-D4656339A543}"/>
      </w:docPartPr>
      <w:docPartBody>
        <w:p w:rsidR="003A10A8" w:rsidRDefault="00B51886" w:rsidP="00B51886">
          <w:pPr>
            <w:pStyle w:val="46CBDF5CE6364D01BEB293E548E3A54D"/>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15"/>
    <w:rsid w:val="00034511"/>
    <w:rsid w:val="00046CA1"/>
    <w:rsid w:val="000C2715"/>
    <w:rsid w:val="00115AA6"/>
    <w:rsid w:val="00146740"/>
    <w:rsid w:val="001A5917"/>
    <w:rsid w:val="001A7672"/>
    <w:rsid w:val="00221447"/>
    <w:rsid w:val="003575E8"/>
    <w:rsid w:val="00367774"/>
    <w:rsid w:val="0036798D"/>
    <w:rsid w:val="003A10A8"/>
    <w:rsid w:val="00511677"/>
    <w:rsid w:val="00534E94"/>
    <w:rsid w:val="00560A14"/>
    <w:rsid w:val="00685B87"/>
    <w:rsid w:val="006C018F"/>
    <w:rsid w:val="006D7945"/>
    <w:rsid w:val="007C3A0C"/>
    <w:rsid w:val="007C55DB"/>
    <w:rsid w:val="00800977"/>
    <w:rsid w:val="00814780"/>
    <w:rsid w:val="008430E1"/>
    <w:rsid w:val="008467D3"/>
    <w:rsid w:val="00857B02"/>
    <w:rsid w:val="008D7C21"/>
    <w:rsid w:val="00906B8A"/>
    <w:rsid w:val="00961D3C"/>
    <w:rsid w:val="00AA1375"/>
    <w:rsid w:val="00AE04AF"/>
    <w:rsid w:val="00AF1DC0"/>
    <w:rsid w:val="00B313E3"/>
    <w:rsid w:val="00B51886"/>
    <w:rsid w:val="00B70248"/>
    <w:rsid w:val="00BA7978"/>
    <w:rsid w:val="00C035F5"/>
    <w:rsid w:val="00CF4B6F"/>
    <w:rsid w:val="00D31854"/>
    <w:rsid w:val="00D51C7D"/>
    <w:rsid w:val="00F429A4"/>
    <w:rsid w:val="00FA49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51886"/>
    <w:rPr>
      <w:color w:val="808080"/>
    </w:rPr>
  </w:style>
  <w:style w:type="paragraph" w:customStyle="1" w:styleId="A2167FD1B98B4860B036F9AC85E2D116">
    <w:name w:val="A2167FD1B98B4860B036F9AC85E2D116"/>
    <w:rsid w:val="000C2715"/>
  </w:style>
  <w:style w:type="paragraph" w:customStyle="1" w:styleId="AE305E74F6414307AD1721559D441000">
    <w:name w:val="AE305E74F6414307AD1721559D441000"/>
    <w:rsid w:val="000C2715"/>
  </w:style>
  <w:style w:type="paragraph" w:customStyle="1" w:styleId="E2AA006806B442D0AD1F2355E0F5E50E">
    <w:name w:val="E2AA006806B442D0AD1F2355E0F5E50E"/>
    <w:rsid w:val="000C2715"/>
  </w:style>
  <w:style w:type="paragraph" w:customStyle="1" w:styleId="663AEA6003E341E999F9EB0B54137EF1">
    <w:name w:val="663AEA6003E341E999F9EB0B54137EF1"/>
    <w:rsid w:val="00B51886"/>
  </w:style>
  <w:style w:type="paragraph" w:customStyle="1" w:styleId="46CBDF5CE6364D01BEB293E548E3A54D">
    <w:name w:val="46CBDF5CE6364D01BEB293E548E3A54D"/>
    <w:rsid w:val="00B51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D2DF9-36CF-4006-9ADA-CAB400CC9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62220-CEE2-40AE-875C-35EE1B8104E9}">
  <ds:schemaRefs>
    <ds:schemaRef ds:uri="http://schemas.microsoft.com/sharepoint/v3/contenttype/forms"/>
  </ds:schemaRefs>
</ds:datastoreItem>
</file>

<file path=customXml/itemProps3.xml><?xml version="1.0" encoding="utf-8"?>
<ds:datastoreItem xmlns:ds="http://schemas.openxmlformats.org/officeDocument/2006/customXml" ds:itemID="{404E611C-1E13-4B21-90AB-530D4C6548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46F55D-A571-4BE5-8F88-9B71716B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6293</Words>
  <Characters>35871</Characters>
  <Application>Microsoft Office Word</Application>
  <DocSecurity>0</DocSecurity>
  <Lines>298</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Specialized international access and benefit-sharing instruments in the context of Article 4, paragraph 4, of the Nagoya Protocol</vt:lpstr>
      <vt:lpstr/>
    </vt:vector>
  </TitlesOfParts>
  <Company/>
  <LinksUpToDate>false</LinksUpToDate>
  <CharactersWithSpaces>42080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Specialized international access and benefit-sharing instruments in the context of Article 4, paragraph 4, of the Nagoya Protocol</dc:title>
  <dc:subject>CBD/SBI/3/14</dc:subject>
  <dc:creator>Scbd Sa [CBD]</dc:creator>
  <cp:keywords>Subsidiary Body on Implementation, third meeting, Quebec City, Canada, 9-14 November 2020</cp:keywords>
  <dc:description/>
  <cp:lastModifiedBy>Veronique Lefebvre</cp:lastModifiedBy>
  <cp:revision>10</cp:revision>
  <cp:lastPrinted>2020-02-26T15:33:00Z</cp:lastPrinted>
  <dcterms:created xsi:type="dcterms:W3CDTF">2020-08-17T14:02:00Z</dcterms:created>
  <dcterms:modified xsi:type="dcterms:W3CDTF">2020-08-17T14:34:00Z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