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5112" w:type="pct"/>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9"/>
        <w:gridCol w:w="5156"/>
        <w:gridCol w:w="3760"/>
      </w:tblGrid>
      <w:tr w:rsidR="00473E89" w:rsidRPr="00C32653" w14:paraId="6B736DA6" w14:textId="77777777" w:rsidTr="002C089C">
        <w:trPr>
          <w:trHeight w:val="851"/>
        </w:trPr>
        <w:tc>
          <w:tcPr>
            <w:tcW w:w="979" w:type="dxa"/>
            <w:tcBorders>
              <w:bottom w:val="single" w:sz="12" w:space="0" w:color="auto"/>
            </w:tcBorders>
          </w:tcPr>
          <w:p w14:paraId="6B736DA3" w14:textId="77777777" w:rsidR="00473E89" w:rsidRPr="00C32653" w:rsidRDefault="00473E89" w:rsidP="009C377F">
            <w:r w:rsidRPr="00C32653">
              <w:rPr>
                <w:noProof/>
                <w:lang w:val="es-ES" w:eastAsia="es-ES"/>
              </w:rPr>
              <w:drawing>
                <wp:inline distT="0" distB="0" distL="0" distR="0" wp14:anchorId="6B736DE6" wp14:editId="6B736DE7">
                  <wp:extent cx="476494" cy="403200"/>
                  <wp:effectExtent l="0" t="0" r="6350" b="3810"/>
                  <wp:docPr id="6"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56" w:type="dxa"/>
            <w:tcBorders>
              <w:bottom w:val="single" w:sz="12" w:space="0" w:color="auto"/>
            </w:tcBorders>
            <w:shd w:val="clear" w:color="auto" w:fill="auto"/>
            <w:tcFitText/>
          </w:tcPr>
          <w:p w14:paraId="6B736DA4" w14:textId="77777777" w:rsidR="00473E89" w:rsidRPr="00C32653" w:rsidRDefault="00277EB6" w:rsidP="009C377F">
            <w:r w:rsidRPr="00277EB6">
              <w:rPr>
                <w:noProof/>
                <w:lang w:val="es-ES" w:eastAsia="es-ES"/>
              </w:rPr>
              <w:drawing>
                <wp:anchor distT="0" distB="0" distL="114300" distR="114300" simplePos="0" relativeHeight="251658240" behindDoc="1" locked="0" layoutInCell="1" allowOverlap="1" wp14:anchorId="6B736DE8" wp14:editId="6B736DE9">
                  <wp:simplePos x="0" y="0"/>
                  <wp:positionH relativeFrom="column">
                    <wp:posOffset>-22860</wp:posOffset>
                  </wp:positionH>
                  <wp:positionV relativeFrom="paragraph">
                    <wp:posOffset>2540</wp:posOffset>
                  </wp:positionV>
                  <wp:extent cx="675640" cy="398145"/>
                  <wp:effectExtent l="19050" t="0" r="0" b="0"/>
                  <wp:wrapTight wrapText="bothSides">
                    <wp:wrapPolygon edited="0">
                      <wp:start x="-609" y="0"/>
                      <wp:lineTo x="-609" y="20670"/>
                      <wp:lineTo x="21316" y="20670"/>
                      <wp:lineTo x="21316" y="18603"/>
                      <wp:lineTo x="18271" y="16536"/>
                      <wp:lineTo x="20707" y="16536"/>
                      <wp:lineTo x="21316" y="14469"/>
                      <wp:lineTo x="21316" y="0"/>
                      <wp:lineTo x="-609" y="0"/>
                    </wp:wrapPolygon>
                  </wp:wrapTight>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a:srcRect/>
                          <a:stretch>
                            <a:fillRect/>
                          </a:stretch>
                        </pic:blipFill>
                        <pic:spPr bwMode="auto">
                          <a:xfrm>
                            <a:off x="0" y="0"/>
                            <a:ext cx="675640" cy="398145"/>
                          </a:xfrm>
                          <a:prstGeom prst="rect">
                            <a:avLst/>
                          </a:prstGeom>
                          <a:noFill/>
                        </pic:spPr>
                      </pic:pic>
                    </a:graphicData>
                  </a:graphic>
                </wp:anchor>
              </w:drawing>
            </w:r>
          </w:p>
        </w:tc>
        <w:tc>
          <w:tcPr>
            <w:tcW w:w="3760" w:type="dxa"/>
            <w:tcBorders>
              <w:bottom w:val="single" w:sz="12" w:space="0" w:color="auto"/>
            </w:tcBorders>
          </w:tcPr>
          <w:p w14:paraId="6B736DA5" w14:textId="77777777" w:rsidR="00473E89" w:rsidRPr="00C32653" w:rsidRDefault="00473E89" w:rsidP="009C377F">
            <w:pPr>
              <w:jc w:val="right"/>
              <w:rPr>
                <w:rFonts w:ascii="Arial" w:hAnsi="Arial" w:cs="Arial"/>
                <w:b/>
                <w:sz w:val="32"/>
                <w:szCs w:val="32"/>
              </w:rPr>
            </w:pPr>
            <w:r w:rsidRPr="00C32653">
              <w:rPr>
                <w:rFonts w:ascii="Arial" w:hAnsi="Arial" w:cs="Arial"/>
                <w:b/>
                <w:sz w:val="32"/>
                <w:szCs w:val="32"/>
              </w:rPr>
              <w:t>CBD</w:t>
            </w:r>
          </w:p>
        </w:tc>
      </w:tr>
      <w:tr w:rsidR="00C9161D" w:rsidRPr="00277EB6" w14:paraId="6B736DB1" w14:textId="77777777" w:rsidTr="002C089C">
        <w:tc>
          <w:tcPr>
            <w:tcW w:w="6135" w:type="dxa"/>
            <w:gridSpan w:val="2"/>
            <w:tcBorders>
              <w:top w:val="single" w:sz="12" w:space="0" w:color="auto"/>
              <w:bottom w:val="single" w:sz="36" w:space="0" w:color="auto"/>
            </w:tcBorders>
            <w:vAlign w:val="center"/>
          </w:tcPr>
          <w:p w14:paraId="6B736DA7" w14:textId="77777777" w:rsidR="00C9161D" w:rsidRPr="00C32653" w:rsidRDefault="00277EB6" w:rsidP="00C9161D">
            <w:r>
              <w:rPr>
                <w:rFonts w:eastAsiaTheme="minorEastAsia"/>
                <w:noProof/>
                <w:kern w:val="22"/>
                <w:sz w:val="24"/>
                <w:lang w:val="es-ES" w:eastAsia="es-ES"/>
              </w:rPr>
              <w:drawing>
                <wp:inline distT="0" distB="0" distL="0" distR="0" wp14:anchorId="6B736DEA" wp14:editId="6B736DEB">
                  <wp:extent cx="2907030" cy="1049020"/>
                  <wp:effectExtent l="19050" t="0" r="7620" b="0"/>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4"/>
                          <a:srcRect/>
                          <a:stretch>
                            <a:fillRect/>
                          </a:stretch>
                        </pic:blipFill>
                        <pic:spPr bwMode="auto">
                          <a:xfrm>
                            <a:off x="0" y="0"/>
                            <a:ext cx="2907030" cy="1049020"/>
                          </a:xfrm>
                          <a:prstGeom prst="rect">
                            <a:avLst/>
                          </a:prstGeom>
                          <a:noFill/>
                          <a:ln w="9525">
                            <a:noFill/>
                            <a:miter lim="800000"/>
                            <a:headEnd/>
                            <a:tailEnd/>
                          </a:ln>
                        </pic:spPr>
                      </pic:pic>
                    </a:graphicData>
                  </a:graphic>
                </wp:inline>
              </w:drawing>
            </w:r>
          </w:p>
        </w:tc>
        <w:tc>
          <w:tcPr>
            <w:tcW w:w="3760" w:type="dxa"/>
            <w:tcBorders>
              <w:top w:val="single" w:sz="12" w:space="0" w:color="auto"/>
              <w:bottom w:val="single" w:sz="36" w:space="0" w:color="auto"/>
            </w:tcBorders>
          </w:tcPr>
          <w:p w14:paraId="6B736DA8" w14:textId="77777777" w:rsidR="00C9161D" w:rsidRPr="00F03643" w:rsidRDefault="00C9161D" w:rsidP="00176CEE">
            <w:pPr>
              <w:ind w:left="1215"/>
              <w:rPr>
                <w:szCs w:val="22"/>
                <w:lang w:val="es-ES"/>
              </w:rPr>
            </w:pPr>
            <w:r w:rsidRPr="00F03643">
              <w:rPr>
                <w:szCs w:val="22"/>
                <w:lang w:val="es-ES"/>
              </w:rPr>
              <w:t>Distr.</w:t>
            </w:r>
          </w:p>
          <w:p w14:paraId="6B736DA9" w14:textId="77777777" w:rsidR="00C9161D" w:rsidRPr="00F03643" w:rsidRDefault="008147A1" w:rsidP="00176CEE">
            <w:pPr>
              <w:ind w:left="1215"/>
              <w:rPr>
                <w:szCs w:val="22"/>
                <w:lang w:val="es-ES"/>
              </w:rPr>
            </w:pPr>
            <w:sdt>
              <w:sdtPr>
                <w:rPr>
                  <w:caps/>
                  <w:szCs w:val="22"/>
                  <w:lang w:val="es-ES"/>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B96810" w:rsidRPr="00F03643">
                  <w:rPr>
                    <w:caps/>
                    <w:szCs w:val="22"/>
                    <w:lang w:val="es-ES"/>
                  </w:rPr>
                  <w:t>GENERAL</w:t>
                </w:r>
              </w:sdtContent>
            </w:sdt>
          </w:p>
          <w:p w14:paraId="6B736DAA" w14:textId="77777777" w:rsidR="00C9161D" w:rsidRPr="00F03643" w:rsidRDefault="00C9161D" w:rsidP="00176CEE">
            <w:pPr>
              <w:ind w:left="1215"/>
              <w:rPr>
                <w:szCs w:val="22"/>
                <w:lang w:val="es-ES"/>
              </w:rPr>
            </w:pPr>
          </w:p>
          <w:p w14:paraId="6B736DAB" w14:textId="77777777" w:rsidR="00C9161D" w:rsidRPr="00F03643" w:rsidRDefault="008147A1" w:rsidP="00176CEE">
            <w:pPr>
              <w:ind w:left="1215"/>
              <w:rPr>
                <w:szCs w:val="22"/>
                <w:lang w:val="es-ES"/>
              </w:rPr>
            </w:pPr>
            <w:sdt>
              <w:sdtPr>
                <w:rPr>
                  <w:snapToGrid w:val="0"/>
                  <w:color w:val="000000"/>
                  <w:kern w:val="22"/>
                  <w:lang w:val="es-E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8C7CDC" w:rsidRPr="00F03643">
                  <w:rPr>
                    <w:snapToGrid w:val="0"/>
                    <w:color w:val="000000"/>
                    <w:kern w:val="22"/>
                    <w:lang w:val="es-ES"/>
                  </w:rPr>
                  <w:t>CBD/CP/MOP/10/6</w:t>
                </w:r>
              </w:sdtContent>
            </w:sdt>
          </w:p>
          <w:p w14:paraId="6B736DAC" w14:textId="77777777" w:rsidR="00C9161D" w:rsidRPr="00277EB6" w:rsidRDefault="00DB2733" w:rsidP="00176CEE">
            <w:pPr>
              <w:ind w:left="1215"/>
              <w:rPr>
                <w:szCs w:val="22"/>
                <w:lang w:val="es-ES"/>
              </w:rPr>
            </w:pPr>
            <w:r w:rsidRPr="00277EB6">
              <w:rPr>
                <w:szCs w:val="22"/>
                <w:lang w:val="es-ES"/>
              </w:rPr>
              <w:t>17</w:t>
            </w:r>
            <w:r w:rsidR="00B96810" w:rsidRPr="00277EB6">
              <w:rPr>
                <w:szCs w:val="22"/>
                <w:lang w:val="es-ES"/>
              </w:rPr>
              <w:t xml:space="preserve"> </w:t>
            </w:r>
            <w:r w:rsidR="00277EB6" w:rsidRPr="00277EB6">
              <w:rPr>
                <w:szCs w:val="22"/>
                <w:lang w:val="es-ES"/>
              </w:rPr>
              <w:t>de octubre de</w:t>
            </w:r>
            <w:r w:rsidR="00B96810" w:rsidRPr="00277EB6">
              <w:rPr>
                <w:szCs w:val="22"/>
                <w:lang w:val="es-ES"/>
              </w:rPr>
              <w:t xml:space="preserve"> 2022</w:t>
            </w:r>
          </w:p>
          <w:p w14:paraId="6B736DAD" w14:textId="77777777" w:rsidR="00C9161D" w:rsidRPr="00277EB6" w:rsidRDefault="00C9161D" w:rsidP="00176CEE">
            <w:pPr>
              <w:ind w:left="1215"/>
              <w:rPr>
                <w:szCs w:val="22"/>
                <w:lang w:val="es-ES"/>
              </w:rPr>
            </w:pPr>
          </w:p>
          <w:p w14:paraId="6B736DAE" w14:textId="77777777" w:rsidR="00277EB6" w:rsidRPr="00277EB6" w:rsidRDefault="00277EB6" w:rsidP="00176CEE">
            <w:pPr>
              <w:ind w:left="1215"/>
              <w:rPr>
                <w:szCs w:val="22"/>
                <w:lang w:val="es-ES"/>
              </w:rPr>
            </w:pPr>
            <w:r w:rsidRPr="00277EB6">
              <w:rPr>
                <w:szCs w:val="22"/>
                <w:lang w:val="es-ES"/>
              </w:rPr>
              <w:t>ESPAÑOL</w:t>
            </w:r>
          </w:p>
          <w:p w14:paraId="6B736DAF" w14:textId="77777777" w:rsidR="00C9161D" w:rsidRPr="00277EB6" w:rsidRDefault="006B2290" w:rsidP="00176CEE">
            <w:pPr>
              <w:ind w:left="1215"/>
              <w:rPr>
                <w:szCs w:val="22"/>
                <w:lang w:val="es-ES"/>
              </w:rPr>
            </w:pPr>
            <w:r w:rsidRPr="00277EB6">
              <w:rPr>
                <w:szCs w:val="22"/>
                <w:lang w:val="es-ES"/>
              </w:rPr>
              <w:t xml:space="preserve">ORIGINAL: </w:t>
            </w:r>
            <w:r w:rsidR="00277EB6" w:rsidRPr="00277EB6">
              <w:rPr>
                <w:szCs w:val="22"/>
                <w:lang w:val="es-ES"/>
              </w:rPr>
              <w:t>I</w:t>
            </w:r>
            <w:r w:rsidR="00C9161D" w:rsidRPr="00277EB6">
              <w:rPr>
                <w:szCs w:val="22"/>
                <w:lang w:val="es-ES"/>
              </w:rPr>
              <w:t>NGL</w:t>
            </w:r>
            <w:r w:rsidR="00277EB6" w:rsidRPr="00277EB6">
              <w:rPr>
                <w:szCs w:val="22"/>
                <w:lang w:val="es-ES"/>
              </w:rPr>
              <w:t>ÉS</w:t>
            </w:r>
          </w:p>
          <w:p w14:paraId="6B736DB0" w14:textId="77777777" w:rsidR="00C9161D" w:rsidRPr="00277EB6" w:rsidRDefault="00C9161D">
            <w:pPr>
              <w:rPr>
                <w:lang w:val="es-ES"/>
              </w:rPr>
            </w:pPr>
          </w:p>
        </w:tc>
      </w:tr>
    </w:tbl>
    <w:p w14:paraId="6B736DB2" w14:textId="77777777" w:rsidR="00E21230" w:rsidRPr="002C089C" w:rsidRDefault="002C089C" w:rsidP="00E21230">
      <w:pPr>
        <w:pStyle w:val="Cornernotation"/>
        <w:suppressLineNumbers/>
        <w:suppressAutoHyphens/>
        <w:ind w:left="270" w:right="3690" w:hanging="270"/>
        <w:rPr>
          <w:color w:val="000000"/>
          <w:kern w:val="20"/>
          <w:lang w:val="es-ES"/>
        </w:rPr>
      </w:pPr>
      <w:r w:rsidRPr="002C089C">
        <w:rPr>
          <w:lang w:val="es-ES"/>
        </w:rPr>
        <w:t>CONFERENCIA DE LAS PARTES EN EL CONVENIO SOBRE LA DIVERSIDAD BIOLÓGICA QUE ACTÚA COMO REUNIÓN DE LAS PARTES EN EL PROTOCOLO DE CARTAGENA SOBRE SEGURIDAD DE LA BIOTECNOLOGÍA</w:t>
      </w:r>
    </w:p>
    <w:p w14:paraId="6B736DB3" w14:textId="77777777" w:rsidR="00E21230" w:rsidRPr="002C089C" w:rsidRDefault="002C089C" w:rsidP="00E21230">
      <w:pPr>
        <w:pStyle w:val="Cornernotation"/>
        <w:suppressLineNumbers/>
        <w:suppressAutoHyphens/>
        <w:ind w:left="270" w:right="3690" w:hanging="270"/>
        <w:rPr>
          <w:color w:val="000000"/>
          <w:kern w:val="20"/>
          <w:lang w:val="es-ES"/>
        </w:rPr>
      </w:pPr>
      <w:r w:rsidRPr="002C089C">
        <w:rPr>
          <w:color w:val="000000"/>
          <w:kern w:val="20"/>
          <w:lang w:val="es-ES"/>
        </w:rPr>
        <w:t>Décima reunión</w:t>
      </w:r>
      <w:r w:rsidR="00DB2733" w:rsidRPr="002C089C">
        <w:rPr>
          <w:color w:val="000000"/>
          <w:kern w:val="20"/>
          <w:lang w:val="es-ES"/>
        </w:rPr>
        <w:t xml:space="preserve"> – Part</w:t>
      </w:r>
      <w:r w:rsidRPr="002C089C">
        <w:rPr>
          <w:color w:val="000000"/>
          <w:kern w:val="20"/>
          <w:lang w:val="es-ES"/>
        </w:rPr>
        <w:t>e</w:t>
      </w:r>
      <w:r w:rsidR="00DB2733" w:rsidRPr="002C089C">
        <w:rPr>
          <w:color w:val="000000"/>
          <w:kern w:val="20"/>
          <w:lang w:val="es-ES"/>
        </w:rPr>
        <w:t xml:space="preserve"> II</w:t>
      </w:r>
    </w:p>
    <w:p w14:paraId="6B736DB4" w14:textId="77777777" w:rsidR="00E21230" w:rsidRPr="002C089C" w:rsidRDefault="0094160F" w:rsidP="00E21230">
      <w:pPr>
        <w:pStyle w:val="Cornernotation"/>
        <w:suppressLineNumbers/>
        <w:suppressAutoHyphens/>
        <w:ind w:left="270" w:right="3690" w:hanging="270"/>
        <w:rPr>
          <w:color w:val="000000"/>
          <w:kern w:val="20"/>
          <w:lang w:val="es-ES"/>
        </w:rPr>
      </w:pPr>
      <w:r w:rsidRPr="002C089C">
        <w:rPr>
          <w:color w:val="000000"/>
          <w:kern w:val="20"/>
          <w:lang w:val="es-ES"/>
        </w:rPr>
        <w:t>Montreal, Canad</w:t>
      </w:r>
      <w:r w:rsidR="002C089C" w:rsidRPr="002C089C">
        <w:rPr>
          <w:color w:val="000000"/>
          <w:kern w:val="20"/>
          <w:lang w:val="es-ES"/>
        </w:rPr>
        <w:t>á</w:t>
      </w:r>
      <w:r w:rsidR="00734AA3" w:rsidRPr="002C089C">
        <w:rPr>
          <w:color w:val="000000"/>
          <w:kern w:val="20"/>
          <w:lang w:val="es-ES"/>
        </w:rPr>
        <w:t>,</w:t>
      </w:r>
      <w:r w:rsidR="002C089C" w:rsidRPr="002C089C">
        <w:rPr>
          <w:color w:val="000000"/>
          <w:kern w:val="20"/>
          <w:lang w:val="es-ES"/>
        </w:rPr>
        <w:t xml:space="preserve"> </w:t>
      </w:r>
      <w:r w:rsidR="000D1A1D" w:rsidRPr="002C089C">
        <w:rPr>
          <w:color w:val="000000"/>
          <w:kern w:val="20"/>
          <w:lang w:val="es-ES"/>
        </w:rPr>
        <w:t>7</w:t>
      </w:r>
      <w:r w:rsidRPr="002C089C">
        <w:rPr>
          <w:color w:val="000000"/>
          <w:kern w:val="20"/>
          <w:lang w:val="es-ES"/>
        </w:rPr>
        <w:t xml:space="preserve"> </w:t>
      </w:r>
      <w:r w:rsidR="002C089C" w:rsidRPr="002C089C">
        <w:rPr>
          <w:color w:val="000000"/>
          <w:kern w:val="20"/>
          <w:lang w:val="es-ES"/>
        </w:rPr>
        <w:t>a</w:t>
      </w:r>
      <w:r w:rsidRPr="002C089C">
        <w:rPr>
          <w:color w:val="000000"/>
          <w:kern w:val="20"/>
          <w:lang w:val="es-ES"/>
        </w:rPr>
        <w:t xml:space="preserve"> 1</w:t>
      </w:r>
      <w:r w:rsidR="000D1A1D" w:rsidRPr="002C089C">
        <w:rPr>
          <w:color w:val="000000"/>
          <w:kern w:val="20"/>
          <w:lang w:val="es-ES"/>
        </w:rPr>
        <w:t>9</w:t>
      </w:r>
      <w:r w:rsidRPr="002C089C">
        <w:rPr>
          <w:color w:val="000000"/>
          <w:kern w:val="20"/>
          <w:lang w:val="es-ES"/>
        </w:rPr>
        <w:t xml:space="preserve"> </w:t>
      </w:r>
      <w:r w:rsidR="002C089C" w:rsidRPr="002C089C">
        <w:rPr>
          <w:color w:val="000000"/>
          <w:kern w:val="20"/>
          <w:lang w:val="es-ES"/>
        </w:rPr>
        <w:t>de diciembre de 2</w:t>
      </w:r>
      <w:r w:rsidR="00260D1D" w:rsidRPr="002C089C">
        <w:rPr>
          <w:color w:val="000000"/>
          <w:kern w:val="20"/>
          <w:lang w:val="es-ES"/>
        </w:rPr>
        <w:t>022</w:t>
      </w:r>
    </w:p>
    <w:p w14:paraId="6B736DB5" w14:textId="77777777" w:rsidR="00C9161D" w:rsidRPr="00F87E0F" w:rsidRDefault="002C089C" w:rsidP="00473E89">
      <w:pPr>
        <w:pStyle w:val="Cornernotation"/>
        <w:suppressLineNumbers/>
        <w:suppressAutoHyphens/>
        <w:ind w:left="270" w:right="3690" w:hanging="270"/>
        <w:rPr>
          <w:color w:val="000000"/>
          <w:kern w:val="20"/>
          <w:lang w:val="es-ES"/>
        </w:rPr>
      </w:pPr>
      <w:r>
        <w:rPr>
          <w:color w:val="000000"/>
          <w:kern w:val="20"/>
          <w:lang w:val="es-ES"/>
        </w:rPr>
        <w:t>Tema 10 del programa</w:t>
      </w:r>
    </w:p>
    <w:p w14:paraId="6B736DB6" w14:textId="77777777" w:rsidR="00C9161D" w:rsidRPr="00F87E0F" w:rsidRDefault="008147A1" w:rsidP="00D34FA0">
      <w:pPr>
        <w:keepNext/>
        <w:spacing w:before="120" w:after="240"/>
        <w:jc w:val="center"/>
        <w:rPr>
          <w:rFonts w:ascii="Times New Roman Bold" w:hAnsi="Times New Roman Bold"/>
          <w:b/>
          <w:caps/>
          <w:lang w:val="es-ES"/>
        </w:rPr>
      </w:pPr>
      <w:sdt>
        <w:sdtPr>
          <w:rPr>
            <w:rStyle w:val="Heading2Char"/>
            <w:rFonts w:ascii="Times New Roman Bold" w:hAnsi="Times New Roman Bold"/>
            <w:caps/>
            <w:lang w:val="es-E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r w:rsidR="00F87E0F">
            <w:rPr>
              <w:rStyle w:val="Heading2Char"/>
              <w:rFonts w:ascii="Times New Roman Bold" w:hAnsi="Times New Roman Bold"/>
              <w:caps/>
              <w:lang w:val="es-ES"/>
            </w:rPr>
            <w:t xml:space="preserve">EL </w:t>
          </w:r>
          <w:r w:rsidR="00F87E0F" w:rsidRPr="00F87E0F">
            <w:rPr>
              <w:rStyle w:val="Heading2Char"/>
              <w:rFonts w:ascii="Times New Roman Bold" w:hAnsi="Times New Roman Bold"/>
              <w:caps/>
              <w:lang w:val="es-ES"/>
            </w:rPr>
            <w:t xml:space="preserve">MECANISMO FINANCIERO Y </w:t>
          </w:r>
          <w:r w:rsidR="00F87E0F">
            <w:rPr>
              <w:rStyle w:val="Heading2Char"/>
              <w:rFonts w:ascii="Times New Roman Bold" w:hAnsi="Times New Roman Bold"/>
              <w:caps/>
              <w:lang w:val="es-ES"/>
            </w:rPr>
            <w:t>LOS RECURSOS</w:t>
          </w:r>
          <w:r w:rsidR="006D1D70" w:rsidRPr="00F87E0F">
            <w:rPr>
              <w:rStyle w:val="Heading2Char"/>
              <w:rFonts w:ascii="Times New Roman Bold" w:hAnsi="Times New Roman Bold"/>
              <w:caps/>
              <w:lang w:val="es-ES"/>
            </w:rPr>
            <w:t xml:space="preserve"> (Art</w:t>
          </w:r>
          <w:r w:rsidR="00F87E0F">
            <w:rPr>
              <w:rStyle w:val="Heading2Char"/>
              <w:rFonts w:ascii="Times New Roman Bold" w:hAnsi="Times New Roman Bold"/>
              <w:caps/>
              <w:lang w:val="es-ES"/>
            </w:rPr>
            <w:t>ÍCULO</w:t>
          </w:r>
          <w:r w:rsidR="006D1D70" w:rsidRPr="00F87E0F">
            <w:rPr>
              <w:rStyle w:val="Heading2Char"/>
              <w:rFonts w:ascii="Times New Roman Bold" w:hAnsi="Times New Roman Bold"/>
              <w:caps/>
              <w:lang w:val="es-ES"/>
            </w:rPr>
            <w:t xml:space="preserve"> 28)</w:t>
          </w:r>
        </w:sdtContent>
      </w:sdt>
    </w:p>
    <w:p w14:paraId="6B736DB7" w14:textId="77777777" w:rsidR="007916E5" w:rsidRPr="00F87E0F" w:rsidRDefault="007916E5" w:rsidP="00D34FA0">
      <w:pPr>
        <w:pStyle w:val="heading2notforTOC"/>
        <w:outlineLvl w:val="9"/>
        <w:rPr>
          <w:kern w:val="22"/>
          <w:szCs w:val="22"/>
          <w:lang w:val="es-ES"/>
        </w:rPr>
      </w:pPr>
      <w:r w:rsidRPr="00F87E0F">
        <w:rPr>
          <w:kern w:val="22"/>
          <w:szCs w:val="22"/>
          <w:lang w:val="es-ES"/>
        </w:rPr>
        <w:t>Not</w:t>
      </w:r>
      <w:r w:rsidR="00F87E0F" w:rsidRPr="00F87E0F">
        <w:rPr>
          <w:kern w:val="22"/>
          <w:szCs w:val="22"/>
          <w:lang w:val="es-ES"/>
        </w:rPr>
        <w:t>a de la Secretaria Ejecutiva</w:t>
      </w:r>
    </w:p>
    <w:p w14:paraId="6B736DB8" w14:textId="77777777" w:rsidR="00C9161D" w:rsidRPr="00F87E0F" w:rsidRDefault="00734AA3" w:rsidP="00214946">
      <w:pPr>
        <w:pStyle w:val="Para1"/>
        <w:keepNext/>
        <w:numPr>
          <w:ilvl w:val="0"/>
          <w:numId w:val="0"/>
        </w:numPr>
        <w:suppressLineNumbers/>
        <w:suppressAutoHyphens/>
        <w:kinsoku w:val="0"/>
        <w:overflowPunct w:val="0"/>
        <w:autoSpaceDE w:val="0"/>
        <w:autoSpaceDN w:val="0"/>
        <w:snapToGrid w:val="0"/>
        <w:spacing w:before="240"/>
        <w:jc w:val="center"/>
        <w:outlineLvl w:val="0"/>
        <w:rPr>
          <w:rFonts w:ascii="Times New Roman Bold" w:hAnsi="Times New Roman Bold"/>
          <w:lang w:val="es-ES"/>
        </w:rPr>
      </w:pPr>
      <w:r w:rsidRPr="00F87E0F">
        <w:rPr>
          <w:rFonts w:ascii="Times New Roman Bold" w:hAnsi="Times New Roman Bold"/>
          <w:b/>
          <w:caps/>
          <w:lang w:val="es-ES"/>
        </w:rPr>
        <w:t>I.</w:t>
      </w:r>
      <w:r w:rsidRPr="00F87E0F">
        <w:rPr>
          <w:rFonts w:ascii="Times New Roman Bold" w:hAnsi="Times New Roman Bold"/>
          <w:b/>
          <w:caps/>
          <w:lang w:val="es-ES"/>
        </w:rPr>
        <w:tab/>
      </w:r>
      <w:r w:rsidR="00E21230" w:rsidRPr="00F87E0F">
        <w:rPr>
          <w:rFonts w:ascii="Times New Roman Bold" w:hAnsi="Times New Roman Bold"/>
          <w:b/>
          <w:caps/>
          <w:lang w:val="es-ES"/>
        </w:rPr>
        <w:t>Introduc</w:t>
      </w:r>
      <w:r w:rsidR="00F87E0F" w:rsidRPr="00F87E0F">
        <w:rPr>
          <w:rFonts w:ascii="Times New Roman Bold" w:hAnsi="Times New Roman Bold"/>
          <w:b/>
          <w:caps/>
          <w:lang w:val="es-ES"/>
        </w:rPr>
        <w:t>CIÓN</w:t>
      </w:r>
    </w:p>
    <w:p w14:paraId="6B736DB9" w14:textId="77777777" w:rsidR="00DF6DED" w:rsidRPr="00F87E0F" w:rsidRDefault="00F87E0F" w:rsidP="00682861">
      <w:pPr>
        <w:pStyle w:val="ListParagraph"/>
        <w:numPr>
          <w:ilvl w:val="0"/>
          <w:numId w:val="6"/>
        </w:numPr>
        <w:tabs>
          <w:tab w:val="clear" w:pos="360"/>
        </w:tabs>
        <w:spacing w:before="120" w:after="120"/>
        <w:contextualSpacing w:val="0"/>
        <w:rPr>
          <w:bCs/>
          <w:snapToGrid w:val="0"/>
          <w:kern w:val="22"/>
          <w:szCs w:val="22"/>
          <w:lang w:val="es-ES"/>
        </w:rPr>
      </w:pPr>
      <w:r w:rsidRPr="00F87E0F">
        <w:rPr>
          <w:bCs/>
          <w:snapToGrid w:val="0"/>
          <w:kern w:val="22"/>
          <w:szCs w:val="22"/>
          <w:lang w:val="es-ES"/>
        </w:rPr>
        <w:t>De conformidad</w:t>
      </w:r>
      <w:r>
        <w:rPr>
          <w:bCs/>
          <w:snapToGrid w:val="0"/>
          <w:kern w:val="22"/>
          <w:szCs w:val="22"/>
          <w:lang w:val="es-ES"/>
        </w:rPr>
        <w:t xml:space="preserve"> </w:t>
      </w:r>
      <w:r w:rsidRPr="00F87E0F">
        <w:rPr>
          <w:bCs/>
          <w:snapToGrid w:val="0"/>
          <w:kern w:val="22"/>
          <w:szCs w:val="22"/>
          <w:lang w:val="es-ES"/>
        </w:rPr>
        <w:t xml:space="preserve">con el artículo 28 del Protocolo de Cartagena sobre Seguridad de la Biotecnología, la Conferencia de las Partes </w:t>
      </w:r>
      <w:r>
        <w:rPr>
          <w:bCs/>
          <w:snapToGrid w:val="0"/>
          <w:kern w:val="22"/>
          <w:szCs w:val="22"/>
          <w:lang w:val="es-ES"/>
        </w:rPr>
        <w:t xml:space="preserve">que actúa como </w:t>
      </w:r>
      <w:r w:rsidRPr="00F87E0F">
        <w:rPr>
          <w:bCs/>
          <w:snapToGrid w:val="0"/>
          <w:kern w:val="22"/>
          <w:szCs w:val="22"/>
          <w:lang w:val="es-ES"/>
        </w:rPr>
        <w:t xml:space="preserve">reunión de las Partes en el Protocolo de Cartagena formula recomendaciones a la Conferencia de las Partes en </w:t>
      </w:r>
      <w:r>
        <w:rPr>
          <w:bCs/>
          <w:snapToGrid w:val="0"/>
          <w:kern w:val="22"/>
          <w:szCs w:val="22"/>
          <w:lang w:val="es-ES"/>
        </w:rPr>
        <w:t>el Convenio</w:t>
      </w:r>
      <w:r w:rsidRPr="00F87E0F">
        <w:rPr>
          <w:bCs/>
          <w:snapToGrid w:val="0"/>
          <w:kern w:val="22"/>
          <w:szCs w:val="22"/>
          <w:lang w:val="es-ES"/>
        </w:rPr>
        <w:t xml:space="preserve"> mediante sus decisiones sobre cuestiones relacionadas con el mecanismo y los recursos financieros. La Conferencia de las Partes seguirá examinando las decisiones para incluirlas en su orientación al Fondo para el Medio Ambiente Mundial (FMAM</w:t>
      </w:r>
      <w:r w:rsidR="00F4787D" w:rsidRPr="00F87E0F">
        <w:rPr>
          <w:bCs/>
          <w:snapToGrid w:val="0"/>
          <w:kern w:val="22"/>
          <w:szCs w:val="22"/>
          <w:lang w:val="es-ES"/>
        </w:rPr>
        <w:t>)</w:t>
      </w:r>
      <w:r w:rsidR="00DF6DED" w:rsidRPr="00F87E0F">
        <w:rPr>
          <w:bCs/>
          <w:snapToGrid w:val="0"/>
          <w:kern w:val="22"/>
          <w:szCs w:val="22"/>
          <w:lang w:val="es-ES"/>
        </w:rPr>
        <w:t>.</w:t>
      </w:r>
    </w:p>
    <w:p w14:paraId="6B736DBA" w14:textId="77777777" w:rsidR="008D75D5" w:rsidRPr="00FC26D2" w:rsidRDefault="004C6AF8" w:rsidP="00682861">
      <w:pPr>
        <w:pStyle w:val="ListParagraph"/>
        <w:numPr>
          <w:ilvl w:val="0"/>
          <w:numId w:val="6"/>
        </w:numPr>
        <w:suppressLineNumbers/>
        <w:tabs>
          <w:tab w:val="clear" w:pos="360"/>
        </w:tabs>
        <w:suppressAutoHyphens/>
        <w:spacing w:before="120" w:after="120"/>
        <w:contextualSpacing w:val="0"/>
        <w:rPr>
          <w:snapToGrid w:val="0"/>
          <w:color w:val="000000"/>
          <w:kern w:val="22"/>
          <w:lang w:val="es-ES"/>
        </w:rPr>
      </w:pPr>
      <w:r w:rsidRPr="004C6AF8">
        <w:rPr>
          <w:lang w:val="es-ES"/>
        </w:rPr>
        <w:t>En su novena reunión, en la decisió</w:t>
      </w:r>
      <w:r w:rsidR="008D75D5" w:rsidRPr="004C6AF8">
        <w:rPr>
          <w:kern w:val="22"/>
          <w:lang w:val="es-ES"/>
        </w:rPr>
        <w:t xml:space="preserve">n </w:t>
      </w:r>
      <w:r w:rsidR="008426CB" w:rsidRPr="004C6AF8">
        <w:rPr>
          <w:rStyle w:val="Hyperlink"/>
          <w:sz w:val="22"/>
          <w:lang w:val="es-ES"/>
        </w:rPr>
        <w:t>CP-</w:t>
      </w:r>
      <w:hyperlink r:id="rId15" w:history="1">
        <w:r w:rsidR="008D75D5" w:rsidRPr="004C6AF8">
          <w:rPr>
            <w:rStyle w:val="Hyperlink"/>
            <w:kern w:val="22"/>
            <w:sz w:val="22"/>
            <w:lang w:val="es-ES"/>
          </w:rPr>
          <w:t>9/4</w:t>
        </w:r>
      </w:hyperlink>
      <w:r w:rsidR="008D75D5" w:rsidRPr="004C6AF8">
        <w:rPr>
          <w:kern w:val="22"/>
          <w:lang w:val="es-ES"/>
        </w:rPr>
        <w:t xml:space="preserve">, </w:t>
      </w:r>
      <w:r w:rsidRPr="004C6AF8">
        <w:rPr>
          <w:kern w:val="22"/>
          <w:lang w:val="es-ES"/>
        </w:rPr>
        <w:t>la Conferencia de las Partes que act</w:t>
      </w:r>
      <w:r>
        <w:rPr>
          <w:kern w:val="22"/>
          <w:lang w:val="es-ES"/>
        </w:rPr>
        <w:t xml:space="preserve">úa como </w:t>
      </w:r>
      <w:r w:rsidRPr="004C6AF8">
        <w:rPr>
          <w:kern w:val="22"/>
          <w:lang w:val="es-ES"/>
        </w:rPr>
        <w:t xml:space="preserve">reunión de las Partes en el Protocolo de Cartagena sobre Seguridad de la Biotecnología instó a las Partes </w:t>
      </w:r>
      <w:r w:rsidRPr="00FC26D2">
        <w:rPr>
          <w:lang w:val="es-ES"/>
        </w:rPr>
        <w:t xml:space="preserve">a </w:t>
      </w:r>
      <w:r w:rsidR="00FC26D2" w:rsidRPr="00FC26D2">
        <w:rPr>
          <w:lang w:val="es-ES"/>
        </w:rPr>
        <w:t>dar prioridad a proyectos de seguridad de la biotecnología durante la programación de sus asignaciones nacionales según el Sistema para la Asignación Transparente de Recursos (SATR) en el marco del séptimo periodo de reposición del Fondo Fiduciario del F</w:t>
      </w:r>
      <w:r w:rsidR="00FC26D2">
        <w:rPr>
          <w:lang w:val="es-ES"/>
        </w:rPr>
        <w:t>MAM</w:t>
      </w:r>
      <w:r w:rsidR="00FC26D2" w:rsidRPr="00FC26D2">
        <w:rPr>
          <w:lang w:val="es-ES"/>
        </w:rPr>
        <w:t>, teniendo en cuenta sus obligaciones en virtud del Protocolo de Cartagena sobre Seguridad de la Biotecnología</w:t>
      </w:r>
      <w:r w:rsidR="00FC26D2">
        <w:rPr>
          <w:lang w:val="es-ES"/>
        </w:rPr>
        <w:t xml:space="preserve"> y</w:t>
      </w:r>
      <w:r w:rsidR="00FC26D2" w:rsidRPr="00FC26D2">
        <w:rPr>
          <w:lang w:val="es-ES"/>
        </w:rPr>
        <w:t xml:space="preserve"> el Plan Estratégico para el Protocolo de Cartagena sobre Seguridad de la Biotecnología para el período 2011-2020</w:t>
      </w:r>
      <w:r w:rsidRPr="00FC26D2">
        <w:rPr>
          <w:lang w:val="es-ES"/>
        </w:rPr>
        <w:t>. En la misma decisión, la reunión de las Partes formuló recomendaciones a la Conferencia de las Partes sobre la orientación al Fondo para el Medio Ambiente Mundial con respecto a la seguridad de la biotecnología, acogió con satisfacción la séptima reposición del Fondo Fiduciario del FMAM y expresó su agradecimiento a los países que contribuyeron</w:t>
      </w:r>
      <w:r w:rsidRPr="004C6AF8">
        <w:rPr>
          <w:kern w:val="22"/>
          <w:lang w:val="es-ES"/>
        </w:rPr>
        <w:t xml:space="preserve"> a la séptima reposición</w:t>
      </w:r>
      <w:r w:rsidR="008D75D5" w:rsidRPr="00FC26D2">
        <w:rPr>
          <w:kern w:val="22"/>
          <w:lang w:val="es-ES"/>
        </w:rPr>
        <w:t>.</w:t>
      </w:r>
    </w:p>
    <w:p w14:paraId="6B736DBB" w14:textId="77777777" w:rsidR="00604945" w:rsidRPr="00D21734" w:rsidRDefault="00D21734" w:rsidP="00682861">
      <w:pPr>
        <w:pStyle w:val="Para1"/>
        <w:numPr>
          <w:ilvl w:val="0"/>
          <w:numId w:val="6"/>
        </w:numPr>
        <w:suppressLineNumbers/>
        <w:tabs>
          <w:tab w:val="clear" w:pos="360"/>
          <w:tab w:val="num" w:pos="720"/>
        </w:tabs>
        <w:suppressAutoHyphens/>
        <w:kinsoku w:val="0"/>
        <w:overflowPunct w:val="0"/>
        <w:autoSpaceDE w:val="0"/>
        <w:autoSpaceDN w:val="0"/>
        <w:snapToGrid w:val="0"/>
        <w:rPr>
          <w:kern w:val="22"/>
          <w:lang w:val="es-ES"/>
        </w:rPr>
      </w:pPr>
      <w:r w:rsidRPr="00D21734">
        <w:rPr>
          <w:bCs/>
          <w:kern w:val="22"/>
          <w:szCs w:val="22"/>
          <w:lang w:val="es-ES"/>
        </w:rPr>
        <w:t>En el presente documento se presenta información relacionada con el mecanismo financiero en relación con el Protocolo de Cartagena sobre Seguridad de la Biotecnología. La sección II</w:t>
      </w:r>
      <w:r>
        <w:rPr>
          <w:bCs/>
          <w:kern w:val="22"/>
          <w:szCs w:val="22"/>
          <w:lang w:val="es-ES"/>
        </w:rPr>
        <w:t xml:space="preserve"> </w:t>
      </w:r>
      <w:r w:rsidRPr="00D21734">
        <w:rPr>
          <w:bCs/>
          <w:kern w:val="22"/>
          <w:szCs w:val="22"/>
          <w:lang w:val="es-ES"/>
        </w:rPr>
        <w:t>incluye, entre otras cosas, información sobre la octava reposición (julio de 2022 a junio de 2026) del Fondo Fiduciario del FMAM (FMAM-8) y la estrategia del FMAM-8 para la seguridad de la biotecnología.</w:t>
      </w:r>
      <w:r>
        <w:rPr>
          <w:bCs/>
          <w:kern w:val="22"/>
          <w:szCs w:val="22"/>
          <w:lang w:val="es-ES"/>
        </w:rPr>
        <w:t xml:space="preserve"> </w:t>
      </w:r>
      <w:r w:rsidRPr="00D21734">
        <w:rPr>
          <w:bCs/>
          <w:kern w:val="22"/>
          <w:szCs w:val="22"/>
          <w:lang w:val="es-ES"/>
        </w:rPr>
        <w:t>En la sección III se presentan las conclusiones y l</w:t>
      </w:r>
      <w:r>
        <w:rPr>
          <w:bCs/>
          <w:kern w:val="22"/>
          <w:szCs w:val="22"/>
          <w:lang w:val="es-ES"/>
        </w:rPr>
        <w:t xml:space="preserve">os principales resultados </w:t>
      </w:r>
      <w:r w:rsidRPr="00D21734">
        <w:rPr>
          <w:bCs/>
          <w:kern w:val="22"/>
          <w:szCs w:val="22"/>
          <w:lang w:val="es-ES"/>
        </w:rPr>
        <w:t xml:space="preserve">del Comité de Cumplimiento </w:t>
      </w:r>
      <w:r>
        <w:rPr>
          <w:bCs/>
          <w:kern w:val="22"/>
          <w:szCs w:val="22"/>
          <w:lang w:val="es-ES"/>
        </w:rPr>
        <w:t xml:space="preserve">establecido en el marco </w:t>
      </w:r>
      <w:r w:rsidRPr="00D21734">
        <w:rPr>
          <w:bCs/>
          <w:kern w:val="22"/>
          <w:szCs w:val="22"/>
          <w:lang w:val="es-ES"/>
        </w:rPr>
        <w:t>del Protocolo de Cartagena sobre Seguridad de la Biotecnología</w:t>
      </w:r>
      <w:r>
        <w:rPr>
          <w:bCs/>
          <w:kern w:val="22"/>
          <w:szCs w:val="22"/>
          <w:lang w:val="es-ES"/>
        </w:rPr>
        <w:t>,</w:t>
      </w:r>
      <w:r w:rsidRPr="00D21734">
        <w:rPr>
          <w:bCs/>
          <w:kern w:val="22"/>
          <w:szCs w:val="22"/>
          <w:lang w:val="es-ES"/>
        </w:rPr>
        <w:t xml:space="preserve"> y en la sección IV se </w:t>
      </w:r>
      <w:r>
        <w:rPr>
          <w:bCs/>
          <w:kern w:val="22"/>
          <w:szCs w:val="22"/>
          <w:lang w:val="es-ES"/>
        </w:rPr>
        <w:t>resumen</w:t>
      </w:r>
      <w:r w:rsidRPr="00D21734">
        <w:rPr>
          <w:bCs/>
          <w:kern w:val="22"/>
          <w:szCs w:val="22"/>
          <w:lang w:val="es-ES"/>
        </w:rPr>
        <w:t xml:space="preserve"> los elementos </w:t>
      </w:r>
      <w:r>
        <w:rPr>
          <w:bCs/>
          <w:kern w:val="22"/>
          <w:szCs w:val="22"/>
          <w:lang w:val="es-ES"/>
        </w:rPr>
        <w:t>para</w:t>
      </w:r>
      <w:r w:rsidRPr="00D21734">
        <w:rPr>
          <w:bCs/>
          <w:kern w:val="22"/>
          <w:szCs w:val="22"/>
          <w:lang w:val="es-ES"/>
        </w:rPr>
        <w:t xml:space="preserve"> un proyecto de decisión</w:t>
      </w:r>
      <w:r w:rsidR="00374DA1" w:rsidRPr="00D21734">
        <w:rPr>
          <w:bCs/>
          <w:kern w:val="22"/>
          <w:szCs w:val="22"/>
          <w:lang w:val="es-ES"/>
        </w:rPr>
        <w:t>.</w:t>
      </w:r>
    </w:p>
    <w:p w14:paraId="6B736DBC" w14:textId="77777777" w:rsidR="00332332" w:rsidRPr="00D21734" w:rsidRDefault="00734AA3" w:rsidP="00D34FA0">
      <w:pPr>
        <w:pStyle w:val="Para1"/>
        <w:keepNext/>
        <w:numPr>
          <w:ilvl w:val="0"/>
          <w:numId w:val="0"/>
        </w:numPr>
        <w:suppressLineNumbers/>
        <w:suppressAutoHyphens/>
        <w:kinsoku w:val="0"/>
        <w:overflowPunct w:val="0"/>
        <w:autoSpaceDE w:val="0"/>
        <w:autoSpaceDN w:val="0"/>
        <w:snapToGrid w:val="0"/>
        <w:spacing w:before="240"/>
        <w:jc w:val="center"/>
        <w:outlineLvl w:val="0"/>
        <w:rPr>
          <w:rFonts w:ascii="Times New Roman Bold" w:hAnsi="Times New Roman Bold"/>
          <w:lang w:val="es-ES"/>
        </w:rPr>
      </w:pPr>
      <w:r w:rsidRPr="00D21734">
        <w:rPr>
          <w:rFonts w:ascii="Times New Roman Bold" w:hAnsi="Times New Roman Bold"/>
          <w:b/>
          <w:caps/>
          <w:lang w:val="es-ES"/>
        </w:rPr>
        <w:lastRenderedPageBreak/>
        <w:t>II.</w:t>
      </w:r>
      <w:r w:rsidRPr="00D21734">
        <w:rPr>
          <w:rFonts w:ascii="Times New Roman Bold" w:hAnsi="Times New Roman Bold"/>
          <w:b/>
          <w:caps/>
          <w:lang w:val="es-ES"/>
        </w:rPr>
        <w:tab/>
      </w:r>
      <w:r w:rsidR="00D21734" w:rsidRPr="00D21734">
        <w:rPr>
          <w:rFonts w:ascii="Times New Roman Bold" w:hAnsi="Times New Roman Bold"/>
          <w:b/>
          <w:caps/>
          <w:lang w:val="es-ES"/>
        </w:rPr>
        <w:t>EL MECANISMO FINANCIERO</w:t>
      </w:r>
    </w:p>
    <w:p w14:paraId="6B736DBD" w14:textId="77777777" w:rsidR="006E1F4A" w:rsidRPr="00D21734" w:rsidRDefault="007056B7" w:rsidP="00D34FA0">
      <w:pPr>
        <w:pStyle w:val="Para1"/>
        <w:keepNext/>
        <w:numPr>
          <w:ilvl w:val="0"/>
          <w:numId w:val="0"/>
        </w:numPr>
        <w:suppressLineNumbers/>
        <w:suppressAutoHyphens/>
        <w:kinsoku w:val="0"/>
        <w:overflowPunct w:val="0"/>
        <w:autoSpaceDE w:val="0"/>
        <w:autoSpaceDN w:val="0"/>
        <w:snapToGrid w:val="0"/>
        <w:jc w:val="center"/>
        <w:outlineLvl w:val="1"/>
        <w:rPr>
          <w:lang w:val="es-ES"/>
        </w:rPr>
      </w:pPr>
      <w:bookmarkStart w:id="0" w:name="_Hlk525199493"/>
      <w:r w:rsidRPr="00D21734">
        <w:rPr>
          <w:b/>
          <w:lang w:val="es-ES"/>
        </w:rPr>
        <w:t>A.</w:t>
      </w:r>
      <w:r w:rsidRPr="00D21734">
        <w:rPr>
          <w:b/>
          <w:lang w:val="es-ES"/>
        </w:rPr>
        <w:tab/>
      </w:r>
      <w:r w:rsidR="00D21734" w:rsidRPr="00D21734">
        <w:rPr>
          <w:b/>
          <w:lang w:val="es-ES"/>
        </w:rPr>
        <w:t>Apoyo del FMAM a la seguridad de la biotecnolog</w:t>
      </w:r>
      <w:r w:rsidR="00D21734">
        <w:rPr>
          <w:b/>
          <w:lang w:val="es-ES"/>
        </w:rPr>
        <w:t>ía durante su séptimo período de reposición</w:t>
      </w:r>
      <w:r w:rsidR="006D7171" w:rsidRPr="00D21734">
        <w:rPr>
          <w:b/>
          <w:lang w:val="es-ES"/>
        </w:rPr>
        <w:t>, 2018-2022</w:t>
      </w:r>
    </w:p>
    <w:p w14:paraId="6B736DBE" w14:textId="77777777" w:rsidR="004A0337" w:rsidRPr="00105227" w:rsidRDefault="00C37B35" w:rsidP="00682861">
      <w:pPr>
        <w:pStyle w:val="Para1"/>
        <w:numPr>
          <w:ilvl w:val="0"/>
          <w:numId w:val="6"/>
        </w:numPr>
        <w:suppressLineNumbers/>
        <w:tabs>
          <w:tab w:val="clear" w:pos="360"/>
          <w:tab w:val="num" w:pos="720"/>
        </w:tabs>
        <w:suppressAutoHyphens/>
        <w:kinsoku w:val="0"/>
        <w:overflowPunct w:val="0"/>
        <w:autoSpaceDE w:val="0"/>
        <w:autoSpaceDN w:val="0"/>
        <w:snapToGrid w:val="0"/>
        <w:rPr>
          <w:lang w:val="es-ES"/>
        </w:rPr>
      </w:pPr>
      <w:r w:rsidRPr="00C37B35">
        <w:rPr>
          <w:lang w:val="es-ES"/>
        </w:rPr>
        <w:t xml:space="preserve">Para el período del FMAM-7, se asignó un total de 1.290 millones de dólares a la esfera de actividad de la diversidad biológica, de los cuales 1.030 millones de dólares se proporcionaron a los países </w:t>
      </w:r>
      <w:r w:rsidR="00105227">
        <w:rPr>
          <w:lang w:val="es-ES"/>
        </w:rPr>
        <w:t>a través d</w:t>
      </w:r>
      <w:r w:rsidRPr="00C37B35">
        <w:rPr>
          <w:lang w:val="es-ES"/>
        </w:rPr>
        <w:t>el Sistema de Asignación Transparente de Recursos (S</w:t>
      </w:r>
      <w:r>
        <w:rPr>
          <w:lang w:val="es-ES"/>
        </w:rPr>
        <w:t>A</w:t>
      </w:r>
      <w:r w:rsidRPr="00C37B35">
        <w:rPr>
          <w:lang w:val="es-ES"/>
        </w:rPr>
        <w:t>T</w:t>
      </w:r>
      <w:r>
        <w:rPr>
          <w:lang w:val="es-ES"/>
        </w:rPr>
        <w:t>R</w:t>
      </w:r>
      <w:r w:rsidR="004A0337" w:rsidRPr="00C37B35">
        <w:rPr>
          <w:lang w:val="es-ES"/>
        </w:rPr>
        <w:t>)</w:t>
      </w:r>
      <w:r w:rsidR="00E21F01" w:rsidRPr="00F3658A">
        <w:rPr>
          <w:rStyle w:val="FootnoteReference"/>
        </w:rPr>
        <w:footnoteReference w:id="1"/>
      </w:r>
      <w:r w:rsidRPr="00C37B35">
        <w:rPr>
          <w:lang w:val="es-ES"/>
        </w:rPr>
        <w:t>.</w:t>
      </w:r>
      <w:r w:rsidR="008D75D5" w:rsidRPr="00C37B35">
        <w:rPr>
          <w:lang w:val="es-ES"/>
        </w:rPr>
        <w:t xml:space="preserve"> </w:t>
      </w:r>
      <w:r w:rsidRPr="00C37B35">
        <w:rPr>
          <w:lang w:val="es-ES"/>
        </w:rPr>
        <w:t>Del total de la reposición (4.400 millones de dólares), el 0,2</w:t>
      </w:r>
      <w:r w:rsidR="00105227">
        <w:rPr>
          <w:lang w:val="es-ES"/>
        </w:rPr>
        <w:t xml:space="preserve"> % (8 millones de dólares</w:t>
      </w:r>
      <w:r w:rsidR="00F51164" w:rsidRPr="00C37B35">
        <w:rPr>
          <w:lang w:val="es-ES"/>
        </w:rPr>
        <w:t>)</w:t>
      </w:r>
      <w:r w:rsidR="00584753" w:rsidRPr="00F3658A">
        <w:rPr>
          <w:rStyle w:val="FootnoteReference"/>
        </w:rPr>
        <w:footnoteReference w:id="2"/>
      </w:r>
      <w:r w:rsidRPr="00C37B35">
        <w:rPr>
          <w:lang w:val="es-ES"/>
        </w:rPr>
        <w:t xml:space="preserve"> </w:t>
      </w:r>
      <w:r w:rsidR="00105227" w:rsidRPr="00C37B35">
        <w:rPr>
          <w:lang w:val="es-ES"/>
        </w:rPr>
        <w:t xml:space="preserve">se asignó a título indicativo para apoyar la aplicación del Protocolo de Cartagena sobre Seguridad de la Biotecnología. La estrategia del FMAM-7 también incluía el apoyo a la ratificación y aplicación del Protocolo de Nagoya-Kuala Lumpur sobre </w:t>
      </w:r>
      <w:r w:rsidR="00105227">
        <w:rPr>
          <w:lang w:val="es-ES"/>
        </w:rPr>
        <w:t>Responsabilidad y Compensación Suplementario a</w:t>
      </w:r>
      <w:r w:rsidR="00105227" w:rsidRPr="00C37B35">
        <w:rPr>
          <w:lang w:val="es-ES"/>
        </w:rPr>
        <w:t xml:space="preserve">l Protocolo de Cartagena sobre </w:t>
      </w:r>
      <w:r w:rsidR="00105227">
        <w:rPr>
          <w:lang w:val="es-ES"/>
        </w:rPr>
        <w:t>S</w:t>
      </w:r>
      <w:r w:rsidR="00105227" w:rsidRPr="00C37B35">
        <w:rPr>
          <w:lang w:val="es-ES"/>
        </w:rPr>
        <w:t xml:space="preserve">eguridad de la </w:t>
      </w:r>
      <w:r w:rsidR="00105227">
        <w:rPr>
          <w:lang w:val="es-ES"/>
        </w:rPr>
        <w:t>B</w:t>
      </w:r>
      <w:r w:rsidR="00105227" w:rsidRPr="00C37B35">
        <w:rPr>
          <w:lang w:val="es-ES"/>
        </w:rPr>
        <w:t>iotecnología</w:t>
      </w:r>
      <w:r w:rsidRPr="00105227">
        <w:rPr>
          <w:lang w:val="es-ES"/>
        </w:rPr>
        <w:t>.</w:t>
      </w:r>
    </w:p>
    <w:p w14:paraId="6B736DBF" w14:textId="77777777" w:rsidR="00D62490" w:rsidRPr="004E46FF" w:rsidRDefault="0043269C" w:rsidP="00682861">
      <w:pPr>
        <w:pStyle w:val="Para1"/>
        <w:numPr>
          <w:ilvl w:val="0"/>
          <w:numId w:val="6"/>
        </w:numPr>
        <w:suppressLineNumbers/>
        <w:tabs>
          <w:tab w:val="clear" w:pos="360"/>
          <w:tab w:val="num" w:pos="720"/>
        </w:tabs>
        <w:suppressAutoHyphens/>
        <w:kinsoku w:val="0"/>
        <w:overflowPunct w:val="0"/>
        <w:autoSpaceDE w:val="0"/>
        <w:autoSpaceDN w:val="0"/>
        <w:snapToGrid w:val="0"/>
        <w:rPr>
          <w:lang w:val="es-ES"/>
        </w:rPr>
      </w:pPr>
      <w:r w:rsidRPr="00105227">
        <w:rPr>
          <w:lang w:val="es-ES"/>
        </w:rPr>
        <w:t>S</w:t>
      </w:r>
      <w:r w:rsidR="00105227" w:rsidRPr="00105227">
        <w:rPr>
          <w:lang w:val="es-ES"/>
        </w:rPr>
        <w:t xml:space="preserve">e ha prestado apoyo a la aplicación del Protocolo de Cartagena sobre Seguridad de la Biotecnología a través del objetivo 3 de la esfera de actividad relativa a la diversidad biológica del FMAM-7 a fin de seguir elaborando políticas y marcos institucionales sobre la diversidad biológica. </w:t>
      </w:r>
      <w:r w:rsidR="00105227" w:rsidRPr="004E46FF">
        <w:rPr>
          <w:lang w:val="es-ES"/>
        </w:rPr>
        <w:t xml:space="preserve">Durante el período que abarca el informe del FMAM a la 15ª reunión de la Conferencia de las Partes (1 de julio de 2018 a 31 de diciembre de 2021), </w:t>
      </w:r>
      <w:r w:rsidR="004E46FF">
        <w:rPr>
          <w:lang w:val="es-ES"/>
        </w:rPr>
        <w:t xml:space="preserve">se presentaron </w:t>
      </w:r>
      <w:r w:rsidR="00105227" w:rsidRPr="004E46FF">
        <w:rPr>
          <w:lang w:val="es-ES"/>
        </w:rPr>
        <w:t>un proyecto regional en el que participan tres países (la República Democrática del Congo</w:t>
      </w:r>
      <w:r w:rsidR="004E46FF" w:rsidRPr="004E46FF">
        <w:rPr>
          <w:lang w:val="es-ES"/>
        </w:rPr>
        <w:t>, Madagascar</w:t>
      </w:r>
      <w:r w:rsidR="00105227" w:rsidRPr="004E46FF">
        <w:rPr>
          <w:lang w:val="es-ES"/>
        </w:rPr>
        <w:t xml:space="preserve"> y Namibia) y un proyecto nacional (República Kirguisa) p</w:t>
      </w:r>
      <w:r w:rsidR="004E46FF">
        <w:rPr>
          <w:lang w:val="es-ES"/>
        </w:rPr>
        <w:t>ara</w:t>
      </w:r>
      <w:r w:rsidR="00105227" w:rsidRPr="004E46FF">
        <w:rPr>
          <w:lang w:val="es-ES"/>
        </w:rPr>
        <w:t xml:space="preserve"> apoyar la aplicación del Protocolo de Cartagena sobre Seguridad de la Biotecnología. El FMAM invirtió 5,3 millones de dólares, que movilizaron 13,3 millones de dólares en cofinanciación.</w:t>
      </w:r>
      <w:r w:rsidRPr="004E46FF">
        <w:rPr>
          <w:lang w:val="es-ES"/>
        </w:rPr>
        <w:t xml:space="preserve"> </w:t>
      </w:r>
    </w:p>
    <w:p w14:paraId="6B736DC0" w14:textId="77777777" w:rsidR="006D7171" w:rsidRPr="004E46FF" w:rsidRDefault="004E46FF" w:rsidP="00682861">
      <w:pPr>
        <w:pStyle w:val="Para1"/>
        <w:numPr>
          <w:ilvl w:val="0"/>
          <w:numId w:val="6"/>
        </w:numPr>
        <w:suppressLineNumbers/>
        <w:tabs>
          <w:tab w:val="clear" w:pos="360"/>
          <w:tab w:val="num" w:pos="720"/>
        </w:tabs>
        <w:suppressAutoHyphens/>
        <w:kinsoku w:val="0"/>
        <w:overflowPunct w:val="0"/>
        <w:autoSpaceDE w:val="0"/>
        <w:autoSpaceDN w:val="0"/>
        <w:snapToGrid w:val="0"/>
        <w:rPr>
          <w:lang w:val="es-ES"/>
        </w:rPr>
      </w:pPr>
      <w:r w:rsidRPr="004E46FF">
        <w:rPr>
          <w:lang w:val="es-ES"/>
        </w:rPr>
        <w:t>Un tota</w:t>
      </w:r>
      <w:r w:rsidR="006A78F0" w:rsidRPr="004E46FF">
        <w:rPr>
          <w:lang w:val="es-ES"/>
        </w:rPr>
        <w:t xml:space="preserve">l </w:t>
      </w:r>
      <w:r w:rsidRPr="004E46FF">
        <w:rPr>
          <w:lang w:val="es-ES"/>
        </w:rPr>
        <w:t>de</w:t>
      </w:r>
      <w:r w:rsidR="006A78F0" w:rsidRPr="004E46FF">
        <w:rPr>
          <w:lang w:val="es-ES"/>
        </w:rPr>
        <w:t xml:space="preserve"> </w:t>
      </w:r>
      <w:r w:rsidR="0043269C" w:rsidRPr="004E46FF">
        <w:rPr>
          <w:lang w:val="es-ES"/>
        </w:rPr>
        <w:t xml:space="preserve">99 </w:t>
      </w:r>
      <w:r w:rsidRPr="004E46FF">
        <w:rPr>
          <w:lang w:val="es-ES"/>
        </w:rPr>
        <w:t xml:space="preserve">países recibieron apoyo para preparar y presentar sus cuartos informes nacionales con arreglo al Protocolo de Cartagena sobre Seguridad de la Biotecnología. El FMAM aportó esta financiación mediante dos proyectos regionales generales para </w:t>
      </w:r>
      <w:r>
        <w:rPr>
          <w:lang w:val="es-ES"/>
        </w:rPr>
        <w:t>los</w:t>
      </w:r>
      <w:r w:rsidRPr="004E46FF">
        <w:rPr>
          <w:lang w:val="es-ES"/>
        </w:rPr>
        <w:t xml:space="preserve"> cuarto</w:t>
      </w:r>
      <w:r>
        <w:rPr>
          <w:lang w:val="es-ES"/>
        </w:rPr>
        <w:t>s</w:t>
      </w:r>
      <w:r w:rsidRPr="004E46FF">
        <w:rPr>
          <w:lang w:val="es-ES"/>
        </w:rPr>
        <w:t xml:space="preserve"> informe</w:t>
      </w:r>
      <w:r>
        <w:rPr>
          <w:lang w:val="es-ES"/>
        </w:rPr>
        <w:t>s</w:t>
      </w:r>
      <w:r w:rsidRPr="004E46FF">
        <w:rPr>
          <w:lang w:val="es-ES"/>
        </w:rPr>
        <w:t xml:space="preserve"> nacional</w:t>
      </w:r>
      <w:r>
        <w:rPr>
          <w:lang w:val="es-ES"/>
        </w:rPr>
        <w:t>es</w:t>
      </w:r>
      <w:r w:rsidRPr="004E46FF">
        <w:rPr>
          <w:lang w:val="es-ES"/>
        </w:rPr>
        <w:t xml:space="preserve">, </w:t>
      </w:r>
      <w:r>
        <w:rPr>
          <w:lang w:val="es-ES"/>
        </w:rPr>
        <w:t>“</w:t>
      </w:r>
      <w:r w:rsidRPr="004E46FF">
        <w:rPr>
          <w:i/>
          <w:lang w:val="es-ES"/>
        </w:rPr>
        <w:t>Apoyo a la preparación de</w:t>
      </w:r>
      <w:r>
        <w:rPr>
          <w:i/>
          <w:lang w:val="es-ES"/>
        </w:rPr>
        <w:t xml:space="preserve"> los cuartos informes nacionales </w:t>
      </w:r>
      <w:r w:rsidRPr="004E46FF">
        <w:rPr>
          <w:i/>
          <w:lang w:val="es-ES"/>
        </w:rPr>
        <w:t>sobre seguridad de la biotecnología del Protocolo de Cartagena</w:t>
      </w:r>
      <w:r>
        <w:rPr>
          <w:i/>
          <w:lang w:val="es-ES"/>
        </w:rPr>
        <w:t xml:space="preserve"> sobre Seguridad de la Biotecnología</w:t>
      </w:r>
      <w:r>
        <w:rPr>
          <w:lang w:val="es-ES"/>
        </w:rPr>
        <w:t>”</w:t>
      </w:r>
      <w:r w:rsidRPr="004E46FF">
        <w:rPr>
          <w:lang w:val="es-ES"/>
        </w:rPr>
        <w:t xml:space="preserve"> (que abarca América Latina y el Caribe, Europa </w:t>
      </w:r>
      <w:r>
        <w:rPr>
          <w:lang w:val="es-ES"/>
        </w:rPr>
        <w:t>c</w:t>
      </w:r>
      <w:r w:rsidRPr="004E46FF">
        <w:rPr>
          <w:lang w:val="es-ES"/>
        </w:rPr>
        <w:t xml:space="preserve">entral y </w:t>
      </w:r>
      <w:r>
        <w:rPr>
          <w:lang w:val="es-ES"/>
        </w:rPr>
        <w:t>o</w:t>
      </w:r>
      <w:r w:rsidRPr="004E46FF">
        <w:rPr>
          <w:lang w:val="es-ES"/>
        </w:rPr>
        <w:t>riental, África y Asia-Pacífico) por un total de 2,7 millones de dólares en donaciones del FMAM, que movilizaron otros 2,35 millones de dólares en cofinanciación</w:t>
      </w:r>
      <w:r w:rsidR="00862696" w:rsidRPr="004E46FF">
        <w:rPr>
          <w:lang w:val="es-ES"/>
        </w:rPr>
        <w:t>.</w:t>
      </w:r>
    </w:p>
    <w:p w14:paraId="6B736DC1" w14:textId="77777777" w:rsidR="006E1F4A" w:rsidRPr="008D2BC9" w:rsidRDefault="007056B7" w:rsidP="00D34FA0">
      <w:pPr>
        <w:pStyle w:val="Para1"/>
        <w:keepNext/>
        <w:numPr>
          <w:ilvl w:val="0"/>
          <w:numId w:val="0"/>
        </w:numPr>
        <w:suppressLineNumbers/>
        <w:suppressAutoHyphens/>
        <w:kinsoku w:val="0"/>
        <w:overflowPunct w:val="0"/>
        <w:autoSpaceDE w:val="0"/>
        <w:autoSpaceDN w:val="0"/>
        <w:snapToGrid w:val="0"/>
        <w:ind w:left="1440" w:hanging="720"/>
        <w:jc w:val="left"/>
        <w:outlineLvl w:val="1"/>
        <w:rPr>
          <w:lang w:val="es-ES"/>
        </w:rPr>
      </w:pPr>
      <w:bookmarkStart w:id="1" w:name="_Hlk111138497"/>
      <w:bookmarkEnd w:id="0"/>
      <w:r w:rsidRPr="008D2BC9">
        <w:rPr>
          <w:b/>
          <w:lang w:val="es-ES"/>
        </w:rPr>
        <w:t>B.</w:t>
      </w:r>
      <w:r w:rsidRPr="008D2BC9">
        <w:rPr>
          <w:b/>
          <w:lang w:val="es-ES"/>
        </w:rPr>
        <w:tab/>
      </w:r>
      <w:r w:rsidR="008D2BC9" w:rsidRPr="008D2BC9">
        <w:rPr>
          <w:b/>
          <w:lang w:val="es-ES"/>
        </w:rPr>
        <w:t xml:space="preserve">Orientación de la </w:t>
      </w:r>
      <w:r w:rsidR="00A72C1F" w:rsidRPr="008D2BC9">
        <w:rPr>
          <w:b/>
          <w:lang w:val="es-ES"/>
        </w:rPr>
        <w:t>Conferenc</w:t>
      </w:r>
      <w:r w:rsidR="008D2BC9" w:rsidRPr="008D2BC9">
        <w:rPr>
          <w:b/>
          <w:lang w:val="es-ES"/>
        </w:rPr>
        <w:t>ia de las Partes al Fondo para el Medio Ambiente Mundial</w:t>
      </w:r>
      <w:bookmarkEnd w:id="1"/>
    </w:p>
    <w:p w14:paraId="6B736DC2" w14:textId="77777777" w:rsidR="008B3D7D" w:rsidRPr="00F27965" w:rsidRDefault="008D2BC9" w:rsidP="00682861">
      <w:pPr>
        <w:pStyle w:val="Para1"/>
        <w:numPr>
          <w:ilvl w:val="0"/>
          <w:numId w:val="6"/>
        </w:numPr>
        <w:suppressLineNumbers/>
        <w:tabs>
          <w:tab w:val="clear" w:pos="360"/>
          <w:tab w:val="num" w:pos="720"/>
        </w:tabs>
        <w:suppressAutoHyphens/>
        <w:kinsoku w:val="0"/>
        <w:overflowPunct w:val="0"/>
        <w:autoSpaceDE w:val="0"/>
        <w:autoSpaceDN w:val="0"/>
        <w:snapToGrid w:val="0"/>
        <w:rPr>
          <w:rFonts w:asciiTheme="majorBidi" w:eastAsia="MS Mincho" w:hAnsiTheme="majorBidi" w:cstheme="majorBidi"/>
          <w:color w:val="000000"/>
          <w:kern w:val="22"/>
          <w:lang w:val="es-ES"/>
        </w:rPr>
      </w:pPr>
      <w:r w:rsidRPr="008D2BC9">
        <w:rPr>
          <w:rFonts w:asciiTheme="majorBidi" w:eastAsia="MS Mincho" w:hAnsiTheme="majorBidi" w:cstheme="majorBidi"/>
          <w:color w:val="000000"/>
          <w:kern w:val="22"/>
          <w:lang w:val="es-ES"/>
        </w:rPr>
        <w:t>De conformidad con la decisión</w:t>
      </w:r>
      <w:r w:rsidR="006E1F4A" w:rsidRPr="008D2BC9">
        <w:rPr>
          <w:rFonts w:asciiTheme="majorBidi" w:eastAsia="MS Mincho" w:hAnsiTheme="majorBidi" w:cstheme="majorBidi"/>
          <w:color w:val="000000"/>
          <w:kern w:val="22"/>
          <w:lang w:val="es-ES"/>
        </w:rPr>
        <w:t xml:space="preserve"> </w:t>
      </w:r>
      <w:hyperlink r:id="rId16" w:history="1">
        <w:r w:rsidR="006E1F4A" w:rsidRPr="008D2BC9">
          <w:rPr>
            <w:rStyle w:val="Hyperlink"/>
            <w:rFonts w:asciiTheme="majorBidi" w:eastAsia="MS Mincho" w:hAnsiTheme="majorBidi" w:cstheme="majorBidi"/>
            <w:kern w:val="22"/>
            <w:sz w:val="22"/>
            <w:lang w:val="es-ES"/>
          </w:rPr>
          <w:t>14/23</w:t>
        </w:r>
      </w:hyperlink>
      <w:r w:rsidR="00C37B35" w:rsidRPr="008D2BC9">
        <w:rPr>
          <w:lang w:val="es-ES"/>
        </w:rPr>
        <w:t xml:space="preserve"> </w:t>
      </w:r>
      <w:r w:rsidRPr="008D2BC9">
        <w:rPr>
          <w:rFonts w:asciiTheme="majorBidi" w:eastAsia="MS Mincho" w:hAnsiTheme="majorBidi" w:cstheme="majorBidi"/>
          <w:color w:val="000000"/>
          <w:kern w:val="22"/>
          <w:lang w:val="es-ES"/>
        </w:rPr>
        <w:t>(párr</w:t>
      </w:r>
      <w:r w:rsidR="008B3D7D" w:rsidRPr="008D2BC9">
        <w:rPr>
          <w:rFonts w:asciiTheme="majorBidi" w:eastAsia="MS Mincho" w:hAnsiTheme="majorBidi" w:cstheme="majorBidi"/>
          <w:color w:val="000000"/>
          <w:kern w:val="22"/>
          <w:lang w:val="es-ES"/>
        </w:rPr>
        <w:t xml:space="preserve">. 17), </w:t>
      </w:r>
      <w:r w:rsidRPr="008D2BC9">
        <w:rPr>
          <w:rFonts w:asciiTheme="majorBidi" w:eastAsia="MS Mincho" w:hAnsiTheme="majorBidi" w:cstheme="majorBidi"/>
          <w:color w:val="000000"/>
          <w:kern w:val="22"/>
          <w:lang w:val="es-ES"/>
        </w:rPr>
        <w:t xml:space="preserve">el Órgano Subsidiario </w:t>
      </w:r>
      <w:r>
        <w:rPr>
          <w:rFonts w:asciiTheme="majorBidi" w:eastAsia="MS Mincho" w:hAnsiTheme="majorBidi" w:cstheme="majorBidi"/>
          <w:color w:val="000000"/>
          <w:kern w:val="22"/>
          <w:lang w:val="es-ES"/>
        </w:rPr>
        <w:t>sobre la Aplicación</w:t>
      </w:r>
      <w:r w:rsidRPr="008D2BC9">
        <w:rPr>
          <w:rFonts w:asciiTheme="majorBidi" w:eastAsia="MS Mincho" w:hAnsiTheme="majorBidi" w:cstheme="majorBidi"/>
          <w:color w:val="000000"/>
          <w:kern w:val="22"/>
          <w:lang w:val="es-ES"/>
        </w:rPr>
        <w:t xml:space="preserve">, en su tercera reunión, </w:t>
      </w:r>
      <w:r>
        <w:rPr>
          <w:rFonts w:asciiTheme="majorBidi" w:eastAsia="MS Mincho" w:hAnsiTheme="majorBidi" w:cstheme="majorBidi"/>
          <w:color w:val="000000"/>
          <w:kern w:val="22"/>
          <w:lang w:val="es-ES"/>
        </w:rPr>
        <w:t xml:space="preserve">elaboró </w:t>
      </w:r>
      <w:r w:rsidRPr="008D2BC9">
        <w:rPr>
          <w:rFonts w:asciiTheme="majorBidi" w:eastAsia="MS Mincho" w:hAnsiTheme="majorBidi" w:cstheme="majorBidi"/>
          <w:color w:val="000000"/>
          <w:kern w:val="22"/>
          <w:lang w:val="es-ES"/>
        </w:rPr>
        <w:t>propuestas</w:t>
      </w:r>
      <w:r w:rsidRPr="00F03643">
        <w:rPr>
          <w:lang w:val="es-ES"/>
        </w:rPr>
        <w:t xml:space="preserve"> para un marco cuatrienal de prioridades programáticas orientado a la obtención de resultados para el octavo período de reposición del Fondo Fiduciario del FMAM para el Convenio y sus Protocolo</w:t>
      </w:r>
      <w:r w:rsidR="006E1F4A" w:rsidRPr="008D2BC9">
        <w:rPr>
          <w:rFonts w:asciiTheme="majorBidi" w:eastAsia="MS Mincho" w:hAnsiTheme="majorBidi" w:cstheme="majorBidi"/>
          <w:color w:val="000000"/>
          <w:kern w:val="22"/>
          <w:lang w:val="es-ES"/>
        </w:rPr>
        <w:t>s</w:t>
      </w:r>
      <w:r w:rsidR="006D5A05" w:rsidRPr="00AF1AF0">
        <w:rPr>
          <w:rStyle w:val="FootnoteReference"/>
          <w:rFonts w:asciiTheme="majorBidi" w:eastAsia="MS Mincho" w:hAnsiTheme="majorBidi" w:cstheme="majorBidi"/>
          <w:color w:val="000000"/>
          <w:kern w:val="22"/>
        </w:rPr>
        <w:footnoteReference w:id="3"/>
      </w:r>
      <w:r w:rsidRPr="00F03643">
        <w:rPr>
          <w:lang w:val="es-ES"/>
        </w:rPr>
        <w:t>, en consonancia con el proyecto de marco mundial de la diversidad biológica posterior a 2020</w:t>
      </w:r>
      <w:r w:rsidRPr="008D2BC9">
        <w:rPr>
          <w:rFonts w:asciiTheme="majorBidi" w:eastAsia="MS Mincho" w:hAnsiTheme="majorBidi" w:cstheme="majorBidi"/>
          <w:color w:val="000000"/>
          <w:kern w:val="22"/>
          <w:lang w:val="es-ES"/>
        </w:rPr>
        <w:t xml:space="preserve">. De conformidad con la misma decisión (párr. 16), el Órgano Subsidiario también examinó las necesidades estimadas de financiación e inversión de las Partes que reunían los requisitos para el octavo período de reposición del Fondo Fiduciario del FMAM. Además, el Órgano Subsidiario examinó el proyecto de mandato para un sexto examen de la eficacia del mecanismo financiero (véase la subsección D </w:t>
      </w:r>
      <w:r w:rsidRPr="00F27965">
        <w:rPr>
          <w:rFonts w:asciiTheme="majorBidi" w:eastAsia="MS Mincho" w:hAnsiTheme="majorBidi" w:cstheme="majorBidi"/>
          <w:i/>
          <w:color w:val="000000"/>
          <w:kern w:val="22"/>
          <w:lang w:val="es-ES"/>
        </w:rPr>
        <w:t>infra</w:t>
      </w:r>
      <w:r w:rsidRPr="008D2BC9">
        <w:rPr>
          <w:rFonts w:asciiTheme="majorBidi" w:eastAsia="MS Mincho" w:hAnsiTheme="majorBidi" w:cstheme="majorBidi"/>
          <w:color w:val="000000"/>
          <w:kern w:val="22"/>
          <w:lang w:val="es-ES"/>
        </w:rPr>
        <w:t xml:space="preserve">). </w:t>
      </w:r>
      <w:r w:rsidRPr="00F27965">
        <w:rPr>
          <w:rFonts w:asciiTheme="majorBidi" w:eastAsia="MS Mincho" w:hAnsiTheme="majorBidi" w:cstheme="majorBidi"/>
          <w:color w:val="000000"/>
          <w:kern w:val="22"/>
          <w:lang w:val="es-ES"/>
        </w:rPr>
        <w:t xml:space="preserve">En su tercera reunión, el Órgano Subsidiario </w:t>
      </w:r>
      <w:r w:rsidR="00F27965">
        <w:rPr>
          <w:rFonts w:asciiTheme="majorBidi" w:eastAsia="MS Mincho" w:hAnsiTheme="majorBidi" w:cstheme="majorBidi"/>
          <w:color w:val="000000"/>
          <w:kern w:val="22"/>
          <w:lang w:val="es-ES"/>
        </w:rPr>
        <w:t>sobre la Aplicaci</w:t>
      </w:r>
      <w:r w:rsidRPr="00F27965">
        <w:rPr>
          <w:rFonts w:asciiTheme="majorBidi" w:eastAsia="MS Mincho" w:hAnsiTheme="majorBidi" w:cstheme="majorBidi"/>
          <w:color w:val="000000"/>
          <w:kern w:val="22"/>
          <w:lang w:val="es-ES"/>
        </w:rPr>
        <w:t xml:space="preserve">ón aprobó una recomendación en la que se abordaban estos elementos para su examen por la Conferencia de las Partes en su </w:t>
      </w:r>
      <w:r w:rsidR="00F27965">
        <w:rPr>
          <w:rFonts w:asciiTheme="majorBidi" w:eastAsia="MS Mincho" w:hAnsiTheme="majorBidi" w:cstheme="majorBidi"/>
          <w:color w:val="000000"/>
          <w:kern w:val="22"/>
          <w:lang w:val="es-ES"/>
        </w:rPr>
        <w:t>15ª reunión (</w:t>
      </w:r>
      <w:r w:rsidR="006E1F4A" w:rsidRPr="00F27965">
        <w:rPr>
          <w:rFonts w:asciiTheme="majorBidi" w:eastAsia="MS Mincho" w:hAnsiTheme="majorBidi" w:cstheme="majorBidi"/>
          <w:color w:val="000000"/>
          <w:kern w:val="22"/>
          <w:lang w:val="es-ES"/>
        </w:rPr>
        <w:t>recomenda</w:t>
      </w:r>
      <w:r w:rsidR="00F27965">
        <w:rPr>
          <w:rFonts w:asciiTheme="majorBidi" w:eastAsia="MS Mincho" w:hAnsiTheme="majorBidi" w:cstheme="majorBidi"/>
          <w:color w:val="000000"/>
          <w:kern w:val="22"/>
          <w:lang w:val="es-ES"/>
        </w:rPr>
        <w:t>c</w:t>
      </w:r>
      <w:r w:rsidR="006E1F4A" w:rsidRPr="00F27965">
        <w:rPr>
          <w:rFonts w:asciiTheme="majorBidi" w:eastAsia="MS Mincho" w:hAnsiTheme="majorBidi" w:cstheme="majorBidi"/>
          <w:color w:val="000000"/>
          <w:kern w:val="22"/>
          <w:lang w:val="es-ES"/>
        </w:rPr>
        <w:t>i</w:t>
      </w:r>
      <w:r w:rsidR="00F27965">
        <w:rPr>
          <w:rFonts w:asciiTheme="majorBidi" w:eastAsia="MS Mincho" w:hAnsiTheme="majorBidi" w:cstheme="majorBidi"/>
          <w:color w:val="000000"/>
          <w:kern w:val="22"/>
          <w:lang w:val="es-ES"/>
        </w:rPr>
        <w:t>ó</w:t>
      </w:r>
      <w:r w:rsidR="006E1F4A" w:rsidRPr="00F27965">
        <w:rPr>
          <w:rFonts w:asciiTheme="majorBidi" w:eastAsia="MS Mincho" w:hAnsiTheme="majorBidi" w:cstheme="majorBidi"/>
          <w:color w:val="000000"/>
          <w:kern w:val="22"/>
          <w:lang w:val="es-ES"/>
        </w:rPr>
        <w:t xml:space="preserve">n </w:t>
      </w:r>
      <w:hyperlink r:id="rId17" w:history="1">
        <w:r w:rsidR="006E1F4A" w:rsidRPr="00F27965">
          <w:rPr>
            <w:rStyle w:val="Hyperlink"/>
            <w:rFonts w:asciiTheme="majorBidi" w:eastAsia="MS Mincho" w:hAnsiTheme="majorBidi" w:cstheme="majorBidi"/>
            <w:kern w:val="22"/>
            <w:sz w:val="22"/>
            <w:lang w:val="es-ES"/>
          </w:rPr>
          <w:t>3/7</w:t>
        </w:r>
      </w:hyperlink>
      <w:r w:rsidR="006E1F4A" w:rsidRPr="00F27965">
        <w:rPr>
          <w:rFonts w:asciiTheme="majorBidi" w:eastAsia="MS Mincho" w:hAnsiTheme="majorBidi" w:cstheme="majorBidi"/>
          <w:color w:val="000000"/>
          <w:kern w:val="22"/>
          <w:lang w:val="es-ES"/>
        </w:rPr>
        <w:t>).</w:t>
      </w:r>
    </w:p>
    <w:p w14:paraId="6B736DC3" w14:textId="77777777" w:rsidR="006E1F4A" w:rsidRPr="00F27965" w:rsidRDefault="00F27965" w:rsidP="00682861">
      <w:pPr>
        <w:pStyle w:val="Para1"/>
        <w:numPr>
          <w:ilvl w:val="0"/>
          <w:numId w:val="6"/>
        </w:numPr>
        <w:suppressLineNumbers/>
        <w:tabs>
          <w:tab w:val="clear" w:pos="360"/>
          <w:tab w:val="num" w:pos="720"/>
        </w:tabs>
        <w:suppressAutoHyphens/>
        <w:kinsoku w:val="0"/>
        <w:overflowPunct w:val="0"/>
        <w:autoSpaceDE w:val="0"/>
        <w:autoSpaceDN w:val="0"/>
        <w:snapToGrid w:val="0"/>
        <w:rPr>
          <w:rFonts w:asciiTheme="majorBidi" w:eastAsia="MS Mincho" w:hAnsiTheme="majorBidi" w:cstheme="majorBidi"/>
          <w:color w:val="000000"/>
          <w:kern w:val="22"/>
          <w:lang w:val="es-ES"/>
        </w:rPr>
      </w:pPr>
      <w:r w:rsidRPr="00F27965">
        <w:rPr>
          <w:iCs/>
          <w:szCs w:val="22"/>
          <w:lang w:val="es-ES"/>
        </w:rPr>
        <w:t xml:space="preserve">El proyecto de </w:t>
      </w:r>
      <w:r w:rsidRPr="00F27965">
        <w:rPr>
          <w:lang w:val="es-ES"/>
        </w:rPr>
        <w:t xml:space="preserve">marco cuatrienal de prioridades programáticas orientado a la obtención de resultados para el octavo período de reposición </w:t>
      </w:r>
      <w:r w:rsidR="00DB57F0" w:rsidRPr="00F27965">
        <w:rPr>
          <w:iCs/>
          <w:szCs w:val="22"/>
          <w:lang w:val="es-ES"/>
        </w:rPr>
        <w:t>(</w:t>
      </w:r>
      <w:r w:rsidR="00AF3AB2" w:rsidRPr="00F27965">
        <w:rPr>
          <w:iCs/>
          <w:szCs w:val="22"/>
          <w:lang w:val="es-ES"/>
        </w:rPr>
        <w:t>2022–2026</w:t>
      </w:r>
      <w:r w:rsidR="00DB57F0" w:rsidRPr="00F27965">
        <w:rPr>
          <w:iCs/>
          <w:szCs w:val="22"/>
          <w:lang w:val="es-ES"/>
        </w:rPr>
        <w:t>)</w:t>
      </w:r>
      <w:r w:rsidR="00AF3AB2" w:rsidRPr="00F27965">
        <w:rPr>
          <w:iCs/>
          <w:szCs w:val="22"/>
          <w:lang w:val="es-ES"/>
        </w:rPr>
        <w:t xml:space="preserve"> </w:t>
      </w:r>
      <w:r w:rsidRPr="00F27965">
        <w:rPr>
          <w:iCs/>
          <w:szCs w:val="22"/>
          <w:lang w:val="es-ES"/>
        </w:rPr>
        <w:t xml:space="preserve">incluye elementos destinados a abordar el plan de aplicación propuesto para el Protocolo de Cartagena sobre Seguridad de la Biotecnología (2021-2030) y el Plan de </w:t>
      </w:r>
      <w:r>
        <w:rPr>
          <w:iCs/>
          <w:szCs w:val="22"/>
          <w:lang w:val="es-ES"/>
        </w:rPr>
        <w:t>a</w:t>
      </w:r>
      <w:r w:rsidRPr="00F27965">
        <w:rPr>
          <w:iCs/>
          <w:szCs w:val="22"/>
          <w:lang w:val="es-ES"/>
        </w:rPr>
        <w:t xml:space="preserve">cción de </w:t>
      </w:r>
      <w:r>
        <w:rPr>
          <w:iCs/>
          <w:szCs w:val="22"/>
          <w:lang w:val="es-ES"/>
        </w:rPr>
        <w:t>creación de c</w:t>
      </w:r>
      <w:r w:rsidRPr="00F27965">
        <w:rPr>
          <w:iCs/>
          <w:szCs w:val="22"/>
          <w:lang w:val="es-ES"/>
        </w:rPr>
        <w:t>apacidad para el Protocolo de Cartagena sobre Seguridad de la Biotecnología (2021-203</w:t>
      </w:r>
      <w:r>
        <w:rPr>
          <w:iCs/>
          <w:szCs w:val="22"/>
          <w:lang w:val="es-ES"/>
        </w:rPr>
        <w:t>0</w:t>
      </w:r>
      <w:r w:rsidR="00AF3AB2" w:rsidRPr="00F27965">
        <w:rPr>
          <w:iCs/>
          <w:szCs w:val="22"/>
          <w:lang w:val="es-ES"/>
        </w:rPr>
        <w:t>)</w:t>
      </w:r>
      <w:r w:rsidR="00261B1B" w:rsidRPr="00F27965">
        <w:rPr>
          <w:iCs/>
          <w:szCs w:val="22"/>
          <w:lang w:val="es-ES"/>
        </w:rPr>
        <w:t>.</w:t>
      </w:r>
    </w:p>
    <w:p w14:paraId="6B736DC4" w14:textId="77777777" w:rsidR="00905260" w:rsidRPr="00F27965" w:rsidRDefault="00905260" w:rsidP="00D34FA0">
      <w:pPr>
        <w:keepNext/>
        <w:ind w:left="540" w:right="720"/>
        <w:outlineLvl w:val="2"/>
        <w:rPr>
          <w:i/>
          <w:iCs/>
          <w:lang w:val="es-ES"/>
        </w:rPr>
      </w:pPr>
      <w:r w:rsidRPr="00F27965">
        <w:rPr>
          <w:i/>
          <w:iCs/>
          <w:lang w:val="es-ES"/>
        </w:rPr>
        <w:lastRenderedPageBreak/>
        <w:t>E</w:t>
      </w:r>
      <w:r w:rsidR="006E1F4A" w:rsidRPr="00F27965">
        <w:rPr>
          <w:i/>
          <w:iCs/>
          <w:lang w:val="es-ES"/>
        </w:rPr>
        <w:t>stim</w:t>
      </w:r>
      <w:r w:rsidR="00F27965" w:rsidRPr="00F27965">
        <w:rPr>
          <w:i/>
          <w:iCs/>
          <w:lang w:val="es-ES"/>
        </w:rPr>
        <w:t>ación de las necesidades de financiación e inversión durante la octava reposición del Fondo Fiduciario del</w:t>
      </w:r>
      <w:r w:rsidR="00F27965">
        <w:rPr>
          <w:i/>
          <w:iCs/>
          <w:lang w:val="es-ES"/>
        </w:rPr>
        <w:t xml:space="preserve"> FMAM</w:t>
      </w:r>
      <w:r w:rsidR="006E1F4A" w:rsidRPr="00F27965">
        <w:rPr>
          <w:i/>
          <w:iCs/>
          <w:lang w:val="es-ES"/>
        </w:rPr>
        <w:t xml:space="preserve"> </w:t>
      </w:r>
    </w:p>
    <w:p w14:paraId="6B736DC5" w14:textId="77777777" w:rsidR="00905260" w:rsidRPr="009460C2" w:rsidRDefault="00F27965" w:rsidP="00682861">
      <w:pPr>
        <w:pStyle w:val="Para1"/>
        <w:numPr>
          <w:ilvl w:val="0"/>
          <w:numId w:val="6"/>
        </w:numPr>
        <w:suppressLineNumbers/>
        <w:tabs>
          <w:tab w:val="clear" w:pos="360"/>
          <w:tab w:val="num" w:pos="720"/>
        </w:tabs>
        <w:suppressAutoHyphens/>
        <w:kinsoku w:val="0"/>
        <w:overflowPunct w:val="0"/>
        <w:autoSpaceDE w:val="0"/>
        <w:autoSpaceDN w:val="0"/>
        <w:snapToGrid w:val="0"/>
        <w:rPr>
          <w:bCs/>
          <w:kern w:val="22"/>
          <w:szCs w:val="22"/>
          <w:lang w:val="es-ES"/>
        </w:rPr>
      </w:pPr>
      <w:r w:rsidRPr="00F27965">
        <w:rPr>
          <w:bCs/>
          <w:kern w:val="22"/>
          <w:szCs w:val="22"/>
          <w:lang w:val="es-ES"/>
        </w:rPr>
        <w:t>En la decisión 14/23, la Conferencia de las Partes adoptó</w:t>
      </w:r>
      <w:r>
        <w:rPr>
          <w:bCs/>
          <w:kern w:val="22"/>
          <w:szCs w:val="22"/>
          <w:lang w:val="es-ES"/>
        </w:rPr>
        <w:t xml:space="preserve"> el </w:t>
      </w:r>
      <w:r w:rsidRPr="00F03643">
        <w:rPr>
          <w:lang w:val="es-ES"/>
        </w:rPr>
        <w:t>mandato para una evaluación completa del monto de fondos necesarios para la aplicación del Convenio y sus Protocolos durante el octavo período de reposición del Fondo Fiduciario del FMAM</w:t>
      </w:r>
      <w:r w:rsidR="00905260" w:rsidRPr="00F27965">
        <w:rPr>
          <w:bCs/>
          <w:kern w:val="22"/>
          <w:szCs w:val="22"/>
          <w:lang w:val="es-ES"/>
        </w:rPr>
        <w:t xml:space="preserve">. </w:t>
      </w:r>
      <w:r w:rsidRPr="009460C2">
        <w:rPr>
          <w:bCs/>
          <w:kern w:val="22"/>
          <w:szCs w:val="22"/>
          <w:lang w:val="es-ES"/>
        </w:rPr>
        <w:t xml:space="preserve">La Conferencia de las Partes </w:t>
      </w:r>
      <w:r w:rsidR="009460C2" w:rsidRPr="009460C2">
        <w:rPr>
          <w:bCs/>
          <w:kern w:val="22"/>
          <w:szCs w:val="22"/>
          <w:lang w:val="es-ES"/>
        </w:rPr>
        <w:t xml:space="preserve">invitó a las Partes pertinentes a </w:t>
      </w:r>
      <w:r w:rsidR="009460C2" w:rsidRPr="00F03643">
        <w:rPr>
          <w:lang w:val="es-ES"/>
        </w:rPr>
        <w:t>presentar a la Secretaria Ejecutiva sus necesidades estimadas de financiación e inversión en el marco del mecanismo financiero para la tercera determinación de las necesidades de financiación e inversión por la Conferencia de las Partes, en su 15ª reunión, en relación con la octava reposición del Fondo Fiduciario del FMAM</w:t>
      </w:r>
      <w:r w:rsidR="00B63EA6" w:rsidRPr="009460C2">
        <w:rPr>
          <w:bCs/>
          <w:kern w:val="22"/>
          <w:szCs w:val="22"/>
          <w:lang w:val="es-ES"/>
        </w:rPr>
        <w:t xml:space="preserve">. </w:t>
      </w:r>
      <w:r w:rsidR="009460C2" w:rsidRPr="009460C2">
        <w:rPr>
          <w:bCs/>
          <w:kern w:val="22"/>
          <w:szCs w:val="22"/>
          <w:lang w:val="es-ES"/>
        </w:rPr>
        <w:t xml:space="preserve">También pidió a la Secretaria Ejecutiva que, en colaboración con el equipo de expertos contratado, preparara </w:t>
      </w:r>
      <w:r w:rsidR="009460C2" w:rsidRPr="00F03643">
        <w:rPr>
          <w:lang w:val="es-ES"/>
        </w:rPr>
        <w:t>una recopilación de las necesidades estimadas de financiación e inversión enviadas por las Partes pertinentes, utilizando como base y perfeccionando la metodología y los tres escenarios empleados en la segunda determinación de necesidades de financiación, para que sea examinada por el Órgano Subsidiario sobre la Aplicación en su tercera reunión, a fin de aportar información para la tercera determinación de necesidades de financiación por la Conferencia de las Partes en su 15ª reunión, con antelación a la octava reposición del Fondo Fiduciario del FMAM</w:t>
      </w:r>
      <w:r w:rsidR="00905260" w:rsidRPr="009460C2">
        <w:rPr>
          <w:bCs/>
          <w:kern w:val="22"/>
          <w:szCs w:val="22"/>
          <w:lang w:val="es-ES"/>
        </w:rPr>
        <w:t>.</w:t>
      </w:r>
    </w:p>
    <w:p w14:paraId="6B736DC6" w14:textId="77777777" w:rsidR="00CB00DB" w:rsidRPr="009460C2" w:rsidRDefault="009460C2" w:rsidP="00682861">
      <w:pPr>
        <w:pStyle w:val="Para1"/>
        <w:numPr>
          <w:ilvl w:val="0"/>
          <w:numId w:val="6"/>
        </w:numPr>
        <w:suppressLineNumbers/>
        <w:tabs>
          <w:tab w:val="clear" w:pos="360"/>
          <w:tab w:val="num" w:pos="720"/>
        </w:tabs>
        <w:suppressAutoHyphens/>
        <w:kinsoku w:val="0"/>
        <w:overflowPunct w:val="0"/>
        <w:autoSpaceDE w:val="0"/>
        <w:autoSpaceDN w:val="0"/>
        <w:snapToGrid w:val="0"/>
        <w:rPr>
          <w:bCs/>
          <w:kern w:val="22"/>
          <w:szCs w:val="22"/>
          <w:lang w:val="es-ES"/>
        </w:rPr>
      </w:pPr>
      <w:r w:rsidRPr="009460C2">
        <w:rPr>
          <w:bCs/>
          <w:kern w:val="22"/>
          <w:szCs w:val="22"/>
          <w:lang w:val="es-ES"/>
        </w:rPr>
        <w:t>El informe sobre la evaluación completa de los fondos necesarios para la aplicación d</w:t>
      </w:r>
      <w:r>
        <w:rPr>
          <w:bCs/>
          <w:kern w:val="22"/>
          <w:szCs w:val="22"/>
          <w:lang w:val="es-ES"/>
        </w:rPr>
        <w:t>el Convenio</w:t>
      </w:r>
      <w:r w:rsidRPr="009460C2">
        <w:rPr>
          <w:bCs/>
          <w:kern w:val="22"/>
          <w:szCs w:val="22"/>
          <w:lang w:val="es-ES"/>
        </w:rPr>
        <w:t xml:space="preserve"> y sus Protocolos durante el octavo período de reposición del Fondo Fiduciario del FMAM, </w:t>
      </w:r>
      <w:r>
        <w:rPr>
          <w:bCs/>
          <w:kern w:val="22"/>
          <w:szCs w:val="22"/>
          <w:lang w:val="es-ES"/>
        </w:rPr>
        <w:t xml:space="preserve">que fue </w:t>
      </w:r>
      <w:r w:rsidRPr="009460C2">
        <w:rPr>
          <w:bCs/>
          <w:kern w:val="22"/>
          <w:szCs w:val="22"/>
          <w:lang w:val="es-ES"/>
        </w:rPr>
        <w:t xml:space="preserve">preparado por los expertos contratados, figura en el documento informativo CBD/SBI/3/INF/44, y el resumen del informe figura en el documento </w:t>
      </w:r>
      <w:r w:rsidR="007B5AD2" w:rsidRPr="009460C2">
        <w:rPr>
          <w:bCs/>
          <w:kern w:val="22"/>
          <w:szCs w:val="22"/>
          <w:lang w:val="es-ES"/>
        </w:rPr>
        <w:t>CBD/SBI/3/6/Add.2/Rev.1</w:t>
      </w:r>
      <w:r w:rsidR="0083206D" w:rsidRPr="009460C2">
        <w:rPr>
          <w:bCs/>
          <w:kern w:val="22"/>
          <w:szCs w:val="22"/>
          <w:lang w:val="es-ES"/>
        </w:rPr>
        <w:t>.</w:t>
      </w:r>
      <w:bookmarkStart w:id="2" w:name="_Hlk22815168"/>
      <w:bookmarkEnd w:id="2"/>
    </w:p>
    <w:p w14:paraId="6B736DC7" w14:textId="20CEDA59" w:rsidR="00DF0780" w:rsidRPr="00F27D14" w:rsidRDefault="009460C2" w:rsidP="00682861">
      <w:pPr>
        <w:pStyle w:val="Para1"/>
        <w:numPr>
          <w:ilvl w:val="0"/>
          <w:numId w:val="6"/>
        </w:numPr>
        <w:suppressLineNumbers/>
        <w:tabs>
          <w:tab w:val="clear" w:pos="360"/>
          <w:tab w:val="num" w:pos="720"/>
        </w:tabs>
        <w:suppressAutoHyphens/>
        <w:kinsoku w:val="0"/>
        <w:overflowPunct w:val="0"/>
        <w:autoSpaceDE w:val="0"/>
        <w:autoSpaceDN w:val="0"/>
        <w:snapToGrid w:val="0"/>
        <w:rPr>
          <w:bCs/>
          <w:kern w:val="22"/>
          <w:szCs w:val="22"/>
          <w:lang w:val="es-ES"/>
        </w:rPr>
      </w:pPr>
      <w:r>
        <w:rPr>
          <w:bCs/>
          <w:kern w:val="22"/>
          <w:szCs w:val="22"/>
          <w:lang w:val="es-ES"/>
        </w:rPr>
        <w:t xml:space="preserve">Aunque </w:t>
      </w:r>
      <w:r w:rsidRPr="009460C2">
        <w:rPr>
          <w:bCs/>
          <w:kern w:val="22"/>
          <w:szCs w:val="22"/>
          <w:lang w:val="es-ES"/>
        </w:rPr>
        <w:t xml:space="preserve">se reconoció que la evaluación se basaba en aportaciones limitadas, un total de 44 países presentaron análisis que indicaban que las necesidades totales de financiación para 210 proyectos previstas en la encuesta </w:t>
      </w:r>
      <w:r>
        <w:rPr>
          <w:bCs/>
          <w:kern w:val="22"/>
          <w:szCs w:val="22"/>
          <w:lang w:val="es-ES"/>
        </w:rPr>
        <w:t>tipo</w:t>
      </w:r>
      <w:r w:rsidRPr="009460C2">
        <w:rPr>
          <w:bCs/>
          <w:kern w:val="22"/>
          <w:szCs w:val="22"/>
          <w:lang w:val="es-ES"/>
        </w:rPr>
        <w:t xml:space="preserve"> cuestionario ascendían a 4.049.921.897 dólares, con el 21</w:t>
      </w:r>
      <w:r w:rsidR="00F27D14">
        <w:rPr>
          <w:bCs/>
          <w:kern w:val="22"/>
          <w:szCs w:val="22"/>
          <w:lang w:val="es-ES"/>
        </w:rPr>
        <w:t xml:space="preserve"> </w:t>
      </w:r>
      <w:r w:rsidRPr="009460C2">
        <w:rPr>
          <w:bCs/>
          <w:kern w:val="22"/>
          <w:szCs w:val="22"/>
          <w:lang w:val="es-ES"/>
        </w:rPr>
        <w:t xml:space="preserve">% de los proyectos </w:t>
      </w:r>
      <w:r w:rsidR="00F27D14">
        <w:rPr>
          <w:bCs/>
          <w:kern w:val="22"/>
          <w:szCs w:val="22"/>
          <w:lang w:val="es-ES"/>
        </w:rPr>
        <w:t>que correspondían a</w:t>
      </w:r>
      <w:r w:rsidRPr="009460C2">
        <w:rPr>
          <w:bCs/>
          <w:kern w:val="22"/>
          <w:szCs w:val="22"/>
          <w:lang w:val="es-ES"/>
        </w:rPr>
        <w:t xml:space="preserve">l Protocolo de Cartagena. </w:t>
      </w:r>
      <w:r w:rsidRPr="00F03643">
        <w:rPr>
          <w:bCs/>
          <w:kern w:val="22"/>
          <w:szCs w:val="22"/>
          <w:lang w:val="es-ES"/>
        </w:rPr>
        <w:t xml:space="preserve">Sin embargo, como no todas las Partes que reunían los requisitos presentaron datos, se utilizaron tres escenarios diferentes para extrapolar datos de fuentes existentes y estimar las necesidades financieras. </w:t>
      </w:r>
      <w:r w:rsidRPr="009460C2">
        <w:rPr>
          <w:bCs/>
          <w:kern w:val="22"/>
          <w:szCs w:val="22"/>
          <w:lang w:val="es-ES"/>
        </w:rPr>
        <w:t>L</w:t>
      </w:r>
      <w:r w:rsidR="00F27D14">
        <w:rPr>
          <w:bCs/>
          <w:kern w:val="22"/>
          <w:szCs w:val="22"/>
          <w:lang w:val="es-ES"/>
        </w:rPr>
        <w:t>os</w:t>
      </w:r>
      <w:r w:rsidRPr="009460C2">
        <w:rPr>
          <w:bCs/>
          <w:kern w:val="22"/>
          <w:szCs w:val="22"/>
          <w:lang w:val="es-ES"/>
        </w:rPr>
        <w:t xml:space="preserve"> tres </w:t>
      </w:r>
      <w:r w:rsidR="00F27D14">
        <w:rPr>
          <w:bCs/>
          <w:kern w:val="22"/>
          <w:szCs w:val="22"/>
          <w:lang w:val="es-ES"/>
        </w:rPr>
        <w:t>escenarios</w:t>
      </w:r>
      <w:r w:rsidRPr="009460C2">
        <w:rPr>
          <w:bCs/>
          <w:kern w:val="22"/>
          <w:szCs w:val="22"/>
          <w:lang w:val="es-ES"/>
        </w:rPr>
        <w:t xml:space="preserve"> dieron lugar a estimaciones de las necesidades de financiación del FMAM para la aplicación de</w:t>
      </w:r>
      <w:r w:rsidR="00F27D14">
        <w:rPr>
          <w:bCs/>
          <w:kern w:val="22"/>
          <w:szCs w:val="22"/>
          <w:lang w:val="es-ES"/>
        </w:rPr>
        <w:t xml:space="preserve">l Convenio </w:t>
      </w:r>
      <w:r w:rsidRPr="009460C2">
        <w:rPr>
          <w:bCs/>
          <w:kern w:val="22"/>
          <w:szCs w:val="22"/>
          <w:lang w:val="es-ES"/>
        </w:rPr>
        <w:t>y sus Protocolos durante el octavo período de reposición, que oscilaban entre 1.500 millones de dólares y 3.700 millones de dólares.</w:t>
      </w:r>
    </w:p>
    <w:p w14:paraId="6B736DC8" w14:textId="77777777" w:rsidR="006E1F4A" w:rsidRPr="00D45201" w:rsidRDefault="00D45201" w:rsidP="00682861">
      <w:pPr>
        <w:pStyle w:val="Para1"/>
        <w:numPr>
          <w:ilvl w:val="0"/>
          <w:numId w:val="6"/>
        </w:numPr>
        <w:suppressLineNumbers/>
        <w:tabs>
          <w:tab w:val="clear" w:pos="360"/>
          <w:tab w:val="num" w:pos="720"/>
        </w:tabs>
        <w:suppressAutoHyphens/>
        <w:kinsoku w:val="0"/>
        <w:overflowPunct w:val="0"/>
        <w:autoSpaceDE w:val="0"/>
        <w:autoSpaceDN w:val="0"/>
        <w:snapToGrid w:val="0"/>
        <w:rPr>
          <w:lang w:val="es-ES"/>
        </w:rPr>
      </w:pPr>
      <w:r w:rsidRPr="00D45201">
        <w:rPr>
          <w:lang w:val="es-ES"/>
        </w:rPr>
        <w:t>En cuanto al Protocolo de Cartagena sobre Seguridad de la Bio</w:t>
      </w:r>
      <w:r>
        <w:rPr>
          <w:lang w:val="es-ES"/>
        </w:rPr>
        <w:t>tecnología</w:t>
      </w:r>
      <w:r w:rsidRPr="00D45201">
        <w:rPr>
          <w:lang w:val="es-ES"/>
        </w:rPr>
        <w:t xml:space="preserve">, el equipo de expertos examinó los datos proporcionados por los países a través del cuarto informe nacional. La pregunta 167 del informe nacional se refiere al artículo 28 sobre el mecanismo y los recursos financieros, y </w:t>
      </w:r>
      <w:r>
        <w:rPr>
          <w:lang w:val="es-ES"/>
        </w:rPr>
        <w:t>pedía</w:t>
      </w:r>
      <w:r w:rsidRPr="00D45201">
        <w:rPr>
          <w:lang w:val="es-ES"/>
        </w:rPr>
        <w:t xml:space="preserve"> a los países que informaran sobre la cantidad de fondos movilizados por el país para apoyar la aplicación del Protocolo más allá de la asignación del presupuesto nacional ordinario en el período</w:t>
      </w:r>
      <w:r>
        <w:rPr>
          <w:lang w:val="es-ES"/>
        </w:rPr>
        <w:t xml:space="preserve"> del informe</w:t>
      </w:r>
      <w:r w:rsidRPr="00D45201">
        <w:rPr>
          <w:lang w:val="es-ES"/>
        </w:rPr>
        <w:t>. Más del 60 % de los países informaron de que habían aumentado entre un</w:t>
      </w:r>
      <w:r>
        <w:rPr>
          <w:lang w:val="es-ES"/>
        </w:rPr>
        <w:t xml:space="preserve">os cuantos miles </w:t>
      </w:r>
      <w:r w:rsidRPr="00D45201">
        <w:rPr>
          <w:lang w:val="es-ES"/>
        </w:rPr>
        <w:t xml:space="preserve">de dólares </w:t>
      </w:r>
      <w:r>
        <w:rPr>
          <w:lang w:val="es-ES"/>
        </w:rPr>
        <w:t>hasta</w:t>
      </w:r>
      <w:r w:rsidRPr="00D45201">
        <w:rPr>
          <w:lang w:val="es-ES"/>
        </w:rPr>
        <w:t xml:space="preserve"> 500.000 dólares o más en el período </w:t>
      </w:r>
      <w:r>
        <w:rPr>
          <w:lang w:val="es-ES"/>
        </w:rPr>
        <w:t>del informe</w:t>
      </w:r>
      <w:r w:rsidRPr="00D45201">
        <w:rPr>
          <w:lang w:val="es-ES"/>
        </w:rPr>
        <w:t xml:space="preserve">. Sin embargo, cabe señalar que, como la pregunta 167 </w:t>
      </w:r>
      <w:r w:rsidR="0021223E">
        <w:rPr>
          <w:lang w:val="es-ES"/>
        </w:rPr>
        <w:t>se limita</w:t>
      </w:r>
      <w:r w:rsidRPr="00D45201">
        <w:rPr>
          <w:lang w:val="es-ES"/>
        </w:rPr>
        <w:t xml:space="preserve"> a l</w:t>
      </w:r>
      <w:r w:rsidR="0021223E">
        <w:rPr>
          <w:lang w:val="es-ES"/>
        </w:rPr>
        <w:t xml:space="preserve">as actividades </w:t>
      </w:r>
      <w:r w:rsidRPr="00D45201">
        <w:rPr>
          <w:lang w:val="es-ES"/>
        </w:rPr>
        <w:t>actuales de movilización de recursos de los países, los informes nacionales presentados al Protocolo no dan ninguna indicación de las necesidades futuras estimadas del FMAM</w:t>
      </w:r>
      <w:r w:rsidR="00EA1401" w:rsidRPr="00D45201">
        <w:rPr>
          <w:lang w:val="es-ES"/>
        </w:rPr>
        <w:t>.</w:t>
      </w:r>
    </w:p>
    <w:p w14:paraId="6B736DC9" w14:textId="77777777" w:rsidR="0056023A" w:rsidRPr="002D5C22" w:rsidRDefault="007056B7" w:rsidP="00D34FA0">
      <w:pPr>
        <w:pStyle w:val="Para1"/>
        <w:keepNext/>
        <w:numPr>
          <w:ilvl w:val="0"/>
          <w:numId w:val="0"/>
        </w:numPr>
        <w:suppressLineNumbers/>
        <w:suppressAutoHyphens/>
        <w:kinsoku w:val="0"/>
        <w:overflowPunct w:val="0"/>
        <w:autoSpaceDE w:val="0"/>
        <w:autoSpaceDN w:val="0"/>
        <w:snapToGrid w:val="0"/>
        <w:jc w:val="center"/>
        <w:outlineLvl w:val="1"/>
        <w:rPr>
          <w:lang w:val="es-ES"/>
        </w:rPr>
      </w:pPr>
      <w:r w:rsidRPr="002D5C22">
        <w:rPr>
          <w:b/>
          <w:lang w:val="es-ES"/>
        </w:rPr>
        <w:t>C.</w:t>
      </w:r>
      <w:r w:rsidRPr="002D5C22">
        <w:rPr>
          <w:b/>
          <w:lang w:val="es-ES"/>
        </w:rPr>
        <w:tab/>
      </w:r>
      <w:r w:rsidR="002D5C22" w:rsidRPr="002D5C22">
        <w:rPr>
          <w:b/>
          <w:lang w:val="es-ES"/>
        </w:rPr>
        <w:t>Programación del FMAM-8 para la seguridad de la biotecnolog</w:t>
      </w:r>
      <w:r w:rsidR="002D5C22">
        <w:rPr>
          <w:b/>
          <w:lang w:val="es-ES"/>
        </w:rPr>
        <w:t>ía</w:t>
      </w:r>
    </w:p>
    <w:p w14:paraId="6B736DCA" w14:textId="77777777" w:rsidR="000D1A1D" w:rsidRPr="002D5C22" w:rsidRDefault="002D5C22" w:rsidP="00682861">
      <w:pPr>
        <w:pStyle w:val="Para1"/>
        <w:numPr>
          <w:ilvl w:val="0"/>
          <w:numId w:val="6"/>
        </w:numPr>
        <w:suppressLineNumbers/>
        <w:tabs>
          <w:tab w:val="clear" w:pos="360"/>
          <w:tab w:val="num" w:pos="720"/>
        </w:tabs>
        <w:suppressAutoHyphens/>
        <w:kinsoku w:val="0"/>
        <w:overflowPunct w:val="0"/>
        <w:autoSpaceDE w:val="0"/>
        <w:autoSpaceDN w:val="0"/>
        <w:snapToGrid w:val="0"/>
        <w:rPr>
          <w:bCs/>
          <w:lang w:val="es-ES"/>
        </w:rPr>
      </w:pPr>
      <w:bookmarkStart w:id="3" w:name="_Hlk111139925"/>
      <w:r w:rsidRPr="002D5C22">
        <w:rPr>
          <w:bCs/>
          <w:lang w:val="es-ES"/>
        </w:rPr>
        <w:t xml:space="preserve">La negociación de la octava </w:t>
      </w:r>
      <w:r>
        <w:rPr>
          <w:bCs/>
          <w:lang w:val="es-ES"/>
        </w:rPr>
        <w:t>re</w:t>
      </w:r>
      <w:r w:rsidRPr="002D5C22">
        <w:rPr>
          <w:bCs/>
          <w:lang w:val="es-ES"/>
        </w:rPr>
        <w:t>posición del Fondo Fiduciario del FMAM concluyó en abril de 2022 y las recomendaciones de política</w:t>
      </w:r>
      <w:r>
        <w:rPr>
          <w:bCs/>
          <w:lang w:val="es-ES"/>
        </w:rPr>
        <w:t>s</w:t>
      </w:r>
      <w:r w:rsidRPr="002D5C22">
        <w:rPr>
          <w:bCs/>
          <w:lang w:val="es-ES"/>
        </w:rPr>
        <w:t xml:space="preserve"> y</w:t>
      </w:r>
      <w:r>
        <w:rPr>
          <w:bCs/>
          <w:lang w:val="es-ES"/>
        </w:rPr>
        <w:t xml:space="preserve"> orientaciones programáticas</w:t>
      </w:r>
      <w:r w:rsidRPr="002D5C22">
        <w:rPr>
          <w:bCs/>
          <w:lang w:val="es-ES"/>
        </w:rPr>
        <w:t xml:space="preserve"> para el FMAM-8 fueron aprobadas por el Consejo del FMAM en su 62ª reunión, celebrada en junio de 2022. El apoyo a los objetivos de diversidad biológica y a la aplicación del Convenio y sus Protocolos se presta en el marco de la esfera de actividad sobre diversidad biológica, otras esferas de actividad y los programas integrados.</w:t>
      </w:r>
    </w:p>
    <w:p w14:paraId="6B736DCB" w14:textId="77777777" w:rsidR="00B114A8" w:rsidRPr="009C674E" w:rsidRDefault="002D5C22" w:rsidP="00682861">
      <w:pPr>
        <w:pStyle w:val="Para1"/>
        <w:numPr>
          <w:ilvl w:val="0"/>
          <w:numId w:val="6"/>
        </w:numPr>
        <w:suppressLineNumbers/>
        <w:tabs>
          <w:tab w:val="clear" w:pos="360"/>
          <w:tab w:val="num" w:pos="720"/>
        </w:tabs>
        <w:suppressAutoHyphens/>
        <w:kinsoku w:val="0"/>
        <w:overflowPunct w:val="0"/>
        <w:autoSpaceDE w:val="0"/>
        <w:autoSpaceDN w:val="0"/>
        <w:snapToGrid w:val="0"/>
        <w:rPr>
          <w:bCs/>
          <w:lang w:val="es-ES"/>
        </w:rPr>
      </w:pPr>
      <w:r w:rsidRPr="002D5C22">
        <w:rPr>
          <w:lang w:val="es-ES"/>
        </w:rPr>
        <w:t>La reposición del FMAM-8 ha asignado un total indicativo de 1.890 millones de dólares a la esfera de actividad de la diversidad biológica, lo que representa el 36</w:t>
      </w:r>
      <w:r w:rsidR="00D8712C">
        <w:rPr>
          <w:lang w:val="es-ES"/>
        </w:rPr>
        <w:t xml:space="preserve"> </w:t>
      </w:r>
      <w:r w:rsidRPr="002D5C22">
        <w:rPr>
          <w:lang w:val="es-ES"/>
        </w:rPr>
        <w:t>% de la dotación total de recursos del FMAM-8. Esto mantiene la diversidad biológica como la principal esfera de actividad y aumenta su porcentaje relativo de la dotación financiera del FMAM del 32</w:t>
      </w:r>
      <w:r w:rsidR="009C674E">
        <w:rPr>
          <w:lang w:val="es-ES"/>
        </w:rPr>
        <w:t xml:space="preserve"> </w:t>
      </w:r>
      <w:r w:rsidRPr="002D5C22">
        <w:rPr>
          <w:lang w:val="es-ES"/>
        </w:rPr>
        <w:t>% en la séptima reposición al 36</w:t>
      </w:r>
      <w:r w:rsidR="009C674E">
        <w:rPr>
          <w:lang w:val="es-ES"/>
        </w:rPr>
        <w:t xml:space="preserve"> </w:t>
      </w:r>
      <w:r w:rsidRPr="002D5C22">
        <w:rPr>
          <w:lang w:val="es-ES"/>
        </w:rPr>
        <w:t>% en la octava reposición. En términos absolutos, refleja un aumento del 46</w:t>
      </w:r>
      <w:r w:rsidR="009C674E">
        <w:rPr>
          <w:lang w:val="es-ES"/>
        </w:rPr>
        <w:t xml:space="preserve"> </w:t>
      </w:r>
      <w:r w:rsidRPr="002D5C22">
        <w:rPr>
          <w:lang w:val="es-ES"/>
        </w:rPr>
        <w:t xml:space="preserve">% en la financiación asignada a la diversidad biológica en comparación con el nivel del FMAM-7 de 1.290 millones de dólares. La asignación indicativa de recursos del FMAM-8 para la diversidad biológica se establece en el contexto de </w:t>
      </w:r>
      <w:r w:rsidRPr="002D5C22">
        <w:rPr>
          <w:lang w:val="es-ES"/>
        </w:rPr>
        <w:lastRenderedPageBreak/>
        <w:t xml:space="preserve">un monto récord de reposición total de 5.250 millones de dólares. </w:t>
      </w:r>
      <w:r w:rsidRPr="009C674E">
        <w:rPr>
          <w:lang w:val="es-ES"/>
        </w:rPr>
        <w:t>De la reposición total, se está asignando el 1,5</w:t>
      </w:r>
      <w:r w:rsidR="009C674E">
        <w:rPr>
          <w:lang w:val="es-ES"/>
        </w:rPr>
        <w:t xml:space="preserve"> </w:t>
      </w:r>
      <w:r w:rsidRPr="009C674E">
        <w:rPr>
          <w:lang w:val="es-ES"/>
        </w:rPr>
        <w:t>% (81 millones de dólares) a los dos Protocolos de</w:t>
      </w:r>
      <w:r w:rsidR="009C674E">
        <w:rPr>
          <w:lang w:val="es-ES"/>
        </w:rPr>
        <w:t>l Convenio</w:t>
      </w:r>
      <w:r w:rsidR="000B0FEB" w:rsidRPr="009C674E">
        <w:rPr>
          <w:bCs/>
          <w:lang w:val="es-ES"/>
        </w:rPr>
        <w:t>.</w:t>
      </w:r>
      <w:bookmarkEnd w:id="3"/>
    </w:p>
    <w:p w14:paraId="6B736DCC" w14:textId="77777777" w:rsidR="00036839" w:rsidRPr="004C315E" w:rsidRDefault="009C674E" w:rsidP="00682861">
      <w:pPr>
        <w:pStyle w:val="Para1"/>
        <w:numPr>
          <w:ilvl w:val="0"/>
          <w:numId w:val="6"/>
        </w:numPr>
        <w:suppressLineNumbers/>
        <w:tabs>
          <w:tab w:val="clear" w:pos="360"/>
          <w:tab w:val="num" w:pos="720"/>
        </w:tabs>
        <w:suppressAutoHyphens/>
        <w:kinsoku w:val="0"/>
        <w:overflowPunct w:val="0"/>
        <w:autoSpaceDE w:val="0"/>
        <w:autoSpaceDN w:val="0"/>
        <w:snapToGrid w:val="0"/>
        <w:rPr>
          <w:lang w:val="es-ES"/>
        </w:rPr>
      </w:pPr>
      <w:r w:rsidRPr="009C674E">
        <w:rPr>
          <w:bCs/>
          <w:kern w:val="22"/>
          <w:szCs w:val="22"/>
          <w:lang w:val="es-ES"/>
        </w:rPr>
        <w:t>El objetivo</w:t>
      </w:r>
      <w:r w:rsidR="006E1F4A" w:rsidRPr="009C674E">
        <w:rPr>
          <w:bCs/>
          <w:lang w:val="es-ES"/>
        </w:rPr>
        <w:t xml:space="preserve"> 2 </w:t>
      </w:r>
      <w:r w:rsidRPr="009C674E">
        <w:rPr>
          <w:bCs/>
          <w:lang w:val="es-ES"/>
        </w:rPr>
        <w:t xml:space="preserve">de </w:t>
      </w:r>
      <w:r>
        <w:rPr>
          <w:bCs/>
          <w:lang w:val="es-ES"/>
        </w:rPr>
        <w:t xml:space="preserve">la </w:t>
      </w:r>
      <w:r w:rsidRPr="009C674E">
        <w:rPr>
          <w:lang w:val="es-ES"/>
        </w:rPr>
        <w:t xml:space="preserve">esfera de actividad </w:t>
      </w:r>
      <w:r>
        <w:rPr>
          <w:lang w:val="es-ES"/>
        </w:rPr>
        <w:t>de</w:t>
      </w:r>
      <w:r w:rsidRPr="009C674E">
        <w:rPr>
          <w:lang w:val="es-ES"/>
        </w:rPr>
        <w:t xml:space="preserve"> la diversidad biológica del FMAM-8 </w:t>
      </w:r>
      <w:r>
        <w:rPr>
          <w:lang w:val="es-ES"/>
        </w:rPr>
        <w:t>aborda e</w:t>
      </w:r>
      <w:r w:rsidRPr="009C674E">
        <w:rPr>
          <w:lang w:val="es-ES"/>
        </w:rPr>
        <w:t>l apoyo para la aplicación efectiva del Protocolo de Cartagena</w:t>
      </w:r>
      <w:r w:rsidR="00186B4B">
        <w:rPr>
          <w:rStyle w:val="FootnoteReference"/>
          <w:bCs/>
          <w:lang w:val="en-US"/>
        </w:rPr>
        <w:footnoteReference w:id="4"/>
      </w:r>
      <w:r w:rsidRPr="009C674E">
        <w:rPr>
          <w:bCs/>
          <w:lang w:val="es-ES"/>
        </w:rPr>
        <w:t xml:space="preserve">. </w:t>
      </w:r>
      <w:r>
        <w:rPr>
          <w:bCs/>
          <w:lang w:val="es-ES"/>
        </w:rPr>
        <w:t xml:space="preserve">Con arreglo a este </w:t>
      </w:r>
      <w:r w:rsidRPr="003572FE">
        <w:rPr>
          <w:lang w:val="es-ES"/>
        </w:rPr>
        <w:t xml:space="preserve">objetivo, el FMAM apoyará la ratificación del Protocolo por los países que aún no lo hayan hecho y la aplicación de los marcos nacionales de seguridad de la biotecnología. </w:t>
      </w:r>
      <w:r w:rsidR="003572FE">
        <w:rPr>
          <w:lang w:val="es-ES"/>
        </w:rPr>
        <w:t>La finalidad</w:t>
      </w:r>
      <w:r w:rsidRPr="003572FE">
        <w:rPr>
          <w:lang w:val="es-ES"/>
        </w:rPr>
        <w:t xml:space="preserve"> de la inversión del FMAM es crear capacidad para asegurar que los países cuenten con marcos nacionales funcionales de seguridad biológica y cumplan plenamente los requisitos del Protocolo y hayan movilizado recursos suficientes para apoyar la aplicación del Protocolo. </w:t>
      </w:r>
      <w:r w:rsidR="00635CF4" w:rsidRPr="00635CF4">
        <w:rPr>
          <w:lang w:val="es-ES"/>
        </w:rPr>
        <w:t>Las Partes recibirán apoyo para aplicar las disposiciones del Protocolo, incluidas las relativas a la creación de capacidad para evaluar y gestionar riesgos en el contexto de proyectos impulsados por los propios países, y al fomento de la concienciación, educación y participación del público en lo relativo a la seguridad de la transferencia, manipulación y uso de lo</w:t>
      </w:r>
      <w:r w:rsidR="00635CF4">
        <w:rPr>
          <w:lang w:val="es-ES"/>
        </w:rPr>
        <w:t xml:space="preserve">s organismos vivos modificados. </w:t>
      </w:r>
      <w:r w:rsidRPr="00635CF4">
        <w:rPr>
          <w:lang w:val="es-ES"/>
        </w:rPr>
        <w:t xml:space="preserve">Además, el FMAM apoyará la actualización y revisión de los marcos nacionales de </w:t>
      </w:r>
      <w:r w:rsidR="00635CF4">
        <w:rPr>
          <w:lang w:val="es-ES"/>
        </w:rPr>
        <w:t xml:space="preserve">seguridad de la biotecnología </w:t>
      </w:r>
      <w:r w:rsidRPr="00635CF4">
        <w:rPr>
          <w:lang w:val="es-ES"/>
        </w:rPr>
        <w:t xml:space="preserve">y los planes de acción </w:t>
      </w:r>
      <w:r w:rsidR="00635CF4">
        <w:rPr>
          <w:lang w:val="es-ES"/>
        </w:rPr>
        <w:t xml:space="preserve">para el </w:t>
      </w:r>
      <w:r w:rsidRPr="00635CF4">
        <w:rPr>
          <w:lang w:val="es-ES"/>
        </w:rPr>
        <w:t xml:space="preserve">cumplimiento existentes para adaptarse a la reglamentación y el uso seguro de las nuevas biotecnologías a fin de que los países puedan abordar la biología sintética de conformidad con las disposiciones del Protocolo. </w:t>
      </w:r>
      <w:r w:rsidRPr="00F03643">
        <w:rPr>
          <w:lang w:val="es-ES"/>
        </w:rPr>
        <w:t xml:space="preserve">El FMAM apoyará proyectos temáticos que aborden algunas de las disposiciones específicas del Protocolo de Cartagena. </w:t>
      </w:r>
      <w:r w:rsidRPr="004624A4">
        <w:rPr>
          <w:lang w:val="es-ES"/>
        </w:rPr>
        <w:t xml:space="preserve">Los proyectos temáticos también abordarán el enfoque integrado previsto en el proyecto de marco mundial </w:t>
      </w:r>
      <w:r w:rsidR="004624A4" w:rsidRPr="004624A4">
        <w:rPr>
          <w:lang w:val="es-ES"/>
        </w:rPr>
        <w:t>de</w:t>
      </w:r>
      <w:r w:rsidRPr="004624A4">
        <w:rPr>
          <w:lang w:val="es-ES"/>
        </w:rPr>
        <w:t xml:space="preserve"> la diversidad biológica </w:t>
      </w:r>
      <w:r w:rsidR="004624A4" w:rsidRPr="004624A4">
        <w:rPr>
          <w:lang w:val="es-ES"/>
        </w:rPr>
        <w:t xml:space="preserve">posterior a </w:t>
      </w:r>
      <w:r w:rsidRPr="004624A4">
        <w:rPr>
          <w:lang w:val="es-ES"/>
        </w:rPr>
        <w:t xml:space="preserve">2020 y el plan de aplicación </w:t>
      </w:r>
      <w:r w:rsidR="004624A4">
        <w:rPr>
          <w:lang w:val="es-ES"/>
        </w:rPr>
        <w:t xml:space="preserve">posterior a </w:t>
      </w:r>
      <w:r w:rsidRPr="004624A4">
        <w:rPr>
          <w:lang w:val="es-ES"/>
        </w:rPr>
        <w:t xml:space="preserve">2020 y el plan de acción para </w:t>
      </w:r>
      <w:r w:rsidR="004624A4">
        <w:rPr>
          <w:lang w:val="es-ES"/>
        </w:rPr>
        <w:t>la creación</w:t>
      </w:r>
      <w:r w:rsidRPr="004624A4">
        <w:rPr>
          <w:lang w:val="es-ES"/>
        </w:rPr>
        <w:t xml:space="preserve"> de capacidad para el Protocolo de Cartagena. </w:t>
      </w:r>
      <w:r w:rsidRPr="00F03643">
        <w:rPr>
          <w:lang w:val="es-ES"/>
        </w:rPr>
        <w:t xml:space="preserve">Esos proyectos deberían elaborarse a nivel regional o subregional y basarse en un conjunto común de objetivos y oportunidades para aplicar el Protocolo más allá de la elaboración y aplicación de marcos nacionales de seguridad de la biotecnología. </w:t>
      </w:r>
      <w:r w:rsidRPr="004C315E">
        <w:rPr>
          <w:lang w:val="es-ES"/>
        </w:rPr>
        <w:t>El FMAM también prestará apoyo para la ratificac</w:t>
      </w:r>
      <w:r w:rsidR="004C315E" w:rsidRPr="004C315E">
        <w:rPr>
          <w:lang w:val="es-ES"/>
        </w:rPr>
        <w:t xml:space="preserve">ión y aplicación del Protocolo Suplementario </w:t>
      </w:r>
      <w:r w:rsidRPr="004C315E">
        <w:rPr>
          <w:lang w:val="es-ES"/>
        </w:rPr>
        <w:t xml:space="preserve">de Nagoya-Kuala Lumpur sobre </w:t>
      </w:r>
      <w:r w:rsidR="004C315E" w:rsidRPr="004C315E">
        <w:rPr>
          <w:lang w:val="es-ES"/>
        </w:rPr>
        <w:t>R</w:t>
      </w:r>
      <w:r w:rsidRPr="004C315E">
        <w:rPr>
          <w:lang w:val="es-ES"/>
        </w:rPr>
        <w:t xml:space="preserve">esponsabilidad y </w:t>
      </w:r>
      <w:r w:rsidR="004C315E" w:rsidRPr="004C315E">
        <w:rPr>
          <w:lang w:val="es-ES"/>
        </w:rPr>
        <w:t>Compensaci</w:t>
      </w:r>
      <w:r w:rsidR="004C315E">
        <w:rPr>
          <w:lang w:val="es-ES"/>
        </w:rPr>
        <w:t>ón</w:t>
      </w:r>
      <w:r w:rsidRPr="004C315E">
        <w:rPr>
          <w:lang w:val="es-ES"/>
        </w:rPr>
        <w:t xml:space="preserve">. </w:t>
      </w:r>
      <w:r w:rsidRPr="00F03643">
        <w:rPr>
          <w:lang w:val="es-ES"/>
        </w:rPr>
        <w:t>También se prestará especial atención a la creación de capacidad y la cooperación regional para apoyar la aplicación efectiva del Protocolo Suplementario.</w:t>
      </w:r>
      <w:r w:rsidR="003572FE" w:rsidRPr="00F03643">
        <w:rPr>
          <w:lang w:val="es-ES"/>
        </w:rPr>
        <w:t xml:space="preserve"> </w:t>
      </w:r>
      <w:r w:rsidR="003572FE" w:rsidRPr="003572FE">
        <w:rPr>
          <w:lang w:val="es-ES"/>
        </w:rPr>
        <w:t xml:space="preserve">El Programa Integrado de Sistemas Alimentarios ha sido identificado como una de las inversiones de programación asociadas que contribuirá al logro de los objetivos de acción del marco mundial de </w:t>
      </w:r>
      <w:r w:rsidR="004C315E">
        <w:rPr>
          <w:lang w:val="es-ES"/>
        </w:rPr>
        <w:t xml:space="preserve">la diversidad biológica posterior a </w:t>
      </w:r>
      <w:r w:rsidR="003572FE" w:rsidRPr="003572FE">
        <w:rPr>
          <w:lang w:val="es-ES"/>
        </w:rPr>
        <w:t>2020 relacionados con la seguridad de la biotecnología.</w:t>
      </w:r>
    </w:p>
    <w:p w14:paraId="6B736DCD" w14:textId="77777777" w:rsidR="00FC3821" w:rsidRPr="006E61FB" w:rsidRDefault="006E61FB" w:rsidP="00682861">
      <w:pPr>
        <w:pStyle w:val="Para1"/>
        <w:numPr>
          <w:ilvl w:val="0"/>
          <w:numId w:val="6"/>
        </w:numPr>
        <w:suppressLineNumbers/>
        <w:tabs>
          <w:tab w:val="clear" w:pos="360"/>
          <w:tab w:val="num" w:pos="720"/>
        </w:tabs>
        <w:suppressAutoHyphens/>
        <w:kinsoku w:val="0"/>
        <w:overflowPunct w:val="0"/>
        <w:autoSpaceDE w:val="0"/>
        <w:autoSpaceDN w:val="0"/>
        <w:snapToGrid w:val="0"/>
        <w:rPr>
          <w:lang w:val="es-ES"/>
        </w:rPr>
      </w:pPr>
      <w:r w:rsidRPr="006E61FB">
        <w:rPr>
          <w:lang w:val="es-ES"/>
        </w:rPr>
        <w:t xml:space="preserve">El Protocolo de </w:t>
      </w:r>
      <w:r w:rsidR="00B26CF5" w:rsidRPr="006E61FB">
        <w:rPr>
          <w:bCs/>
          <w:kern w:val="22"/>
          <w:szCs w:val="22"/>
          <w:lang w:val="es-ES"/>
        </w:rPr>
        <w:t>Cartagena</w:t>
      </w:r>
      <w:r w:rsidR="00B26CF5" w:rsidRPr="006E61FB">
        <w:rPr>
          <w:lang w:val="es-ES"/>
        </w:rPr>
        <w:t xml:space="preserve"> </w:t>
      </w:r>
      <w:r w:rsidRPr="006E61FB">
        <w:rPr>
          <w:lang w:val="es-ES"/>
        </w:rPr>
        <w:t xml:space="preserve">también se beneficiará de las actividades prioritarias que recibirán apoyo a través de la esfera de actividad reservada para actividades de apoyo. Se prestará apoyo para elaborar el informe nacional </w:t>
      </w:r>
      <w:r>
        <w:rPr>
          <w:lang w:val="es-ES"/>
        </w:rPr>
        <w:t>para e</w:t>
      </w:r>
      <w:r w:rsidRPr="006E61FB">
        <w:rPr>
          <w:lang w:val="es-ES"/>
        </w:rPr>
        <w:t>l Protocolo de Cartagena como parte de las actividades previstas en el marco del objetivo 3 de la esfera de actividad sobre la diversidad biológica.</w:t>
      </w:r>
    </w:p>
    <w:p w14:paraId="6B736DCE" w14:textId="77777777" w:rsidR="009E74CD" w:rsidRPr="006E61FB" w:rsidRDefault="006E61FB" w:rsidP="00682861">
      <w:pPr>
        <w:pStyle w:val="Para1"/>
        <w:numPr>
          <w:ilvl w:val="0"/>
          <w:numId w:val="6"/>
        </w:numPr>
        <w:suppressLineNumbers/>
        <w:tabs>
          <w:tab w:val="clear" w:pos="360"/>
          <w:tab w:val="num" w:pos="720"/>
        </w:tabs>
        <w:suppressAutoHyphens/>
        <w:kinsoku w:val="0"/>
        <w:overflowPunct w:val="0"/>
        <w:autoSpaceDE w:val="0"/>
        <w:autoSpaceDN w:val="0"/>
        <w:snapToGrid w:val="0"/>
        <w:rPr>
          <w:lang w:val="es-ES"/>
        </w:rPr>
      </w:pPr>
      <w:r w:rsidRPr="006E61FB">
        <w:rPr>
          <w:lang w:val="es-ES"/>
        </w:rPr>
        <w:t>Además</w:t>
      </w:r>
      <w:r w:rsidR="00F056E3" w:rsidRPr="006E61FB">
        <w:rPr>
          <w:lang w:val="es-ES"/>
        </w:rPr>
        <w:t xml:space="preserve">, </w:t>
      </w:r>
      <w:r>
        <w:rPr>
          <w:lang w:val="es-ES"/>
        </w:rPr>
        <w:t xml:space="preserve">la </w:t>
      </w:r>
      <w:r w:rsidRPr="006E61FB">
        <w:rPr>
          <w:lang w:val="es-ES"/>
        </w:rPr>
        <w:t xml:space="preserve">inclusión de una meta específica relacionada con la seguridad de la biotecnología en el marco mundial </w:t>
      </w:r>
      <w:r>
        <w:rPr>
          <w:lang w:val="es-ES"/>
        </w:rPr>
        <w:t>de</w:t>
      </w:r>
      <w:r w:rsidRPr="006E61FB">
        <w:rPr>
          <w:lang w:val="es-ES"/>
        </w:rPr>
        <w:t xml:space="preserve"> la diversidad biológica </w:t>
      </w:r>
      <w:r>
        <w:rPr>
          <w:lang w:val="es-ES"/>
        </w:rPr>
        <w:t>posterior a</w:t>
      </w:r>
      <w:r w:rsidRPr="006E61FB">
        <w:rPr>
          <w:lang w:val="es-ES"/>
        </w:rPr>
        <w:t xml:space="preserve"> 2020 brindaría una oportunidad adicional para apoyar las actividades relacionadas con el Protocolo de Cartagena como parte de la aplicación del marco mundial.</w:t>
      </w:r>
    </w:p>
    <w:p w14:paraId="6B736DCF" w14:textId="77777777" w:rsidR="007B458A" w:rsidRPr="006346BB" w:rsidRDefault="0008465D" w:rsidP="00D34FA0">
      <w:pPr>
        <w:pStyle w:val="Para1"/>
        <w:keepNext/>
        <w:numPr>
          <w:ilvl w:val="0"/>
          <w:numId w:val="0"/>
        </w:numPr>
        <w:suppressLineNumbers/>
        <w:suppressAutoHyphens/>
        <w:kinsoku w:val="0"/>
        <w:overflowPunct w:val="0"/>
        <w:autoSpaceDE w:val="0"/>
        <w:autoSpaceDN w:val="0"/>
        <w:snapToGrid w:val="0"/>
        <w:jc w:val="center"/>
        <w:outlineLvl w:val="1"/>
        <w:rPr>
          <w:b/>
          <w:lang w:val="es-ES"/>
        </w:rPr>
      </w:pPr>
      <w:r w:rsidRPr="006346BB">
        <w:rPr>
          <w:b/>
          <w:lang w:val="es-ES"/>
        </w:rPr>
        <w:t>D.</w:t>
      </w:r>
      <w:r w:rsidR="007056B7" w:rsidRPr="006346BB">
        <w:rPr>
          <w:b/>
          <w:lang w:val="es-ES"/>
        </w:rPr>
        <w:tab/>
      </w:r>
      <w:r w:rsidR="007B458A" w:rsidRPr="006346BB">
        <w:rPr>
          <w:b/>
          <w:lang w:val="es-ES"/>
        </w:rPr>
        <w:t>S</w:t>
      </w:r>
      <w:r w:rsidR="006346BB" w:rsidRPr="006346BB">
        <w:rPr>
          <w:b/>
          <w:lang w:val="es-ES"/>
        </w:rPr>
        <w:t xml:space="preserve">exto examen de la eficacia </w:t>
      </w:r>
      <w:r w:rsidR="006346BB">
        <w:rPr>
          <w:b/>
          <w:lang w:val="es-ES"/>
        </w:rPr>
        <w:t xml:space="preserve">del mecanismo financiero </w:t>
      </w:r>
    </w:p>
    <w:p w14:paraId="6B736DD0" w14:textId="77777777" w:rsidR="007B458A" w:rsidRPr="006346BB" w:rsidRDefault="006346BB" w:rsidP="00682861">
      <w:pPr>
        <w:pStyle w:val="Para1"/>
        <w:numPr>
          <w:ilvl w:val="0"/>
          <w:numId w:val="6"/>
        </w:numPr>
        <w:suppressLineNumbers/>
        <w:tabs>
          <w:tab w:val="clear" w:pos="360"/>
          <w:tab w:val="num" w:pos="720"/>
        </w:tabs>
        <w:suppressAutoHyphens/>
        <w:kinsoku w:val="0"/>
        <w:overflowPunct w:val="0"/>
        <w:autoSpaceDE w:val="0"/>
        <w:autoSpaceDN w:val="0"/>
        <w:snapToGrid w:val="0"/>
        <w:rPr>
          <w:lang w:val="es-ES"/>
        </w:rPr>
      </w:pPr>
      <w:r w:rsidRPr="006346BB">
        <w:rPr>
          <w:lang w:val="es-ES"/>
        </w:rPr>
        <w:t>En la decisión 14/23, las Partes pidieron a la Secretaria Ejecutiva que t</w:t>
      </w:r>
      <w:r>
        <w:rPr>
          <w:lang w:val="es-ES"/>
        </w:rPr>
        <w:t>uviera</w:t>
      </w:r>
      <w:r w:rsidRPr="006346BB">
        <w:rPr>
          <w:lang w:val="es-ES"/>
        </w:rPr>
        <w:t xml:space="preserve"> en cuenta la experiencia adquirida en los exámenes anteriores de la eficacia del mecanismo financiero en la preparación del mandato para el sexto examen de la eficacia del mecanismo financiero, para que sea examinada por la Conferencia de las Partes en su 15ª reunión</w:t>
      </w:r>
      <w:r w:rsidR="007B458A" w:rsidRPr="006346BB">
        <w:rPr>
          <w:lang w:val="es-ES"/>
        </w:rPr>
        <w:t xml:space="preserve">. </w:t>
      </w:r>
      <w:r w:rsidRPr="006346BB">
        <w:rPr>
          <w:lang w:val="es-ES"/>
        </w:rPr>
        <w:t xml:space="preserve">En su tercera reunión, el Órgano Subsidiario </w:t>
      </w:r>
      <w:r>
        <w:rPr>
          <w:lang w:val="es-ES"/>
        </w:rPr>
        <w:t xml:space="preserve">sobre la Aplicación </w:t>
      </w:r>
      <w:r w:rsidRPr="006346BB">
        <w:rPr>
          <w:lang w:val="es-ES"/>
        </w:rPr>
        <w:t xml:space="preserve">examinó el proyecto de mandato preparado por </w:t>
      </w:r>
      <w:r>
        <w:rPr>
          <w:lang w:val="es-ES"/>
        </w:rPr>
        <w:t>la</w:t>
      </w:r>
      <w:r w:rsidRPr="006346BB">
        <w:rPr>
          <w:lang w:val="es-ES"/>
        </w:rPr>
        <w:t xml:space="preserve"> Secretari</w:t>
      </w:r>
      <w:r>
        <w:rPr>
          <w:lang w:val="es-ES"/>
        </w:rPr>
        <w:t>a</w:t>
      </w:r>
      <w:r w:rsidRPr="006346BB">
        <w:rPr>
          <w:lang w:val="es-ES"/>
        </w:rPr>
        <w:t xml:space="preserve"> Ejecutiv</w:t>
      </w:r>
      <w:r>
        <w:rPr>
          <w:lang w:val="es-ES"/>
        </w:rPr>
        <w:t>a</w:t>
      </w:r>
      <w:r w:rsidRPr="006346BB">
        <w:rPr>
          <w:lang w:val="es-ES"/>
        </w:rPr>
        <w:t xml:space="preserve"> y el </w:t>
      </w:r>
      <w:r>
        <w:rPr>
          <w:lang w:val="es-ES"/>
        </w:rPr>
        <w:t>mandato propuesto</w:t>
      </w:r>
      <w:r w:rsidRPr="006346BB">
        <w:rPr>
          <w:lang w:val="es-ES"/>
        </w:rPr>
        <w:t xml:space="preserve"> para </w:t>
      </w:r>
      <w:r>
        <w:rPr>
          <w:lang w:val="es-ES"/>
        </w:rPr>
        <w:t xml:space="preserve">someterlos al </w:t>
      </w:r>
      <w:r w:rsidRPr="006346BB">
        <w:rPr>
          <w:lang w:val="es-ES"/>
        </w:rPr>
        <w:t xml:space="preserve">examen </w:t>
      </w:r>
      <w:r>
        <w:rPr>
          <w:lang w:val="es-ES"/>
        </w:rPr>
        <w:t>de</w:t>
      </w:r>
      <w:r w:rsidRPr="006346BB">
        <w:rPr>
          <w:lang w:val="es-ES"/>
        </w:rPr>
        <w:t xml:space="preserve"> la Conferencia de las Partes en su 15ª reunión, que figura en el anexo III de la recomendación 3/7 del Órgano Subsidiario</w:t>
      </w:r>
      <w:r w:rsidR="007B458A" w:rsidRPr="006346BB">
        <w:rPr>
          <w:lang w:val="es-ES"/>
        </w:rPr>
        <w:t>.</w:t>
      </w:r>
    </w:p>
    <w:p w14:paraId="6B736DD1" w14:textId="77777777" w:rsidR="007B458A" w:rsidRPr="006346BB" w:rsidRDefault="006346BB" w:rsidP="00682861">
      <w:pPr>
        <w:pStyle w:val="Para1"/>
        <w:numPr>
          <w:ilvl w:val="0"/>
          <w:numId w:val="6"/>
        </w:numPr>
        <w:suppressLineNumbers/>
        <w:tabs>
          <w:tab w:val="clear" w:pos="360"/>
          <w:tab w:val="num" w:pos="720"/>
        </w:tabs>
        <w:suppressAutoHyphens/>
        <w:kinsoku w:val="0"/>
        <w:overflowPunct w:val="0"/>
        <w:autoSpaceDE w:val="0"/>
        <w:autoSpaceDN w:val="0"/>
        <w:snapToGrid w:val="0"/>
        <w:rPr>
          <w:lang w:val="es-ES"/>
        </w:rPr>
      </w:pPr>
      <w:r w:rsidRPr="006346BB">
        <w:rPr>
          <w:lang w:val="es-ES"/>
        </w:rPr>
        <w:t>En el sexto examen se examinará la eficacia del mecanismo financiero para la aplicación de</w:t>
      </w:r>
      <w:r>
        <w:rPr>
          <w:lang w:val="es-ES"/>
        </w:rPr>
        <w:t>l Convenio</w:t>
      </w:r>
      <w:r w:rsidRPr="006346BB">
        <w:rPr>
          <w:lang w:val="es-ES"/>
        </w:rPr>
        <w:t xml:space="preserve"> y sus Protocolos. A este respecto, las Partes en el Protocolo de Cartagena sobre Seguridad de la Biotecnología podrían beneficiarse de participar activamente en el examen y compartir sus experiencias en el acceso y la utilización de los recursos del FMAM. Este examen será un instrumento clave para lograr </w:t>
      </w:r>
      <w:r w:rsidRPr="006346BB">
        <w:rPr>
          <w:lang w:val="es-ES"/>
        </w:rPr>
        <w:lastRenderedPageBreak/>
        <w:t>una comprensión más clara del contexto específico subyacente que ha dado lugar a una baja utilización de l</w:t>
      </w:r>
      <w:r>
        <w:rPr>
          <w:lang w:val="es-ES"/>
        </w:rPr>
        <w:t>a financiación as</w:t>
      </w:r>
      <w:r w:rsidRPr="006346BB">
        <w:rPr>
          <w:lang w:val="es-ES"/>
        </w:rPr>
        <w:t>ignad</w:t>
      </w:r>
      <w:r>
        <w:rPr>
          <w:lang w:val="es-ES"/>
        </w:rPr>
        <w:t>a</w:t>
      </w:r>
      <w:r w:rsidRPr="006346BB">
        <w:rPr>
          <w:lang w:val="es-ES"/>
        </w:rPr>
        <w:t xml:space="preserve"> por el FMAM para apoyar la aplicación del Protocolo de Cartagena. El examen brindará la oportunidad de comprender mejor la contribución de las actividades de seguridad de la biotecnología a los objetivos estratégicos de</w:t>
      </w:r>
      <w:r w:rsidR="0075170F">
        <w:rPr>
          <w:lang w:val="es-ES"/>
        </w:rPr>
        <w:t xml:space="preserve">l elemento de la </w:t>
      </w:r>
      <w:r w:rsidRPr="006346BB">
        <w:rPr>
          <w:lang w:val="es-ES"/>
        </w:rPr>
        <w:t>diversidad biológica en el marco de la séptima reposición y al fortalecimiento de la capacidad de aplicación del Protoco</w:t>
      </w:r>
      <w:r w:rsidR="0075170F">
        <w:rPr>
          <w:lang w:val="es-ES"/>
        </w:rPr>
        <w:t>lo</w:t>
      </w:r>
      <w:r w:rsidR="00036839" w:rsidRPr="006346BB">
        <w:rPr>
          <w:lang w:val="es-ES"/>
        </w:rPr>
        <w:t>.</w:t>
      </w:r>
    </w:p>
    <w:p w14:paraId="6B736DD2" w14:textId="77777777" w:rsidR="0078484B" w:rsidRPr="00D34FA0" w:rsidRDefault="00734AA3" w:rsidP="00D34FA0">
      <w:pPr>
        <w:pStyle w:val="Para1"/>
        <w:keepNext/>
        <w:numPr>
          <w:ilvl w:val="0"/>
          <w:numId w:val="0"/>
        </w:numPr>
        <w:suppressLineNumbers/>
        <w:suppressAutoHyphens/>
        <w:kinsoku w:val="0"/>
        <w:overflowPunct w:val="0"/>
        <w:autoSpaceDE w:val="0"/>
        <w:autoSpaceDN w:val="0"/>
        <w:snapToGrid w:val="0"/>
        <w:spacing w:before="240"/>
        <w:jc w:val="center"/>
        <w:outlineLvl w:val="0"/>
        <w:rPr>
          <w:rFonts w:ascii="Times New Roman Bold" w:hAnsi="Times New Roman Bold"/>
        </w:rPr>
      </w:pPr>
      <w:r>
        <w:rPr>
          <w:rFonts w:ascii="Times New Roman Bold" w:hAnsi="Times New Roman Bold"/>
          <w:b/>
          <w:caps/>
        </w:rPr>
        <w:t>III.</w:t>
      </w:r>
      <w:r>
        <w:rPr>
          <w:rFonts w:ascii="Times New Roman Bold" w:hAnsi="Times New Roman Bold"/>
          <w:b/>
          <w:caps/>
        </w:rPr>
        <w:tab/>
      </w:r>
      <w:r w:rsidR="0078484B" w:rsidRPr="00D34FA0">
        <w:rPr>
          <w:rFonts w:ascii="Times New Roman Bold" w:hAnsi="Times New Roman Bold"/>
          <w:b/>
          <w:caps/>
        </w:rPr>
        <w:t>Conclusion</w:t>
      </w:r>
      <w:r w:rsidR="0075170F">
        <w:rPr>
          <w:rFonts w:ascii="Times New Roman Bold" w:hAnsi="Times New Roman Bold"/>
          <w:b/>
          <w:caps/>
        </w:rPr>
        <w:t>E</w:t>
      </w:r>
      <w:r w:rsidR="0078484B" w:rsidRPr="00D34FA0">
        <w:rPr>
          <w:rFonts w:ascii="Times New Roman Bold" w:hAnsi="Times New Roman Bold"/>
          <w:b/>
          <w:caps/>
        </w:rPr>
        <w:t>s</w:t>
      </w:r>
    </w:p>
    <w:p w14:paraId="6B736DD3" w14:textId="77777777" w:rsidR="00FC3821" w:rsidRPr="006524E5" w:rsidRDefault="006524E5" w:rsidP="00682861">
      <w:pPr>
        <w:pStyle w:val="Para1"/>
        <w:numPr>
          <w:ilvl w:val="0"/>
          <w:numId w:val="6"/>
        </w:numPr>
        <w:suppressLineNumbers/>
        <w:tabs>
          <w:tab w:val="clear" w:pos="360"/>
          <w:tab w:val="num" w:pos="720"/>
        </w:tabs>
        <w:suppressAutoHyphens/>
        <w:kinsoku w:val="0"/>
        <w:overflowPunct w:val="0"/>
        <w:autoSpaceDE w:val="0"/>
        <w:autoSpaceDN w:val="0"/>
        <w:snapToGrid w:val="0"/>
        <w:rPr>
          <w:bCs/>
          <w:kern w:val="22"/>
          <w:szCs w:val="22"/>
          <w:lang w:val="es-ES"/>
        </w:rPr>
      </w:pPr>
      <w:r w:rsidRPr="006524E5">
        <w:rPr>
          <w:bCs/>
          <w:kern w:val="22"/>
          <w:szCs w:val="22"/>
          <w:lang w:val="es-ES"/>
        </w:rPr>
        <w:t>Aunque el FMAM</w:t>
      </w:r>
      <w:r w:rsidR="00505DC9" w:rsidRPr="006524E5">
        <w:rPr>
          <w:bCs/>
          <w:kern w:val="22"/>
          <w:szCs w:val="22"/>
          <w:lang w:val="es-ES"/>
        </w:rPr>
        <w:t>,</w:t>
      </w:r>
      <w:r w:rsidR="0075170F" w:rsidRPr="006524E5">
        <w:rPr>
          <w:bCs/>
          <w:kern w:val="22"/>
          <w:szCs w:val="22"/>
          <w:lang w:val="es-ES"/>
        </w:rPr>
        <w:t xml:space="preserve"> </w:t>
      </w:r>
      <w:r>
        <w:rPr>
          <w:bCs/>
          <w:kern w:val="22"/>
          <w:szCs w:val="22"/>
          <w:lang w:val="es-ES"/>
        </w:rPr>
        <w:t>a través de s</w:t>
      </w:r>
      <w:r w:rsidRPr="006524E5">
        <w:rPr>
          <w:bCs/>
          <w:kern w:val="22"/>
          <w:szCs w:val="22"/>
          <w:lang w:val="es-ES"/>
        </w:rPr>
        <w:t xml:space="preserve">u séptimo ciclo de reposición, ha seguido facilitando fondos a las Partes para que los utilicen en la aplicación del Protocolo de Cartagena sobre Seguridad de la Biotecnología y el Protocolo Suplementario de Nagoya-Kuala Lumpur sobre Responsabilidad y </w:t>
      </w:r>
      <w:r>
        <w:rPr>
          <w:bCs/>
          <w:kern w:val="22"/>
          <w:szCs w:val="22"/>
          <w:lang w:val="es-ES"/>
        </w:rPr>
        <w:t>Compensa</w:t>
      </w:r>
      <w:r w:rsidRPr="006524E5">
        <w:rPr>
          <w:bCs/>
          <w:kern w:val="22"/>
          <w:szCs w:val="22"/>
          <w:lang w:val="es-ES"/>
        </w:rPr>
        <w:t>ción, la utilización de estos recursos por las Partes ha sido limitada. Los procesos de ratificación se vieron directamente influidos por la iniciación, y especialmente la finalización, de los proyectos del FMAM. Las actividades de apoyo apoyadas por el FMAM para la preparación de informes nacionales y el proyecto de la tercera fase del Centro de Intercambio de Información sobre Seguridad de la Biotecnología (</w:t>
      </w:r>
      <w:r>
        <w:rPr>
          <w:bCs/>
          <w:kern w:val="22"/>
          <w:szCs w:val="22"/>
          <w:lang w:val="es-ES"/>
        </w:rPr>
        <w:t>CIIS</w:t>
      </w:r>
      <w:r w:rsidRPr="006524E5">
        <w:rPr>
          <w:bCs/>
          <w:kern w:val="22"/>
          <w:szCs w:val="22"/>
          <w:lang w:val="es-ES"/>
        </w:rPr>
        <w:t>B III) desempeñan un papel importante en el apoyo a la aplicación del Protocolo.</w:t>
      </w:r>
      <w:r w:rsidR="002B5573" w:rsidRPr="006524E5">
        <w:rPr>
          <w:bCs/>
          <w:kern w:val="22"/>
          <w:szCs w:val="22"/>
          <w:lang w:val="es-ES"/>
        </w:rPr>
        <w:t xml:space="preserve"> </w:t>
      </w:r>
    </w:p>
    <w:p w14:paraId="6B736DD4" w14:textId="77777777" w:rsidR="00505DC9" w:rsidRPr="00062BA1" w:rsidRDefault="006524E5" w:rsidP="00682861">
      <w:pPr>
        <w:pStyle w:val="Para1"/>
        <w:numPr>
          <w:ilvl w:val="0"/>
          <w:numId w:val="6"/>
        </w:numPr>
        <w:suppressLineNumbers/>
        <w:tabs>
          <w:tab w:val="clear" w:pos="360"/>
          <w:tab w:val="num" w:pos="720"/>
        </w:tabs>
        <w:suppressAutoHyphens/>
        <w:kinsoku w:val="0"/>
        <w:overflowPunct w:val="0"/>
        <w:autoSpaceDE w:val="0"/>
        <w:autoSpaceDN w:val="0"/>
        <w:snapToGrid w:val="0"/>
        <w:rPr>
          <w:bCs/>
          <w:kern w:val="22"/>
          <w:szCs w:val="22"/>
          <w:lang w:val="es-ES"/>
        </w:rPr>
      </w:pPr>
      <w:r w:rsidRPr="006524E5">
        <w:rPr>
          <w:bCs/>
          <w:kern w:val="22"/>
          <w:szCs w:val="22"/>
          <w:lang w:val="es-ES"/>
        </w:rPr>
        <w:t xml:space="preserve">Un </w:t>
      </w:r>
      <w:r w:rsidR="008C7CDC" w:rsidRPr="006524E5">
        <w:rPr>
          <w:bCs/>
          <w:kern w:val="22"/>
          <w:szCs w:val="22"/>
          <w:lang w:val="es-ES"/>
        </w:rPr>
        <w:t xml:space="preserve">total </w:t>
      </w:r>
      <w:r w:rsidRPr="006524E5">
        <w:rPr>
          <w:bCs/>
          <w:kern w:val="22"/>
          <w:szCs w:val="22"/>
          <w:lang w:val="es-ES"/>
        </w:rPr>
        <w:t>de</w:t>
      </w:r>
      <w:r w:rsidR="008C7CDC" w:rsidRPr="006524E5">
        <w:rPr>
          <w:bCs/>
          <w:kern w:val="22"/>
          <w:szCs w:val="22"/>
          <w:lang w:val="es-ES"/>
        </w:rPr>
        <w:t xml:space="preserve"> </w:t>
      </w:r>
      <w:r w:rsidR="00AE524A" w:rsidRPr="006524E5">
        <w:rPr>
          <w:bCs/>
          <w:kern w:val="22"/>
          <w:szCs w:val="22"/>
          <w:lang w:val="es-ES"/>
        </w:rPr>
        <w:t xml:space="preserve">71 </w:t>
      </w:r>
      <w:r w:rsidRPr="006524E5">
        <w:rPr>
          <w:bCs/>
          <w:kern w:val="22"/>
          <w:szCs w:val="22"/>
          <w:lang w:val="es-ES"/>
        </w:rPr>
        <w:t xml:space="preserve">países </w:t>
      </w:r>
      <w:r w:rsidRPr="00062BA1">
        <w:rPr>
          <w:bCs/>
          <w:kern w:val="22"/>
          <w:szCs w:val="22"/>
          <w:lang w:val="es-ES"/>
        </w:rPr>
        <w:t>que reúnen las condiciones aún no han solicitado apoyo para aplicar sus marcos nacionales de seguridad de la biotecnología utilizando las modalidades del FMAM. Esto significa que todavía hay muchas Partes que podrían solicitar apoyo.</w:t>
      </w:r>
    </w:p>
    <w:p w14:paraId="6B736DD5" w14:textId="77777777" w:rsidR="006E1F4A" w:rsidRPr="00F03643" w:rsidRDefault="00F03643" w:rsidP="00682861">
      <w:pPr>
        <w:pStyle w:val="Para1"/>
        <w:numPr>
          <w:ilvl w:val="0"/>
          <w:numId w:val="6"/>
        </w:numPr>
        <w:suppressLineNumbers/>
        <w:tabs>
          <w:tab w:val="clear" w:pos="360"/>
          <w:tab w:val="num" w:pos="720"/>
        </w:tabs>
        <w:suppressAutoHyphens/>
        <w:kinsoku w:val="0"/>
        <w:overflowPunct w:val="0"/>
        <w:autoSpaceDE w:val="0"/>
        <w:autoSpaceDN w:val="0"/>
        <w:snapToGrid w:val="0"/>
        <w:rPr>
          <w:bCs/>
          <w:kern w:val="22"/>
          <w:szCs w:val="22"/>
          <w:lang w:val="es-ES"/>
        </w:rPr>
      </w:pPr>
      <w:r w:rsidRPr="00F03643">
        <w:rPr>
          <w:bCs/>
          <w:kern w:val="22"/>
          <w:szCs w:val="22"/>
          <w:lang w:val="es-ES"/>
        </w:rPr>
        <w:t>La</w:t>
      </w:r>
      <w:r>
        <w:rPr>
          <w:bCs/>
          <w:kern w:val="22"/>
          <w:szCs w:val="22"/>
          <w:lang w:val="es-ES"/>
        </w:rPr>
        <w:t xml:space="preserve"> estructura</w:t>
      </w:r>
      <w:r w:rsidRPr="00F03643">
        <w:rPr>
          <w:bCs/>
          <w:kern w:val="22"/>
          <w:szCs w:val="22"/>
          <w:lang w:val="es-ES"/>
        </w:rPr>
        <w:t xml:space="preserve"> y el contenido del marco cuatrienal de pri</w:t>
      </w:r>
      <w:r>
        <w:rPr>
          <w:bCs/>
          <w:kern w:val="22"/>
          <w:szCs w:val="22"/>
          <w:lang w:val="es-ES"/>
        </w:rPr>
        <w:t>oridades programáticas orientado</w:t>
      </w:r>
      <w:r w:rsidRPr="00F03643">
        <w:rPr>
          <w:bCs/>
          <w:kern w:val="22"/>
          <w:szCs w:val="22"/>
          <w:lang w:val="es-ES"/>
        </w:rPr>
        <w:t xml:space="preserve"> a los resultados para el octavo período de reposición del Fondo Fiduciario del FMAM incluye</w:t>
      </w:r>
      <w:r>
        <w:rPr>
          <w:bCs/>
          <w:kern w:val="22"/>
          <w:szCs w:val="22"/>
          <w:lang w:val="es-ES"/>
        </w:rPr>
        <w:t>n</w:t>
      </w:r>
      <w:r w:rsidRPr="00F03643">
        <w:rPr>
          <w:bCs/>
          <w:kern w:val="22"/>
          <w:szCs w:val="22"/>
          <w:lang w:val="es-ES"/>
        </w:rPr>
        <w:t xml:space="preserve"> elementos del proyecto de plan de aplicación y del plan de acción </w:t>
      </w:r>
      <w:r>
        <w:rPr>
          <w:bCs/>
          <w:kern w:val="22"/>
          <w:szCs w:val="22"/>
          <w:lang w:val="es-ES"/>
        </w:rPr>
        <w:t xml:space="preserve">para la creación </w:t>
      </w:r>
      <w:r w:rsidRPr="00F03643">
        <w:rPr>
          <w:bCs/>
          <w:kern w:val="22"/>
          <w:szCs w:val="22"/>
          <w:lang w:val="es-ES"/>
        </w:rPr>
        <w:t xml:space="preserve">de capacidad </w:t>
      </w:r>
      <w:r>
        <w:rPr>
          <w:bCs/>
          <w:kern w:val="22"/>
          <w:szCs w:val="22"/>
          <w:lang w:val="es-ES"/>
        </w:rPr>
        <w:t xml:space="preserve">para </w:t>
      </w:r>
      <w:r w:rsidRPr="00F03643">
        <w:rPr>
          <w:bCs/>
          <w:kern w:val="22"/>
          <w:szCs w:val="22"/>
          <w:lang w:val="es-ES"/>
        </w:rPr>
        <w:t>el Protocolo de Cartagena (CBD/SBI/3/18) y los resultados de la cuarta evaluación y revisión del Protocolo de Cartagena sobre Seguridad de la Biotecnología, ya que todos ellos proporcionan información útil sobre las medidas de seguridad de la biotecnología adoptadas por las Partes que podría</w:t>
      </w:r>
      <w:r>
        <w:rPr>
          <w:bCs/>
          <w:kern w:val="22"/>
          <w:szCs w:val="22"/>
          <w:lang w:val="es-ES"/>
        </w:rPr>
        <w:t>n</w:t>
      </w:r>
      <w:r w:rsidRPr="00F03643">
        <w:rPr>
          <w:bCs/>
          <w:kern w:val="22"/>
          <w:szCs w:val="22"/>
          <w:lang w:val="es-ES"/>
        </w:rPr>
        <w:t xml:space="preserve"> ser informativa</w:t>
      </w:r>
      <w:r>
        <w:rPr>
          <w:bCs/>
          <w:kern w:val="22"/>
          <w:szCs w:val="22"/>
          <w:lang w:val="es-ES"/>
        </w:rPr>
        <w:t>s</w:t>
      </w:r>
      <w:r w:rsidRPr="00F03643">
        <w:rPr>
          <w:bCs/>
          <w:kern w:val="22"/>
          <w:szCs w:val="22"/>
          <w:lang w:val="es-ES"/>
        </w:rPr>
        <w:t xml:space="preserve"> en la planificación de las próximas orientaciones</w:t>
      </w:r>
      <w:r>
        <w:rPr>
          <w:bCs/>
          <w:kern w:val="22"/>
          <w:szCs w:val="22"/>
          <w:lang w:val="es-ES"/>
        </w:rPr>
        <w:t xml:space="preserve"> programáticas</w:t>
      </w:r>
      <w:r w:rsidR="006E1F4A" w:rsidRPr="00F03643">
        <w:rPr>
          <w:bCs/>
          <w:kern w:val="22"/>
          <w:szCs w:val="22"/>
          <w:lang w:val="es-ES"/>
        </w:rPr>
        <w:t>.</w:t>
      </w:r>
    </w:p>
    <w:p w14:paraId="6B736DD6" w14:textId="77777777" w:rsidR="003D7D8A" w:rsidRPr="005B18B9" w:rsidRDefault="005B18B9" w:rsidP="00682861">
      <w:pPr>
        <w:pStyle w:val="Para1"/>
        <w:numPr>
          <w:ilvl w:val="0"/>
          <w:numId w:val="6"/>
        </w:numPr>
        <w:suppressLineNumbers/>
        <w:tabs>
          <w:tab w:val="clear" w:pos="360"/>
          <w:tab w:val="num" w:pos="720"/>
        </w:tabs>
        <w:suppressAutoHyphens/>
        <w:kinsoku w:val="0"/>
        <w:overflowPunct w:val="0"/>
        <w:autoSpaceDE w:val="0"/>
        <w:autoSpaceDN w:val="0"/>
        <w:snapToGrid w:val="0"/>
        <w:rPr>
          <w:bCs/>
          <w:kern w:val="22"/>
          <w:szCs w:val="22"/>
          <w:lang w:val="es-ES"/>
        </w:rPr>
      </w:pPr>
      <w:r w:rsidRPr="005B18B9">
        <w:rPr>
          <w:bCs/>
          <w:kern w:val="22"/>
          <w:szCs w:val="22"/>
          <w:lang w:val="es-ES"/>
        </w:rPr>
        <w:t xml:space="preserve">La seguridad de la biotecnología es un </w:t>
      </w:r>
      <w:r>
        <w:rPr>
          <w:bCs/>
          <w:kern w:val="22"/>
          <w:szCs w:val="22"/>
          <w:lang w:val="es-ES"/>
        </w:rPr>
        <w:t>área</w:t>
      </w:r>
      <w:r w:rsidRPr="005B18B9">
        <w:rPr>
          <w:bCs/>
          <w:lang w:val="es-ES"/>
        </w:rPr>
        <w:t xml:space="preserve"> altamente técnica y especializada. La competencia necesaria para la plena aplicación del Protocolo de Cartagena requiere una </w:t>
      </w:r>
      <w:r>
        <w:rPr>
          <w:bCs/>
          <w:lang w:val="es-ES"/>
        </w:rPr>
        <w:t xml:space="preserve">capacitación </w:t>
      </w:r>
      <w:r w:rsidRPr="005B18B9">
        <w:rPr>
          <w:bCs/>
          <w:lang w:val="es-ES"/>
        </w:rPr>
        <w:t>sistemática y a largo plazo del personal.</w:t>
      </w:r>
      <w:r>
        <w:rPr>
          <w:bCs/>
          <w:lang w:val="es-ES"/>
        </w:rPr>
        <w:t xml:space="preserve"> </w:t>
      </w:r>
      <w:r w:rsidRPr="005B18B9">
        <w:rPr>
          <w:bCs/>
          <w:lang w:val="es-ES"/>
        </w:rPr>
        <w:t xml:space="preserve">Además, en el contexto de la cuarta evaluación y </w:t>
      </w:r>
      <w:r>
        <w:rPr>
          <w:bCs/>
          <w:lang w:val="es-ES"/>
        </w:rPr>
        <w:t xml:space="preserve">revisión </w:t>
      </w:r>
      <w:r w:rsidRPr="005B18B9">
        <w:rPr>
          <w:bCs/>
          <w:lang w:val="es-ES"/>
        </w:rPr>
        <w:t xml:space="preserve">del Protocolo y la evaluación final del Plan Estratégico del Protocolo de Cartagena sobre Seguridad de la Biotecnología para el período 2011-2020, el Órgano Subsidiario </w:t>
      </w:r>
      <w:r>
        <w:rPr>
          <w:bCs/>
          <w:lang w:val="es-ES"/>
        </w:rPr>
        <w:t>sobre la</w:t>
      </w:r>
      <w:r w:rsidRPr="005B18B9">
        <w:rPr>
          <w:bCs/>
          <w:lang w:val="es-ES"/>
        </w:rPr>
        <w:t xml:space="preserve"> Aplicación en su tercera reunión recomendó que la Conferencia de las Partes </w:t>
      </w:r>
      <w:r>
        <w:rPr>
          <w:bCs/>
          <w:lang w:val="es-ES"/>
        </w:rPr>
        <w:t xml:space="preserve">que actúa como </w:t>
      </w:r>
      <w:r w:rsidRPr="005B18B9">
        <w:rPr>
          <w:bCs/>
          <w:lang w:val="es-ES"/>
        </w:rPr>
        <w:t xml:space="preserve">reunión de las Partes en el Protocolo </w:t>
      </w:r>
      <w:r>
        <w:rPr>
          <w:bCs/>
          <w:lang w:val="es-ES"/>
        </w:rPr>
        <w:t>observara</w:t>
      </w:r>
      <w:r w:rsidRPr="005B18B9">
        <w:rPr>
          <w:bCs/>
          <w:lang w:val="es-ES"/>
        </w:rPr>
        <w:t xml:space="preserve"> con preocupación de que s</w:t>
      </w:r>
      <w:r>
        <w:rPr>
          <w:bCs/>
          <w:lang w:val="es-ES"/>
        </w:rPr>
        <w:t>o</w:t>
      </w:r>
      <w:r w:rsidRPr="005B18B9">
        <w:rPr>
          <w:bCs/>
          <w:lang w:val="es-ES"/>
        </w:rPr>
        <w:t>lo aproximadamente la mitad de las P</w:t>
      </w:r>
      <w:r>
        <w:rPr>
          <w:bCs/>
          <w:lang w:val="es-ES"/>
        </w:rPr>
        <w:t>artes en el Protocolo había</w:t>
      </w:r>
      <w:r w:rsidRPr="005B18B9">
        <w:rPr>
          <w:bCs/>
          <w:lang w:val="es-ES"/>
        </w:rPr>
        <w:t xml:space="preserve"> establecido plenamente medidas administrativas y de otra índole para la aplicación del Protocolo, e instar</w:t>
      </w:r>
      <w:r>
        <w:rPr>
          <w:bCs/>
          <w:lang w:val="es-ES"/>
        </w:rPr>
        <w:t>a</w:t>
      </w:r>
      <w:r w:rsidRPr="005B18B9">
        <w:rPr>
          <w:bCs/>
          <w:lang w:val="es-ES"/>
        </w:rPr>
        <w:t xml:space="preserve"> a las Partes que aún no lo h</w:t>
      </w:r>
      <w:r>
        <w:rPr>
          <w:bCs/>
          <w:lang w:val="es-ES"/>
        </w:rPr>
        <w:t>ubieran</w:t>
      </w:r>
      <w:r w:rsidRPr="005B18B9">
        <w:rPr>
          <w:bCs/>
          <w:lang w:val="es-ES"/>
        </w:rPr>
        <w:t xml:space="preserve"> hecho plenamente a que establezcan sus marcos nacionales de seguridad </w:t>
      </w:r>
      <w:r w:rsidR="00AE163E">
        <w:rPr>
          <w:bCs/>
          <w:lang w:val="es-ES"/>
        </w:rPr>
        <w:t>de la biotecnología</w:t>
      </w:r>
      <w:r w:rsidRPr="005B18B9">
        <w:rPr>
          <w:bCs/>
          <w:lang w:val="es-ES"/>
        </w:rPr>
        <w:t xml:space="preserve">, en </w:t>
      </w:r>
      <w:r w:rsidR="00AE163E">
        <w:rPr>
          <w:bCs/>
          <w:lang w:val="es-ES"/>
        </w:rPr>
        <w:t xml:space="preserve">especial leyes </w:t>
      </w:r>
      <w:r w:rsidRPr="005B18B9">
        <w:rPr>
          <w:bCs/>
          <w:lang w:val="es-ES"/>
        </w:rPr>
        <w:t xml:space="preserve">sobre seguridad </w:t>
      </w:r>
      <w:r w:rsidR="00AE163E">
        <w:rPr>
          <w:bCs/>
          <w:lang w:val="es-ES"/>
        </w:rPr>
        <w:t>de la biotecnología</w:t>
      </w:r>
      <w:r w:rsidRPr="005B18B9">
        <w:rPr>
          <w:bCs/>
          <w:lang w:val="es-ES"/>
        </w:rPr>
        <w:t xml:space="preserve">, como cuestión prioritaria </w:t>
      </w:r>
      <w:r w:rsidR="003D7D8A" w:rsidRPr="005B18B9">
        <w:rPr>
          <w:bCs/>
          <w:lang w:val="es-ES"/>
        </w:rPr>
        <w:t>(</w:t>
      </w:r>
      <w:r w:rsidR="00531AEB" w:rsidRPr="005B18B9">
        <w:rPr>
          <w:bCs/>
          <w:lang w:val="es-ES"/>
        </w:rPr>
        <w:t>recomenda</w:t>
      </w:r>
      <w:r w:rsidR="00AE163E">
        <w:rPr>
          <w:bCs/>
          <w:lang w:val="es-ES"/>
        </w:rPr>
        <w:t>ción</w:t>
      </w:r>
      <w:r w:rsidR="00531AEB" w:rsidRPr="005B18B9">
        <w:rPr>
          <w:bCs/>
          <w:lang w:val="es-ES"/>
        </w:rPr>
        <w:t xml:space="preserve"> 3/2</w:t>
      </w:r>
      <w:r w:rsidR="00B17F95" w:rsidRPr="005B18B9">
        <w:rPr>
          <w:bCs/>
          <w:lang w:val="es-ES"/>
        </w:rPr>
        <w:t xml:space="preserve"> </w:t>
      </w:r>
      <w:r w:rsidR="00AE163E">
        <w:rPr>
          <w:bCs/>
          <w:lang w:val="es-ES"/>
        </w:rPr>
        <w:t>del Órgano Subsidiario</w:t>
      </w:r>
      <w:r w:rsidR="003D7D8A" w:rsidRPr="005B18B9">
        <w:rPr>
          <w:bCs/>
          <w:lang w:val="es-ES"/>
        </w:rPr>
        <w:t>).</w:t>
      </w:r>
    </w:p>
    <w:p w14:paraId="6B736DD7" w14:textId="77777777" w:rsidR="0095599D" w:rsidRPr="00AE163E" w:rsidRDefault="00AE163E" w:rsidP="00682861">
      <w:pPr>
        <w:pStyle w:val="Para1"/>
        <w:numPr>
          <w:ilvl w:val="0"/>
          <w:numId w:val="6"/>
        </w:numPr>
        <w:suppressLineNumbers/>
        <w:tabs>
          <w:tab w:val="clear" w:pos="360"/>
          <w:tab w:val="num" w:pos="720"/>
        </w:tabs>
        <w:suppressAutoHyphens/>
        <w:kinsoku w:val="0"/>
        <w:overflowPunct w:val="0"/>
        <w:autoSpaceDE w:val="0"/>
        <w:autoSpaceDN w:val="0"/>
        <w:snapToGrid w:val="0"/>
        <w:rPr>
          <w:bCs/>
          <w:kern w:val="22"/>
          <w:szCs w:val="22"/>
          <w:lang w:val="es-ES"/>
        </w:rPr>
      </w:pPr>
      <w:r w:rsidRPr="00AE163E">
        <w:rPr>
          <w:bCs/>
          <w:kern w:val="22"/>
          <w:szCs w:val="22"/>
          <w:lang w:val="es-ES"/>
        </w:rPr>
        <w:t xml:space="preserve">En esta etapa se desconoce claramente cuántas solicitudes de proyectos de </w:t>
      </w:r>
      <w:r>
        <w:rPr>
          <w:bCs/>
          <w:kern w:val="22"/>
          <w:szCs w:val="22"/>
          <w:lang w:val="es-ES"/>
        </w:rPr>
        <w:t xml:space="preserve">seguridad de la biotecnología </w:t>
      </w:r>
      <w:r w:rsidRPr="00AE163E">
        <w:rPr>
          <w:bCs/>
          <w:kern w:val="22"/>
          <w:szCs w:val="22"/>
          <w:lang w:val="es-ES"/>
        </w:rPr>
        <w:t xml:space="preserve">presentarán las Partes al FMAM durante el octavo ciclo de </w:t>
      </w:r>
      <w:r>
        <w:rPr>
          <w:bCs/>
          <w:kern w:val="22"/>
          <w:szCs w:val="22"/>
          <w:lang w:val="es-ES"/>
        </w:rPr>
        <w:t>reposición</w:t>
      </w:r>
      <w:r w:rsidRPr="00AE163E">
        <w:rPr>
          <w:bCs/>
          <w:kern w:val="22"/>
          <w:szCs w:val="22"/>
          <w:lang w:val="es-ES"/>
        </w:rPr>
        <w:t xml:space="preserve">, pero si esos países deciden utilizar parte de sus asignaciones del FMAM para la </w:t>
      </w:r>
      <w:r>
        <w:rPr>
          <w:bCs/>
          <w:kern w:val="22"/>
          <w:szCs w:val="22"/>
          <w:lang w:val="es-ES"/>
        </w:rPr>
        <w:t>seguridad de la biotecnología</w:t>
      </w:r>
      <w:r w:rsidRPr="00AE163E">
        <w:rPr>
          <w:bCs/>
          <w:kern w:val="22"/>
          <w:szCs w:val="22"/>
          <w:lang w:val="es-ES"/>
        </w:rPr>
        <w:t xml:space="preserve">, el nivel mundial de aplicación y cumplimiento del Protocolo podría mejorar </w:t>
      </w:r>
      <w:r>
        <w:rPr>
          <w:bCs/>
          <w:kern w:val="22"/>
          <w:szCs w:val="22"/>
          <w:lang w:val="es-ES"/>
        </w:rPr>
        <w:t>considerable</w:t>
      </w:r>
      <w:r w:rsidRPr="00AE163E">
        <w:rPr>
          <w:bCs/>
          <w:kern w:val="22"/>
          <w:szCs w:val="22"/>
          <w:lang w:val="es-ES"/>
        </w:rPr>
        <w:t xml:space="preserve">mente. Además, la ratificación y la aceptación del Protocolo Suplementario de Nagoya-Kuala Lumpur sobre Responsabilidad y Compensación también podrían verse positivamente afectadas si las Partes decidieran utilizar los fondos del FMAM en proyectos de </w:t>
      </w:r>
      <w:r>
        <w:rPr>
          <w:bCs/>
          <w:kern w:val="22"/>
          <w:szCs w:val="22"/>
          <w:lang w:val="es-ES"/>
        </w:rPr>
        <w:t>seguridad de la biotecnología</w:t>
      </w:r>
      <w:r w:rsidR="00BC1696" w:rsidRPr="00AE163E">
        <w:rPr>
          <w:bCs/>
          <w:kern w:val="22"/>
          <w:szCs w:val="22"/>
          <w:lang w:val="es-ES"/>
        </w:rPr>
        <w:t>.</w:t>
      </w:r>
    </w:p>
    <w:p w14:paraId="6B736DD8" w14:textId="77777777" w:rsidR="002F31C1" w:rsidRPr="004D0339" w:rsidRDefault="004D0339" w:rsidP="00682861">
      <w:pPr>
        <w:pStyle w:val="Para1"/>
        <w:numPr>
          <w:ilvl w:val="0"/>
          <w:numId w:val="6"/>
        </w:numPr>
        <w:suppressLineNumbers/>
        <w:tabs>
          <w:tab w:val="clear" w:pos="360"/>
          <w:tab w:val="num" w:pos="720"/>
        </w:tabs>
        <w:suppressAutoHyphens/>
        <w:kinsoku w:val="0"/>
        <w:overflowPunct w:val="0"/>
        <w:autoSpaceDE w:val="0"/>
        <w:autoSpaceDN w:val="0"/>
        <w:snapToGrid w:val="0"/>
        <w:rPr>
          <w:bCs/>
          <w:lang w:val="es-ES"/>
        </w:rPr>
      </w:pPr>
      <w:r w:rsidRPr="004D0339">
        <w:rPr>
          <w:bCs/>
          <w:kern w:val="22"/>
          <w:szCs w:val="22"/>
          <w:lang w:val="es-ES"/>
        </w:rPr>
        <w:t xml:space="preserve">Las novedades relativas al componente de movilización de recursos del marco mundial </w:t>
      </w:r>
      <w:r>
        <w:rPr>
          <w:bCs/>
          <w:kern w:val="22"/>
          <w:szCs w:val="22"/>
          <w:lang w:val="es-ES"/>
        </w:rPr>
        <w:t>de</w:t>
      </w:r>
      <w:r w:rsidRPr="004D0339">
        <w:rPr>
          <w:bCs/>
          <w:kern w:val="22"/>
          <w:szCs w:val="22"/>
          <w:lang w:val="es-ES"/>
        </w:rPr>
        <w:t xml:space="preserve"> la diversidad biológica </w:t>
      </w:r>
      <w:r>
        <w:rPr>
          <w:bCs/>
          <w:kern w:val="22"/>
          <w:szCs w:val="22"/>
          <w:lang w:val="es-ES"/>
        </w:rPr>
        <w:t xml:space="preserve">posterior a </w:t>
      </w:r>
      <w:r w:rsidRPr="004D0339">
        <w:rPr>
          <w:bCs/>
          <w:kern w:val="22"/>
          <w:szCs w:val="22"/>
          <w:lang w:val="es-ES"/>
        </w:rPr>
        <w:t xml:space="preserve">2020 también </w:t>
      </w:r>
      <w:r>
        <w:rPr>
          <w:bCs/>
          <w:kern w:val="22"/>
          <w:szCs w:val="22"/>
          <w:lang w:val="es-ES"/>
        </w:rPr>
        <w:t xml:space="preserve">son pertinentes para </w:t>
      </w:r>
      <w:r w:rsidRPr="004D0339">
        <w:rPr>
          <w:bCs/>
          <w:kern w:val="22"/>
          <w:szCs w:val="22"/>
          <w:lang w:val="es-ES"/>
        </w:rPr>
        <w:t xml:space="preserve">el Protocolo de Cartagena sobre Seguridad de la Biotecnología. Las Partes en el Protocolo tienen la oportunidad de incluir consideraciones </w:t>
      </w:r>
      <w:r>
        <w:rPr>
          <w:bCs/>
          <w:kern w:val="22"/>
          <w:szCs w:val="22"/>
          <w:lang w:val="es-ES"/>
        </w:rPr>
        <w:t xml:space="preserve">referentes a la seguridad de la biotecnología </w:t>
      </w:r>
      <w:r w:rsidRPr="004D0339">
        <w:rPr>
          <w:bCs/>
          <w:kern w:val="22"/>
          <w:szCs w:val="22"/>
          <w:lang w:val="es-ES"/>
        </w:rPr>
        <w:t xml:space="preserve">en la actualización y aplicación de los planes nacionales de financiación o instrumentos similares basados en estrategias y planes de acción nacionales </w:t>
      </w:r>
      <w:r>
        <w:rPr>
          <w:bCs/>
          <w:kern w:val="22"/>
          <w:szCs w:val="22"/>
          <w:lang w:val="es-ES"/>
        </w:rPr>
        <w:t>en materia de bi</w:t>
      </w:r>
      <w:r w:rsidRPr="004D0339">
        <w:rPr>
          <w:bCs/>
          <w:kern w:val="22"/>
          <w:szCs w:val="22"/>
          <w:lang w:val="es-ES"/>
        </w:rPr>
        <w:t xml:space="preserve">odiversidad, con vistas a movilizar los recursos adecuados para la aplicación efectiva del marco mundial </w:t>
      </w:r>
      <w:r>
        <w:rPr>
          <w:bCs/>
          <w:kern w:val="22"/>
          <w:szCs w:val="22"/>
          <w:lang w:val="es-ES"/>
        </w:rPr>
        <w:lastRenderedPageBreak/>
        <w:t>de</w:t>
      </w:r>
      <w:r w:rsidRPr="004D0339">
        <w:rPr>
          <w:bCs/>
          <w:kern w:val="22"/>
          <w:szCs w:val="22"/>
          <w:lang w:val="es-ES"/>
        </w:rPr>
        <w:t xml:space="preserve"> la diversidad biológica </w:t>
      </w:r>
      <w:r>
        <w:rPr>
          <w:bCs/>
          <w:kern w:val="22"/>
          <w:szCs w:val="22"/>
          <w:lang w:val="es-ES"/>
        </w:rPr>
        <w:t xml:space="preserve">posterior a </w:t>
      </w:r>
      <w:r w:rsidRPr="004D0339">
        <w:rPr>
          <w:bCs/>
          <w:kern w:val="22"/>
          <w:szCs w:val="22"/>
          <w:lang w:val="es-ES"/>
        </w:rPr>
        <w:t xml:space="preserve">2020. La </w:t>
      </w:r>
      <w:r>
        <w:rPr>
          <w:bCs/>
          <w:kern w:val="22"/>
          <w:szCs w:val="22"/>
          <w:lang w:val="es-ES"/>
        </w:rPr>
        <w:t xml:space="preserve">Conferencia de las Partes que actúa como </w:t>
      </w:r>
      <w:r w:rsidRPr="004D0339">
        <w:rPr>
          <w:bCs/>
          <w:kern w:val="22"/>
          <w:szCs w:val="22"/>
          <w:lang w:val="es-ES"/>
        </w:rPr>
        <w:t xml:space="preserve">reunión de las Partes en el Protocolo de Cartagena tal vez desee examinar la forma en que el componente de movilización de recursos del marco mundial </w:t>
      </w:r>
      <w:r>
        <w:rPr>
          <w:bCs/>
          <w:kern w:val="22"/>
          <w:szCs w:val="22"/>
          <w:lang w:val="es-ES"/>
        </w:rPr>
        <w:t>de</w:t>
      </w:r>
      <w:r w:rsidRPr="004D0339">
        <w:rPr>
          <w:bCs/>
          <w:kern w:val="22"/>
          <w:szCs w:val="22"/>
          <w:lang w:val="es-ES"/>
        </w:rPr>
        <w:t xml:space="preserve"> la diversidad biológica </w:t>
      </w:r>
      <w:r>
        <w:rPr>
          <w:bCs/>
          <w:kern w:val="22"/>
          <w:szCs w:val="22"/>
          <w:lang w:val="es-ES"/>
        </w:rPr>
        <w:t xml:space="preserve">posterior a </w:t>
      </w:r>
      <w:r w:rsidRPr="004D0339">
        <w:rPr>
          <w:bCs/>
          <w:kern w:val="22"/>
          <w:szCs w:val="22"/>
          <w:lang w:val="es-ES"/>
        </w:rPr>
        <w:t>2020 puede apoyar la aplicación del Protocolo, así como apoyar el logro de la meta pertinente d</w:t>
      </w:r>
      <w:r>
        <w:rPr>
          <w:bCs/>
          <w:kern w:val="22"/>
          <w:szCs w:val="22"/>
          <w:lang w:val="es-ES"/>
        </w:rPr>
        <w:t>e seguridad de la biotecnología</w:t>
      </w:r>
      <w:r w:rsidR="002B5573" w:rsidRPr="004D0339">
        <w:rPr>
          <w:bCs/>
          <w:kern w:val="22"/>
          <w:lang w:val="es-ES"/>
        </w:rPr>
        <w:t>.</w:t>
      </w:r>
    </w:p>
    <w:p w14:paraId="6B736DD9" w14:textId="77777777" w:rsidR="00631673" w:rsidRPr="004D0339" w:rsidRDefault="004D0339" w:rsidP="00682861">
      <w:pPr>
        <w:pStyle w:val="Para1"/>
        <w:numPr>
          <w:ilvl w:val="0"/>
          <w:numId w:val="6"/>
        </w:numPr>
        <w:suppressLineNumbers/>
        <w:tabs>
          <w:tab w:val="clear" w:pos="360"/>
          <w:tab w:val="num" w:pos="720"/>
        </w:tabs>
        <w:suppressAutoHyphens/>
        <w:kinsoku w:val="0"/>
        <w:overflowPunct w:val="0"/>
        <w:autoSpaceDE w:val="0"/>
        <w:autoSpaceDN w:val="0"/>
        <w:snapToGrid w:val="0"/>
        <w:rPr>
          <w:bCs/>
          <w:lang w:val="es-ES"/>
        </w:rPr>
      </w:pPr>
      <w:r w:rsidRPr="004D0339">
        <w:rPr>
          <w:bCs/>
          <w:kern w:val="22"/>
          <w:szCs w:val="22"/>
          <w:lang w:val="es-ES"/>
        </w:rPr>
        <w:t xml:space="preserve">El Comité de Cumplimiento </w:t>
      </w:r>
      <w:r w:rsidR="0065551E">
        <w:rPr>
          <w:bCs/>
          <w:kern w:val="22"/>
          <w:szCs w:val="22"/>
          <w:lang w:val="es-ES"/>
        </w:rPr>
        <w:t xml:space="preserve">en el marco </w:t>
      </w:r>
      <w:r>
        <w:rPr>
          <w:bCs/>
          <w:kern w:val="22"/>
          <w:szCs w:val="22"/>
          <w:lang w:val="es-ES"/>
        </w:rPr>
        <w:t>d</w:t>
      </w:r>
      <w:r w:rsidRPr="004D0339">
        <w:rPr>
          <w:bCs/>
          <w:kern w:val="22"/>
          <w:szCs w:val="22"/>
          <w:lang w:val="es-ES"/>
        </w:rPr>
        <w:t xml:space="preserve">el Protocolo de Cartagena sobre Seguridad de la Biotecnología formuló varias recomendaciones para </w:t>
      </w:r>
      <w:r w:rsidR="0065551E">
        <w:rPr>
          <w:bCs/>
          <w:kern w:val="22"/>
          <w:szCs w:val="22"/>
          <w:lang w:val="es-ES"/>
        </w:rPr>
        <w:t xml:space="preserve">someterlas a consideración de </w:t>
      </w:r>
      <w:r w:rsidRPr="004D0339">
        <w:rPr>
          <w:bCs/>
          <w:kern w:val="22"/>
          <w:szCs w:val="22"/>
          <w:lang w:val="es-ES"/>
        </w:rPr>
        <w:t xml:space="preserve">la Conferencia de las Partes </w:t>
      </w:r>
      <w:r w:rsidR="0065551E">
        <w:rPr>
          <w:bCs/>
          <w:kern w:val="22"/>
          <w:szCs w:val="22"/>
          <w:lang w:val="es-ES"/>
        </w:rPr>
        <w:t xml:space="preserve">que actúa como </w:t>
      </w:r>
      <w:r w:rsidRPr="004D0339">
        <w:rPr>
          <w:bCs/>
          <w:kern w:val="22"/>
          <w:szCs w:val="22"/>
          <w:lang w:val="es-ES"/>
        </w:rPr>
        <w:t>reunión de las Partes, como se indica en su informe</w:t>
      </w:r>
      <w:r w:rsidR="00A15A59" w:rsidRPr="003F0C14">
        <w:rPr>
          <w:rStyle w:val="FootnoteReference"/>
          <w:bCs/>
          <w:kern w:val="22"/>
          <w:szCs w:val="22"/>
        </w:rPr>
        <w:footnoteReference w:id="5"/>
      </w:r>
      <w:r w:rsidR="0065551E" w:rsidRPr="004D0339">
        <w:rPr>
          <w:bCs/>
          <w:kern w:val="22"/>
          <w:szCs w:val="22"/>
          <w:lang w:val="es-ES"/>
        </w:rPr>
        <w:t>.</w:t>
      </w:r>
    </w:p>
    <w:p w14:paraId="6B736DDA" w14:textId="77777777" w:rsidR="00E21230" w:rsidRPr="0065551E" w:rsidRDefault="00734AA3" w:rsidP="00D34FA0">
      <w:pPr>
        <w:pStyle w:val="Para1"/>
        <w:keepNext/>
        <w:numPr>
          <w:ilvl w:val="0"/>
          <w:numId w:val="0"/>
        </w:numPr>
        <w:suppressLineNumbers/>
        <w:suppressAutoHyphens/>
        <w:kinsoku w:val="0"/>
        <w:overflowPunct w:val="0"/>
        <w:autoSpaceDE w:val="0"/>
        <w:autoSpaceDN w:val="0"/>
        <w:snapToGrid w:val="0"/>
        <w:jc w:val="center"/>
        <w:outlineLvl w:val="0"/>
        <w:rPr>
          <w:b/>
          <w:lang w:val="es-ES"/>
        </w:rPr>
      </w:pPr>
      <w:r w:rsidRPr="0065551E">
        <w:rPr>
          <w:b/>
          <w:lang w:val="es-ES"/>
        </w:rPr>
        <w:t>IV.</w:t>
      </w:r>
      <w:r w:rsidRPr="0065551E">
        <w:rPr>
          <w:b/>
          <w:lang w:val="es-ES"/>
        </w:rPr>
        <w:tab/>
      </w:r>
      <w:r w:rsidR="0065551E" w:rsidRPr="0065551E">
        <w:rPr>
          <w:b/>
          <w:lang w:val="es-ES"/>
        </w:rPr>
        <w:t>ELEMENTOS PROPUESTOS DE UN PROYECTO DE DECISI</w:t>
      </w:r>
      <w:r w:rsidR="0065551E">
        <w:rPr>
          <w:b/>
          <w:lang w:val="es-ES"/>
        </w:rPr>
        <w:t>ÓN</w:t>
      </w:r>
    </w:p>
    <w:p w14:paraId="6B736DDB" w14:textId="77777777" w:rsidR="008B2772" w:rsidRPr="0065551E" w:rsidRDefault="0065551E" w:rsidP="00682861">
      <w:pPr>
        <w:pStyle w:val="Para1"/>
        <w:numPr>
          <w:ilvl w:val="0"/>
          <w:numId w:val="6"/>
        </w:numPr>
        <w:suppressLineNumbers/>
        <w:tabs>
          <w:tab w:val="clear" w:pos="360"/>
          <w:tab w:val="num" w:pos="720"/>
        </w:tabs>
        <w:suppressAutoHyphens/>
        <w:kinsoku w:val="0"/>
        <w:overflowPunct w:val="0"/>
        <w:autoSpaceDE w:val="0"/>
        <w:autoSpaceDN w:val="0"/>
        <w:snapToGrid w:val="0"/>
        <w:rPr>
          <w:kern w:val="22"/>
          <w:szCs w:val="22"/>
          <w:lang w:val="es-ES"/>
        </w:rPr>
      </w:pPr>
      <w:bookmarkStart w:id="4" w:name="_Hlk526085439"/>
      <w:r>
        <w:rPr>
          <w:szCs w:val="22"/>
          <w:lang w:val="es-ES"/>
        </w:rPr>
        <w:t>En vista de</w:t>
      </w:r>
      <w:r w:rsidRPr="0065551E">
        <w:rPr>
          <w:szCs w:val="22"/>
          <w:lang w:val="es-ES"/>
        </w:rPr>
        <w:t xml:space="preserve"> la información presentada </w:t>
      </w:r>
      <w:r w:rsidRPr="0065551E">
        <w:rPr>
          <w:i/>
          <w:szCs w:val="22"/>
          <w:lang w:val="es-ES"/>
        </w:rPr>
        <w:t>supra</w:t>
      </w:r>
      <w:r w:rsidRPr="0065551E">
        <w:rPr>
          <w:szCs w:val="22"/>
          <w:lang w:val="es-ES"/>
        </w:rPr>
        <w:t xml:space="preserve"> y teniendo en cuenta las recomendaciones formuladas por el Comité de Cumplimiento </w:t>
      </w:r>
      <w:r>
        <w:rPr>
          <w:szCs w:val="22"/>
          <w:lang w:val="es-ES"/>
        </w:rPr>
        <w:t>en el marco de</w:t>
      </w:r>
      <w:r w:rsidRPr="0065551E">
        <w:rPr>
          <w:szCs w:val="22"/>
          <w:lang w:val="es-ES"/>
        </w:rPr>
        <w:t>l Protocolo de Cartagena en relación con el mecanis</w:t>
      </w:r>
      <w:r w:rsidR="00B9199A">
        <w:rPr>
          <w:szCs w:val="22"/>
          <w:lang w:val="es-ES"/>
        </w:rPr>
        <w:t>mo y los recursos financiero</w:t>
      </w:r>
      <w:r w:rsidR="004D25E7" w:rsidRPr="0065551E">
        <w:rPr>
          <w:szCs w:val="22"/>
          <w:lang w:val="es-ES"/>
        </w:rPr>
        <w:t>s</w:t>
      </w:r>
      <w:r w:rsidR="0003287A" w:rsidRPr="003F0C14">
        <w:rPr>
          <w:rStyle w:val="FootnoteReference"/>
          <w:szCs w:val="22"/>
        </w:rPr>
        <w:footnoteReference w:id="6"/>
      </w:r>
      <w:r w:rsidR="00B9199A" w:rsidRPr="0065551E">
        <w:rPr>
          <w:szCs w:val="22"/>
          <w:lang w:val="es-ES"/>
        </w:rPr>
        <w:t>,</w:t>
      </w:r>
      <w:r w:rsidRPr="0065551E">
        <w:rPr>
          <w:szCs w:val="22"/>
          <w:lang w:val="es-ES"/>
        </w:rPr>
        <w:t xml:space="preserve"> </w:t>
      </w:r>
      <w:r w:rsidR="00B9199A">
        <w:rPr>
          <w:szCs w:val="22"/>
          <w:lang w:val="es-ES"/>
        </w:rPr>
        <w:t xml:space="preserve">la Conferencia de las Partes que actúa como </w:t>
      </w:r>
      <w:r w:rsidR="00B9199A" w:rsidRPr="0065551E">
        <w:rPr>
          <w:szCs w:val="22"/>
          <w:lang w:val="es-ES"/>
        </w:rPr>
        <w:t xml:space="preserve">reunión de las Partes en el Protocolo de Cartagena tal vez desee adoptar una decisión sobre la aplicación del artículo 28 relativo al mecanismo y los recursos financieros, </w:t>
      </w:r>
      <w:r w:rsidR="00B9199A">
        <w:rPr>
          <w:szCs w:val="22"/>
          <w:lang w:val="es-ES"/>
        </w:rPr>
        <w:t>del siguiente tenor</w:t>
      </w:r>
      <w:r w:rsidR="007B38B8" w:rsidRPr="0065551E">
        <w:rPr>
          <w:szCs w:val="22"/>
          <w:lang w:val="es-ES"/>
        </w:rPr>
        <w:t>:</w:t>
      </w:r>
    </w:p>
    <w:p w14:paraId="6B736DDC" w14:textId="77777777" w:rsidR="00372946" w:rsidRPr="00B9199A" w:rsidRDefault="00B9199A" w:rsidP="00682861">
      <w:pPr>
        <w:pStyle w:val="ListParagraph"/>
        <w:spacing w:before="120" w:after="120"/>
        <w:ind w:left="0" w:firstLine="720"/>
        <w:contextualSpacing w:val="0"/>
        <w:rPr>
          <w:i/>
          <w:iCs/>
          <w:szCs w:val="22"/>
          <w:lang w:val="es-ES"/>
        </w:rPr>
      </w:pPr>
      <w:r w:rsidRPr="00B9199A">
        <w:rPr>
          <w:i/>
          <w:iCs/>
          <w:szCs w:val="22"/>
          <w:lang w:val="es-ES"/>
        </w:rPr>
        <w:t xml:space="preserve">La Conferencia de las Partes que actúa como reunión de las Partes en el Protocolo de </w:t>
      </w:r>
      <w:r w:rsidR="00F501AC" w:rsidRPr="00B9199A">
        <w:rPr>
          <w:i/>
          <w:iCs/>
          <w:szCs w:val="22"/>
          <w:lang w:val="es-ES"/>
        </w:rPr>
        <w:t xml:space="preserve">Cartagena </w:t>
      </w:r>
      <w:r>
        <w:rPr>
          <w:i/>
          <w:iCs/>
          <w:szCs w:val="22"/>
          <w:lang w:val="es-ES"/>
        </w:rPr>
        <w:t>sobre Seguridad de la Biotecnología</w:t>
      </w:r>
    </w:p>
    <w:p w14:paraId="6B736DDD" w14:textId="77777777" w:rsidR="006E1F4A" w:rsidRPr="00B9199A" w:rsidRDefault="00843926" w:rsidP="00682861">
      <w:pPr>
        <w:spacing w:before="120" w:after="120"/>
        <w:ind w:firstLine="709"/>
        <w:rPr>
          <w:szCs w:val="22"/>
          <w:lang w:val="es-ES" w:eastAsia="en-GB"/>
        </w:rPr>
      </w:pPr>
      <w:r w:rsidRPr="00B9199A">
        <w:rPr>
          <w:szCs w:val="22"/>
          <w:lang w:val="es-ES" w:eastAsia="en-GB"/>
        </w:rPr>
        <w:t>1.</w:t>
      </w:r>
      <w:r w:rsidRPr="00B9199A">
        <w:rPr>
          <w:i/>
          <w:iCs/>
          <w:szCs w:val="22"/>
          <w:lang w:val="es-ES" w:eastAsia="en-GB"/>
        </w:rPr>
        <w:tab/>
      </w:r>
      <w:r w:rsidR="00B9199A" w:rsidRPr="00B9199A">
        <w:rPr>
          <w:i/>
          <w:iCs/>
          <w:szCs w:val="22"/>
          <w:lang w:val="es-ES" w:eastAsia="en-GB"/>
        </w:rPr>
        <w:t xml:space="preserve">Acoge con beneplácito </w:t>
      </w:r>
      <w:r w:rsidR="00B9199A" w:rsidRPr="00B9199A">
        <w:rPr>
          <w:szCs w:val="22"/>
          <w:lang w:val="es-ES" w:eastAsia="en-GB"/>
        </w:rPr>
        <w:t xml:space="preserve">la octava reposición del Fondo Fiduciario del Fondo para el Medio Ambiente Mundial y sus orientaciones </w:t>
      </w:r>
      <w:r w:rsidR="00B9199A">
        <w:rPr>
          <w:szCs w:val="22"/>
          <w:lang w:val="es-ES" w:eastAsia="en-GB"/>
        </w:rPr>
        <w:t>programáticas,</w:t>
      </w:r>
      <w:r w:rsidR="00B9199A" w:rsidRPr="00B9199A">
        <w:rPr>
          <w:szCs w:val="22"/>
          <w:lang w:val="es-ES" w:eastAsia="en-GB"/>
        </w:rPr>
        <w:t xml:space="preserve"> y el apoyo que ello proporciona a las Partes para la aplicación del Protocolo de Cartagena</w:t>
      </w:r>
      <w:r w:rsidR="00372946" w:rsidRPr="00B9199A">
        <w:rPr>
          <w:szCs w:val="22"/>
          <w:lang w:val="es-ES" w:eastAsia="en-GB"/>
        </w:rPr>
        <w:t>;</w:t>
      </w:r>
    </w:p>
    <w:p w14:paraId="6B736DDE" w14:textId="77777777" w:rsidR="00036839" w:rsidRPr="00B9199A" w:rsidRDefault="00843926" w:rsidP="00682861">
      <w:pPr>
        <w:spacing w:before="120" w:after="120"/>
        <w:ind w:firstLine="709"/>
        <w:rPr>
          <w:szCs w:val="22"/>
          <w:lang w:val="es-ES" w:eastAsia="en-GB"/>
        </w:rPr>
      </w:pPr>
      <w:r w:rsidRPr="00B9199A">
        <w:rPr>
          <w:szCs w:val="22"/>
          <w:lang w:val="es-ES" w:eastAsia="en-GB"/>
        </w:rPr>
        <w:t>2</w:t>
      </w:r>
      <w:r w:rsidRPr="00B9199A">
        <w:rPr>
          <w:i/>
          <w:iCs/>
          <w:szCs w:val="22"/>
          <w:lang w:val="es-ES" w:eastAsia="en-GB"/>
        </w:rPr>
        <w:t>.</w:t>
      </w:r>
      <w:r w:rsidRPr="00B9199A">
        <w:rPr>
          <w:i/>
          <w:iCs/>
          <w:szCs w:val="22"/>
          <w:lang w:val="es-ES" w:eastAsia="en-GB"/>
        </w:rPr>
        <w:tab/>
      </w:r>
      <w:r w:rsidR="00B9199A" w:rsidRPr="00B9199A">
        <w:rPr>
          <w:i/>
          <w:iCs/>
          <w:szCs w:val="22"/>
          <w:lang w:val="es-ES" w:eastAsia="en-GB"/>
        </w:rPr>
        <w:t>Observa con preocupación</w:t>
      </w:r>
      <w:r w:rsidR="00B9199A" w:rsidRPr="00B9199A">
        <w:rPr>
          <w:szCs w:val="22"/>
          <w:lang w:val="es-ES" w:eastAsia="en-GB"/>
        </w:rPr>
        <w:t xml:space="preserve"> que </w:t>
      </w:r>
      <w:r w:rsidR="00B9199A" w:rsidRPr="00B9199A">
        <w:rPr>
          <w:rFonts w:eastAsia="MS Mincho"/>
          <w:iCs/>
          <w:szCs w:val="22"/>
          <w:lang w:val="es-ES"/>
        </w:rPr>
        <w:t>se presentaron muy pocos proyectos para apoyar la aplicación del Protocolo de Cartagena sobre Seguridad de la Biotecnología durante el séptimo período de reposición del Fondo Fiduciario del Fondo para el Medio Ambiente Mundial</w:t>
      </w:r>
      <w:r w:rsidR="00DD1A24" w:rsidRPr="00B9199A">
        <w:rPr>
          <w:rFonts w:eastAsia="MS Mincho"/>
          <w:iCs/>
          <w:szCs w:val="22"/>
          <w:lang w:val="es-ES"/>
        </w:rPr>
        <w:t>;</w:t>
      </w:r>
    </w:p>
    <w:p w14:paraId="6B736DDF" w14:textId="77777777" w:rsidR="00372946" w:rsidRPr="00B9199A" w:rsidRDefault="00843926" w:rsidP="00682861">
      <w:pPr>
        <w:pStyle w:val="ListParagraph"/>
        <w:spacing w:before="120" w:after="120"/>
        <w:ind w:left="0" w:firstLine="709"/>
        <w:contextualSpacing w:val="0"/>
        <w:rPr>
          <w:szCs w:val="22"/>
          <w:lang w:val="es-ES"/>
        </w:rPr>
      </w:pPr>
      <w:r w:rsidRPr="00B9199A">
        <w:rPr>
          <w:szCs w:val="22"/>
          <w:lang w:val="es-ES"/>
        </w:rPr>
        <w:t>3.</w:t>
      </w:r>
      <w:r w:rsidRPr="00B9199A">
        <w:rPr>
          <w:i/>
          <w:iCs/>
          <w:szCs w:val="22"/>
          <w:lang w:val="es-ES"/>
        </w:rPr>
        <w:tab/>
      </w:r>
      <w:r w:rsidR="00F501AC" w:rsidRPr="00B9199A">
        <w:rPr>
          <w:i/>
          <w:iCs/>
          <w:szCs w:val="22"/>
          <w:lang w:val="es-ES"/>
        </w:rPr>
        <w:t>R</w:t>
      </w:r>
      <w:r w:rsidR="00372946" w:rsidRPr="00B9199A">
        <w:rPr>
          <w:i/>
          <w:iCs/>
          <w:szCs w:val="22"/>
          <w:lang w:val="es-ES"/>
        </w:rPr>
        <w:t>eco</w:t>
      </w:r>
      <w:r w:rsidR="00B9199A" w:rsidRPr="00B9199A">
        <w:rPr>
          <w:i/>
          <w:iCs/>
          <w:szCs w:val="22"/>
          <w:lang w:val="es-ES"/>
        </w:rPr>
        <w:t>mienda</w:t>
      </w:r>
      <w:r w:rsidR="00372946" w:rsidRPr="00B9199A">
        <w:rPr>
          <w:szCs w:val="22"/>
          <w:lang w:val="es-ES"/>
        </w:rPr>
        <w:t xml:space="preserve"> </w:t>
      </w:r>
      <w:r w:rsidR="00B9199A" w:rsidRPr="00B9199A">
        <w:rPr>
          <w:szCs w:val="22"/>
          <w:lang w:val="es-ES"/>
        </w:rPr>
        <w:t>a la Conferencia de las Partes que, en la orientación que brinde al Fondo para el Medio Ambiente Mundial respecto del apoyo para la aplicación del Protocolo de Cartagena, in</w:t>
      </w:r>
      <w:r w:rsidR="00FB77E0">
        <w:rPr>
          <w:szCs w:val="22"/>
          <w:lang w:val="es-ES"/>
        </w:rPr>
        <w:t>vite</w:t>
      </w:r>
      <w:r w:rsidR="00B9199A" w:rsidRPr="00B9199A">
        <w:rPr>
          <w:szCs w:val="22"/>
          <w:lang w:val="es-ES"/>
        </w:rPr>
        <w:t xml:space="preserve"> al FMAM a que</w:t>
      </w:r>
      <w:r w:rsidR="00372946" w:rsidRPr="00B9199A">
        <w:rPr>
          <w:szCs w:val="22"/>
          <w:lang w:val="es-ES"/>
        </w:rPr>
        <w:t>:</w:t>
      </w:r>
    </w:p>
    <w:p w14:paraId="6B736DE0" w14:textId="77777777" w:rsidR="00372946" w:rsidRPr="00AE7FCE" w:rsidRDefault="00FB77E0" w:rsidP="00D34FA0">
      <w:pPr>
        <w:spacing w:before="120" w:after="120"/>
        <w:ind w:firstLine="720"/>
        <w:rPr>
          <w:szCs w:val="22"/>
          <w:lang w:val="es-ES"/>
        </w:rPr>
      </w:pPr>
      <w:r w:rsidRPr="008147A1">
        <w:rPr>
          <w:szCs w:val="22"/>
          <w:lang w:val="es-ES"/>
        </w:rPr>
        <w:t xml:space="preserve"> </w:t>
      </w:r>
      <w:r w:rsidR="00843926" w:rsidRPr="00AE7FCE">
        <w:rPr>
          <w:szCs w:val="22"/>
          <w:lang w:val="es-ES"/>
        </w:rPr>
        <w:t>a)</w:t>
      </w:r>
      <w:r w:rsidR="00843926" w:rsidRPr="00AE7FCE">
        <w:rPr>
          <w:szCs w:val="22"/>
          <w:lang w:val="es-ES"/>
        </w:rPr>
        <w:tab/>
      </w:r>
      <w:r w:rsidR="00AE7FCE" w:rsidRPr="00AE7FCE">
        <w:rPr>
          <w:szCs w:val="22"/>
          <w:lang w:val="es-ES"/>
        </w:rPr>
        <w:t>Proporcione de manera oportuna fondos para apoyar a las Partes que reúnan los requisitos necesarios en la preparación y presentación de sus quintos informes nacionales</w:t>
      </w:r>
      <w:r w:rsidR="00372946" w:rsidRPr="00AE7FCE">
        <w:rPr>
          <w:szCs w:val="22"/>
          <w:lang w:val="es-ES"/>
        </w:rPr>
        <w:t>;</w:t>
      </w:r>
    </w:p>
    <w:p w14:paraId="6B736DE1" w14:textId="77777777" w:rsidR="00372946" w:rsidRPr="00AE7FCE" w:rsidRDefault="00FB77E0" w:rsidP="00D34FA0">
      <w:pPr>
        <w:spacing w:before="120" w:after="120"/>
        <w:ind w:firstLine="720"/>
        <w:rPr>
          <w:lang w:val="es-ES"/>
        </w:rPr>
      </w:pPr>
      <w:r w:rsidRPr="00AE7FCE">
        <w:rPr>
          <w:lang w:val="es-ES"/>
        </w:rPr>
        <w:t xml:space="preserve"> </w:t>
      </w:r>
      <w:r w:rsidR="00843926" w:rsidRPr="00AE7FCE">
        <w:rPr>
          <w:lang w:val="es-ES"/>
        </w:rPr>
        <w:t>b)</w:t>
      </w:r>
      <w:r w:rsidR="00843926" w:rsidRPr="00AE7FCE">
        <w:rPr>
          <w:lang w:val="es-ES"/>
        </w:rPr>
        <w:tab/>
      </w:r>
      <w:r w:rsidR="00AE7FCE" w:rsidRPr="00AE7FCE">
        <w:rPr>
          <w:lang w:val="es-ES"/>
        </w:rPr>
        <w:t>Proporcione fondos para apoyar a las Partes en la aplicación de los planes de acción para el cumplimiento del Protocolo</w:t>
      </w:r>
      <w:r w:rsidR="00372946" w:rsidRPr="00AE7FCE">
        <w:rPr>
          <w:lang w:val="es-ES"/>
        </w:rPr>
        <w:t>;</w:t>
      </w:r>
    </w:p>
    <w:p w14:paraId="6B736DE2" w14:textId="77777777" w:rsidR="00036839" w:rsidRPr="00C85FD0" w:rsidRDefault="00FB77E0" w:rsidP="00D34FA0">
      <w:pPr>
        <w:spacing w:before="120" w:after="120"/>
        <w:ind w:firstLine="720"/>
        <w:rPr>
          <w:lang w:val="es-ES"/>
        </w:rPr>
      </w:pPr>
      <w:r w:rsidRPr="00AE7FCE">
        <w:rPr>
          <w:lang w:val="es-ES"/>
        </w:rPr>
        <w:t xml:space="preserve"> </w:t>
      </w:r>
      <w:r w:rsidR="00843926" w:rsidRPr="00C85FD0">
        <w:rPr>
          <w:lang w:val="es-ES"/>
        </w:rPr>
        <w:t>c)</w:t>
      </w:r>
      <w:r w:rsidR="00843926" w:rsidRPr="00C85FD0">
        <w:rPr>
          <w:lang w:val="es-ES"/>
        </w:rPr>
        <w:tab/>
      </w:r>
      <w:r w:rsidR="00C85FD0" w:rsidRPr="00C85FD0">
        <w:rPr>
          <w:lang w:val="es-ES"/>
        </w:rPr>
        <w:t xml:space="preserve">Ponga a disposición de las Partes que reúnan los requisitos necesarios </w:t>
      </w:r>
      <w:r w:rsidR="00C85FD0">
        <w:rPr>
          <w:lang w:val="es-ES"/>
        </w:rPr>
        <w:t xml:space="preserve">fondos específicos para: i) </w:t>
      </w:r>
      <w:r w:rsidR="00C85FD0" w:rsidRPr="00C85FD0">
        <w:rPr>
          <w:lang w:val="es-ES"/>
        </w:rPr>
        <w:t>apoyar la elaboración y aplicación de medidas jurídicas, administrativas y de otra índole para aplicar el Protocolo (incluida la evaluación de</w:t>
      </w:r>
      <w:r w:rsidR="00936520">
        <w:rPr>
          <w:lang w:val="es-ES"/>
        </w:rPr>
        <w:t>l</w:t>
      </w:r>
      <w:r w:rsidR="00C85FD0" w:rsidRPr="00C85FD0">
        <w:rPr>
          <w:lang w:val="es-ES"/>
        </w:rPr>
        <w:t xml:space="preserve"> riesgo y la gestión de</w:t>
      </w:r>
      <w:r w:rsidR="00936520">
        <w:rPr>
          <w:lang w:val="es-ES"/>
        </w:rPr>
        <w:t>l riesgo;</w:t>
      </w:r>
      <w:r w:rsidR="00C85FD0" w:rsidRPr="00C85FD0">
        <w:rPr>
          <w:lang w:val="es-ES"/>
        </w:rPr>
        <w:t xml:space="preserve"> detección e identificación de organismos vivos modificados</w:t>
      </w:r>
      <w:r w:rsidR="00936520">
        <w:rPr>
          <w:lang w:val="es-ES"/>
        </w:rPr>
        <w:t>; concienciación</w:t>
      </w:r>
      <w:r w:rsidR="00C85FD0" w:rsidRPr="00C85FD0">
        <w:rPr>
          <w:lang w:val="es-ES"/>
        </w:rPr>
        <w:t xml:space="preserve">, educación y participación del público; consideraciones socioeconómicas; responsabilidad y </w:t>
      </w:r>
      <w:r w:rsidR="00936520">
        <w:rPr>
          <w:lang w:val="es-ES"/>
        </w:rPr>
        <w:t>compensación</w:t>
      </w:r>
      <w:r w:rsidR="00C85FD0" w:rsidRPr="00C85FD0">
        <w:rPr>
          <w:lang w:val="es-ES"/>
        </w:rPr>
        <w:t xml:space="preserve">; presentación de informes nacionales; y transferencia de tecnología); y ii) apoyar a las Partes </w:t>
      </w:r>
      <w:r w:rsidR="00936520">
        <w:rPr>
          <w:lang w:val="es-ES"/>
        </w:rPr>
        <w:t>que reúnan los requisitos</w:t>
      </w:r>
      <w:r w:rsidR="00C85FD0" w:rsidRPr="00C85FD0">
        <w:rPr>
          <w:lang w:val="es-ES"/>
        </w:rPr>
        <w:t xml:space="preserve"> en la implementación de planes de acción </w:t>
      </w:r>
      <w:r w:rsidR="00936520">
        <w:rPr>
          <w:lang w:val="es-ES"/>
        </w:rPr>
        <w:t>para el</w:t>
      </w:r>
      <w:r w:rsidR="00C85FD0" w:rsidRPr="00C85FD0">
        <w:rPr>
          <w:lang w:val="es-ES"/>
        </w:rPr>
        <w:t xml:space="preserve"> cumplimiento </w:t>
      </w:r>
      <w:r w:rsidR="00936520" w:rsidRPr="00936520">
        <w:rPr>
          <w:lang w:val="es-ES"/>
        </w:rPr>
        <w:t>del Protocolo</w:t>
      </w:r>
      <w:r w:rsidR="00644721" w:rsidRPr="00C85FD0">
        <w:rPr>
          <w:lang w:val="es-ES"/>
        </w:rPr>
        <w:t>;</w:t>
      </w:r>
    </w:p>
    <w:p w14:paraId="6B736DE3" w14:textId="77777777" w:rsidR="00AB6828" w:rsidRPr="00441B82" w:rsidRDefault="00843926" w:rsidP="00682861">
      <w:pPr>
        <w:pStyle w:val="ListParagraph"/>
        <w:spacing w:before="120" w:after="120"/>
        <w:ind w:left="0" w:firstLine="709"/>
        <w:contextualSpacing w:val="0"/>
        <w:rPr>
          <w:snapToGrid w:val="0"/>
          <w:kern w:val="22"/>
          <w:szCs w:val="22"/>
          <w:lang w:val="es-ES"/>
        </w:rPr>
      </w:pPr>
      <w:r w:rsidRPr="00441B82">
        <w:rPr>
          <w:snapToGrid w:val="0"/>
          <w:kern w:val="22"/>
          <w:szCs w:val="22"/>
          <w:lang w:val="es-ES"/>
        </w:rPr>
        <w:t>4.</w:t>
      </w:r>
      <w:r w:rsidRPr="00441B82">
        <w:rPr>
          <w:i/>
          <w:iCs/>
          <w:snapToGrid w:val="0"/>
          <w:kern w:val="22"/>
          <w:szCs w:val="22"/>
          <w:lang w:val="es-ES"/>
        </w:rPr>
        <w:tab/>
      </w:r>
      <w:r w:rsidR="00441B82" w:rsidRPr="00441B82">
        <w:rPr>
          <w:i/>
          <w:iCs/>
          <w:snapToGrid w:val="0"/>
          <w:kern w:val="22"/>
          <w:szCs w:val="22"/>
          <w:lang w:val="es-ES"/>
        </w:rPr>
        <w:t xml:space="preserve">Insta </w:t>
      </w:r>
      <w:r w:rsidR="00441B82" w:rsidRPr="00441B82">
        <w:rPr>
          <w:snapToGrid w:val="0"/>
          <w:kern w:val="22"/>
          <w:szCs w:val="22"/>
          <w:lang w:val="es-ES"/>
        </w:rPr>
        <w:t xml:space="preserve">a las Partes en </w:t>
      </w:r>
      <w:r w:rsidR="00441B82">
        <w:rPr>
          <w:snapToGrid w:val="0"/>
          <w:kern w:val="22"/>
          <w:szCs w:val="22"/>
          <w:lang w:val="es-ES"/>
        </w:rPr>
        <w:t xml:space="preserve">el Convenio </w:t>
      </w:r>
      <w:r w:rsidR="00441B82" w:rsidRPr="00441B82">
        <w:rPr>
          <w:snapToGrid w:val="0"/>
          <w:kern w:val="22"/>
          <w:szCs w:val="22"/>
          <w:lang w:val="es-ES"/>
        </w:rPr>
        <w:t xml:space="preserve">que también son Partes en el Protocolo de Cartagena a que incluyan proyectos de seguridad de la biotecnología en su utilización de los fondos asignados en el marco del Sistema </w:t>
      </w:r>
      <w:r w:rsidR="00441B82">
        <w:rPr>
          <w:snapToGrid w:val="0"/>
          <w:kern w:val="22"/>
          <w:szCs w:val="22"/>
          <w:lang w:val="es-ES"/>
        </w:rPr>
        <w:t xml:space="preserve">para la </w:t>
      </w:r>
      <w:r w:rsidR="00441B82" w:rsidRPr="00441B82">
        <w:rPr>
          <w:snapToGrid w:val="0"/>
          <w:kern w:val="22"/>
          <w:szCs w:val="22"/>
          <w:lang w:val="es-ES"/>
        </w:rPr>
        <w:t xml:space="preserve">Asignación Transparente de Recursos para el octavo período de reposición del </w:t>
      </w:r>
      <w:r w:rsidR="00441B82">
        <w:rPr>
          <w:snapToGrid w:val="0"/>
          <w:kern w:val="22"/>
          <w:szCs w:val="22"/>
          <w:lang w:val="es-ES"/>
        </w:rPr>
        <w:t xml:space="preserve">Fondo </w:t>
      </w:r>
      <w:r w:rsidR="00441B82" w:rsidRPr="00441B82">
        <w:rPr>
          <w:snapToGrid w:val="0"/>
          <w:kern w:val="22"/>
          <w:szCs w:val="22"/>
          <w:lang w:val="es-ES"/>
        </w:rPr>
        <w:t xml:space="preserve">Fiduciario </w:t>
      </w:r>
      <w:r w:rsidR="00441B82">
        <w:rPr>
          <w:snapToGrid w:val="0"/>
          <w:kern w:val="22"/>
          <w:szCs w:val="22"/>
          <w:lang w:val="es-ES"/>
        </w:rPr>
        <w:t>del Fondo para el Medio</w:t>
      </w:r>
      <w:r w:rsidR="00441B82" w:rsidRPr="00441B82">
        <w:rPr>
          <w:snapToGrid w:val="0"/>
          <w:kern w:val="22"/>
          <w:szCs w:val="22"/>
          <w:lang w:val="es-ES"/>
        </w:rPr>
        <w:t xml:space="preserve"> Ambiente Mundial, teniendo en cuenta sus obligaciones </w:t>
      </w:r>
      <w:r w:rsidR="00441B82">
        <w:rPr>
          <w:snapToGrid w:val="0"/>
          <w:kern w:val="22"/>
          <w:szCs w:val="22"/>
          <w:lang w:val="es-ES"/>
        </w:rPr>
        <w:t xml:space="preserve">contraídas </w:t>
      </w:r>
      <w:r w:rsidR="00441B82" w:rsidRPr="00441B82">
        <w:rPr>
          <w:snapToGrid w:val="0"/>
          <w:kern w:val="22"/>
          <w:szCs w:val="22"/>
          <w:lang w:val="es-ES"/>
        </w:rPr>
        <w:t xml:space="preserve">en virtud del Protocolo de Cartagena sobre Seguridad de la Biotecnología, el plan de aplicación </w:t>
      </w:r>
      <w:r w:rsidR="00441B82">
        <w:rPr>
          <w:snapToGrid w:val="0"/>
          <w:kern w:val="22"/>
          <w:szCs w:val="22"/>
          <w:lang w:val="es-ES"/>
        </w:rPr>
        <w:t xml:space="preserve">posterior a </w:t>
      </w:r>
      <w:r w:rsidR="00441B82" w:rsidRPr="00441B82">
        <w:rPr>
          <w:snapToGrid w:val="0"/>
          <w:kern w:val="22"/>
          <w:szCs w:val="22"/>
          <w:lang w:val="es-ES"/>
        </w:rPr>
        <w:t xml:space="preserve">2020 y el plan de acción de creación de capacidad para el Protocolo de Cartagena, y la orientación de la Conferencia de las Partes </w:t>
      </w:r>
      <w:r w:rsidR="00441B82">
        <w:rPr>
          <w:snapToGrid w:val="0"/>
          <w:kern w:val="22"/>
          <w:szCs w:val="22"/>
          <w:lang w:val="es-ES"/>
        </w:rPr>
        <w:t>a</w:t>
      </w:r>
      <w:r w:rsidR="00441B82" w:rsidRPr="00441B82">
        <w:rPr>
          <w:snapToGrid w:val="0"/>
          <w:kern w:val="22"/>
          <w:szCs w:val="22"/>
          <w:lang w:val="es-ES"/>
        </w:rPr>
        <w:t>l Fondo para el Medio Ambiente Mundia</w:t>
      </w:r>
      <w:r w:rsidR="00441B82">
        <w:rPr>
          <w:snapToGrid w:val="0"/>
          <w:kern w:val="22"/>
          <w:szCs w:val="22"/>
          <w:lang w:val="es-ES"/>
        </w:rPr>
        <w:t>l</w:t>
      </w:r>
      <w:r w:rsidR="00734AA3" w:rsidRPr="00441B82">
        <w:rPr>
          <w:lang w:val="es-ES"/>
        </w:rPr>
        <w:t>;</w:t>
      </w:r>
    </w:p>
    <w:p w14:paraId="6B736DE4" w14:textId="77777777" w:rsidR="002B5573" w:rsidRPr="00441B82" w:rsidRDefault="00843926" w:rsidP="00682861">
      <w:pPr>
        <w:pStyle w:val="ListParagraph"/>
        <w:spacing w:before="120" w:after="120"/>
        <w:ind w:left="0" w:firstLine="709"/>
        <w:contextualSpacing w:val="0"/>
        <w:rPr>
          <w:rFonts w:asciiTheme="majorBidi" w:hAnsiTheme="majorBidi" w:cstheme="majorBidi"/>
          <w:lang w:val="es-ES"/>
        </w:rPr>
      </w:pPr>
      <w:r w:rsidRPr="00441B82">
        <w:rPr>
          <w:rFonts w:asciiTheme="majorBidi" w:hAnsiTheme="majorBidi" w:cstheme="majorBidi"/>
          <w:lang w:val="es-ES"/>
        </w:rPr>
        <w:lastRenderedPageBreak/>
        <w:t>5.</w:t>
      </w:r>
      <w:r w:rsidRPr="00441B82">
        <w:rPr>
          <w:rFonts w:asciiTheme="majorBidi" w:hAnsiTheme="majorBidi" w:cstheme="majorBidi"/>
          <w:i/>
          <w:iCs/>
          <w:lang w:val="es-ES"/>
        </w:rPr>
        <w:tab/>
      </w:r>
      <w:r w:rsidR="00441B82" w:rsidRPr="00441B82">
        <w:rPr>
          <w:rFonts w:asciiTheme="majorBidi" w:hAnsiTheme="majorBidi" w:cstheme="majorBidi"/>
          <w:i/>
          <w:iCs/>
          <w:lang w:val="es-ES"/>
        </w:rPr>
        <w:t>Alienta</w:t>
      </w:r>
      <w:r w:rsidR="00441B82" w:rsidRPr="00441B82">
        <w:rPr>
          <w:rFonts w:asciiTheme="majorBidi" w:hAnsiTheme="majorBidi" w:cstheme="majorBidi"/>
          <w:lang w:val="es-ES"/>
        </w:rPr>
        <w:t xml:space="preserve"> a las Partes a que incluyan las necesidades y disposiciones para la aplicación del Protocolo de Cartagena en sus planes nacionales de financiación de la diversidad biológica y en su aplicación nacional de la estrategia de movilización de los recursos para el período posterior</w:t>
      </w:r>
      <w:r w:rsidR="006514A5">
        <w:rPr>
          <w:rFonts w:asciiTheme="majorBidi" w:hAnsiTheme="majorBidi" w:cstheme="majorBidi"/>
          <w:lang w:val="es-ES"/>
        </w:rPr>
        <w:t xml:space="preserve"> </w:t>
      </w:r>
      <w:r w:rsidR="002B5573" w:rsidRPr="00441B82">
        <w:rPr>
          <w:rFonts w:asciiTheme="majorBidi" w:hAnsiTheme="majorBidi" w:cstheme="majorBidi"/>
          <w:lang w:val="es-ES"/>
        </w:rPr>
        <w:t>2020</w:t>
      </w:r>
      <w:r w:rsidR="00E90470" w:rsidRPr="00441B82">
        <w:rPr>
          <w:rFonts w:asciiTheme="majorBidi" w:hAnsiTheme="majorBidi" w:cstheme="majorBidi"/>
          <w:lang w:val="es-ES"/>
        </w:rPr>
        <w:t>.</w:t>
      </w:r>
    </w:p>
    <w:bookmarkEnd w:id="4"/>
    <w:p w14:paraId="6B736DE5" w14:textId="77777777" w:rsidR="00AF4FBA" w:rsidRPr="00C9161D" w:rsidRDefault="00843926" w:rsidP="00D34FA0">
      <w:pPr>
        <w:spacing w:before="120" w:after="120"/>
        <w:jc w:val="center"/>
      </w:pPr>
      <w:r>
        <w:t>________</w:t>
      </w:r>
    </w:p>
    <w:sectPr w:rsidR="00AF4FBA" w:rsidRPr="00C9161D" w:rsidSect="005E4025">
      <w:headerReference w:type="even" r:id="rId18"/>
      <w:headerReference w:type="default" r:id="rId19"/>
      <w:type w:val="continuous"/>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736DEE" w14:textId="77777777" w:rsidR="00115F85" w:rsidRDefault="00115F85" w:rsidP="00CF1848">
      <w:r>
        <w:separator/>
      </w:r>
    </w:p>
  </w:endnote>
  <w:endnote w:type="continuationSeparator" w:id="0">
    <w:p w14:paraId="6B736DEF" w14:textId="77777777" w:rsidR="00115F85" w:rsidRDefault="00115F85"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736DEC" w14:textId="77777777" w:rsidR="00115F85" w:rsidRDefault="00115F85" w:rsidP="00CF1848">
      <w:r>
        <w:separator/>
      </w:r>
    </w:p>
  </w:footnote>
  <w:footnote w:type="continuationSeparator" w:id="0">
    <w:p w14:paraId="6B736DED" w14:textId="77777777" w:rsidR="00115F85" w:rsidRDefault="00115F85" w:rsidP="00CF1848">
      <w:r>
        <w:continuationSeparator/>
      </w:r>
    </w:p>
  </w:footnote>
  <w:footnote w:id="1">
    <w:p w14:paraId="6B736DF6" w14:textId="77777777" w:rsidR="00E21F01" w:rsidRPr="00F03643" w:rsidRDefault="00E21F01" w:rsidP="00D34FA0">
      <w:pPr>
        <w:pStyle w:val="FootnoteText"/>
        <w:ind w:firstLine="0"/>
        <w:rPr>
          <w:szCs w:val="18"/>
          <w:lang w:val="es-ES"/>
        </w:rPr>
      </w:pPr>
      <w:r w:rsidRPr="00D34FA0">
        <w:rPr>
          <w:rStyle w:val="FootnoteReference"/>
          <w:sz w:val="18"/>
          <w:szCs w:val="18"/>
        </w:rPr>
        <w:footnoteRef/>
      </w:r>
      <w:r w:rsidRPr="00F03643">
        <w:rPr>
          <w:szCs w:val="18"/>
          <w:lang w:val="es-ES"/>
        </w:rPr>
        <w:t>CBD/COP/15/8.</w:t>
      </w:r>
    </w:p>
  </w:footnote>
  <w:footnote w:id="2">
    <w:p w14:paraId="6B736DF7" w14:textId="77777777" w:rsidR="00584753" w:rsidRPr="00F03643" w:rsidRDefault="00584753" w:rsidP="00D34FA0">
      <w:pPr>
        <w:pStyle w:val="FootnoteText"/>
        <w:ind w:firstLine="0"/>
        <w:rPr>
          <w:szCs w:val="18"/>
          <w:lang w:val="es-ES"/>
        </w:rPr>
      </w:pPr>
      <w:r w:rsidRPr="00D34FA0">
        <w:rPr>
          <w:rStyle w:val="FootnoteReference"/>
          <w:sz w:val="18"/>
          <w:szCs w:val="18"/>
        </w:rPr>
        <w:footnoteRef/>
      </w:r>
      <w:r w:rsidRPr="00F03643">
        <w:rPr>
          <w:szCs w:val="18"/>
          <w:lang w:val="es-ES"/>
        </w:rPr>
        <w:t>GEF/R.7/22</w:t>
      </w:r>
      <w:r w:rsidR="00734AA3" w:rsidRPr="00F03643">
        <w:rPr>
          <w:szCs w:val="18"/>
          <w:lang w:val="es-ES"/>
        </w:rPr>
        <w:t>.</w:t>
      </w:r>
    </w:p>
  </w:footnote>
  <w:footnote w:id="3">
    <w:p w14:paraId="6B736DF8" w14:textId="77777777" w:rsidR="006D5A05" w:rsidRPr="00F27965" w:rsidRDefault="006D5A05" w:rsidP="00D34FA0">
      <w:pPr>
        <w:pStyle w:val="FootnoteText"/>
        <w:ind w:firstLine="0"/>
        <w:rPr>
          <w:szCs w:val="18"/>
          <w:lang w:val="es-ES"/>
        </w:rPr>
      </w:pPr>
      <w:r w:rsidRPr="00D34FA0">
        <w:rPr>
          <w:rStyle w:val="FootnoteReference"/>
          <w:sz w:val="18"/>
          <w:szCs w:val="18"/>
        </w:rPr>
        <w:footnoteRef/>
      </w:r>
      <w:r w:rsidRPr="00F27965">
        <w:rPr>
          <w:lang w:val="es-ES"/>
        </w:rPr>
        <w:t>An</w:t>
      </w:r>
      <w:r w:rsidR="00F27965" w:rsidRPr="00F27965">
        <w:rPr>
          <w:lang w:val="es-ES"/>
        </w:rPr>
        <w:t>exo</w:t>
      </w:r>
      <w:r w:rsidRPr="00F27965">
        <w:rPr>
          <w:lang w:val="es-ES"/>
        </w:rPr>
        <w:t xml:space="preserve"> I </w:t>
      </w:r>
      <w:r w:rsidR="00F27965" w:rsidRPr="00F27965">
        <w:rPr>
          <w:lang w:val="es-ES"/>
        </w:rPr>
        <w:t xml:space="preserve">de la recomendación </w:t>
      </w:r>
      <w:r w:rsidRPr="00F27965">
        <w:rPr>
          <w:lang w:val="es-ES"/>
        </w:rPr>
        <w:t xml:space="preserve">3/7 </w:t>
      </w:r>
      <w:r w:rsidR="00F27965" w:rsidRPr="00F27965">
        <w:rPr>
          <w:lang w:val="es-ES"/>
        </w:rPr>
        <w:t>del Órgano Subsidiario sobre la Aplicaci</w:t>
      </w:r>
      <w:r w:rsidR="00F27965">
        <w:rPr>
          <w:lang w:val="es-ES"/>
        </w:rPr>
        <w:t>ón</w:t>
      </w:r>
      <w:r w:rsidRPr="00F27965">
        <w:rPr>
          <w:lang w:val="es-ES"/>
        </w:rPr>
        <w:t>.</w:t>
      </w:r>
    </w:p>
  </w:footnote>
  <w:footnote w:id="4">
    <w:p w14:paraId="6B736DF9" w14:textId="77777777" w:rsidR="00186B4B" w:rsidRPr="00D34FA0" w:rsidRDefault="00186B4B" w:rsidP="00D34FA0">
      <w:pPr>
        <w:pStyle w:val="FootnoteText"/>
        <w:ind w:firstLine="0"/>
        <w:rPr>
          <w:lang w:val="en-US"/>
        </w:rPr>
      </w:pPr>
      <w:r>
        <w:rPr>
          <w:rStyle w:val="FootnoteReference"/>
        </w:rPr>
        <w:footnoteRef/>
      </w:r>
      <w:r w:rsidRPr="00E8723F">
        <w:rPr>
          <w:snapToGrid w:val="0"/>
          <w:szCs w:val="20"/>
          <w:lang w:val="en-US"/>
        </w:rPr>
        <w:t>GEF/R.08/29/Rev.01.</w:t>
      </w:r>
    </w:p>
  </w:footnote>
  <w:footnote w:id="5">
    <w:p w14:paraId="6B736DFA" w14:textId="77777777" w:rsidR="00A15A59" w:rsidRPr="003D17ED" w:rsidRDefault="00A15A59" w:rsidP="00214946">
      <w:pPr>
        <w:pStyle w:val="FootnoteText"/>
        <w:ind w:firstLine="0"/>
        <w:rPr>
          <w:szCs w:val="18"/>
          <w:lang w:val="en-US"/>
        </w:rPr>
      </w:pPr>
      <w:r w:rsidRPr="00214946">
        <w:rPr>
          <w:rStyle w:val="FootnoteReference"/>
          <w:sz w:val="18"/>
          <w:szCs w:val="18"/>
        </w:rPr>
        <w:footnoteRef/>
      </w:r>
      <w:r w:rsidR="00822B65" w:rsidRPr="003D17ED">
        <w:rPr>
          <w:szCs w:val="18"/>
        </w:rPr>
        <w:t>CBD/CP/MOP/10/2</w:t>
      </w:r>
      <w:r w:rsidR="00C54BD5" w:rsidRPr="003D17ED">
        <w:rPr>
          <w:szCs w:val="18"/>
        </w:rPr>
        <w:t>.</w:t>
      </w:r>
    </w:p>
  </w:footnote>
  <w:footnote w:id="6">
    <w:p w14:paraId="6B736DFB" w14:textId="77777777" w:rsidR="0003287A" w:rsidRPr="00441B82" w:rsidRDefault="0003287A" w:rsidP="00036839">
      <w:pPr>
        <w:pStyle w:val="FootnoteText"/>
        <w:ind w:firstLine="0"/>
        <w:rPr>
          <w:lang w:val="es-ES"/>
        </w:rPr>
      </w:pPr>
      <w:r w:rsidRPr="00214946">
        <w:rPr>
          <w:rStyle w:val="FootnoteReference"/>
          <w:sz w:val="18"/>
          <w:szCs w:val="18"/>
        </w:rPr>
        <w:footnoteRef/>
      </w:r>
      <w:r w:rsidRPr="00441B82">
        <w:rPr>
          <w:szCs w:val="18"/>
          <w:lang w:val="es-ES"/>
        </w:rPr>
        <w:t xml:space="preserve"> CBD/CP/MOP/10/</w:t>
      </w:r>
      <w:r w:rsidR="0015288A" w:rsidRPr="00441B82">
        <w:rPr>
          <w:szCs w:val="18"/>
          <w:lang w:val="es-ES"/>
        </w:rPr>
        <w:t xml:space="preserve">2, </w:t>
      </w:r>
      <w:r w:rsidR="00C54BD5" w:rsidRPr="00441B82">
        <w:rPr>
          <w:szCs w:val="18"/>
          <w:lang w:val="es-ES"/>
        </w:rPr>
        <w:t>a</w:t>
      </w:r>
      <w:r w:rsidR="0015288A" w:rsidRPr="00441B82">
        <w:rPr>
          <w:szCs w:val="18"/>
          <w:lang w:val="es-ES"/>
        </w:rPr>
        <w:t>nex</w:t>
      </w:r>
      <w:r w:rsidR="00441B82" w:rsidRPr="00441B82">
        <w:rPr>
          <w:szCs w:val="18"/>
          <w:lang w:val="es-ES"/>
        </w:rPr>
        <w:t>o</w:t>
      </w:r>
      <w:r w:rsidR="0015288A" w:rsidRPr="00441B82">
        <w:rPr>
          <w:szCs w:val="18"/>
          <w:lang w:val="es-ES"/>
        </w:rPr>
        <w:t xml:space="preserve">, </w:t>
      </w:r>
      <w:r w:rsidR="00FD1804" w:rsidRPr="00441B82">
        <w:rPr>
          <w:szCs w:val="18"/>
          <w:lang w:val="es-ES"/>
        </w:rPr>
        <w:t>s</w:t>
      </w:r>
      <w:r w:rsidR="0015288A" w:rsidRPr="00441B82">
        <w:rPr>
          <w:szCs w:val="18"/>
          <w:lang w:val="es-ES"/>
        </w:rPr>
        <w:t>ec</w:t>
      </w:r>
      <w:r w:rsidR="00441B82" w:rsidRPr="00441B82">
        <w:rPr>
          <w:szCs w:val="18"/>
          <w:lang w:val="es-ES"/>
        </w:rPr>
        <w:t>ción</w:t>
      </w:r>
      <w:r w:rsidR="0015288A" w:rsidRPr="00441B82">
        <w:rPr>
          <w:szCs w:val="18"/>
          <w:lang w:val="es-ES"/>
        </w:rPr>
        <w:t xml:space="preserve"> 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6B736DF0" w14:textId="77777777" w:rsidR="008A40C1" w:rsidRDefault="008C7CDC" w:rsidP="00534681">
        <w:pPr>
          <w:pStyle w:val="Header"/>
        </w:pPr>
        <w:r>
          <w:t>CBD/CP/MOP/10/6</w:t>
        </w:r>
      </w:p>
    </w:sdtContent>
  </w:sdt>
  <w:p w14:paraId="6B736DF1" w14:textId="77777777" w:rsidR="008A40C1" w:rsidRDefault="008A40C1" w:rsidP="00534681">
    <w:pPr>
      <w:pStyle w:val="Header"/>
    </w:pPr>
    <w:r>
      <w:t>P</w:t>
    </w:r>
    <w:r w:rsidR="00554252">
      <w:t>ágina</w:t>
    </w:r>
    <w:r>
      <w:t xml:space="preserve"> </w:t>
    </w:r>
    <w:r w:rsidR="009C4DFB">
      <w:fldChar w:fldCharType="begin"/>
    </w:r>
    <w:r>
      <w:instrText xml:space="preserve"> PAGE   \* MERGEFORMAT </w:instrText>
    </w:r>
    <w:r w:rsidR="009C4DFB">
      <w:fldChar w:fldCharType="separate"/>
    </w:r>
    <w:r w:rsidR="00D94F66">
      <w:rPr>
        <w:noProof/>
      </w:rPr>
      <w:t>2</w:t>
    </w:r>
    <w:r w:rsidR="009C4DFB">
      <w:rPr>
        <w:noProof/>
      </w:rPr>
      <w:fldChar w:fldCharType="end"/>
    </w:r>
  </w:p>
  <w:p w14:paraId="6B736DF2" w14:textId="77777777" w:rsidR="008A40C1" w:rsidRDefault="008A40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6B736DF3" w14:textId="77777777" w:rsidR="008A40C1" w:rsidRDefault="008C7CDC" w:rsidP="009505C9">
        <w:pPr>
          <w:pStyle w:val="Header"/>
          <w:jc w:val="right"/>
        </w:pPr>
        <w:r>
          <w:t>CBD/CP/MOP/10/6</w:t>
        </w:r>
      </w:p>
    </w:sdtContent>
  </w:sdt>
  <w:p w14:paraId="6B736DF4" w14:textId="77777777" w:rsidR="008A40C1" w:rsidRDefault="008A40C1" w:rsidP="009505C9">
    <w:pPr>
      <w:pStyle w:val="Header"/>
      <w:jc w:val="right"/>
    </w:pPr>
    <w:r>
      <w:t>P</w:t>
    </w:r>
    <w:r w:rsidR="00554252">
      <w:t>ágina</w:t>
    </w:r>
    <w:r>
      <w:t xml:space="preserve"> </w:t>
    </w:r>
    <w:r w:rsidR="009C4DFB">
      <w:fldChar w:fldCharType="begin"/>
    </w:r>
    <w:r>
      <w:instrText xml:space="preserve"> PAGE   \* MERGEFORMAT </w:instrText>
    </w:r>
    <w:r w:rsidR="009C4DFB">
      <w:fldChar w:fldCharType="separate"/>
    </w:r>
    <w:r w:rsidR="00D94F66">
      <w:rPr>
        <w:noProof/>
      </w:rPr>
      <w:t>3</w:t>
    </w:r>
    <w:r w:rsidR="009C4DFB">
      <w:rPr>
        <w:noProof/>
      </w:rPr>
      <w:fldChar w:fldCharType="end"/>
    </w:r>
  </w:p>
  <w:p w14:paraId="6B736DF5" w14:textId="77777777" w:rsidR="008A40C1" w:rsidRDefault="008A40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C975246"/>
    <w:multiLevelType w:val="hybridMultilevel"/>
    <w:tmpl w:val="8CC0468E"/>
    <w:lvl w:ilvl="0" w:tplc="4342ADA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CA86E83"/>
    <w:multiLevelType w:val="hybridMultilevel"/>
    <w:tmpl w:val="F1584DB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620D6AEB"/>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 w:numId="4">
    <w:abstractNumId w:val="6"/>
  </w:num>
  <w:num w:numId="5">
    <w:abstractNumId w:val="3"/>
  </w:num>
  <w:num w:numId="6">
    <w:abstractNumId w:val="5"/>
  </w:num>
  <w:num w:numId="7">
    <w:abstractNumId w:val="4"/>
  </w:num>
  <w:num w:numId="8">
    <w:abstractNumId w:val="2"/>
  </w:num>
  <w:num w:numId="9">
    <w:abstractNumId w:val="2"/>
  </w:num>
  <w:num w:numId="10">
    <w:abstractNumId w:val="2"/>
  </w:num>
  <w:num w:numId="11">
    <w:abstractNumId w:val="2"/>
  </w:num>
  <w:num w:numId="12">
    <w:abstractNumId w:val="2"/>
  </w:num>
  <w:num w:numId="13">
    <w:abstractNumId w:val="2"/>
  </w:num>
  <w:num w:numId="14">
    <w:abstractNumId w:val="2"/>
  </w:num>
  <w:num w:numId="15">
    <w:abstractNumId w:val="2"/>
  </w:num>
  <w:num w:numId="16">
    <w:abstractNumId w:val="2"/>
  </w:num>
  <w:num w:numId="17">
    <w:abstractNumId w:val="2"/>
  </w:num>
  <w:num w:numId="18">
    <w:abstractNumId w:val="2"/>
  </w:num>
  <w:num w:numId="19">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C9161D"/>
    <w:rsid w:val="000010AB"/>
    <w:rsid w:val="00003878"/>
    <w:rsid w:val="00012499"/>
    <w:rsid w:val="000146CE"/>
    <w:rsid w:val="00023861"/>
    <w:rsid w:val="00024B35"/>
    <w:rsid w:val="0003287A"/>
    <w:rsid w:val="00032963"/>
    <w:rsid w:val="00036839"/>
    <w:rsid w:val="00040119"/>
    <w:rsid w:val="00044E44"/>
    <w:rsid w:val="00045A28"/>
    <w:rsid w:val="00053944"/>
    <w:rsid w:val="0005447C"/>
    <w:rsid w:val="00054FC1"/>
    <w:rsid w:val="000555DA"/>
    <w:rsid w:val="00057858"/>
    <w:rsid w:val="00060DAB"/>
    <w:rsid w:val="0006231E"/>
    <w:rsid w:val="00062BA1"/>
    <w:rsid w:val="000715D7"/>
    <w:rsid w:val="00080296"/>
    <w:rsid w:val="00080A1B"/>
    <w:rsid w:val="00081674"/>
    <w:rsid w:val="0008465D"/>
    <w:rsid w:val="000861C3"/>
    <w:rsid w:val="000867E6"/>
    <w:rsid w:val="00092426"/>
    <w:rsid w:val="000A36EC"/>
    <w:rsid w:val="000A6305"/>
    <w:rsid w:val="000A762E"/>
    <w:rsid w:val="000B0FEB"/>
    <w:rsid w:val="000B22A4"/>
    <w:rsid w:val="000B2D80"/>
    <w:rsid w:val="000C368E"/>
    <w:rsid w:val="000D1A1D"/>
    <w:rsid w:val="000D1DDD"/>
    <w:rsid w:val="000D5BA9"/>
    <w:rsid w:val="000E1000"/>
    <w:rsid w:val="000E1036"/>
    <w:rsid w:val="000E4B1A"/>
    <w:rsid w:val="000E673A"/>
    <w:rsid w:val="000E6E93"/>
    <w:rsid w:val="000F2997"/>
    <w:rsid w:val="000F4BA4"/>
    <w:rsid w:val="000F5172"/>
    <w:rsid w:val="000F74F5"/>
    <w:rsid w:val="0010100D"/>
    <w:rsid w:val="00104458"/>
    <w:rsid w:val="00104AFC"/>
    <w:rsid w:val="00105227"/>
    <w:rsid w:val="00105372"/>
    <w:rsid w:val="00105CDD"/>
    <w:rsid w:val="00106F4E"/>
    <w:rsid w:val="00112AB6"/>
    <w:rsid w:val="0011397A"/>
    <w:rsid w:val="00115F85"/>
    <w:rsid w:val="001165B5"/>
    <w:rsid w:val="0011741F"/>
    <w:rsid w:val="00131E7A"/>
    <w:rsid w:val="00132145"/>
    <w:rsid w:val="00132AF8"/>
    <w:rsid w:val="001335EE"/>
    <w:rsid w:val="00134C4A"/>
    <w:rsid w:val="0014220A"/>
    <w:rsid w:val="001424F5"/>
    <w:rsid w:val="00145B51"/>
    <w:rsid w:val="0014688E"/>
    <w:rsid w:val="001516CB"/>
    <w:rsid w:val="0015288A"/>
    <w:rsid w:val="0016041F"/>
    <w:rsid w:val="00165EEF"/>
    <w:rsid w:val="00167B00"/>
    <w:rsid w:val="00172AF6"/>
    <w:rsid w:val="00172BB1"/>
    <w:rsid w:val="00176CEE"/>
    <w:rsid w:val="00176F07"/>
    <w:rsid w:val="0017701C"/>
    <w:rsid w:val="0018148B"/>
    <w:rsid w:val="00186B4B"/>
    <w:rsid w:val="001942E4"/>
    <w:rsid w:val="001A0829"/>
    <w:rsid w:val="001A1760"/>
    <w:rsid w:val="001B00B8"/>
    <w:rsid w:val="001B3BCF"/>
    <w:rsid w:val="001B46F0"/>
    <w:rsid w:val="001B4FE5"/>
    <w:rsid w:val="001B6F58"/>
    <w:rsid w:val="001C044F"/>
    <w:rsid w:val="001C07A7"/>
    <w:rsid w:val="001C5BE8"/>
    <w:rsid w:val="001C5DE9"/>
    <w:rsid w:val="001C79BE"/>
    <w:rsid w:val="001D0CDD"/>
    <w:rsid w:val="001D27E5"/>
    <w:rsid w:val="001D3424"/>
    <w:rsid w:val="001D4FBE"/>
    <w:rsid w:val="001E47A3"/>
    <w:rsid w:val="001F3136"/>
    <w:rsid w:val="001F6535"/>
    <w:rsid w:val="0020248E"/>
    <w:rsid w:val="00207B63"/>
    <w:rsid w:val="0021223E"/>
    <w:rsid w:val="00214946"/>
    <w:rsid w:val="00215CED"/>
    <w:rsid w:val="00220497"/>
    <w:rsid w:val="00222546"/>
    <w:rsid w:val="00222CBA"/>
    <w:rsid w:val="00224436"/>
    <w:rsid w:val="00226367"/>
    <w:rsid w:val="002303B7"/>
    <w:rsid w:val="002358F5"/>
    <w:rsid w:val="002359E2"/>
    <w:rsid w:val="0024214D"/>
    <w:rsid w:val="00246765"/>
    <w:rsid w:val="00255C33"/>
    <w:rsid w:val="00260D1D"/>
    <w:rsid w:val="00261B1B"/>
    <w:rsid w:val="00262C47"/>
    <w:rsid w:val="00264230"/>
    <w:rsid w:val="00272374"/>
    <w:rsid w:val="002759C9"/>
    <w:rsid w:val="0027687A"/>
    <w:rsid w:val="00277576"/>
    <w:rsid w:val="00277EB6"/>
    <w:rsid w:val="00280DFE"/>
    <w:rsid w:val="002859F0"/>
    <w:rsid w:val="002907E8"/>
    <w:rsid w:val="00291ED8"/>
    <w:rsid w:val="00295A35"/>
    <w:rsid w:val="002A0052"/>
    <w:rsid w:val="002A2540"/>
    <w:rsid w:val="002A3B8A"/>
    <w:rsid w:val="002A3DD2"/>
    <w:rsid w:val="002A7A46"/>
    <w:rsid w:val="002B5573"/>
    <w:rsid w:val="002B56BC"/>
    <w:rsid w:val="002B62DF"/>
    <w:rsid w:val="002C089C"/>
    <w:rsid w:val="002C1D1A"/>
    <w:rsid w:val="002C3368"/>
    <w:rsid w:val="002D0BF2"/>
    <w:rsid w:val="002D3A83"/>
    <w:rsid w:val="002D5C22"/>
    <w:rsid w:val="002D6395"/>
    <w:rsid w:val="002E6E26"/>
    <w:rsid w:val="002F00DB"/>
    <w:rsid w:val="002F21A3"/>
    <w:rsid w:val="002F31C1"/>
    <w:rsid w:val="002F4222"/>
    <w:rsid w:val="002F480E"/>
    <w:rsid w:val="003103BA"/>
    <w:rsid w:val="00310A72"/>
    <w:rsid w:val="00323713"/>
    <w:rsid w:val="00324802"/>
    <w:rsid w:val="00326D1E"/>
    <w:rsid w:val="00332332"/>
    <w:rsid w:val="00333772"/>
    <w:rsid w:val="00335867"/>
    <w:rsid w:val="0033735A"/>
    <w:rsid w:val="003375F7"/>
    <w:rsid w:val="00340A1D"/>
    <w:rsid w:val="00342F0F"/>
    <w:rsid w:val="00346A4A"/>
    <w:rsid w:val="0035202F"/>
    <w:rsid w:val="00355323"/>
    <w:rsid w:val="00355EA9"/>
    <w:rsid w:val="00356BA6"/>
    <w:rsid w:val="003572FE"/>
    <w:rsid w:val="003635D2"/>
    <w:rsid w:val="0037039B"/>
    <w:rsid w:val="00370494"/>
    <w:rsid w:val="00372946"/>
    <w:rsid w:val="00372F74"/>
    <w:rsid w:val="003746AA"/>
    <w:rsid w:val="00374DA1"/>
    <w:rsid w:val="00382CF5"/>
    <w:rsid w:val="0038648C"/>
    <w:rsid w:val="00396FFF"/>
    <w:rsid w:val="003A1231"/>
    <w:rsid w:val="003A3B59"/>
    <w:rsid w:val="003A49A7"/>
    <w:rsid w:val="003B39A9"/>
    <w:rsid w:val="003B7A1A"/>
    <w:rsid w:val="003C1C67"/>
    <w:rsid w:val="003C528B"/>
    <w:rsid w:val="003C74CA"/>
    <w:rsid w:val="003D17ED"/>
    <w:rsid w:val="003D3AB0"/>
    <w:rsid w:val="003D72B1"/>
    <w:rsid w:val="003D7D8A"/>
    <w:rsid w:val="003E4B28"/>
    <w:rsid w:val="003E59F0"/>
    <w:rsid w:val="003F0C14"/>
    <w:rsid w:val="003F225C"/>
    <w:rsid w:val="003F7224"/>
    <w:rsid w:val="003F779C"/>
    <w:rsid w:val="004033EF"/>
    <w:rsid w:val="00404492"/>
    <w:rsid w:val="00407CEA"/>
    <w:rsid w:val="00410693"/>
    <w:rsid w:val="00426B77"/>
    <w:rsid w:val="00427D21"/>
    <w:rsid w:val="00431EC4"/>
    <w:rsid w:val="0043269C"/>
    <w:rsid w:val="00436F4D"/>
    <w:rsid w:val="00441B82"/>
    <w:rsid w:val="00445E38"/>
    <w:rsid w:val="004513DF"/>
    <w:rsid w:val="00456C65"/>
    <w:rsid w:val="004624A4"/>
    <w:rsid w:val="00462D3B"/>
    <w:rsid w:val="004644C2"/>
    <w:rsid w:val="004666BA"/>
    <w:rsid w:val="00467F9C"/>
    <w:rsid w:val="00473E89"/>
    <w:rsid w:val="00480B51"/>
    <w:rsid w:val="00481964"/>
    <w:rsid w:val="00481986"/>
    <w:rsid w:val="00482674"/>
    <w:rsid w:val="00483A0D"/>
    <w:rsid w:val="00487852"/>
    <w:rsid w:val="004926FD"/>
    <w:rsid w:val="00493221"/>
    <w:rsid w:val="004938B1"/>
    <w:rsid w:val="0049658B"/>
    <w:rsid w:val="004A0337"/>
    <w:rsid w:val="004B0EEF"/>
    <w:rsid w:val="004B79F9"/>
    <w:rsid w:val="004C315E"/>
    <w:rsid w:val="004C3564"/>
    <w:rsid w:val="004C4E3E"/>
    <w:rsid w:val="004C5B1E"/>
    <w:rsid w:val="004C6AF8"/>
    <w:rsid w:val="004D0339"/>
    <w:rsid w:val="004D25E7"/>
    <w:rsid w:val="004D5011"/>
    <w:rsid w:val="004E1DF5"/>
    <w:rsid w:val="004E2E0F"/>
    <w:rsid w:val="004E2FAE"/>
    <w:rsid w:val="004E46FF"/>
    <w:rsid w:val="004E4B1F"/>
    <w:rsid w:val="004E7000"/>
    <w:rsid w:val="004F2515"/>
    <w:rsid w:val="00500BBC"/>
    <w:rsid w:val="0050172B"/>
    <w:rsid w:val="0050423B"/>
    <w:rsid w:val="00505DC9"/>
    <w:rsid w:val="00506B63"/>
    <w:rsid w:val="00511725"/>
    <w:rsid w:val="00512C5E"/>
    <w:rsid w:val="00521AEB"/>
    <w:rsid w:val="00522CB1"/>
    <w:rsid w:val="00524B7F"/>
    <w:rsid w:val="00524D0A"/>
    <w:rsid w:val="00525FC1"/>
    <w:rsid w:val="005263B2"/>
    <w:rsid w:val="005267DA"/>
    <w:rsid w:val="005310EA"/>
    <w:rsid w:val="00531AEB"/>
    <w:rsid w:val="005323B5"/>
    <w:rsid w:val="005327E9"/>
    <w:rsid w:val="00532E0F"/>
    <w:rsid w:val="00534417"/>
    <w:rsid w:val="00534681"/>
    <w:rsid w:val="0053489D"/>
    <w:rsid w:val="005421C6"/>
    <w:rsid w:val="00543068"/>
    <w:rsid w:val="00544078"/>
    <w:rsid w:val="0054686C"/>
    <w:rsid w:val="00554252"/>
    <w:rsid w:val="00557A2A"/>
    <w:rsid w:val="0056023A"/>
    <w:rsid w:val="00561D3F"/>
    <w:rsid w:val="00575DD7"/>
    <w:rsid w:val="005820CB"/>
    <w:rsid w:val="00584753"/>
    <w:rsid w:val="005856BF"/>
    <w:rsid w:val="00593F3D"/>
    <w:rsid w:val="00595CD6"/>
    <w:rsid w:val="005964C6"/>
    <w:rsid w:val="005A30B3"/>
    <w:rsid w:val="005A3AF0"/>
    <w:rsid w:val="005A54DC"/>
    <w:rsid w:val="005A7A9B"/>
    <w:rsid w:val="005B029D"/>
    <w:rsid w:val="005B15EC"/>
    <w:rsid w:val="005B18B9"/>
    <w:rsid w:val="005B4752"/>
    <w:rsid w:val="005B52CD"/>
    <w:rsid w:val="005B781D"/>
    <w:rsid w:val="005C2EEA"/>
    <w:rsid w:val="005C620F"/>
    <w:rsid w:val="005C7FD5"/>
    <w:rsid w:val="005D110E"/>
    <w:rsid w:val="005D7130"/>
    <w:rsid w:val="005E0617"/>
    <w:rsid w:val="005E3E7E"/>
    <w:rsid w:val="005E4025"/>
    <w:rsid w:val="005E4374"/>
    <w:rsid w:val="005F3AB9"/>
    <w:rsid w:val="005F7232"/>
    <w:rsid w:val="006029BC"/>
    <w:rsid w:val="00603673"/>
    <w:rsid w:val="00604945"/>
    <w:rsid w:val="006049A0"/>
    <w:rsid w:val="0060562C"/>
    <w:rsid w:val="00605808"/>
    <w:rsid w:val="006122BA"/>
    <w:rsid w:val="00617A63"/>
    <w:rsid w:val="00617D0D"/>
    <w:rsid w:val="00620954"/>
    <w:rsid w:val="00624164"/>
    <w:rsid w:val="00631673"/>
    <w:rsid w:val="00631D2A"/>
    <w:rsid w:val="00633854"/>
    <w:rsid w:val="006346BB"/>
    <w:rsid w:val="00635CF4"/>
    <w:rsid w:val="006406FA"/>
    <w:rsid w:val="00644721"/>
    <w:rsid w:val="006514A5"/>
    <w:rsid w:val="00651A68"/>
    <w:rsid w:val="006524E5"/>
    <w:rsid w:val="0065282E"/>
    <w:rsid w:val="0065551E"/>
    <w:rsid w:val="00662F61"/>
    <w:rsid w:val="00663222"/>
    <w:rsid w:val="006655B1"/>
    <w:rsid w:val="00666699"/>
    <w:rsid w:val="00666F6D"/>
    <w:rsid w:val="00673114"/>
    <w:rsid w:val="00674CB1"/>
    <w:rsid w:val="00680E9B"/>
    <w:rsid w:val="00682861"/>
    <w:rsid w:val="00682C0D"/>
    <w:rsid w:val="006844E8"/>
    <w:rsid w:val="006868A6"/>
    <w:rsid w:val="0069034E"/>
    <w:rsid w:val="00691866"/>
    <w:rsid w:val="00692523"/>
    <w:rsid w:val="006A2702"/>
    <w:rsid w:val="006A4B86"/>
    <w:rsid w:val="006A5711"/>
    <w:rsid w:val="006A78F0"/>
    <w:rsid w:val="006B0F19"/>
    <w:rsid w:val="006B2290"/>
    <w:rsid w:val="006B2953"/>
    <w:rsid w:val="006B3892"/>
    <w:rsid w:val="006C28E7"/>
    <w:rsid w:val="006C44AB"/>
    <w:rsid w:val="006C6C8A"/>
    <w:rsid w:val="006D071D"/>
    <w:rsid w:val="006D16D3"/>
    <w:rsid w:val="006D1D70"/>
    <w:rsid w:val="006D4EE1"/>
    <w:rsid w:val="006D5300"/>
    <w:rsid w:val="006D5A05"/>
    <w:rsid w:val="006D7171"/>
    <w:rsid w:val="006E07F1"/>
    <w:rsid w:val="006E13C6"/>
    <w:rsid w:val="006E1541"/>
    <w:rsid w:val="006E1F4A"/>
    <w:rsid w:val="006E61FB"/>
    <w:rsid w:val="006E6A22"/>
    <w:rsid w:val="006E6F29"/>
    <w:rsid w:val="006F4137"/>
    <w:rsid w:val="006F67A5"/>
    <w:rsid w:val="00701D8A"/>
    <w:rsid w:val="00703CBA"/>
    <w:rsid w:val="007056B7"/>
    <w:rsid w:val="007129FD"/>
    <w:rsid w:val="007131DC"/>
    <w:rsid w:val="00715721"/>
    <w:rsid w:val="00716B8F"/>
    <w:rsid w:val="00717D88"/>
    <w:rsid w:val="0072034B"/>
    <w:rsid w:val="00723349"/>
    <w:rsid w:val="00725550"/>
    <w:rsid w:val="00725A92"/>
    <w:rsid w:val="00726968"/>
    <w:rsid w:val="00727197"/>
    <w:rsid w:val="00734AA3"/>
    <w:rsid w:val="0074389B"/>
    <w:rsid w:val="0075170F"/>
    <w:rsid w:val="00757B09"/>
    <w:rsid w:val="00761776"/>
    <w:rsid w:val="00762F14"/>
    <w:rsid w:val="00780F7B"/>
    <w:rsid w:val="00782845"/>
    <w:rsid w:val="0078484B"/>
    <w:rsid w:val="007916E5"/>
    <w:rsid w:val="00793B47"/>
    <w:rsid w:val="00793BC5"/>
    <w:rsid w:val="007942D3"/>
    <w:rsid w:val="00796849"/>
    <w:rsid w:val="00796EEE"/>
    <w:rsid w:val="00797BAF"/>
    <w:rsid w:val="007A168D"/>
    <w:rsid w:val="007A35F4"/>
    <w:rsid w:val="007B38B8"/>
    <w:rsid w:val="007B458A"/>
    <w:rsid w:val="007B5123"/>
    <w:rsid w:val="007B5AD2"/>
    <w:rsid w:val="007B5EFD"/>
    <w:rsid w:val="007B6C09"/>
    <w:rsid w:val="007C5937"/>
    <w:rsid w:val="007C7983"/>
    <w:rsid w:val="007D69A3"/>
    <w:rsid w:val="007E07E1"/>
    <w:rsid w:val="007E09DA"/>
    <w:rsid w:val="007E6F6B"/>
    <w:rsid w:val="007E75BC"/>
    <w:rsid w:val="007F0C29"/>
    <w:rsid w:val="007F2013"/>
    <w:rsid w:val="007F4715"/>
    <w:rsid w:val="008035A8"/>
    <w:rsid w:val="008147A1"/>
    <w:rsid w:val="008178B6"/>
    <w:rsid w:val="00822B65"/>
    <w:rsid w:val="008244AC"/>
    <w:rsid w:val="0083206D"/>
    <w:rsid w:val="00834AF6"/>
    <w:rsid w:val="0083556A"/>
    <w:rsid w:val="008358A0"/>
    <w:rsid w:val="00837C08"/>
    <w:rsid w:val="0084043B"/>
    <w:rsid w:val="008426CB"/>
    <w:rsid w:val="00843926"/>
    <w:rsid w:val="00843B18"/>
    <w:rsid w:val="00851962"/>
    <w:rsid w:val="00851B15"/>
    <w:rsid w:val="00854A1A"/>
    <w:rsid w:val="008564D1"/>
    <w:rsid w:val="00856DFF"/>
    <w:rsid w:val="00856F68"/>
    <w:rsid w:val="0085725E"/>
    <w:rsid w:val="00861255"/>
    <w:rsid w:val="00862696"/>
    <w:rsid w:val="00864140"/>
    <w:rsid w:val="0086448D"/>
    <w:rsid w:val="008654D9"/>
    <w:rsid w:val="00865B74"/>
    <w:rsid w:val="00866BB3"/>
    <w:rsid w:val="008673F7"/>
    <w:rsid w:val="00871B1A"/>
    <w:rsid w:val="00873080"/>
    <w:rsid w:val="00873CDE"/>
    <w:rsid w:val="00874656"/>
    <w:rsid w:val="008771F7"/>
    <w:rsid w:val="0088511A"/>
    <w:rsid w:val="0088644E"/>
    <w:rsid w:val="00886C5E"/>
    <w:rsid w:val="00887E3D"/>
    <w:rsid w:val="00895032"/>
    <w:rsid w:val="008A0E06"/>
    <w:rsid w:val="008A40C1"/>
    <w:rsid w:val="008A70FA"/>
    <w:rsid w:val="008B19FA"/>
    <w:rsid w:val="008B2772"/>
    <w:rsid w:val="008B3D7D"/>
    <w:rsid w:val="008B74B5"/>
    <w:rsid w:val="008C0346"/>
    <w:rsid w:val="008C3D05"/>
    <w:rsid w:val="008C4BFD"/>
    <w:rsid w:val="008C5687"/>
    <w:rsid w:val="008C6165"/>
    <w:rsid w:val="008C687D"/>
    <w:rsid w:val="008C7B7E"/>
    <w:rsid w:val="008C7CDC"/>
    <w:rsid w:val="008D1D0D"/>
    <w:rsid w:val="008D2BC9"/>
    <w:rsid w:val="008D75D5"/>
    <w:rsid w:val="008E3455"/>
    <w:rsid w:val="008E3A54"/>
    <w:rsid w:val="008E76F4"/>
    <w:rsid w:val="008F038A"/>
    <w:rsid w:val="008F0B3D"/>
    <w:rsid w:val="008F5A18"/>
    <w:rsid w:val="008F7C6B"/>
    <w:rsid w:val="00901118"/>
    <w:rsid w:val="00901341"/>
    <w:rsid w:val="00903F98"/>
    <w:rsid w:val="00905260"/>
    <w:rsid w:val="0092240F"/>
    <w:rsid w:val="009267C3"/>
    <w:rsid w:val="0092796F"/>
    <w:rsid w:val="00930BA1"/>
    <w:rsid w:val="0093169E"/>
    <w:rsid w:val="0093249F"/>
    <w:rsid w:val="00936520"/>
    <w:rsid w:val="00937480"/>
    <w:rsid w:val="00940710"/>
    <w:rsid w:val="0094160F"/>
    <w:rsid w:val="009434FD"/>
    <w:rsid w:val="00943B59"/>
    <w:rsid w:val="00943D71"/>
    <w:rsid w:val="0094408B"/>
    <w:rsid w:val="009460C2"/>
    <w:rsid w:val="0094677D"/>
    <w:rsid w:val="009505C9"/>
    <w:rsid w:val="0095338A"/>
    <w:rsid w:val="0095372E"/>
    <w:rsid w:val="0095498E"/>
    <w:rsid w:val="0095599D"/>
    <w:rsid w:val="009561F1"/>
    <w:rsid w:val="00957385"/>
    <w:rsid w:val="00960046"/>
    <w:rsid w:val="00960979"/>
    <w:rsid w:val="009636A9"/>
    <w:rsid w:val="00966CE4"/>
    <w:rsid w:val="00970B58"/>
    <w:rsid w:val="00976623"/>
    <w:rsid w:val="00981177"/>
    <w:rsid w:val="009822F0"/>
    <w:rsid w:val="00984328"/>
    <w:rsid w:val="00991191"/>
    <w:rsid w:val="009925E5"/>
    <w:rsid w:val="009A036B"/>
    <w:rsid w:val="009A08BB"/>
    <w:rsid w:val="009A2B1F"/>
    <w:rsid w:val="009A7133"/>
    <w:rsid w:val="009B07C9"/>
    <w:rsid w:val="009B3D90"/>
    <w:rsid w:val="009B4FC1"/>
    <w:rsid w:val="009B7B39"/>
    <w:rsid w:val="009C3591"/>
    <w:rsid w:val="009C3D2F"/>
    <w:rsid w:val="009C4DFB"/>
    <w:rsid w:val="009C5AE8"/>
    <w:rsid w:val="009C5F07"/>
    <w:rsid w:val="009C674E"/>
    <w:rsid w:val="009C6CFD"/>
    <w:rsid w:val="009E3875"/>
    <w:rsid w:val="009E5A23"/>
    <w:rsid w:val="009E63FC"/>
    <w:rsid w:val="009E6FDE"/>
    <w:rsid w:val="009E74CD"/>
    <w:rsid w:val="009F4F6C"/>
    <w:rsid w:val="009F5E29"/>
    <w:rsid w:val="009F6C8C"/>
    <w:rsid w:val="009F716E"/>
    <w:rsid w:val="00A03D42"/>
    <w:rsid w:val="00A04CA6"/>
    <w:rsid w:val="00A06481"/>
    <w:rsid w:val="00A06F57"/>
    <w:rsid w:val="00A11112"/>
    <w:rsid w:val="00A15A59"/>
    <w:rsid w:val="00A15C5A"/>
    <w:rsid w:val="00A17EDB"/>
    <w:rsid w:val="00A217CB"/>
    <w:rsid w:val="00A26792"/>
    <w:rsid w:val="00A36007"/>
    <w:rsid w:val="00A4417B"/>
    <w:rsid w:val="00A478B4"/>
    <w:rsid w:val="00A54255"/>
    <w:rsid w:val="00A60097"/>
    <w:rsid w:val="00A641F1"/>
    <w:rsid w:val="00A65B37"/>
    <w:rsid w:val="00A65C4B"/>
    <w:rsid w:val="00A7111F"/>
    <w:rsid w:val="00A724DE"/>
    <w:rsid w:val="00A72C1F"/>
    <w:rsid w:val="00A73F68"/>
    <w:rsid w:val="00A7467D"/>
    <w:rsid w:val="00A74DCD"/>
    <w:rsid w:val="00A83871"/>
    <w:rsid w:val="00A85960"/>
    <w:rsid w:val="00A85982"/>
    <w:rsid w:val="00A94C10"/>
    <w:rsid w:val="00A9582F"/>
    <w:rsid w:val="00AA0F4E"/>
    <w:rsid w:val="00AA1F95"/>
    <w:rsid w:val="00AA5F7B"/>
    <w:rsid w:val="00AA7363"/>
    <w:rsid w:val="00AB07C7"/>
    <w:rsid w:val="00AB0D42"/>
    <w:rsid w:val="00AB2161"/>
    <w:rsid w:val="00AB5F4C"/>
    <w:rsid w:val="00AB6828"/>
    <w:rsid w:val="00AB6B45"/>
    <w:rsid w:val="00AC3989"/>
    <w:rsid w:val="00AC54D9"/>
    <w:rsid w:val="00AC5737"/>
    <w:rsid w:val="00AD033D"/>
    <w:rsid w:val="00AD2D5E"/>
    <w:rsid w:val="00AD411D"/>
    <w:rsid w:val="00AE1561"/>
    <w:rsid w:val="00AE163E"/>
    <w:rsid w:val="00AE4C0F"/>
    <w:rsid w:val="00AE524A"/>
    <w:rsid w:val="00AE6151"/>
    <w:rsid w:val="00AE7FCE"/>
    <w:rsid w:val="00AF1141"/>
    <w:rsid w:val="00AF1AF0"/>
    <w:rsid w:val="00AF1F75"/>
    <w:rsid w:val="00AF36FB"/>
    <w:rsid w:val="00AF3AB2"/>
    <w:rsid w:val="00AF4FBA"/>
    <w:rsid w:val="00AF5D02"/>
    <w:rsid w:val="00AF7426"/>
    <w:rsid w:val="00B038A5"/>
    <w:rsid w:val="00B04328"/>
    <w:rsid w:val="00B07B2E"/>
    <w:rsid w:val="00B07F0C"/>
    <w:rsid w:val="00B114A8"/>
    <w:rsid w:val="00B17F95"/>
    <w:rsid w:val="00B228E7"/>
    <w:rsid w:val="00B23DEB"/>
    <w:rsid w:val="00B26CF5"/>
    <w:rsid w:val="00B3369F"/>
    <w:rsid w:val="00B40F64"/>
    <w:rsid w:val="00B41F12"/>
    <w:rsid w:val="00B42643"/>
    <w:rsid w:val="00B46516"/>
    <w:rsid w:val="00B50C12"/>
    <w:rsid w:val="00B54AE1"/>
    <w:rsid w:val="00B63EA6"/>
    <w:rsid w:val="00B64790"/>
    <w:rsid w:val="00B64F15"/>
    <w:rsid w:val="00B664C1"/>
    <w:rsid w:val="00B70189"/>
    <w:rsid w:val="00B7212B"/>
    <w:rsid w:val="00B81336"/>
    <w:rsid w:val="00B81BE8"/>
    <w:rsid w:val="00B83E65"/>
    <w:rsid w:val="00B9199A"/>
    <w:rsid w:val="00B93D7B"/>
    <w:rsid w:val="00B96810"/>
    <w:rsid w:val="00B96DD9"/>
    <w:rsid w:val="00BA1181"/>
    <w:rsid w:val="00BB519A"/>
    <w:rsid w:val="00BC1696"/>
    <w:rsid w:val="00BC278B"/>
    <w:rsid w:val="00BC6643"/>
    <w:rsid w:val="00BC671F"/>
    <w:rsid w:val="00BC7217"/>
    <w:rsid w:val="00BE32B1"/>
    <w:rsid w:val="00BE4194"/>
    <w:rsid w:val="00BE7E09"/>
    <w:rsid w:val="00BF41F6"/>
    <w:rsid w:val="00BF421B"/>
    <w:rsid w:val="00C01EF9"/>
    <w:rsid w:val="00C07E82"/>
    <w:rsid w:val="00C11ACD"/>
    <w:rsid w:val="00C13FAC"/>
    <w:rsid w:val="00C16C9D"/>
    <w:rsid w:val="00C16EBF"/>
    <w:rsid w:val="00C2374E"/>
    <w:rsid w:val="00C2606A"/>
    <w:rsid w:val="00C306B0"/>
    <w:rsid w:val="00C325BC"/>
    <w:rsid w:val="00C32653"/>
    <w:rsid w:val="00C36032"/>
    <w:rsid w:val="00C371FC"/>
    <w:rsid w:val="00C37B35"/>
    <w:rsid w:val="00C40840"/>
    <w:rsid w:val="00C45053"/>
    <w:rsid w:val="00C54BD5"/>
    <w:rsid w:val="00C61084"/>
    <w:rsid w:val="00C653F3"/>
    <w:rsid w:val="00C712FE"/>
    <w:rsid w:val="00C72799"/>
    <w:rsid w:val="00C7582F"/>
    <w:rsid w:val="00C8347F"/>
    <w:rsid w:val="00C84192"/>
    <w:rsid w:val="00C85FD0"/>
    <w:rsid w:val="00C9161D"/>
    <w:rsid w:val="00C94C13"/>
    <w:rsid w:val="00C94EBF"/>
    <w:rsid w:val="00CA21A4"/>
    <w:rsid w:val="00CA24AF"/>
    <w:rsid w:val="00CA4B77"/>
    <w:rsid w:val="00CB00DB"/>
    <w:rsid w:val="00CB0A71"/>
    <w:rsid w:val="00CB4ECB"/>
    <w:rsid w:val="00CC1022"/>
    <w:rsid w:val="00CC38D3"/>
    <w:rsid w:val="00CD5291"/>
    <w:rsid w:val="00CD5A57"/>
    <w:rsid w:val="00CD5FD9"/>
    <w:rsid w:val="00CD615A"/>
    <w:rsid w:val="00CF1848"/>
    <w:rsid w:val="00CF412C"/>
    <w:rsid w:val="00D01623"/>
    <w:rsid w:val="00D12044"/>
    <w:rsid w:val="00D130A6"/>
    <w:rsid w:val="00D21734"/>
    <w:rsid w:val="00D21AD5"/>
    <w:rsid w:val="00D21D38"/>
    <w:rsid w:val="00D24FA1"/>
    <w:rsid w:val="00D2568E"/>
    <w:rsid w:val="00D27376"/>
    <w:rsid w:val="00D31050"/>
    <w:rsid w:val="00D31459"/>
    <w:rsid w:val="00D31943"/>
    <w:rsid w:val="00D34FA0"/>
    <w:rsid w:val="00D36E91"/>
    <w:rsid w:val="00D37A33"/>
    <w:rsid w:val="00D44BFD"/>
    <w:rsid w:val="00D45201"/>
    <w:rsid w:val="00D560CF"/>
    <w:rsid w:val="00D56992"/>
    <w:rsid w:val="00D56D20"/>
    <w:rsid w:val="00D62466"/>
    <w:rsid w:val="00D62490"/>
    <w:rsid w:val="00D64F61"/>
    <w:rsid w:val="00D6615B"/>
    <w:rsid w:val="00D67039"/>
    <w:rsid w:val="00D76608"/>
    <w:rsid w:val="00D76650"/>
    <w:rsid w:val="00D76A18"/>
    <w:rsid w:val="00D830B4"/>
    <w:rsid w:val="00D858C4"/>
    <w:rsid w:val="00D8712C"/>
    <w:rsid w:val="00D87AA0"/>
    <w:rsid w:val="00D91A4A"/>
    <w:rsid w:val="00D93562"/>
    <w:rsid w:val="00D94F66"/>
    <w:rsid w:val="00D963DC"/>
    <w:rsid w:val="00DB23DB"/>
    <w:rsid w:val="00DB2733"/>
    <w:rsid w:val="00DB4886"/>
    <w:rsid w:val="00DB57F0"/>
    <w:rsid w:val="00DB6A5C"/>
    <w:rsid w:val="00DB7B7D"/>
    <w:rsid w:val="00DC33FF"/>
    <w:rsid w:val="00DC3C76"/>
    <w:rsid w:val="00DC65F5"/>
    <w:rsid w:val="00DC7AA3"/>
    <w:rsid w:val="00DD118C"/>
    <w:rsid w:val="00DD1A24"/>
    <w:rsid w:val="00DD4E17"/>
    <w:rsid w:val="00DE31B4"/>
    <w:rsid w:val="00DE6064"/>
    <w:rsid w:val="00DE7625"/>
    <w:rsid w:val="00DF0780"/>
    <w:rsid w:val="00DF1A31"/>
    <w:rsid w:val="00DF6836"/>
    <w:rsid w:val="00DF6DED"/>
    <w:rsid w:val="00E028A9"/>
    <w:rsid w:val="00E02932"/>
    <w:rsid w:val="00E0367F"/>
    <w:rsid w:val="00E03915"/>
    <w:rsid w:val="00E106AE"/>
    <w:rsid w:val="00E112FA"/>
    <w:rsid w:val="00E11FCE"/>
    <w:rsid w:val="00E1230A"/>
    <w:rsid w:val="00E13A87"/>
    <w:rsid w:val="00E1673C"/>
    <w:rsid w:val="00E21230"/>
    <w:rsid w:val="00E21F01"/>
    <w:rsid w:val="00E221EC"/>
    <w:rsid w:val="00E22357"/>
    <w:rsid w:val="00E26C35"/>
    <w:rsid w:val="00E26E07"/>
    <w:rsid w:val="00E279A9"/>
    <w:rsid w:val="00E3185E"/>
    <w:rsid w:val="00E32051"/>
    <w:rsid w:val="00E32E73"/>
    <w:rsid w:val="00E34B24"/>
    <w:rsid w:val="00E35230"/>
    <w:rsid w:val="00E370EF"/>
    <w:rsid w:val="00E3751C"/>
    <w:rsid w:val="00E3761B"/>
    <w:rsid w:val="00E407BE"/>
    <w:rsid w:val="00E556BD"/>
    <w:rsid w:val="00E5648F"/>
    <w:rsid w:val="00E629FB"/>
    <w:rsid w:val="00E63404"/>
    <w:rsid w:val="00E65C60"/>
    <w:rsid w:val="00E66235"/>
    <w:rsid w:val="00E7070B"/>
    <w:rsid w:val="00E7115A"/>
    <w:rsid w:val="00E76C00"/>
    <w:rsid w:val="00E81B93"/>
    <w:rsid w:val="00E830A5"/>
    <w:rsid w:val="00E83C24"/>
    <w:rsid w:val="00E90289"/>
    <w:rsid w:val="00E90470"/>
    <w:rsid w:val="00E9318D"/>
    <w:rsid w:val="00E939AC"/>
    <w:rsid w:val="00E955B0"/>
    <w:rsid w:val="00E9744A"/>
    <w:rsid w:val="00EA1401"/>
    <w:rsid w:val="00EA6315"/>
    <w:rsid w:val="00EB233A"/>
    <w:rsid w:val="00EF1B09"/>
    <w:rsid w:val="00EF2C3D"/>
    <w:rsid w:val="00EF6489"/>
    <w:rsid w:val="00EF6E50"/>
    <w:rsid w:val="00F03643"/>
    <w:rsid w:val="00F04592"/>
    <w:rsid w:val="00F056E3"/>
    <w:rsid w:val="00F06315"/>
    <w:rsid w:val="00F0705E"/>
    <w:rsid w:val="00F11A21"/>
    <w:rsid w:val="00F12E42"/>
    <w:rsid w:val="00F22D3E"/>
    <w:rsid w:val="00F27965"/>
    <w:rsid w:val="00F27D14"/>
    <w:rsid w:val="00F32724"/>
    <w:rsid w:val="00F32CDF"/>
    <w:rsid w:val="00F33AF0"/>
    <w:rsid w:val="00F33CAB"/>
    <w:rsid w:val="00F3651B"/>
    <w:rsid w:val="00F3658A"/>
    <w:rsid w:val="00F37497"/>
    <w:rsid w:val="00F4787D"/>
    <w:rsid w:val="00F501AC"/>
    <w:rsid w:val="00F51164"/>
    <w:rsid w:val="00F56EA2"/>
    <w:rsid w:val="00F637A7"/>
    <w:rsid w:val="00F672D2"/>
    <w:rsid w:val="00F82438"/>
    <w:rsid w:val="00F82CA5"/>
    <w:rsid w:val="00F836A1"/>
    <w:rsid w:val="00F83A3F"/>
    <w:rsid w:val="00F87E0F"/>
    <w:rsid w:val="00F94774"/>
    <w:rsid w:val="00F95A27"/>
    <w:rsid w:val="00FA37F6"/>
    <w:rsid w:val="00FA683C"/>
    <w:rsid w:val="00FA7692"/>
    <w:rsid w:val="00FB1E00"/>
    <w:rsid w:val="00FB6826"/>
    <w:rsid w:val="00FB77E0"/>
    <w:rsid w:val="00FC2682"/>
    <w:rsid w:val="00FC26D2"/>
    <w:rsid w:val="00FC3821"/>
    <w:rsid w:val="00FC39B3"/>
    <w:rsid w:val="00FC3BE9"/>
    <w:rsid w:val="00FC51AF"/>
    <w:rsid w:val="00FC53DB"/>
    <w:rsid w:val="00FC6FC8"/>
    <w:rsid w:val="00FD08EE"/>
    <w:rsid w:val="00FD119D"/>
    <w:rsid w:val="00FD1804"/>
    <w:rsid w:val="00FD2FAB"/>
    <w:rsid w:val="00FD37B8"/>
    <w:rsid w:val="00FD3C5C"/>
    <w:rsid w:val="00FD5AB2"/>
    <w:rsid w:val="00FE432F"/>
    <w:rsid w:val="00FF198B"/>
    <w:rsid w:val="00FF370B"/>
    <w:rsid w:val="00FF4687"/>
    <w:rsid w:val="00FF563C"/>
    <w:rsid w:val="00FF69DD"/>
  </w:rsids>
  <m:mathPr>
    <m:mathFont m:val="Cambria Math"/>
    <m:brkBin m:val="before"/>
    <m:brkBinSub m:val="--"/>
    <m:smallFrac/>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736DA3"/>
  <w15:docId w15:val="{EF1DC993-FA4F-4339-9068-134D218BF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uiPriority w:val="1"/>
    <w:qFormat/>
    <w:rsid w:val="007E09DA"/>
    <w:pPr>
      <w:spacing w:before="120" w:after="120"/>
      <w:ind w:firstLine="720"/>
    </w:pPr>
    <w:rPr>
      <w:iCs/>
    </w:rPr>
  </w:style>
  <w:style w:type="character" w:customStyle="1" w:styleId="BodyTextChar">
    <w:name w:val="Body Text Char"/>
    <w:basedOn w:val="DefaultParagraphFont"/>
    <w:link w:val="BodyText"/>
    <w:uiPriority w:val="1"/>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16 Point,Superscript 6 Point,Superscript 6 Point + 11 pt,ftref,Appel note de bas de page,number,Footnote Reference Superscript,-E Fußnotenzeichen,(Diplomarbeit FZ),(Diplomarbeit FZ)1,(Diplomarbeit FZ)2,(Diplomarbeit FZ)3,16 Poin"/>
    <w:link w:val="CharChar1CharCharCharChar1CharCharCharCharCharCharCharChar"/>
    <w:uiPriority w:val="99"/>
    <w:qFormat/>
    <w:rsid w:val="00427D21"/>
    <w:rPr>
      <w:sz w:val="22"/>
      <w:u w:val="none"/>
      <w:vertAlign w:val="superscript"/>
    </w:rPr>
  </w:style>
  <w:style w:type="paragraph" w:styleId="FootnoteText">
    <w:name w:val="footnote text"/>
    <w:aliases w:val="fn,Geneva 9,Font: Geneva 9,Boston 10,f,Testo nota a piè di pagina Carattere Carattere,Testo nota a piè di pagina Carattere,Testo nota a piè di pagina Carattere1 Carattere,Testo nota a piè di pagina Carattere Carattere Carattere Carattere"/>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Testo nota a piè di pagina Carattere Carattere Char,Testo nota a piè di pagina Carattere Char,Testo nota a piè di pagina Carattere1 Carattere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rsid w:val="007E09DA"/>
    <w:pPr>
      <w:ind w:left="720" w:hanging="720"/>
    </w:pPr>
    <w:rPr>
      <w:caps/>
    </w:rPr>
  </w:style>
  <w:style w:type="paragraph" w:styleId="TOC2">
    <w:name w:val="toc 2"/>
    <w:basedOn w:val="Normal"/>
    <w:next w:val="Normal"/>
    <w:autoRedefine/>
    <w:uiPriority w:val="39"/>
    <w:rsid w:val="007E09DA"/>
    <w:pPr>
      <w:tabs>
        <w:tab w:val="right" w:leader="dot" w:pos="9356"/>
      </w:tabs>
      <w:ind w:left="1440" w:hanging="720"/>
    </w:pPr>
    <w:rPr>
      <w:noProof/>
      <w:szCs w:val="22"/>
    </w:rPr>
  </w:style>
  <w:style w:type="paragraph" w:styleId="TOC3">
    <w:name w:val="toc 3"/>
    <w:basedOn w:val="Normal"/>
    <w:next w:val="Normal"/>
    <w:autoRedefine/>
    <w:uiPriority w:val="39"/>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Default">
    <w:name w:val="Default"/>
    <w:rsid w:val="00E21230"/>
    <w:pPr>
      <w:autoSpaceDE w:val="0"/>
      <w:autoSpaceDN w:val="0"/>
      <w:adjustRightInd w:val="0"/>
    </w:pPr>
    <w:rPr>
      <w:rFonts w:ascii="Calibri" w:eastAsia="SimSun" w:hAnsi="Calibri" w:cs="Calibri"/>
      <w:color w:val="000000"/>
      <w:lang w:val="en-US" w:eastAsia="zh-CN"/>
    </w:rPr>
  </w:style>
  <w:style w:type="character" w:customStyle="1" w:styleId="Para1Char1">
    <w:name w:val="Para1 Char1"/>
    <w:locked/>
    <w:rsid w:val="0078484B"/>
    <w:rPr>
      <w:rFonts w:ascii="Angsana New" w:hAnsi="Angsana New" w:cs="Angsana New"/>
      <w:sz w:val="22"/>
      <w:szCs w:val="18"/>
      <w:lang w:val="en-GB"/>
    </w:rPr>
  </w:style>
  <w:style w:type="paragraph" w:styleId="CommentSubject">
    <w:name w:val="annotation subject"/>
    <w:basedOn w:val="CommentText"/>
    <w:next w:val="CommentText"/>
    <w:link w:val="CommentSubjectChar"/>
    <w:uiPriority w:val="99"/>
    <w:semiHidden/>
    <w:unhideWhenUsed/>
    <w:rsid w:val="00374DA1"/>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374DA1"/>
    <w:rPr>
      <w:rFonts w:ascii="Times New Roman" w:eastAsia="Times New Roman" w:hAnsi="Times New Roman" w:cs="Times New Roman"/>
      <w:b/>
      <w:bCs/>
      <w:sz w:val="20"/>
      <w:szCs w:val="20"/>
      <w:lang w:val="en-GB"/>
    </w:rPr>
  </w:style>
  <w:style w:type="paragraph" w:customStyle="1" w:styleId="Para40">
    <w:name w:val="Para4"/>
    <w:basedOn w:val="Para3"/>
    <w:rsid w:val="00901118"/>
    <w:pPr>
      <w:numPr>
        <w:ilvl w:val="0"/>
        <w:numId w:val="0"/>
      </w:numPr>
      <w:tabs>
        <w:tab w:val="clear" w:pos="1980"/>
        <w:tab w:val="left" w:pos="2552"/>
        <w:tab w:val="num" w:pos="2880"/>
      </w:tabs>
      <w:ind w:left="2880" w:hanging="360"/>
    </w:pPr>
  </w:style>
  <w:style w:type="paragraph" w:styleId="Revision">
    <w:name w:val="Revision"/>
    <w:hidden/>
    <w:uiPriority w:val="99"/>
    <w:semiHidden/>
    <w:rsid w:val="00901118"/>
    <w:rPr>
      <w:rFonts w:ascii="Times New Roman" w:eastAsia="Times New Roman" w:hAnsi="Times New Roman" w:cs="Times New Roman"/>
      <w:sz w:val="22"/>
      <w:lang w:val="en-GB"/>
    </w:rPr>
  </w:style>
  <w:style w:type="character" w:customStyle="1" w:styleId="UnresolvedMention1">
    <w:name w:val="Unresolved Mention1"/>
    <w:basedOn w:val="DefaultParagraphFont"/>
    <w:uiPriority w:val="99"/>
    <w:semiHidden/>
    <w:unhideWhenUsed/>
    <w:rsid w:val="002A2540"/>
    <w:rPr>
      <w:color w:val="808080"/>
      <w:shd w:val="clear" w:color="auto" w:fill="E6E6E6"/>
    </w:rPr>
  </w:style>
  <w:style w:type="character" w:styleId="Emphasis">
    <w:name w:val="Emphasis"/>
    <w:basedOn w:val="DefaultParagraphFont"/>
    <w:uiPriority w:val="20"/>
    <w:qFormat/>
    <w:rsid w:val="00323713"/>
    <w:rPr>
      <w:i/>
      <w:iCs/>
    </w:rPr>
  </w:style>
  <w:style w:type="character" w:customStyle="1" w:styleId="UnresolvedMention2">
    <w:name w:val="Unresolved Mention2"/>
    <w:basedOn w:val="DefaultParagraphFont"/>
    <w:uiPriority w:val="99"/>
    <w:semiHidden/>
    <w:unhideWhenUsed/>
    <w:rsid w:val="005267DA"/>
    <w:rPr>
      <w:color w:val="605E5C"/>
      <w:shd w:val="clear" w:color="auto" w:fill="E1DFDD"/>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rsid w:val="00A85960"/>
    <w:pPr>
      <w:spacing w:after="160" w:line="240" w:lineRule="exact"/>
    </w:pPr>
    <w:rPr>
      <w:rFonts w:asciiTheme="minorHAnsi" w:eastAsiaTheme="minorEastAsia" w:hAnsiTheme="minorHAnsi" w:cstheme="minorBidi"/>
      <w:vertAlign w:val="superscript"/>
      <w:lang w:val="fr-CA"/>
    </w:rPr>
  </w:style>
  <w:style w:type="character" w:customStyle="1" w:styleId="ListParagraphChar">
    <w:name w:val="List Paragraph Char"/>
    <w:basedOn w:val="DefaultParagraphFont"/>
    <w:link w:val="ListParagraph"/>
    <w:uiPriority w:val="34"/>
    <w:rsid w:val="00332332"/>
    <w:rPr>
      <w:rFonts w:ascii="Times New Roman" w:eastAsia="Times New Roman" w:hAnsi="Times New Roman" w:cs="Times New Roman"/>
      <w:sz w:val="22"/>
      <w:lang w:val="en-GB"/>
    </w:rPr>
  </w:style>
  <w:style w:type="table" w:customStyle="1" w:styleId="PlainTable41">
    <w:name w:val="Plain Table 41"/>
    <w:basedOn w:val="TableNormal"/>
    <w:uiPriority w:val="44"/>
    <w:rsid w:val="00B228E7"/>
    <w:rPr>
      <w:rFonts w:eastAsiaTheme="minorHAnsi"/>
      <w:sz w:val="22"/>
      <w:szCs w:val="22"/>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OCHeading">
    <w:name w:val="TOC Heading"/>
    <w:basedOn w:val="Heading1"/>
    <w:next w:val="Normal"/>
    <w:uiPriority w:val="39"/>
    <w:unhideWhenUsed/>
    <w:qFormat/>
    <w:rsid w:val="003C74CA"/>
    <w:pPr>
      <w:keepLines/>
      <w:tabs>
        <w:tab w:val="clear" w:pos="720"/>
      </w:tabs>
      <w:spacing w:after="0" w:line="259" w:lineRule="auto"/>
      <w:jc w:val="left"/>
      <w:outlineLvl w:val="9"/>
    </w:pPr>
    <w:rPr>
      <w:rFonts w:asciiTheme="majorHAnsi" w:eastAsiaTheme="majorEastAsia" w:hAnsiTheme="majorHAnsi" w:cstheme="majorBidi"/>
      <w:b w:val="0"/>
      <w:caps w:val="0"/>
      <w:color w:val="365F91" w:themeColor="accent1" w:themeShade="BF"/>
      <w:sz w:val="32"/>
      <w:szCs w:val="32"/>
      <w:lang w:val="en-US"/>
    </w:rPr>
  </w:style>
  <w:style w:type="character" w:customStyle="1" w:styleId="cf01">
    <w:name w:val="cf01"/>
    <w:basedOn w:val="DefaultParagraphFont"/>
    <w:rsid w:val="006D5A05"/>
    <w:rPr>
      <w:rFonts w:ascii="Segoe UI" w:hAnsi="Segoe UI" w:cs="Segoe UI" w:hint="default"/>
      <w:sz w:val="18"/>
      <w:szCs w:val="18"/>
      <w:shd w:val="clear" w:color="auto" w:fill="FFFF00"/>
    </w:rPr>
  </w:style>
  <w:style w:type="character" w:customStyle="1" w:styleId="cf11">
    <w:name w:val="cf11"/>
    <w:basedOn w:val="DefaultParagraphFont"/>
    <w:rsid w:val="006D5A05"/>
    <w:rPr>
      <w:rFonts w:ascii="Segoe UI" w:hAnsi="Segoe UI" w:cs="Segoe UI" w:hint="default"/>
      <w:sz w:val="18"/>
      <w:szCs w:val="18"/>
    </w:rPr>
  </w:style>
  <w:style w:type="character" w:customStyle="1" w:styleId="ng-star-inserted">
    <w:name w:val="ng-star-inserted"/>
    <w:basedOn w:val="DefaultParagraphFont"/>
    <w:rsid w:val="009C67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689295">
      <w:bodyDiv w:val="1"/>
      <w:marLeft w:val="0"/>
      <w:marRight w:val="0"/>
      <w:marTop w:val="0"/>
      <w:marBottom w:val="0"/>
      <w:divBdr>
        <w:top w:val="none" w:sz="0" w:space="0" w:color="auto"/>
        <w:left w:val="none" w:sz="0" w:space="0" w:color="auto"/>
        <w:bottom w:val="none" w:sz="0" w:space="0" w:color="auto"/>
        <w:right w:val="none" w:sz="0" w:space="0" w:color="auto"/>
      </w:divBdr>
    </w:div>
    <w:div w:id="200092478">
      <w:bodyDiv w:val="1"/>
      <w:marLeft w:val="0"/>
      <w:marRight w:val="0"/>
      <w:marTop w:val="0"/>
      <w:marBottom w:val="0"/>
      <w:divBdr>
        <w:top w:val="none" w:sz="0" w:space="0" w:color="auto"/>
        <w:left w:val="none" w:sz="0" w:space="0" w:color="auto"/>
        <w:bottom w:val="none" w:sz="0" w:space="0" w:color="auto"/>
        <w:right w:val="none" w:sz="0" w:space="0" w:color="auto"/>
      </w:divBdr>
    </w:div>
    <w:div w:id="392435716">
      <w:bodyDiv w:val="1"/>
      <w:marLeft w:val="0"/>
      <w:marRight w:val="0"/>
      <w:marTop w:val="0"/>
      <w:marBottom w:val="0"/>
      <w:divBdr>
        <w:top w:val="none" w:sz="0" w:space="0" w:color="auto"/>
        <w:left w:val="none" w:sz="0" w:space="0" w:color="auto"/>
        <w:bottom w:val="none" w:sz="0" w:space="0" w:color="auto"/>
        <w:right w:val="none" w:sz="0" w:space="0" w:color="auto"/>
      </w:divBdr>
    </w:div>
    <w:div w:id="672536080">
      <w:bodyDiv w:val="1"/>
      <w:marLeft w:val="0"/>
      <w:marRight w:val="0"/>
      <w:marTop w:val="0"/>
      <w:marBottom w:val="0"/>
      <w:divBdr>
        <w:top w:val="none" w:sz="0" w:space="0" w:color="auto"/>
        <w:left w:val="none" w:sz="0" w:space="0" w:color="auto"/>
        <w:bottom w:val="none" w:sz="0" w:space="0" w:color="auto"/>
        <w:right w:val="none" w:sz="0" w:space="0" w:color="auto"/>
      </w:divBdr>
    </w:div>
    <w:div w:id="1075005547">
      <w:bodyDiv w:val="1"/>
      <w:marLeft w:val="0"/>
      <w:marRight w:val="0"/>
      <w:marTop w:val="0"/>
      <w:marBottom w:val="0"/>
      <w:divBdr>
        <w:top w:val="none" w:sz="0" w:space="0" w:color="auto"/>
        <w:left w:val="none" w:sz="0" w:space="0" w:color="auto"/>
        <w:bottom w:val="none" w:sz="0" w:space="0" w:color="auto"/>
        <w:right w:val="none" w:sz="0" w:space="0" w:color="auto"/>
      </w:divBdr>
    </w:div>
    <w:div w:id="1214728426">
      <w:bodyDiv w:val="1"/>
      <w:marLeft w:val="0"/>
      <w:marRight w:val="0"/>
      <w:marTop w:val="0"/>
      <w:marBottom w:val="0"/>
      <w:divBdr>
        <w:top w:val="none" w:sz="0" w:space="0" w:color="auto"/>
        <w:left w:val="none" w:sz="0" w:space="0" w:color="auto"/>
        <w:bottom w:val="none" w:sz="0" w:space="0" w:color="auto"/>
        <w:right w:val="none" w:sz="0" w:space="0" w:color="auto"/>
      </w:divBdr>
    </w:div>
    <w:div w:id="1378312540">
      <w:bodyDiv w:val="1"/>
      <w:marLeft w:val="0"/>
      <w:marRight w:val="0"/>
      <w:marTop w:val="0"/>
      <w:marBottom w:val="0"/>
      <w:divBdr>
        <w:top w:val="none" w:sz="0" w:space="0" w:color="auto"/>
        <w:left w:val="none" w:sz="0" w:space="0" w:color="auto"/>
        <w:bottom w:val="none" w:sz="0" w:space="0" w:color="auto"/>
        <w:right w:val="none" w:sz="0" w:space="0" w:color="auto"/>
      </w:divBdr>
    </w:div>
    <w:div w:id="1427381311">
      <w:bodyDiv w:val="1"/>
      <w:marLeft w:val="0"/>
      <w:marRight w:val="0"/>
      <w:marTop w:val="0"/>
      <w:marBottom w:val="0"/>
      <w:divBdr>
        <w:top w:val="none" w:sz="0" w:space="0" w:color="auto"/>
        <w:left w:val="none" w:sz="0" w:space="0" w:color="auto"/>
        <w:bottom w:val="none" w:sz="0" w:space="0" w:color="auto"/>
        <w:right w:val="none" w:sz="0" w:space="0" w:color="auto"/>
      </w:divBdr>
    </w:div>
    <w:div w:id="1455564638">
      <w:bodyDiv w:val="1"/>
      <w:marLeft w:val="0"/>
      <w:marRight w:val="0"/>
      <w:marTop w:val="0"/>
      <w:marBottom w:val="0"/>
      <w:divBdr>
        <w:top w:val="none" w:sz="0" w:space="0" w:color="auto"/>
        <w:left w:val="none" w:sz="0" w:space="0" w:color="auto"/>
        <w:bottom w:val="none" w:sz="0" w:space="0" w:color="auto"/>
        <w:right w:val="none" w:sz="0" w:space="0" w:color="auto"/>
      </w:divBdr>
    </w:div>
    <w:div w:id="1494030585">
      <w:bodyDiv w:val="1"/>
      <w:marLeft w:val="0"/>
      <w:marRight w:val="0"/>
      <w:marTop w:val="0"/>
      <w:marBottom w:val="0"/>
      <w:divBdr>
        <w:top w:val="none" w:sz="0" w:space="0" w:color="auto"/>
        <w:left w:val="none" w:sz="0" w:space="0" w:color="auto"/>
        <w:bottom w:val="none" w:sz="0" w:space="0" w:color="auto"/>
        <w:right w:val="none" w:sz="0" w:space="0" w:color="auto"/>
      </w:divBdr>
    </w:div>
    <w:div w:id="1533961361">
      <w:bodyDiv w:val="1"/>
      <w:marLeft w:val="0"/>
      <w:marRight w:val="0"/>
      <w:marTop w:val="0"/>
      <w:marBottom w:val="0"/>
      <w:divBdr>
        <w:top w:val="none" w:sz="0" w:space="0" w:color="auto"/>
        <w:left w:val="none" w:sz="0" w:space="0" w:color="auto"/>
        <w:bottom w:val="none" w:sz="0" w:space="0" w:color="auto"/>
        <w:right w:val="none" w:sz="0" w:space="0" w:color="auto"/>
      </w:divBdr>
    </w:div>
    <w:div w:id="1618442942">
      <w:bodyDiv w:val="1"/>
      <w:marLeft w:val="0"/>
      <w:marRight w:val="0"/>
      <w:marTop w:val="0"/>
      <w:marBottom w:val="0"/>
      <w:divBdr>
        <w:top w:val="none" w:sz="0" w:space="0" w:color="auto"/>
        <w:left w:val="none" w:sz="0" w:space="0" w:color="auto"/>
        <w:bottom w:val="none" w:sz="0" w:space="0" w:color="auto"/>
        <w:right w:val="none" w:sz="0" w:space="0" w:color="auto"/>
      </w:divBdr>
    </w:div>
    <w:div w:id="1680229426">
      <w:bodyDiv w:val="1"/>
      <w:marLeft w:val="0"/>
      <w:marRight w:val="0"/>
      <w:marTop w:val="0"/>
      <w:marBottom w:val="0"/>
      <w:divBdr>
        <w:top w:val="none" w:sz="0" w:space="0" w:color="auto"/>
        <w:left w:val="none" w:sz="0" w:space="0" w:color="auto"/>
        <w:bottom w:val="none" w:sz="0" w:space="0" w:color="auto"/>
        <w:right w:val="none" w:sz="0" w:space="0" w:color="auto"/>
      </w:divBdr>
    </w:div>
    <w:div w:id="1805654587">
      <w:bodyDiv w:val="1"/>
      <w:marLeft w:val="0"/>
      <w:marRight w:val="0"/>
      <w:marTop w:val="0"/>
      <w:marBottom w:val="0"/>
      <w:divBdr>
        <w:top w:val="none" w:sz="0" w:space="0" w:color="auto"/>
        <w:left w:val="none" w:sz="0" w:space="0" w:color="auto"/>
        <w:bottom w:val="none" w:sz="0" w:space="0" w:color="auto"/>
        <w:right w:val="none" w:sz="0" w:space="0" w:color="auto"/>
      </w:divBdr>
    </w:div>
    <w:div w:id="1857886973">
      <w:bodyDiv w:val="1"/>
      <w:marLeft w:val="0"/>
      <w:marRight w:val="0"/>
      <w:marTop w:val="0"/>
      <w:marBottom w:val="0"/>
      <w:divBdr>
        <w:top w:val="none" w:sz="0" w:space="0" w:color="auto"/>
        <w:left w:val="none" w:sz="0" w:space="0" w:color="auto"/>
        <w:bottom w:val="none" w:sz="0" w:space="0" w:color="auto"/>
        <w:right w:val="none" w:sz="0" w:space="0" w:color="auto"/>
      </w:divBdr>
    </w:div>
    <w:div w:id="20508838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recommendations/sbi-03/sbi-03-rec-07-es.pdf" TargetMode="External"/><Relationship Id="rId2" Type="http://schemas.openxmlformats.org/officeDocument/2006/relationships/customXml" Target="../customXml/item2.xml"/><Relationship Id="rId16" Type="http://schemas.openxmlformats.org/officeDocument/2006/relationships/hyperlink" Target="https://www.cbd.int/doc/decisions/cop-14/cop-14-dec-23-es.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p-mop-09/cp-mop-09-dec-04-es.pdf" TargetMode="Externa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021CC"/>
    <w:rsid w:val="00035791"/>
    <w:rsid w:val="0008061F"/>
    <w:rsid w:val="000872BB"/>
    <w:rsid w:val="000D3661"/>
    <w:rsid w:val="002013A0"/>
    <w:rsid w:val="00486945"/>
    <w:rsid w:val="004C54CC"/>
    <w:rsid w:val="004D48BA"/>
    <w:rsid w:val="004F12E0"/>
    <w:rsid w:val="00500A2B"/>
    <w:rsid w:val="00500A4F"/>
    <w:rsid w:val="0058288D"/>
    <w:rsid w:val="00626FC6"/>
    <w:rsid w:val="006801B3"/>
    <w:rsid w:val="00696484"/>
    <w:rsid w:val="00696C74"/>
    <w:rsid w:val="006A20E5"/>
    <w:rsid w:val="006A5B7C"/>
    <w:rsid w:val="00716D5A"/>
    <w:rsid w:val="00775496"/>
    <w:rsid w:val="007D1C6A"/>
    <w:rsid w:val="00810A55"/>
    <w:rsid w:val="008A4B32"/>
    <w:rsid w:val="008C6619"/>
    <w:rsid w:val="008D420E"/>
    <w:rsid w:val="00966076"/>
    <w:rsid w:val="00971B16"/>
    <w:rsid w:val="0098642F"/>
    <w:rsid w:val="00A04F34"/>
    <w:rsid w:val="00A4694F"/>
    <w:rsid w:val="00A82412"/>
    <w:rsid w:val="00AA6EDF"/>
    <w:rsid w:val="00AD627A"/>
    <w:rsid w:val="00B325AC"/>
    <w:rsid w:val="00B35149"/>
    <w:rsid w:val="00BB1753"/>
    <w:rsid w:val="00BF5CE2"/>
    <w:rsid w:val="00C00460"/>
    <w:rsid w:val="00C32264"/>
    <w:rsid w:val="00C34C1E"/>
    <w:rsid w:val="00CA5FDB"/>
    <w:rsid w:val="00CE358E"/>
    <w:rsid w:val="00D10381"/>
    <w:rsid w:val="00D421EE"/>
    <w:rsid w:val="00DE32A3"/>
    <w:rsid w:val="00E13924"/>
    <w:rsid w:val="00E61855"/>
    <w:rsid w:val="00F16BAE"/>
    <w:rsid w:val="00F85F2D"/>
    <w:rsid w:val="00FD33A2"/>
    <w:rsid w:val="00FE7E4A"/>
    <w:rsid w:val="00FF2D4D"/>
    <w:rsid w:val="00FF4FB4"/>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514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3514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2022-10-17T00:00:00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CD4C50B-C20A-42CA-8EE8-6BE82C5676D6}">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04477A7D-D165-4AC2-BE69-A4DC3FD512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7F9E74-41AA-40EA-82EF-39986256DA4B}">
  <ds:schemaRefs>
    <ds:schemaRef ds:uri="http://schemas.microsoft.com/sharepoint/v3/contenttype/forms"/>
  </ds:schemaRefs>
</ds:datastoreItem>
</file>

<file path=customXml/itemProps5.xml><?xml version="1.0" encoding="utf-8"?>
<ds:datastoreItem xmlns:ds="http://schemas.openxmlformats.org/officeDocument/2006/customXml" ds:itemID="{44A45A6E-8709-45A7-BA73-2CD364BB9C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3678</Words>
  <Characters>20968</Characters>
  <Application>Microsoft Office Word</Application>
  <DocSecurity>0</DocSecurity>
  <Lines>174</Lines>
  <Paragraphs>49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EL MECANISMO FINANCIERO Y LOS RECURSOS (ArtÍCULO 28)</vt:lpstr>
      <vt:lpstr>Financial mechanism and resources (Article 28)</vt:lpstr>
    </vt:vector>
  </TitlesOfParts>
  <Company>SCBD</Company>
  <LinksUpToDate>false</LinksUpToDate>
  <CharactersWithSpaces>24597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 MECANISMO FINANCIERO Y LOS RECURSOS (ArtÍCULO 28)</dc:title>
  <dc:subject>CBD/CP/MOP/10/6</dc:subject>
  <dc:creator>SCBD</dc:creator>
  <cp:keywords>Conference of the Parties serving as the meeting of the Parties to the Cartagena Protocol on Biosafety, tenth meeting</cp:keywords>
  <cp:lastModifiedBy>Xue He Yan</cp:lastModifiedBy>
  <cp:revision>3</cp:revision>
  <cp:lastPrinted>2022-10-24T17:00:00Z</cp:lastPrinted>
  <dcterms:created xsi:type="dcterms:W3CDTF">2022-10-28T07:11:00Z</dcterms:created>
  <dcterms:modified xsi:type="dcterms:W3CDTF">2022-10-31T17:54:00Z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