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1"/>
        <w:tblW w:w="5528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528"/>
      </w:tblGrid>
      <w:tr w:rsidR="00A96B21" w:rsidRPr="00B32150" w:rsidTr="004D21F4">
        <w:trPr>
          <w:trHeight w:val="851"/>
        </w:trPr>
        <w:tc>
          <w:tcPr>
            <w:tcW w:w="472" w:type="pct"/>
            <w:tcBorders>
              <w:bottom w:val="single" w:sz="8" w:space="0" w:color="auto"/>
            </w:tcBorders>
            <w:vAlign w:val="bottom"/>
          </w:tcPr>
          <w:p w:rsidR="00A96B21" w:rsidRPr="00B32150" w:rsidRDefault="00A96B21" w:rsidP="00B60E5F">
            <w:pPr>
              <w:spacing w:after="120"/>
              <w:jc w:val="left"/>
            </w:pPr>
            <w:bookmarkStart w:id="0" w:name="_Hlk137651738"/>
            <w:r w:rsidRPr="00B32150">
              <w:rPr>
                <w:noProof/>
                <w:lang w:eastAsia="fr-FR"/>
              </w:rPr>
              <w:drawing>
                <wp:inline distT="0" distB="0" distL="0" distR="0" wp14:anchorId="590169FB" wp14:editId="264BAFA8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7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:rsidR="00A96B21" w:rsidRPr="00B32150" w:rsidRDefault="005F226E" w:rsidP="00B60E5F">
            <w:pPr>
              <w:spacing w:after="120"/>
              <w:jc w:val="left"/>
            </w:pPr>
            <w:r w:rsidRPr="005F226E">
              <w:rPr>
                <w:noProof/>
                <w:lang w:eastAsia="fr-FR"/>
              </w:rPr>
              <w:drawing>
                <wp:inline distT="0" distB="0" distL="0" distR="0" wp14:anchorId="65C55C5F" wp14:editId="5F7599A7">
                  <wp:extent cx="590550" cy="361950"/>
                  <wp:effectExtent l="0" t="0" r="0" b="0"/>
                  <wp:docPr id="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pct"/>
            <w:tcBorders>
              <w:bottom w:val="single" w:sz="8" w:space="0" w:color="auto"/>
            </w:tcBorders>
            <w:vAlign w:val="bottom"/>
          </w:tcPr>
          <w:p w:rsidR="006F12FC" w:rsidRDefault="004A57A8">
            <w:pPr>
              <w:spacing w:after="120"/>
              <w:ind w:left="2021"/>
              <w:jc w:val="right"/>
              <w:rPr>
                <w:szCs w:val="22"/>
              </w:rPr>
            </w:pPr>
            <w:bookmarkStart w:id="1" w:name="_Hlk175842076"/>
            <w:r>
              <w:rPr>
                <w:sz w:val="40"/>
                <w:szCs w:val="40"/>
              </w:rPr>
              <w:t>CBD</w:t>
            </w:r>
            <w:r>
              <w:rPr>
                <w:szCs w:val="22"/>
              </w:rPr>
              <w:t>/</w:t>
            </w:r>
            <w:r>
              <w:t>NP</w:t>
            </w:r>
            <w:r>
              <w:rPr>
                <w:szCs w:val="22"/>
              </w:rPr>
              <w:t>/</w:t>
            </w:r>
            <w:r>
              <w:t>MOP</w:t>
            </w:r>
            <w:r>
              <w:rPr>
                <w:szCs w:val="22"/>
              </w:rPr>
              <w:t>/5/</w:t>
            </w:r>
            <w:r>
              <w:t>10</w:t>
            </w:r>
            <w:bookmarkEnd w:id="1"/>
          </w:p>
        </w:tc>
      </w:tr>
      <w:tr w:rsidR="00A96B21" w:rsidRPr="00B32150" w:rsidTr="004D21F4">
        <w:tc>
          <w:tcPr>
            <w:tcW w:w="2329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:rsidR="00A96B21" w:rsidRPr="00B32150" w:rsidRDefault="005F226E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6E78A2">
              <w:rPr>
                <w:bCs/>
                <w:noProof/>
                <w:lang w:eastAsia="fr-FR"/>
              </w:rPr>
              <w:drawing>
                <wp:inline distT="0" distB="0" distL="0" distR="0" wp14:anchorId="38D8B7E0" wp14:editId="6D12DA39">
                  <wp:extent cx="2857500" cy="1076325"/>
                  <wp:effectExtent l="0" t="0" r="0" b="9525"/>
                  <wp:docPr id="8" name="Image 8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pct"/>
            <w:tcBorders>
              <w:top w:val="single" w:sz="8" w:space="0" w:color="auto"/>
              <w:bottom w:val="single" w:sz="12" w:space="0" w:color="auto"/>
            </w:tcBorders>
          </w:tcPr>
          <w:p w:rsidR="006F12FC" w:rsidRDefault="00BC08E5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Distr. : g</w:t>
            </w:r>
            <w:r w:rsidR="004A57A8">
              <w:rPr>
                <w:sz w:val="22"/>
                <w:szCs w:val="22"/>
              </w:rPr>
              <w:t>énéral</w:t>
            </w:r>
            <w:r>
              <w:rPr>
                <w:sz w:val="22"/>
                <w:szCs w:val="22"/>
              </w:rPr>
              <w:t>e</w:t>
            </w:r>
          </w:p>
          <w:p w:rsidR="006F12FC" w:rsidRDefault="00BC08E5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j</w:t>
            </w:r>
            <w:r w:rsidR="004A57A8">
              <w:rPr>
                <w:sz w:val="22"/>
                <w:szCs w:val="22"/>
              </w:rPr>
              <w:t>uillet 2024</w:t>
            </w:r>
          </w:p>
          <w:p w:rsidR="00A96B21" w:rsidRPr="00B32150" w:rsidRDefault="00BC08E5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Français</w:t>
            </w:r>
          </w:p>
          <w:p w:rsidR="006F12FC" w:rsidRDefault="004A57A8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Original : anglais</w:t>
            </w:r>
          </w:p>
          <w:p w:rsidR="00A96B21" w:rsidRPr="00B32150" w:rsidRDefault="00A96B21" w:rsidP="00B60E5F"/>
        </w:tc>
      </w:tr>
    </w:tbl>
    <w:p w:rsidR="006F12FC" w:rsidRDefault="004A57A8" w:rsidP="000154E0">
      <w:pPr>
        <w:pStyle w:val="AFCorNot12Bold"/>
        <w:ind w:right="4682"/>
      </w:pPr>
      <w:r>
        <w:t xml:space="preserve">Conférence des Parties à la Convention </w:t>
      </w:r>
      <w:r>
        <w:br/>
        <w:t xml:space="preserve">sur la diversité biologique </w:t>
      </w:r>
      <w:r w:rsidR="00BC08E5">
        <w:t xml:space="preserve">siégeant en tant que réunion </w:t>
      </w:r>
      <w:r>
        <w:t>des Parties au Protocole de Nagoya sur l</w:t>
      </w:r>
      <w:r w:rsidR="00BC08E5">
        <w:t xml:space="preserve">’accès </w:t>
      </w:r>
      <w:r>
        <w:t>a</w:t>
      </w:r>
      <w:r w:rsidR="00BC08E5">
        <w:t xml:space="preserve">ux ressources génétiques et le </w:t>
      </w:r>
      <w:r>
        <w:t>partage juste et équitable des avantages découlant de leur utilisation</w:t>
      </w:r>
    </w:p>
    <w:p w:rsidR="006F12FC" w:rsidRDefault="004A57A8">
      <w:pPr>
        <w:pStyle w:val="Cornernotation"/>
        <w:rPr>
          <w:bCs/>
          <w:sz w:val="22"/>
        </w:rPr>
      </w:pPr>
      <w:r>
        <w:rPr>
          <w:bCs/>
          <w:sz w:val="22"/>
        </w:rPr>
        <w:t xml:space="preserve">Cinquième réunion </w:t>
      </w:r>
    </w:p>
    <w:p w:rsidR="006F12FC" w:rsidRPr="00BC08E5" w:rsidRDefault="004A57A8">
      <w:pPr>
        <w:pStyle w:val="Venuedate"/>
      </w:pPr>
      <w:r>
        <w:t>Cali, Colombie, 21 octobre</w:t>
      </w:r>
      <w:r w:rsidR="00610986" w:rsidRPr="00610986">
        <w:t>–</w:t>
      </w:r>
      <w:r>
        <w:t>1</w:t>
      </w:r>
      <w:r w:rsidRPr="00BC08E5">
        <w:rPr>
          <w:vertAlign w:val="superscript"/>
        </w:rPr>
        <w:t>er</w:t>
      </w:r>
      <w:r>
        <w:t xml:space="preserve"> novembre 2024</w:t>
      </w:r>
    </w:p>
    <w:p w:rsidR="006F12FC" w:rsidRDefault="004A57A8">
      <w:pPr>
        <w:pStyle w:val="Cornernotation-Item"/>
        <w:rPr>
          <w:b w:val="0"/>
          <w:bCs w:val="0"/>
        </w:rPr>
      </w:pPr>
      <w:r>
        <w:rPr>
          <w:b w:val="0"/>
          <w:bCs w:val="0"/>
        </w:rPr>
        <w:t>Point 16 de l</w:t>
      </w:r>
      <w:r w:rsidR="00BC08E5">
        <w:rPr>
          <w:b w:val="0"/>
          <w:bCs w:val="0"/>
        </w:rPr>
        <w:t>’</w:t>
      </w:r>
      <w:r>
        <w:rPr>
          <w:b w:val="0"/>
          <w:bCs w:val="0"/>
        </w:rPr>
        <w:t>ordre du jour</w:t>
      </w:r>
      <w:r w:rsidR="00BC08E5">
        <w:rPr>
          <w:b w:val="0"/>
          <w:bCs w:val="0"/>
        </w:rPr>
        <w:t xml:space="preserve"> </w:t>
      </w:r>
      <w:r>
        <w:rPr>
          <w:b w:val="0"/>
          <w:bCs w:val="0"/>
        </w:rPr>
        <w:footnoteReference w:customMarkFollows="1" w:id="1"/>
        <w:t>provisoire</w:t>
      </w:r>
      <w:r>
        <w:rPr>
          <w:rStyle w:val="FootnoteReference"/>
          <w:b w:val="0"/>
          <w:bCs w:val="0"/>
        </w:rPr>
        <w:t>*</w:t>
      </w:r>
    </w:p>
    <w:p w:rsidR="006F12FC" w:rsidRDefault="004A57A8">
      <w:pPr>
        <w:pStyle w:val="Cornernotation-Item"/>
      </w:pPr>
      <w:r>
        <w:t>Mécanisme multilatéral mondial de partage des avantages</w:t>
      </w:r>
    </w:p>
    <w:bookmarkEnd w:id="0"/>
    <w:p w:rsidR="006F12FC" w:rsidRDefault="004A57A8">
      <w:pPr>
        <w:pStyle w:val="CBDTitle"/>
      </w:pPr>
      <w:r>
        <w:t xml:space="preserve">Mécanisme multilatéral mondial de partage des avantages </w:t>
      </w:r>
    </w:p>
    <w:p w:rsidR="006F12FC" w:rsidRDefault="004A57A8">
      <w:pPr>
        <w:pStyle w:val="Subtitle"/>
        <w:spacing w:before="120" w:after="120"/>
        <w:ind w:left="567"/>
        <w:jc w:val="lef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Note du Secrétariat</w:t>
      </w:r>
    </w:p>
    <w:p w:rsidR="006F12FC" w:rsidRDefault="004A57A8">
      <w:pPr>
        <w:pStyle w:val="CBDH1"/>
      </w:pPr>
      <w:r>
        <w:t>I.</w:t>
      </w:r>
      <w:r>
        <w:tab/>
        <w:t>Contexte</w:t>
      </w:r>
    </w:p>
    <w:p w:rsidR="006F12FC" w:rsidRDefault="004A57A8">
      <w:pPr>
        <w:pStyle w:val="CBDNormalNumber"/>
      </w:pPr>
      <w:r>
        <w:t>L</w:t>
      </w:r>
      <w:r w:rsidR="00BC08E5">
        <w:t>’</w:t>
      </w:r>
      <w:r>
        <w:t>article 10 du Protocole de Nagoya sur l</w:t>
      </w:r>
      <w:r w:rsidR="00BC08E5">
        <w:t>’</w:t>
      </w:r>
      <w:r>
        <w:t>accès aux ressources génétiques et le partage juste et équitable des avantages décou</w:t>
      </w:r>
      <w:r w:rsidR="000154E0">
        <w:t>lant de leur utilisation fait l’objet d’un examen depuis peu</w:t>
      </w:r>
      <w:r>
        <w:t xml:space="preserve"> </w:t>
      </w:r>
      <w:r w:rsidR="000154E0">
        <w:t xml:space="preserve">de temps </w:t>
      </w:r>
      <w:r>
        <w:t>après l</w:t>
      </w:r>
      <w:r w:rsidR="00BC08E5">
        <w:t>’</w:t>
      </w:r>
      <w:r>
        <w:t xml:space="preserve">adoption du Protocole. Au fil </w:t>
      </w:r>
      <w:bookmarkStart w:id="2" w:name="_GoBack"/>
      <w:bookmarkEnd w:id="2"/>
      <w:r>
        <w:t>des ans, les travaux ont consisté notammen</w:t>
      </w:r>
      <w:r w:rsidR="000154E0">
        <w:t xml:space="preserve">t à transmettre des avis, </w:t>
      </w:r>
      <w:r>
        <w:t>te</w:t>
      </w:r>
      <w:r w:rsidR="000154E0">
        <w:t xml:space="preserve">nir des discussions en ligne, </w:t>
      </w:r>
      <w:r>
        <w:t>organiser des réunions d</w:t>
      </w:r>
      <w:r w:rsidR="00BC08E5">
        <w:t>’</w:t>
      </w:r>
      <w:r>
        <w:t>ex</w:t>
      </w:r>
      <w:r w:rsidR="000154E0">
        <w:t>perts et co</w:t>
      </w:r>
      <w:r w:rsidR="00BC08E5">
        <w:t>mmander des études</w:t>
      </w:r>
      <w:r w:rsidR="00863F26" w:rsidRPr="00B32150">
        <w:rPr>
          <w:rStyle w:val="FootnoteReference"/>
        </w:rPr>
        <w:footnoteReference w:id="2"/>
      </w:r>
      <w:r w:rsidR="00BC08E5">
        <w:t>.</w:t>
      </w:r>
      <w:r>
        <w:t xml:space="preserve"> </w:t>
      </w:r>
    </w:p>
    <w:p w:rsidR="006F12FC" w:rsidRDefault="004A57A8">
      <w:pPr>
        <w:pStyle w:val="CBDNormalNumber"/>
      </w:pPr>
      <w:r>
        <w:t xml:space="preserve">Plus récemment, à sa quatrième réunion, la Conférence des Parties </w:t>
      </w:r>
      <w:r w:rsidR="00BC08E5">
        <w:t>siégeant en tant que</w:t>
      </w:r>
      <w:r>
        <w:t xml:space="preserve"> réunion des Parties au Protocole de Nagoya a examiné la question d</w:t>
      </w:r>
      <w:r w:rsidR="00BC08E5">
        <w:t>’</w:t>
      </w:r>
      <w:r>
        <w:t>un mécanisme multilatéral mondial de partage des avantages</w:t>
      </w:r>
      <w:r w:rsidR="00BC08E5">
        <w:t>,</w:t>
      </w:r>
      <w:r>
        <w:t xml:space="preserve"> sur la base d</w:t>
      </w:r>
      <w:r w:rsidR="00BC08E5">
        <w:t>’</w:t>
      </w:r>
      <w:r>
        <w:t>une recommandation de l</w:t>
      </w:r>
      <w:r w:rsidR="00BC08E5">
        <w:t>’</w:t>
      </w:r>
      <w:r>
        <w:t>Org</w:t>
      </w:r>
      <w:r w:rsidR="00BC08E5">
        <w:t>ane subsidiaire chargé de l’application,</w:t>
      </w:r>
      <w:r>
        <w:t xml:space="preserve"> et a décidé de réexaminer à sa cinquième réunion la question de la nécessité et des modalités d</w:t>
      </w:r>
      <w:r w:rsidR="00BC08E5">
        <w:t>’</w:t>
      </w:r>
      <w:r>
        <w:t>un tel mécanisme, comme prévu à l</w:t>
      </w:r>
      <w:r w:rsidR="00BC08E5">
        <w:t>’</w:t>
      </w:r>
      <w:r w:rsidR="003B70CD">
        <w:t xml:space="preserve">article 10 du </w:t>
      </w:r>
      <w:r>
        <w:t xml:space="preserve">Protocole (décision </w:t>
      </w:r>
      <w:hyperlink r:id="rId14" w:history="1">
        <w:r>
          <w:rPr>
            <w:rStyle w:val="Hyperlink"/>
          </w:rPr>
          <w:t>NP-4/10</w:t>
        </w:r>
      </w:hyperlink>
      <w:r>
        <w:t>).</w:t>
      </w:r>
    </w:p>
    <w:p w:rsidR="006F12FC" w:rsidRDefault="004A57A8">
      <w:pPr>
        <w:pStyle w:val="CBDH1"/>
      </w:pPr>
      <w:r>
        <w:t>II.</w:t>
      </w:r>
      <w:r>
        <w:tab/>
        <w:t>Développements connexes</w:t>
      </w:r>
    </w:p>
    <w:p w:rsidR="006F12FC" w:rsidRDefault="004A57A8">
      <w:pPr>
        <w:pStyle w:val="CBDNormalNumber"/>
      </w:pPr>
      <w:r>
        <w:t xml:space="preserve">Au paragraphe 17 de la décision </w:t>
      </w:r>
      <w:hyperlink r:id="rId15" w:history="1">
        <w:r>
          <w:rPr>
            <w:rStyle w:val="Hyperlink"/>
          </w:rPr>
          <w:t>NP-3/1 A</w:t>
        </w:r>
      </w:hyperlink>
      <w:r w:rsidR="003B70CD">
        <w:t>, la Conf</w:t>
      </w:r>
      <w:r>
        <w:t xml:space="preserve">érence des Parties </w:t>
      </w:r>
      <w:r w:rsidR="00BC08E5">
        <w:t>siégeant en tant que</w:t>
      </w:r>
      <w:r>
        <w:t xml:space="preserve"> réunion des Parties au Protocole de Nagoya a décidé d</w:t>
      </w:r>
      <w:r w:rsidR="00BC08E5">
        <w:t>’</w:t>
      </w:r>
      <w:r>
        <w:t xml:space="preserve">évaluer tous les éléments </w:t>
      </w:r>
      <w:r w:rsidR="00BC08E5">
        <w:t>pertinents pour l’application</w:t>
      </w:r>
      <w:r>
        <w:t xml:space="preserve"> du Protocole, y compris les progrès</w:t>
      </w:r>
      <w:r w:rsidR="00BC08E5">
        <w:t xml:space="preserve"> accomplis dans l’application</w:t>
      </w:r>
      <w:r>
        <w:t xml:space="preserve"> de l</w:t>
      </w:r>
      <w:r w:rsidR="00BC08E5">
        <w:t>’</w:t>
      </w:r>
      <w:r>
        <w:t>article 10, lors de la deu</w:t>
      </w:r>
      <w:r w:rsidR="00BC08E5">
        <w:t xml:space="preserve">xième évaluation et </w:t>
      </w:r>
      <w:r>
        <w:t xml:space="preserve">examen du Protocole. </w:t>
      </w:r>
      <w:r w:rsidR="00BC08E5">
        <w:t>En consé</w:t>
      </w:r>
      <w:r w:rsidR="000154E0">
        <w:t>quence, l’</w:t>
      </w:r>
      <w:r w:rsidR="00BC08E5">
        <w:t>application</w:t>
      </w:r>
      <w:r>
        <w:t xml:space="preserve"> de l</w:t>
      </w:r>
      <w:r w:rsidR="00BC08E5">
        <w:t>’</w:t>
      </w:r>
      <w:r>
        <w:t>article 10 a été incluse dans le projet de méthode élaboré pour la de</w:t>
      </w:r>
      <w:r w:rsidR="00BC08E5">
        <w:t>uxième évaluation et</w:t>
      </w:r>
      <w:r>
        <w:t xml:space="preserve"> examen (voir la recommandation </w:t>
      </w:r>
      <w:hyperlink r:id="rId16" w:history="1">
        <w:r>
          <w:rPr>
            <w:rStyle w:val="Hyperlink"/>
          </w:rPr>
          <w:t>4/11</w:t>
        </w:r>
      </w:hyperlink>
      <w:r>
        <w:t xml:space="preserve"> de l</w:t>
      </w:r>
      <w:r w:rsidR="00BC08E5">
        <w:t>’</w:t>
      </w:r>
      <w:r>
        <w:t>Org</w:t>
      </w:r>
      <w:r w:rsidR="00BC08E5">
        <w:t>ane subsidiaire chargé de l’application</w:t>
      </w:r>
      <w:r w:rsidR="000154E0">
        <w:t>), qui sera examiné</w:t>
      </w:r>
      <w:r>
        <w:t xml:space="preserve"> au titre du point 10 de l</w:t>
      </w:r>
      <w:r w:rsidR="00BC08E5">
        <w:t>’</w:t>
      </w:r>
      <w:r>
        <w:t>ordre du jour de la présente réunion. La deu</w:t>
      </w:r>
      <w:r w:rsidR="00BC08E5">
        <w:t xml:space="preserve">xième évaluation et </w:t>
      </w:r>
      <w:r w:rsidR="000154E0">
        <w:t>examen du Protocole sera men</w:t>
      </w:r>
      <w:r w:rsidR="00BC08E5">
        <w:t>é</w:t>
      </w:r>
      <w:r>
        <w:t xml:space="preserve"> par la Conférence des Parties </w:t>
      </w:r>
      <w:r w:rsidR="00BC08E5">
        <w:t>siégeant en tant que</w:t>
      </w:r>
      <w:r>
        <w:t xml:space="preserve"> réunion des Parties au Protocole à sa sixième réunion.</w:t>
      </w:r>
    </w:p>
    <w:p w:rsidR="006F12FC" w:rsidRDefault="004A57A8">
      <w:pPr>
        <w:pStyle w:val="CBDH1"/>
      </w:pPr>
      <w:r>
        <w:lastRenderedPageBreak/>
        <w:t>III</w:t>
      </w:r>
      <w:r w:rsidR="000154E0">
        <w:t>.</w:t>
      </w:r>
      <w:r w:rsidR="000154E0">
        <w:tab/>
        <w:t>Suggestion de voie à suivre</w:t>
      </w:r>
    </w:p>
    <w:p w:rsidR="006F12FC" w:rsidRDefault="004A57A8">
      <w:pPr>
        <w:pStyle w:val="CBDNormalNumber"/>
      </w:pPr>
      <w:r>
        <w:t>Compte tenu de ce qui précède, il est proposé de reporter tout nouvel examen de l</w:t>
      </w:r>
      <w:r w:rsidR="00BC08E5">
        <w:t>’</w:t>
      </w:r>
      <w:r>
        <w:t xml:space="preserve">article 10 à la sixième réunion de la Conférence des Parties </w:t>
      </w:r>
      <w:r w:rsidR="00BC08E5">
        <w:t>siégeant en tant que</w:t>
      </w:r>
      <w:r>
        <w:t xml:space="preserve"> réunion des Parties au Protocole de Nagoya.</w:t>
      </w:r>
    </w:p>
    <w:p w:rsidR="006F12FC" w:rsidRDefault="004A57A8">
      <w:pPr>
        <w:pStyle w:val="Para1"/>
        <w:numPr>
          <w:ilvl w:val="0"/>
          <w:numId w:val="0"/>
        </w:numPr>
        <w:ind w:left="567"/>
        <w:jc w:val="center"/>
      </w:pPr>
      <w:r>
        <w:t>_________</w:t>
      </w:r>
    </w:p>
    <w:sectPr w:rsidR="006F12FC" w:rsidSect="00FD1A0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pgSz w:w="12240" w:h="15840"/>
      <w:pgMar w:top="567" w:right="1440" w:bottom="1134" w:left="1440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88A" w:rsidRDefault="00E4088A">
      <w:r>
        <w:separator/>
      </w:r>
    </w:p>
  </w:endnote>
  <w:endnote w:type="continuationSeparator" w:id="0">
    <w:p w:rsidR="00E4088A" w:rsidRDefault="00E40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6F12FC" w:rsidRDefault="004A57A8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3B70CD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3B70CD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6F12FC" w:rsidRDefault="004A57A8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88A" w:rsidRDefault="00E4088A">
      <w:r>
        <w:separator/>
      </w:r>
    </w:p>
  </w:footnote>
  <w:footnote w:type="continuationSeparator" w:id="0">
    <w:p w:rsidR="00E4088A" w:rsidRDefault="00E4088A">
      <w:r>
        <w:continuationSeparator/>
      </w:r>
    </w:p>
  </w:footnote>
  <w:footnote w:id="1">
    <w:p w:rsidR="006F12FC" w:rsidRDefault="004A57A8">
      <w:pPr>
        <w:pStyle w:val="Footnote"/>
      </w:pPr>
      <w:r>
        <w:rPr>
          <w:rStyle w:val="FootnoteReference"/>
        </w:rPr>
        <w:t>*</w:t>
      </w:r>
      <w:r>
        <w:t xml:space="preserve"> CBD/NP/MOP/5/1.</w:t>
      </w:r>
    </w:p>
  </w:footnote>
  <w:footnote w:id="2">
    <w:p w:rsidR="006F12FC" w:rsidRDefault="004A57A8">
      <w:pPr>
        <w:pStyle w:val="FootnoteText"/>
      </w:pPr>
      <w:r w:rsidRPr="00FB2F75">
        <w:rPr>
          <w:rStyle w:val="FootnoteReference"/>
        </w:rPr>
        <w:footnoteRef/>
      </w:r>
      <w:r>
        <w:t xml:space="preserve"> Voir </w:t>
      </w:r>
      <w:hyperlink r:id="rId1" w:history="1">
        <w:r>
          <w:rPr>
            <w:rStyle w:val="Hyperlink"/>
          </w:rPr>
          <w:t>www.cbd.int/abs/art10.shtml</w:t>
        </w:r>
      </w:hyperlink>
      <w:r>
        <w:t xml:space="preserve"> pour un résumé des travaux r</w:t>
      </w:r>
      <w:r w:rsidR="000154E0">
        <w:t>éalisés sur la question depuis l’</w:t>
      </w:r>
      <w:r>
        <w:t>adoption du Protocole.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3" w:name="_Hlk137802784"/>
  <w:bookmarkStart w:id="4" w:name="_Hlk137802785"/>
  <w:p w:rsidR="006F12FC" w:rsidRDefault="004A57A8">
    <w:pPr>
      <w:pStyle w:val="Header"/>
      <w:spacing w:after="240"/>
      <w:rPr>
        <w:szCs w:val="20"/>
      </w:rPr>
    </w:pPr>
    <w:r>
      <w:rPr>
        <w:szCs w:val="20"/>
      </w:rPr>
      <w:fldChar w:fldCharType="begin"/>
    </w:r>
    <w:r>
      <w:rPr>
        <w:szCs w:val="20"/>
      </w:rPr>
      <w:instrText xml:space="preserve"> HYPERLINK \h </w:instrText>
    </w:r>
    <w:r>
      <w:rPr>
        <w:szCs w:val="20"/>
      </w:rPr>
      <w:fldChar w:fldCharType="separate"/>
    </w:r>
    <w:r>
      <w:rPr>
        <w:szCs w:val="20"/>
      </w:rPr>
      <w:t>CBD/</w:t>
    </w:r>
    <w:r>
      <w:rPr>
        <w:szCs w:val="20"/>
      </w:rPr>
      <w:fldChar w:fldCharType="end"/>
    </w:r>
    <w:bookmarkEnd w:id="3"/>
    <w:bookmarkEnd w:id="4"/>
    <w:r>
      <w:rPr>
        <w:szCs w:val="20"/>
      </w:rPr>
      <w:t>NP/MOP/5/10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6F12FC" w:rsidRDefault="004A57A8">
        <w:pPr>
          <w:pStyle w:val="Header"/>
          <w:spacing w:after="240"/>
          <w:jc w:val="right"/>
          <w:rPr>
            <w:szCs w:val="20"/>
          </w:rPr>
        </w:pPr>
        <w:r>
          <w:rPr>
            <w:szCs w:val="20"/>
          </w:rPr>
          <w:t>CBD/</w: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977" w:rsidRDefault="008A1977" w:rsidP="00373797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E34948"/>
    <w:multiLevelType w:val="hybridMultilevel"/>
    <w:tmpl w:val="197283DC"/>
    <w:lvl w:ilvl="0" w:tplc="534877C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67961CE"/>
    <w:multiLevelType w:val="hybridMultilevel"/>
    <w:tmpl w:val="FAD8B65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7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99F7710"/>
    <w:multiLevelType w:val="hybridMultilevel"/>
    <w:tmpl w:val="61A6967E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43BEE"/>
    <w:multiLevelType w:val="multilevel"/>
    <w:tmpl w:val="2E8E6B4A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0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1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FF7321D"/>
    <w:multiLevelType w:val="multilevel"/>
    <w:tmpl w:val="1BCCADFC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6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16"/>
  </w:num>
  <w:num w:numId="4">
    <w:abstractNumId w:val="0"/>
  </w:num>
  <w:num w:numId="5">
    <w:abstractNumId w:val="1"/>
  </w:num>
  <w:num w:numId="6">
    <w:abstractNumId w:val="1"/>
  </w:num>
  <w:num w:numId="7">
    <w:abstractNumId w:val="4"/>
  </w:num>
  <w:num w:numId="8">
    <w:abstractNumId w:val="8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2"/>
    <w:lvlOverride w:ilvl="0">
      <w:startOverride w:val="1"/>
    </w:lvlOverride>
  </w:num>
  <w:num w:numId="14">
    <w:abstractNumId w:val="10"/>
  </w:num>
  <w:num w:numId="15">
    <w:abstractNumId w:val="10"/>
    <w:lvlOverride w:ilvl="0">
      <w:startOverride w:val="1"/>
    </w:lvlOverride>
  </w:num>
  <w:num w:numId="16">
    <w:abstractNumId w:val="13"/>
    <w:lvlOverride w:ilvl="0">
      <w:startOverride w:val="1"/>
    </w:lvlOverride>
  </w:num>
  <w:num w:numId="17">
    <w:abstractNumId w:val="10"/>
    <w:lvlOverride w:ilvl="0">
      <w:startOverride w:val="1"/>
    </w:lvlOverride>
  </w:num>
  <w:num w:numId="18">
    <w:abstractNumId w:val="17"/>
  </w:num>
  <w:num w:numId="19">
    <w:abstractNumId w:val="13"/>
    <w:lvlOverride w:ilvl="0">
      <w:startOverride w:val="1"/>
    </w:lvlOverride>
  </w:num>
  <w:num w:numId="20">
    <w:abstractNumId w:val="13"/>
    <w:lvlOverride w:ilvl="0">
      <w:startOverride w:val="1"/>
    </w:lvlOverride>
  </w:num>
  <w:num w:numId="21">
    <w:abstractNumId w:val="3"/>
  </w:num>
  <w:num w:numId="22">
    <w:abstractNumId w:val="9"/>
  </w:num>
  <w:num w:numId="23">
    <w:abstractNumId w:val="6"/>
  </w:num>
  <w:num w:numId="24">
    <w:abstractNumId w:val="14"/>
  </w:num>
  <w:num w:numId="25">
    <w:abstractNumId w:val="14"/>
  </w:num>
  <w:num w:numId="26">
    <w:abstractNumId w:val="14"/>
  </w:num>
  <w:num w:numId="27">
    <w:abstractNumId w:val="14"/>
  </w:num>
  <w:num w:numId="28">
    <w:abstractNumId w:val="14"/>
  </w:num>
  <w:num w:numId="29">
    <w:abstractNumId w:val="14"/>
  </w:num>
  <w:num w:numId="30">
    <w:abstractNumId w:val="15"/>
  </w:num>
  <w:num w:numId="31">
    <w:abstractNumId w:val="15"/>
  </w:num>
  <w:num w:numId="32">
    <w:abstractNumId w:val="15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AB5"/>
    <w:rsid w:val="000154E0"/>
    <w:rsid w:val="00040598"/>
    <w:rsid w:val="00044176"/>
    <w:rsid w:val="000612A9"/>
    <w:rsid w:val="00065CF1"/>
    <w:rsid w:val="00095BD5"/>
    <w:rsid w:val="000A3B75"/>
    <w:rsid w:val="000B54B7"/>
    <w:rsid w:val="000C04BB"/>
    <w:rsid w:val="000C0D5F"/>
    <w:rsid w:val="00132024"/>
    <w:rsid w:val="00132581"/>
    <w:rsid w:val="00137B6E"/>
    <w:rsid w:val="00152DB0"/>
    <w:rsid w:val="00170BAA"/>
    <w:rsid w:val="00173C53"/>
    <w:rsid w:val="001812C0"/>
    <w:rsid w:val="00184909"/>
    <w:rsid w:val="0019725E"/>
    <w:rsid w:val="001D7501"/>
    <w:rsid w:val="001F649C"/>
    <w:rsid w:val="002500D3"/>
    <w:rsid w:val="0028646E"/>
    <w:rsid w:val="002916E1"/>
    <w:rsid w:val="002A29E3"/>
    <w:rsid w:val="002B00CA"/>
    <w:rsid w:val="002B559C"/>
    <w:rsid w:val="002D2BB2"/>
    <w:rsid w:val="002E0120"/>
    <w:rsid w:val="002F521D"/>
    <w:rsid w:val="00310608"/>
    <w:rsid w:val="003238C4"/>
    <w:rsid w:val="00323F22"/>
    <w:rsid w:val="00334B67"/>
    <w:rsid w:val="003476A9"/>
    <w:rsid w:val="00350C5D"/>
    <w:rsid w:val="003620A4"/>
    <w:rsid w:val="0037086A"/>
    <w:rsid w:val="00373797"/>
    <w:rsid w:val="00383B63"/>
    <w:rsid w:val="003A3A1F"/>
    <w:rsid w:val="003A4F65"/>
    <w:rsid w:val="003B5E2C"/>
    <w:rsid w:val="003B70CD"/>
    <w:rsid w:val="003C6F10"/>
    <w:rsid w:val="003E03B1"/>
    <w:rsid w:val="003F319D"/>
    <w:rsid w:val="00415897"/>
    <w:rsid w:val="004220B7"/>
    <w:rsid w:val="00422169"/>
    <w:rsid w:val="00441498"/>
    <w:rsid w:val="00463A79"/>
    <w:rsid w:val="0046527A"/>
    <w:rsid w:val="004701EE"/>
    <w:rsid w:val="00480A8D"/>
    <w:rsid w:val="0049481A"/>
    <w:rsid w:val="004A2A02"/>
    <w:rsid w:val="004A2A2D"/>
    <w:rsid w:val="004A2A4A"/>
    <w:rsid w:val="004A57A8"/>
    <w:rsid w:val="004B6EB0"/>
    <w:rsid w:val="004C0410"/>
    <w:rsid w:val="004C39B7"/>
    <w:rsid w:val="004D21F4"/>
    <w:rsid w:val="004E2920"/>
    <w:rsid w:val="005071D2"/>
    <w:rsid w:val="0053488D"/>
    <w:rsid w:val="00537248"/>
    <w:rsid w:val="005432A1"/>
    <w:rsid w:val="005A115F"/>
    <w:rsid w:val="005A206E"/>
    <w:rsid w:val="005B6283"/>
    <w:rsid w:val="005C0058"/>
    <w:rsid w:val="005C0346"/>
    <w:rsid w:val="005D7F14"/>
    <w:rsid w:val="005E2605"/>
    <w:rsid w:val="005E29B6"/>
    <w:rsid w:val="005F1336"/>
    <w:rsid w:val="005F226E"/>
    <w:rsid w:val="005F3F65"/>
    <w:rsid w:val="00610986"/>
    <w:rsid w:val="00623D40"/>
    <w:rsid w:val="00626AED"/>
    <w:rsid w:val="00652EC6"/>
    <w:rsid w:val="006549A4"/>
    <w:rsid w:val="00657ED6"/>
    <w:rsid w:val="0069631E"/>
    <w:rsid w:val="006B293D"/>
    <w:rsid w:val="006F12FC"/>
    <w:rsid w:val="006F2D0F"/>
    <w:rsid w:val="007074BC"/>
    <w:rsid w:val="0072032D"/>
    <w:rsid w:val="00721E55"/>
    <w:rsid w:val="00722D66"/>
    <w:rsid w:val="0073744A"/>
    <w:rsid w:val="00746248"/>
    <w:rsid w:val="007534F3"/>
    <w:rsid w:val="00757F12"/>
    <w:rsid w:val="00760BF0"/>
    <w:rsid w:val="00765361"/>
    <w:rsid w:val="0076622F"/>
    <w:rsid w:val="0078423C"/>
    <w:rsid w:val="007C77BC"/>
    <w:rsid w:val="00810381"/>
    <w:rsid w:val="00820095"/>
    <w:rsid w:val="00863F26"/>
    <w:rsid w:val="00874541"/>
    <w:rsid w:val="008767D4"/>
    <w:rsid w:val="00890339"/>
    <w:rsid w:val="008A1977"/>
    <w:rsid w:val="008C36F0"/>
    <w:rsid w:val="008E0581"/>
    <w:rsid w:val="008E69F8"/>
    <w:rsid w:val="009028BF"/>
    <w:rsid w:val="00935461"/>
    <w:rsid w:val="00940C5B"/>
    <w:rsid w:val="009459E3"/>
    <w:rsid w:val="00945BF7"/>
    <w:rsid w:val="00957377"/>
    <w:rsid w:val="00995DDC"/>
    <w:rsid w:val="00997170"/>
    <w:rsid w:val="009C1114"/>
    <w:rsid w:val="009D2682"/>
    <w:rsid w:val="00A055D3"/>
    <w:rsid w:val="00A15FAD"/>
    <w:rsid w:val="00A20144"/>
    <w:rsid w:val="00A274F7"/>
    <w:rsid w:val="00A54FA0"/>
    <w:rsid w:val="00A96B21"/>
    <w:rsid w:val="00A96B83"/>
    <w:rsid w:val="00AB7390"/>
    <w:rsid w:val="00AE1A95"/>
    <w:rsid w:val="00AE3B15"/>
    <w:rsid w:val="00AE4538"/>
    <w:rsid w:val="00B00198"/>
    <w:rsid w:val="00B01052"/>
    <w:rsid w:val="00B32150"/>
    <w:rsid w:val="00B36EA9"/>
    <w:rsid w:val="00B5008F"/>
    <w:rsid w:val="00B65AB5"/>
    <w:rsid w:val="00B9508E"/>
    <w:rsid w:val="00B972A9"/>
    <w:rsid w:val="00BA7D9B"/>
    <w:rsid w:val="00BB6AF4"/>
    <w:rsid w:val="00BB7DC5"/>
    <w:rsid w:val="00BC08E5"/>
    <w:rsid w:val="00C10A5B"/>
    <w:rsid w:val="00C11461"/>
    <w:rsid w:val="00C2354A"/>
    <w:rsid w:val="00C46D75"/>
    <w:rsid w:val="00C537D8"/>
    <w:rsid w:val="00C616C8"/>
    <w:rsid w:val="00C86C76"/>
    <w:rsid w:val="00C95D81"/>
    <w:rsid w:val="00CE08C3"/>
    <w:rsid w:val="00CE39C6"/>
    <w:rsid w:val="00CF70AB"/>
    <w:rsid w:val="00D162B8"/>
    <w:rsid w:val="00D221D8"/>
    <w:rsid w:val="00D23F1E"/>
    <w:rsid w:val="00D3059B"/>
    <w:rsid w:val="00D31F58"/>
    <w:rsid w:val="00D32408"/>
    <w:rsid w:val="00D42059"/>
    <w:rsid w:val="00D47854"/>
    <w:rsid w:val="00D60046"/>
    <w:rsid w:val="00D71FFB"/>
    <w:rsid w:val="00D81932"/>
    <w:rsid w:val="00D918AD"/>
    <w:rsid w:val="00DA5026"/>
    <w:rsid w:val="00DB2F80"/>
    <w:rsid w:val="00DB5CB0"/>
    <w:rsid w:val="00DC6340"/>
    <w:rsid w:val="00DD3949"/>
    <w:rsid w:val="00DD5FEC"/>
    <w:rsid w:val="00DD74C2"/>
    <w:rsid w:val="00DE1B53"/>
    <w:rsid w:val="00DF21EE"/>
    <w:rsid w:val="00E1597C"/>
    <w:rsid w:val="00E4088A"/>
    <w:rsid w:val="00E64F0E"/>
    <w:rsid w:val="00EC481E"/>
    <w:rsid w:val="00ED3849"/>
    <w:rsid w:val="00EE4702"/>
    <w:rsid w:val="00F1683A"/>
    <w:rsid w:val="00F23253"/>
    <w:rsid w:val="00F258FB"/>
    <w:rsid w:val="00F37B1F"/>
    <w:rsid w:val="00F42096"/>
    <w:rsid w:val="00F6680A"/>
    <w:rsid w:val="00F66CF5"/>
    <w:rsid w:val="00F72A69"/>
    <w:rsid w:val="00F75F90"/>
    <w:rsid w:val="00F9502E"/>
    <w:rsid w:val="00FA18C9"/>
    <w:rsid w:val="00FB2F75"/>
    <w:rsid w:val="00FB40C9"/>
    <w:rsid w:val="00FD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D8A6AF0-45E0-4CC5-8479-F61660F4D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D0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F2D0F"/>
    <w:pPr>
      <w:keepNext/>
      <w:keepLines/>
      <w:numPr>
        <w:numId w:val="29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F2D0F"/>
    <w:pPr>
      <w:keepNext/>
      <w:keepLines/>
      <w:numPr>
        <w:ilvl w:val="1"/>
        <w:numId w:val="29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F2D0F"/>
    <w:pPr>
      <w:keepNext/>
      <w:keepLines/>
      <w:numPr>
        <w:ilvl w:val="2"/>
        <w:numId w:val="29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F2D0F"/>
    <w:pPr>
      <w:keepNext/>
      <w:numPr>
        <w:ilvl w:val="3"/>
        <w:numId w:val="29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F2D0F"/>
    <w:pPr>
      <w:keepNext/>
      <w:numPr>
        <w:ilvl w:val="4"/>
        <w:numId w:val="29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F2D0F"/>
    <w:pPr>
      <w:keepNext/>
      <w:keepLines/>
      <w:numPr>
        <w:ilvl w:val="5"/>
        <w:numId w:val="3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F2D0F"/>
    <w:pPr>
      <w:keepNext/>
      <w:keepLines/>
      <w:widowControl w:val="0"/>
      <w:numPr>
        <w:ilvl w:val="6"/>
        <w:numId w:val="3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F2D0F"/>
    <w:pPr>
      <w:keepNext/>
      <w:keepLines/>
      <w:widowControl w:val="0"/>
      <w:numPr>
        <w:ilvl w:val="7"/>
        <w:numId w:val="33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F2D0F"/>
    <w:pPr>
      <w:keepNext/>
      <w:widowControl w:val="0"/>
      <w:numPr>
        <w:ilvl w:val="8"/>
        <w:numId w:val="33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6F2D0F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F2D0F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F2D0F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6F2D0F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F2D0F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2D0F"/>
    <w:rPr>
      <w:rFonts w:ascii="Times New Roman" w:eastAsia="SimSun" w:hAnsi="Times New Roman" w:cs="Times New Roman"/>
      <w:kern w:val="0"/>
      <w:sz w:val="18"/>
      <w:szCs w:val="20"/>
      <w:lang w:val="fr-F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F2D0F"/>
    <w:rPr>
      <w:vertAlign w:val="superscript"/>
    </w:rPr>
  </w:style>
  <w:style w:type="paragraph" w:customStyle="1" w:styleId="Footnote">
    <w:name w:val="Footnote"/>
    <w:basedOn w:val="FootnoteText"/>
    <w:qFormat/>
    <w:rsid w:val="006F2D0F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fr-FR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</w:style>
  <w:style w:type="character" w:customStyle="1" w:styleId="Heading2Char">
    <w:name w:val="Heading 2 Char"/>
    <w:basedOn w:val="DefaultParagraphFont"/>
    <w:link w:val="Heading2"/>
    <w:uiPriority w:val="9"/>
    <w:rsid w:val="006F2D0F"/>
    <w:rPr>
      <w:rFonts w:ascii="Times New Roman Bold" w:eastAsiaTheme="majorEastAsia" w:hAnsi="Times New Roman Bold" w:cstheme="majorBidi"/>
      <w:b/>
      <w:kern w:val="0"/>
      <w:sz w:val="24"/>
      <w:szCs w:val="26"/>
      <w:lang w:val="fr-FR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6F2D0F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6F2D0F"/>
    <w:rPr>
      <w:rFonts w:ascii="Times New Roman" w:eastAsia="SimSun" w:hAnsi="Times New Roman" w:cs="Times New Roman"/>
      <w:kern w:val="0"/>
      <w:sz w:val="20"/>
      <w:lang w:val="fr-FR"/>
      <w14:ligatures w14:val="none"/>
    </w:rPr>
  </w:style>
  <w:style w:type="paragraph" w:styleId="Footer">
    <w:name w:val="footer"/>
    <w:basedOn w:val="Normal"/>
    <w:link w:val="FooterChar"/>
    <w:uiPriority w:val="99"/>
    <w:rsid w:val="006F2D0F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6F2D0F"/>
    <w:rPr>
      <w:rFonts w:ascii="Times New Roman" w:eastAsia="SimSun" w:hAnsi="Times New Roman" w:cs="Times New Roman"/>
      <w:kern w:val="0"/>
      <w:sz w:val="20"/>
      <w:lang w:val="fr-FR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F2D0F"/>
    <w:rPr>
      <w:rFonts w:ascii="Times New Roman" w:eastAsiaTheme="majorEastAsia" w:hAnsi="Times New Roman" w:cs="Times New Roman"/>
      <w:b/>
      <w:bCs/>
      <w:kern w:val="0"/>
      <w:lang w:val="fr-FR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6F2D0F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6F2D0F"/>
    <w:rPr>
      <w:rFonts w:ascii="Times New Roman" w:eastAsiaTheme="majorEastAsia" w:hAnsi="Times New Roman" w:cs="Times New Roman"/>
      <w:b/>
      <w:bCs/>
      <w:kern w:val="0"/>
      <w:lang w:val="fr-FR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F2D0F"/>
    <w:rPr>
      <w:rFonts w:ascii="Times New Roman" w:eastAsiaTheme="majorEastAsia" w:hAnsi="Times New Roman" w:cs="Times New Roman"/>
      <w:i/>
      <w:iCs/>
      <w:kern w:val="0"/>
      <w:lang w:val="fr-F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F2D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F2D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2D0F"/>
    <w:rPr>
      <w:rFonts w:ascii="Times New Roman" w:eastAsia="SimSun" w:hAnsi="Times New Roman" w:cs="Times New Roman"/>
      <w:kern w:val="0"/>
      <w:sz w:val="20"/>
      <w:szCs w:val="20"/>
      <w:lang w:val="fr-F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2D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2D0F"/>
    <w:rPr>
      <w:rFonts w:ascii="Times New Roman" w:eastAsia="SimSun" w:hAnsi="Times New Roman" w:cs="Times New Roman"/>
      <w:b/>
      <w:bCs/>
      <w:kern w:val="0"/>
      <w:sz w:val="20"/>
      <w:szCs w:val="20"/>
      <w:lang w:val="fr-FR"/>
      <w14:ligatures w14:val="none"/>
    </w:rPr>
  </w:style>
  <w:style w:type="character" w:styleId="Hyperlink">
    <w:name w:val="Hyperlink"/>
    <w:basedOn w:val="DefaultParagraphFont"/>
    <w:uiPriority w:val="99"/>
    <w:unhideWhenUsed/>
    <w:rsid w:val="006F2D0F"/>
    <w:rPr>
      <w:rFonts w:ascii="Times New Roman" w:hAnsi="Times New Roman"/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E29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71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812C0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EDistrNormal">
    <w:name w:val="AE_DistrNormal"/>
    <w:basedOn w:val="Normal"/>
    <w:unhideWhenUsed/>
    <w:rsid w:val="006F2D0F"/>
    <w:pPr>
      <w:jc w:val="left"/>
    </w:pPr>
  </w:style>
  <w:style w:type="paragraph" w:customStyle="1" w:styleId="AASmallLogo">
    <w:name w:val="AA_SmallLogo"/>
    <w:basedOn w:val="AEDistrNormal"/>
    <w:unhideWhenUsed/>
    <w:rsid w:val="006F2D0F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6F2D0F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FCorNotNormal">
    <w:name w:val="AF_CorNotNormal"/>
    <w:basedOn w:val="Normal"/>
    <w:unhideWhenUsed/>
    <w:rsid w:val="006F2D0F"/>
  </w:style>
  <w:style w:type="paragraph" w:customStyle="1" w:styleId="ACLargeLogo">
    <w:name w:val="AC_LargeLogo"/>
    <w:basedOn w:val="AFCorNotNormal"/>
    <w:next w:val="Normal"/>
    <w:unhideWhenUsed/>
    <w:rsid w:val="006F2D0F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6F2D0F"/>
    <w:pPr>
      <w:spacing w:before="120"/>
    </w:pPr>
  </w:style>
  <w:style w:type="paragraph" w:customStyle="1" w:styleId="AENormal">
    <w:name w:val="AE_Normal"/>
    <w:basedOn w:val="Normal"/>
    <w:rsid w:val="006F2D0F"/>
  </w:style>
  <w:style w:type="paragraph" w:customStyle="1" w:styleId="AFCorNot12Bold">
    <w:name w:val="AF_CorNot12Bold"/>
    <w:basedOn w:val="AFCorNotNormal"/>
    <w:next w:val="AFCorNotNormal"/>
    <w:unhideWhenUsed/>
    <w:qFormat/>
    <w:rsid w:val="006F2D0F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6F2D0F"/>
    <w:rPr>
      <w:b/>
    </w:rPr>
  </w:style>
  <w:style w:type="paragraph" w:customStyle="1" w:styleId="AISpacer">
    <w:name w:val="AI_Spacer"/>
    <w:next w:val="Normal"/>
    <w:unhideWhenUsed/>
    <w:qFormat/>
    <w:rsid w:val="006F2D0F"/>
    <w:pPr>
      <w:spacing w:after="0" w:line="240" w:lineRule="auto"/>
    </w:pPr>
    <w:rPr>
      <w:rFonts w:ascii="Times New Roman" w:eastAsia="SimSun" w:hAnsi="Times New Roman" w:cs="Times New Roman"/>
      <w:kern w:val="0"/>
      <w:sz w:val="2"/>
      <w14:ligatures w14:val="none"/>
    </w:rPr>
  </w:style>
  <w:style w:type="paragraph" w:customStyle="1" w:styleId="CBDAgendaItem">
    <w:name w:val="CBD_AgendaItem"/>
    <w:basedOn w:val="Normal"/>
    <w:qFormat/>
    <w:rsid w:val="006F2D0F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6F2D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customStyle="1" w:styleId="CBDAnnex">
    <w:name w:val="CBD_Annex"/>
    <w:basedOn w:val="CBDNormal"/>
    <w:next w:val="Normal"/>
    <w:qFormat/>
    <w:rsid w:val="006F2D0F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DesicionAnnex">
    <w:name w:val="CBD_DesicionAnnex"/>
    <w:basedOn w:val="CBDNormal"/>
    <w:next w:val="Normal"/>
    <w:qFormat/>
    <w:rsid w:val="006F2D0F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6F2D0F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6F2D0F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6F2D0F"/>
    <w:rPr>
      <w:sz w:val="20"/>
    </w:rPr>
  </w:style>
  <w:style w:type="paragraph" w:customStyle="1" w:styleId="CBDFootnoteText">
    <w:name w:val="CBD_Footnote_Text"/>
    <w:basedOn w:val="CBDNormal"/>
    <w:qFormat/>
    <w:rsid w:val="006F2D0F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6F2D0F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6F2D0F"/>
    <w:pPr>
      <w:numPr>
        <w:numId w:val="23"/>
      </w:numPr>
      <w:tabs>
        <w:tab w:val="left" w:pos="3969"/>
      </w:tabs>
      <w:spacing w:before="120" w:after="120"/>
    </w:pPr>
  </w:style>
  <w:style w:type="paragraph" w:customStyle="1" w:styleId="CBDH2">
    <w:name w:val="CBD_H2"/>
    <w:basedOn w:val="CBDNormalNumber"/>
    <w:qFormat/>
    <w:rsid w:val="006F2D0F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6F2D0F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F2D0F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F2D0F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6F2D0F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6F2D0F"/>
    <w:pPr>
      <w:numPr>
        <w:numId w:val="23"/>
      </w:numPr>
    </w:pPr>
  </w:style>
  <w:style w:type="numbering" w:customStyle="1" w:styleId="CBDHeadings">
    <w:name w:val="CBD_Headings"/>
    <w:basedOn w:val="ListCBD"/>
    <w:uiPriority w:val="99"/>
    <w:rsid w:val="006F2D0F"/>
    <w:pPr>
      <w:numPr>
        <w:numId w:val="24"/>
      </w:numPr>
    </w:pPr>
  </w:style>
  <w:style w:type="paragraph" w:customStyle="1" w:styleId="CBDNormalNoNumber">
    <w:name w:val="CBD_Normal_NoNumber"/>
    <w:basedOn w:val="CBDNormal"/>
    <w:qFormat/>
    <w:rsid w:val="006F2D0F"/>
    <w:pPr>
      <w:spacing w:after="120"/>
      <w:ind w:left="567"/>
    </w:pPr>
  </w:style>
  <w:style w:type="paragraph" w:customStyle="1" w:styleId="CBDSubTitle">
    <w:name w:val="CBD_SubTitle"/>
    <w:basedOn w:val="CBDNormal"/>
    <w:qFormat/>
    <w:rsid w:val="006F2D0F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ableNormal">
    <w:name w:val="CBD_TableNormal"/>
    <w:basedOn w:val="CBDNormal"/>
    <w:qFormat/>
    <w:rsid w:val="006F2D0F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F2D0F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F2D0F"/>
    <w:pPr>
      <w:keepNext/>
      <w:keepLines/>
      <w:spacing w:before="240" w:after="240"/>
      <w:ind w:left="567"/>
      <w:jc w:val="left"/>
    </w:pPr>
    <w:rPr>
      <w:b/>
      <w:sz w:val="28"/>
    </w:rPr>
  </w:style>
  <w:style w:type="character" w:customStyle="1" w:styleId="Heading6Char">
    <w:name w:val="Heading 6 Char"/>
    <w:basedOn w:val="DefaultParagraphFont"/>
    <w:link w:val="Heading6"/>
    <w:semiHidden/>
    <w:rsid w:val="006F2D0F"/>
    <w:rPr>
      <w:rFonts w:ascii="Times New Roman" w:eastAsia="SimSun" w:hAnsi="Times New Roman" w:cs="Times New Roman"/>
      <w:bCs/>
      <w:kern w:val="0"/>
      <w:sz w:val="24"/>
      <w:lang w:val="fr-FR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6F2D0F"/>
    <w:rPr>
      <w:rFonts w:ascii="Times New Roman" w:eastAsia="SimSun" w:hAnsi="Times New Roman" w:cs="Times New Roman"/>
      <w:b/>
      <w:snapToGrid w:val="0"/>
      <w:kern w:val="0"/>
      <w:u w:val="single"/>
      <w:lang w:val="fr-FR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6F2D0F"/>
    <w:rPr>
      <w:rFonts w:ascii="Times New Roman" w:eastAsia="SimSun" w:hAnsi="Times New Roman" w:cs="Times New Roman"/>
      <w:b/>
      <w:snapToGrid w:val="0"/>
      <w:kern w:val="0"/>
      <w:u w:val="single"/>
      <w:lang w:val="fr-FR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6F2D0F"/>
    <w:rPr>
      <w:rFonts w:ascii="Times New Roman" w:eastAsia="SimSun" w:hAnsi="Times New Roman" w:cs="Times New Roman"/>
      <w:snapToGrid w:val="0"/>
      <w:kern w:val="0"/>
      <w:u w:val="single"/>
      <w:lang w:val="fr-FR"/>
      <w14:ligatures w14:val="none"/>
    </w:rPr>
  </w:style>
  <w:style w:type="paragraph" w:styleId="List">
    <w:name w:val="List"/>
    <w:basedOn w:val="Normal"/>
    <w:semiHidden/>
    <w:rsid w:val="006F2D0F"/>
    <w:pPr>
      <w:contextualSpacing/>
    </w:pPr>
  </w:style>
  <w:style w:type="paragraph" w:styleId="ListParagraph">
    <w:name w:val="List Paragraph"/>
    <w:basedOn w:val="Normal"/>
    <w:uiPriority w:val="34"/>
    <w:qFormat/>
    <w:rsid w:val="006F2D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recommendations/sbi/?m=sbi-04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np-mop-03/np-mop-03-dec-01-fr.pdf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np-mop/?m=np-mop-04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abs/art10.s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ina.kipper\Downloads\template-np-mop-05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B7E42-7B91-4687-89C8-B28A6A7095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5EAFCD-F822-469F-BB8C-FBC5828DBD87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41732983-C5BC-429E-B8B3-5F0672A97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template-np-mop-05-en</Template>
  <TotalTime>134</TotalTime>
  <Pages>2</Pages>
  <Words>420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Global multilateral benefit-sharing mechanism</vt:lpstr>
    </vt:vector>
  </TitlesOfParts>
  <Company/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Mécanisme multilatéral mondial de partage des avantages</dc:title>
  <dc:subject>CBD/</dc:subject>
  <dc:creator>Secretariat of the Convention on Biological Diversity</dc:creator>
  <cp:keywords>Conférence des Parties à la Convention agissant comme réunion des Parties au Protocole de Nagoya</cp:keywords>
  <dc:description/>
  <cp:lastModifiedBy>Finn Kinley</cp:lastModifiedBy>
  <cp:revision>18</cp:revision>
  <dcterms:created xsi:type="dcterms:W3CDTF">2024-08-30T16:09:00Z</dcterms:created>
  <dcterms:modified xsi:type="dcterms:W3CDTF">2024-09-03T00:24:00Z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