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179A4" w:rsidRPr="00313A72" w14:paraId="4DB7DFC1" w14:textId="77777777">
        <w:trPr>
          <w:trHeight w:val="850"/>
        </w:trPr>
        <w:tc>
          <w:tcPr>
            <w:tcW w:w="975" w:type="dxa"/>
            <w:vAlign w:val="bottom"/>
          </w:tcPr>
          <w:p w14:paraId="23229BB4" w14:textId="77777777" w:rsidR="00A179A4" w:rsidRPr="00313A72" w:rsidRDefault="00A179A4">
            <w:pPr>
              <w:pStyle w:val="AASmallLogo"/>
            </w:pPr>
            <w:r w:rsidRPr="00E26709">
              <w:rPr>
                <w:noProof/>
                <w:lang w:eastAsia="en-CA"/>
                <w14:ligatures w14:val="standardContextual"/>
              </w:rPr>
              <w:drawing>
                <wp:inline distT="0" distB="0" distL="0" distR="0" wp14:anchorId="262DEF2A" wp14:editId="60E97CDC">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13A72">
              <w:t xml:space="preserve"> </w:t>
            </w:r>
          </w:p>
          <w:p w14:paraId="01BC1E43" w14:textId="77777777" w:rsidR="00A179A4" w:rsidRPr="00313A72" w:rsidRDefault="00A179A4">
            <w:pPr>
              <w:pStyle w:val="AASmallLogo"/>
            </w:pPr>
          </w:p>
        </w:tc>
        <w:tc>
          <w:tcPr>
            <w:tcW w:w="1434" w:type="dxa"/>
            <w:noWrap/>
            <w:vAlign w:val="bottom"/>
          </w:tcPr>
          <w:p w14:paraId="28E1A9F6" w14:textId="77777777" w:rsidR="00A179A4" w:rsidRPr="00313A72" w:rsidRDefault="00A179A4">
            <w:pPr>
              <w:pStyle w:val="AASmallLogo"/>
            </w:pPr>
            <w:r w:rsidRPr="00E26709">
              <w:rPr>
                <w:noProof/>
                <w:lang w:eastAsia="en-CA"/>
                <w14:ligatures w14:val="standardContextual"/>
              </w:rPr>
              <w:drawing>
                <wp:inline distT="0" distB="0" distL="0" distR="0" wp14:anchorId="7C20B319" wp14:editId="29E4BA7B">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13A72">
              <w:t xml:space="preserve"> </w:t>
            </w:r>
          </w:p>
          <w:p w14:paraId="74420FFE" w14:textId="77777777" w:rsidR="00A179A4" w:rsidRPr="00313A72" w:rsidRDefault="00A179A4">
            <w:pPr>
              <w:pStyle w:val="AASmallLogo"/>
            </w:pPr>
          </w:p>
        </w:tc>
        <w:tc>
          <w:tcPr>
            <w:tcW w:w="8073" w:type="dxa"/>
            <w:vAlign w:val="bottom"/>
          </w:tcPr>
          <w:p w14:paraId="256C7B03" w14:textId="7F7E58FC" w:rsidR="00A179A4" w:rsidRPr="00313A72" w:rsidRDefault="00A179A4" w:rsidP="00E26709">
            <w:pPr>
              <w:pStyle w:val="ABSymbol"/>
            </w:pPr>
            <w:r w:rsidRPr="00313A72">
              <w:rPr>
                <w:sz w:val="40"/>
              </w:rPr>
              <w:t>CBD</w:t>
            </w:r>
            <w:r w:rsidRPr="00313A72">
              <w:t>/SBSTTA/27/INF/</w:t>
            </w:r>
            <w:r w:rsidR="0064486B" w:rsidRPr="00313A72">
              <w:t>10</w:t>
            </w:r>
          </w:p>
        </w:tc>
      </w:tr>
    </w:tbl>
    <w:p w14:paraId="220FDBC3" w14:textId="77777777" w:rsidR="00A179A4" w:rsidRPr="00313A72" w:rsidRDefault="00A179A4" w:rsidP="00A179A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179A4" w:rsidRPr="00313A72" w14:paraId="776F5521" w14:textId="77777777">
        <w:trPr>
          <w:trHeight w:val="1814"/>
        </w:trPr>
        <w:tc>
          <w:tcPr>
            <w:tcW w:w="7370" w:type="dxa"/>
          </w:tcPr>
          <w:p w14:paraId="556E89DA" w14:textId="77777777" w:rsidR="00A179A4" w:rsidRPr="00313A72" w:rsidRDefault="00A179A4">
            <w:pPr>
              <w:pStyle w:val="ACLargeLogo"/>
            </w:pPr>
            <w:r w:rsidRPr="00E26709">
              <w:rPr>
                <w:noProof/>
                <w:lang w:eastAsia="en-CA"/>
                <w14:ligatures w14:val="standardContextual"/>
              </w:rPr>
              <w:drawing>
                <wp:inline distT="0" distB="0" distL="0" distR="0" wp14:anchorId="10F38BF2" wp14:editId="46D2C6E4">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13A72">
              <w:t xml:space="preserve"> </w:t>
            </w:r>
          </w:p>
          <w:p w14:paraId="0CAB4B03" w14:textId="77777777" w:rsidR="00A179A4" w:rsidRPr="00313A72" w:rsidRDefault="00A179A4">
            <w:pPr>
              <w:pStyle w:val="ACLargeLogo"/>
            </w:pPr>
          </w:p>
        </w:tc>
        <w:tc>
          <w:tcPr>
            <w:tcW w:w="3112" w:type="dxa"/>
          </w:tcPr>
          <w:p w14:paraId="22696B43" w14:textId="77777777" w:rsidR="00A179A4" w:rsidRPr="00313A72" w:rsidRDefault="00A179A4">
            <w:pPr>
              <w:pStyle w:val="AEDistrNormal"/>
            </w:pPr>
            <w:r w:rsidRPr="00313A72">
              <w:t>Distr.: General</w:t>
            </w:r>
          </w:p>
          <w:p w14:paraId="4144B385" w14:textId="6D880144" w:rsidR="00A179A4" w:rsidRPr="00313A72" w:rsidRDefault="00CD1CCA">
            <w:pPr>
              <w:pStyle w:val="AEDistrNormal"/>
            </w:pPr>
            <w:r w:rsidRPr="00313A72">
              <w:t xml:space="preserve">14 October </w:t>
            </w:r>
            <w:r w:rsidR="00A179A4" w:rsidRPr="00313A72">
              <w:t>2025</w:t>
            </w:r>
          </w:p>
          <w:p w14:paraId="03A7C86A" w14:textId="77777777" w:rsidR="00A179A4" w:rsidRPr="00313A72" w:rsidRDefault="00A179A4">
            <w:pPr>
              <w:pStyle w:val="AEDistrNormal"/>
            </w:pPr>
          </w:p>
          <w:p w14:paraId="56C04ED7" w14:textId="5302E450" w:rsidR="00A179A4" w:rsidRPr="00313A72" w:rsidRDefault="00A179A4">
            <w:pPr>
              <w:pStyle w:val="AEDistrNormal"/>
            </w:pPr>
            <w:r w:rsidRPr="00313A72">
              <w:t xml:space="preserve">English </w:t>
            </w:r>
            <w:r w:rsidR="00716931">
              <w:t>only</w:t>
            </w:r>
          </w:p>
          <w:p w14:paraId="2A9D811F" w14:textId="77777777" w:rsidR="00A179A4" w:rsidRPr="00313A72" w:rsidRDefault="00A179A4">
            <w:pPr>
              <w:pStyle w:val="AEDistrNormal6pt"/>
            </w:pPr>
          </w:p>
        </w:tc>
      </w:tr>
    </w:tbl>
    <w:p w14:paraId="0521CF26" w14:textId="77777777" w:rsidR="00A179A4" w:rsidRPr="00313A72" w:rsidRDefault="00A179A4" w:rsidP="00A179A4">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179A4" w:rsidRPr="00313A72" w14:paraId="29B5B984" w14:textId="77777777">
        <w:trPr>
          <w:trHeight w:val="57"/>
        </w:trPr>
        <w:tc>
          <w:tcPr>
            <w:tcW w:w="6094" w:type="dxa"/>
          </w:tcPr>
          <w:p w14:paraId="7D149787" w14:textId="77777777" w:rsidR="00A179A4" w:rsidRPr="00313A72" w:rsidRDefault="00A179A4">
            <w:pPr>
              <w:pStyle w:val="AFCorN12Bold"/>
            </w:pPr>
            <w:r w:rsidRPr="00313A72">
              <w:t xml:space="preserve">Subsidiary Body on Scientific, </w:t>
            </w:r>
            <w:r w:rsidRPr="00313A72">
              <w:br/>
              <w:t>Technical and Technological Advice</w:t>
            </w:r>
          </w:p>
          <w:p w14:paraId="1A061520" w14:textId="77777777" w:rsidR="00A179A4" w:rsidRPr="00313A72" w:rsidRDefault="00A179A4">
            <w:pPr>
              <w:pStyle w:val="AFCorNBold"/>
            </w:pPr>
            <w:r w:rsidRPr="00313A72">
              <w:t xml:space="preserve">Twenty-seventh meeting </w:t>
            </w:r>
          </w:p>
          <w:p w14:paraId="7665227F" w14:textId="77777777" w:rsidR="00A179A4" w:rsidRPr="00313A72" w:rsidRDefault="00A179A4">
            <w:pPr>
              <w:pStyle w:val="AFCorNNormal"/>
            </w:pPr>
            <w:r w:rsidRPr="00313A72">
              <w:t xml:space="preserve">Panama City, 20–24 October 2025 </w:t>
            </w:r>
          </w:p>
          <w:p w14:paraId="20E952FB" w14:textId="30FDA9EE" w:rsidR="00A179A4" w:rsidRPr="00313A72" w:rsidRDefault="00A179A4">
            <w:pPr>
              <w:pStyle w:val="AFCorNNormal"/>
            </w:pPr>
            <w:r w:rsidRPr="00313A72">
              <w:t>Item 6</w:t>
            </w:r>
            <w:r w:rsidR="00E311C6">
              <w:t xml:space="preserve"> </w:t>
            </w:r>
            <w:r w:rsidRPr="00313A72">
              <w:t>(b) of the provisional agenda</w:t>
            </w:r>
            <w:r w:rsidR="004D45B9">
              <w:rPr>
                <w:rStyle w:val="FootnoteReference"/>
              </w:rPr>
              <w:footnoteReference w:customMarkFollows="1" w:id="1"/>
              <w:t>*</w:t>
            </w:r>
          </w:p>
          <w:p w14:paraId="32212FF1" w14:textId="7AB365D2" w:rsidR="00A179A4" w:rsidRPr="00313A72" w:rsidRDefault="00A179A4" w:rsidP="00E26709">
            <w:pPr>
              <w:pStyle w:val="AFCorNBold"/>
              <w:spacing w:after="120"/>
            </w:pPr>
            <w:r w:rsidRPr="00313A72">
              <w:t>Scientific and technical needs to support the implementation of the Kunming-Montreal Global Biodiversity Framework</w:t>
            </w:r>
            <w:r w:rsidR="0086757F">
              <w:t>: strategic review of and updates to the expanded programme of work on forest biodiversity</w:t>
            </w:r>
          </w:p>
        </w:tc>
        <w:tc>
          <w:tcPr>
            <w:tcW w:w="4388" w:type="dxa"/>
          </w:tcPr>
          <w:p w14:paraId="3E38F257" w14:textId="77777777" w:rsidR="00A179A4" w:rsidRPr="00313A72" w:rsidRDefault="00A179A4">
            <w:pPr>
              <w:pStyle w:val="CBDNormal"/>
              <w:jc w:val="left"/>
            </w:pPr>
          </w:p>
        </w:tc>
      </w:tr>
    </w:tbl>
    <w:p w14:paraId="3B9AC27D" w14:textId="7FF1E6AA" w:rsidR="00A179A4" w:rsidRDefault="00000000" w:rsidP="00A179A4">
      <w:pPr>
        <w:pStyle w:val="CBDTitle"/>
      </w:pPr>
      <w:sdt>
        <w:sdtPr>
          <w:rPr>
            <w:rFonts w:ascii="Times New Roman Bold" w:hAnsi="Times New Roman Bold"/>
            <w:bCs/>
            <w:color w:val="000000"/>
            <w:szCs w:val="28"/>
            <w:shd w:val="clear" w:color="auto" w:fill="FFFFFF"/>
          </w:rPr>
          <w:alias w:val="Title"/>
          <w:tag w:val=""/>
          <w:id w:val="-591865594"/>
          <w:placeholder>
            <w:docPart w:val="98398343D0864F78AAC9EA77E434EF4F"/>
          </w:placeholder>
          <w:dataBinding w:prefixMappings="xmlns:ns0='http://purl.org/dc/elements/1.1/' xmlns:ns1='http://schemas.openxmlformats.org/package/2006/metadata/core-properties' " w:xpath="/ns1:coreProperties[1]/ns0:title[1]" w:storeItemID="{6C3C8BC8-F283-45AE-878A-BAB7291924A1}"/>
          <w:text/>
        </w:sdtPr>
        <w:sdtContent>
          <w:bookmarkStart w:id="0" w:name="_Hlk205890190"/>
          <w:r w:rsidR="00497576" w:rsidRPr="00313A72">
            <w:rPr>
              <w:rFonts w:ascii="Times New Roman Bold" w:hAnsi="Times New Roman Bold"/>
              <w:bCs/>
              <w:color w:val="000000"/>
              <w:szCs w:val="28"/>
              <w:shd w:val="clear" w:color="auto" w:fill="FFFFFF"/>
            </w:rPr>
            <w:t>Conserving, restoring and sustainably managing forests for the Kunming-Montreal Global Biodiversity Framework</w:t>
          </w:r>
          <w:r w:rsidR="00497576">
            <w:rPr>
              <w:rFonts w:ascii="Times New Roman Bold" w:hAnsi="Times New Roman Bold"/>
              <w:bCs/>
              <w:color w:val="000000"/>
              <w:szCs w:val="28"/>
              <w:shd w:val="clear" w:color="auto" w:fill="FFFFFF"/>
            </w:rPr>
            <w:t>:</w:t>
          </w:r>
          <w:r w:rsidR="00497576" w:rsidRPr="00313A72">
            <w:rPr>
              <w:rFonts w:ascii="Times New Roman Bold" w:hAnsi="Times New Roman Bold"/>
              <w:bCs/>
              <w:color w:val="000000"/>
              <w:szCs w:val="28"/>
              <w:shd w:val="clear" w:color="auto" w:fill="FFFFFF"/>
            </w:rPr>
            <w:t xml:space="preserve"> </w:t>
          </w:r>
          <w:r w:rsidR="00497576">
            <w:rPr>
              <w:rFonts w:ascii="Times New Roman Bold" w:hAnsi="Times New Roman Bold"/>
              <w:bCs/>
              <w:color w:val="000000"/>
              <w:szCs w:val="28"/>
              <w:shd w:val="clear" w:color="auto" w:fill="FFFFFF"/>
            </w:rPr>
            <w:t>c</w:t>
          </w:r>
          <w:r w:rsidR="00497576" w:rsidRPr="00313A72">
            <w:rPr>
              <w:rFonts w:ascii="Times New Roman Bold" w:hAnsi="Times New Roman Bold"/>
              <w:bCs/>
              <w:color w:val="000000"/>
              <w:szCs w:val="28"/>
              <w:shd w:val="clear" w:color="auto" w:fill="FFFFFF"/>
            </w:rPr>
            <w:t>ontributions of the Collaborative Partnership on Forests</w:t>
          </w:r>
        </w:sdtContent>
      </w:sdt>
      <w:bookmarkEnd w:id="0"/>
      <w:r w:rsidR="004D45B9">
        <w:rPr>
          <w:rStyle w:val="FootnoteReference"/>
          <w:rFonts w:ascii="Times New Roman Bold" w:hAnsi="Times New Roman Bold" w:hint="eastAsia"/>
          <w:bCs/>
          <w:color w:val="000000"/>
          <w:szCs w:val="28"/>
          <w:shd w:val="clear" w:color="auto" w:fill="FFFFFF"/>
        </w:rPr>
        <w:footnoteReference w:customMarkFollows="1" w:id="2"/>
        <w:t>**</w:t>
      </w:r>
    </w:p>
    <w:p w14:paraId="12584ED8" w14:textId="37E5E164" w:rsidR="008A0C03" w:rsidRPr="008A0C03" w:rsidRDefault="008A7F1F" w:rsidP="00E26709">
      <w:pPr>
        <w:pStyle w:val="CBDSubTitle"/>
      </w:pPr>
      <w:r>
        <w:t>Note by the Secretariat</w:t>
      </w:r>
    </w:p>
    <w:p w14:paraId="4BE6BAC8" w14:textId="3AC36D73" w:rsidR="00A179A4" w:rsidRPr="00313A72" w:rsidRDefault="00A179A4">
      <w:pPr>
        <w:pStyle w:val="CBDNormalNumber"/>
        <w:rPr>
          <w:snapToGrid w:val="0"/>
        </w:rPr>
      </w:pPr>
      <w:r w:rsidRPr="00313A72">
        <w:rPr>
          <w:snapToGrid w:val="0"/>
        </w:rPr>
        <w:t xml:space="preserve">In its decision </w:t>
      </w:r>
      <w:hyperlink r:id="rId14" w:history="1">
        <w:r w:rsidRPr="00313A72">
          <w:rPr>
            <w:rStyle w:val="Hyperlink"/>
            <w:snapToGrid w:val="0"/>
          </w:rPr>
          <w:t>16/35</w:t>
        </w:r>
      </w:hyperlink>
      <w:r w:rsidRPr="00313A72">
        <w:rPr>
          <w:snapToGrid w:val="0"/>
        </w:rPr>
        <w:t>, the Conference of the Parties</w:t>
      </w:r>
      <w:r w:rsidR="006F46DB" w:rsidRPr="00313A72">
        <w:rPr>
          <w:snapToGrid w:val="0"/>
        </w:rPr>
        <w:t xml:space="preserve"> to the Convention on Biological Diversity</w:t>
      </w:r>
      <w:r w:rsidRPr="00313A72">
        <w:rPr>
          <w:snapToGrid w:val="0"/>
        </w:rPr>
        <w:t xml:space="preserve"> requested </w:t>
      </w:r>
      <w:r w:rsidR="006F46DB" w:rsidRPr="00313A72">
        <w:rPr>
          <w:snapToGrid w:val="0"/>
        </w:rPr>
        <w:t>the Executive Secretary to strengthen collaboration with the United Nations Forum on Forests and other relevant organizations, such as the International Tropical Timber Organization, and within the Collaborative Partnership on Forests</w:t>
      </w:r>
      <w:r w:rsidR="00497576">
        <w:rPr>
          <w:snapToGrid w:val="0"/>
        </w:rPr>
        <w:t>,</w:t>
      </w:r>
      <w:r w:rsidR="0073742C" w:rsidRPr="00313A72">
        <w:rPr>
          <w:rStyle w:val="FootnoteReference"/>
          <w:snapToGrid w:val="0"/>
        </w:rPr>
        <w:footnoteReference w:id="3"/>
      </w:r>
      <w:r w:rsidR="006F46DB" w:rsidRPr="00313A72">
        <w:rPr>
          <w:snapToGrid w:val="0"/>
        </w:rPr>
        <w:t xml:space="preserve"> to support the coherent implementation of the United Nations </w:t>
      </w:r>
      <w:r w:rsidR="005B66B5">
        <w:rPr>
          <w:snapToGrid w:val="0"/>
        </w:rPr>
        <w:t>s</w:t>
      </w:r>
      <w:r w:rsidR="006F46DB" w:rsidRPr="00313A72">
        <w:rPr>
          <w:snapToGrid w:val="0"/>
        </w:rPr>
        <w:t xml:space="preserve">trategic </w:t>
      </w:r>
      <w:r w:rsidR="005B66B5">
        <w:rPr>
          <w:snapToGrid w:val="0"/>
        </w:rPr>
        <w:t>p</w:t>
      </w:r>
      <w:r w:rsidR="006F46DB" w:rsidRPr="00313A72">
        <w:rPr>
          <w:snapToGrid w:val="0"/>
        </w:rPr>
        <w:t xml:space="preserve">lan for </w:t>
      </w:r>
      <w:r w:rsidR="005B66B5">
        <w:rPr>
          <w:snapToGrid w:val="0"/>
        </w:rPr>
        <w:t>f</w:t>
      </w:r>
      <w:r w:rsidR="006F46DB" w:rsidRPr="00313A72">
        <w:rPr>
          <w:snapToGrid w:val="0"/>
        </w:rPr>
        <w:t>orests 2017–2030, the Convention and the Kunming-Montreal Global Biodiversity Framework (para</w:t>
      </w:r>
      <w:r w:rsidR="00E311C6">
        <w:rPr>
          <w:snapToGrid w:val="0"/>
        </w:rPr>
        <w:t>.</w:t>
      </w:r>
      <w:r w:rsidR="006F46DB" w:rsidRPr="00313A72">
        <w:rPr>
          <w:snapToGrid w:val="0"/>
        </w:rPr>
        <w:t xml:space="preserve"> 23</w:t>
      </w:r>
      <w:r w:rsidR="00E311C6">
        <w:rPr>
          <w:snapToGrid w:val="0"/>
        </w:rPr>
        <w:t xml:space="preserve"> </w:t>
      </w:r>
      <w:r w:rsidR="006F46DB" w:rsidRPr="00313A72">
        <w:rPr>
          <w:snapToGrid w:val="0"/>
        </w:rPr>
        <w:t>(d)).</w:t>
      </w:r>
    </w:p>
    <w:p w14:paraId="50DF40C7" w14:textId="308E5D1C" w:rsidR="006F46DB" w:rsidRPr="00313A72" w:rsidRDefault="008A7F1F" w:rsidP="00A179A4">
      <w:pPr>
        <w:pStyle w:val="CBDNormalNumber"/>
        <w:rPr>
          <w:snapToGrid w:val="0"/>
        </w:rPr>
      </w:pPr>
      <w:r>
        <w:rPr>
          <w:snapToGrid w:val="0"/>
        </w:rPr>
        <w:t>T</w:t>
      </w:r>
      <w:r w:rsidR="006F46DB" w:rsidRPr="00313A72">
        <w:rPr>
          <w:snapToGrid w:val="0"/>
        </w:rPr>
        <w:t xml:space="preserve">he present document was </w:t>
      </w:r>
      <w:r w:rsidR="008A0C03">
        <w:rPr>
          <w:snapToGrid w:val="0"/>
        </w:rPr>
        <w:t>prepared</w:t>
      </w:r>
      <w:r w:rsidR="008A0C03" w:rsidRPr="00313A72">
        <w:rPr>
          <w:snapToGrid w:val="0"/>
        </w:rPr>
        <w:t xml:space="preserve"> </w:t>
      </w:r>
      <w:r w:rsidR="00EB10C5">
        <w:rPr>
          <w:snapToGrid w:val="0"/>
        </w:rPr>
        <w:t xml:space="preserve">by </w:t>
      </w:r>
      <w:r w:rsidR="00EB10C5" w:rsidRPr="00EB10C5">
        <w:rPr>
          <w:snapToGrid w:val="0"/>
        </w:rPr>
        <w:t xml:space="preserve">the Secretariat of the Collaborative Partnership on Forests </w:t>
      </w:r>
      <w:r w:rsidR="006F46DB" w:rsidRPr="00313A72">
        <w:rPr>
          <w:snapToGrid w:val="0"/>
        </w:rPr>
        <w:t>with a view to inform</w:t>
      </w:r>
      <w:r w:rsidR="00E311C6">
        <w:rPr>
          <w:snapToGrid w:val="0"/>
        </w:rPr>
        <w:t>ing</w:t>
      </w:r>
      <w:r w:rsidR="006F46DB" w:rsidRPr="00313A72">
        <w:rPr>
          <w:snapToGrid w:val="0"/>
        </w:rPr>
        <w:t xml:space="preserve"> discussions at the </w:t>
      </w:r>
      <w:r w:rsidR="00805CF2">
        <w:rPr>
          <w:snapToGrid w:val="0"/>
        </w:rPr>
        <w:t>present</w:t>
      </w:r>
      <w:r w:rsidR="006F46DB" w:rsidRPr="00313A72">
        <w:rPr>
          <w:snapToGrid w:val="0"/>
        </w:rPr>
        <w:t xml:space="preserve"> meeting on the strategic review </w:t>
      </w:r>
      <w:r w:rsidR="00B86E61">
        <w:rPr>
          <w:snapToGrid w:val="0"/>
        </w:rPr>
        <w:t xml:space="preserve">of </w:t>
      </w:r>
      <w:r w:rsidR="006F46DB" w:rsidRPr="00313A72">
        <w:rPr>
          <w:snapToGrid w:val="0"/>
        </w:rPr>
        <w:t xml:space="preserve">and updates </w:t>
      </w:r>
      <w:r w:rsidR="00B86E61">
        <w:rPr>
          <w:snapToGrid w:val="0"/>
        </w:rPr>
        <w:t>to</w:t>
      </w:r>
      <w:r w:rsidR="006F46DB" w:rsidRPr="00313A72">
        <w:rPr>
          <w:snapToGrid w:val="0"/>
        </w:rPr>
        <w:t xml:space="preserve"> the expanded programme of work on forest biodiversity in the context of the Framework</w:t>
      </w:r>
      <w:r w:rsidR="00717F00">
        <w:rPr>
          <w:snapToGrid w:val="0"/>
        </w:rPr>
        <w:t>,</w:t>
      </w:r>
      <w:r w:rsidR="006F46DB" w:rsidRPr="00313A72">
        <w:rPr>
          <w:snapToGrid w:val="0"/>
        </w:rPr>
        <w:t xml:space="preserve"> as contained in document </w:t>
      </w:r>
      <w:hyperlink r:id="rId15" w:history="1">
        <w:r w:rsidR="006F46DB" w:rsidRPr="00717F00">
          <w:rPr>
            <w:rStyle w:val="Hyperlink"/>
            <w:snapToGrid w:val="0"/>
          </w:rPr>
          <w:t>CBD/SBSTTA/27/5/Add.2</w:t>
        </w:r>
      </w:hyperlink>
      <w:r w:rsidR="006F46DB" w:rsidRPr="00313A72">
        <w:rPr>
          <w:snapToGrid w:val="0"/>
        </w:rPr>
        <w:t>.</w:t>
      </w:r>
    </w:p>
    <w:p w14:paraId="3E23D83F" w14:textId="0D99AFC2" w:rsidR="00A179A4" w:rsidRPr="00313A72" w:rsidRDefault="006F46DB" w:rsidP="00E26709">
      <w:pPr>
        <w:pStyle w:val="CBDNormalNumber"/>
      </w:pPr>
      <w:r w:rsidRPr="00313A72">
        <w:rPr>
          <w:snapToGrid w:val="0"/>
        </w:rPr>
        <w:t xml:space="preserve">The document </w:t>
      </w:r>
      <w:r w:rsidR="006B4E6E">
        <w:t>contains a description of</w:t>
      </w:r>
      <w:r w:rsidR="006B4E6E" w:rsidRPr="00313A72">
        <w:t xml:space="preserve"> </w:t>
      </w:r>
      <w:r w:rsidR="006B4E6E">
        <w:t>the</w:t>
      </w:r>
      <w:r w:rsidR="006B4E6E" w:rsidRPr="00313A72">
        <w:t xml:space="preserve"> </w:t>
      </w:r>
      <w:r w:rsidRPr="00313A72">
        <w:t xml:space="preserve">joint contribution of the members of the Collaborative Partnership on Forests towards the achievement of the goals and targets </w:t>
      </w:r>
      <w:r w:rsidR="00D45367" w:rsidRPr="00313A72">
        <w:t>of</w:t>
      </w:r>
      <w:r w:rsidRPr="00313A72">
        <w:t xml:space="preserve"> the Framework, in alignment with the Global Forest Goals of the United Nations Strategic Plan for Forests 2017</w:t>
      </w:r>
      <w:r w:rsidR="0035048A" w:rsidRPr="00313A72">
        <w:rPr>
          <w:snapToGrid w:val="0"/>
        </w:rPr>
        <w:t>–</w:t>
      </w:r>
      <w:r w:rsidRPr="00313A72">
        <w:t xml:space="preserve">2030. The document is provided in the form and language in which it was received </w:t>
      </w:r>
      <w:r w:rsidRPr="006B4E6E">
        <w:t xml:space="preserve">by the Secretariat </w:t>
      </w:r>
      <w:r w:rsidR="006B4E6E" w:rsidRPr="00E26709">
        <w:t xml:space="preserve">of the Convention </w:t>
      </w:r>
      <w:r w:rsidRPr="006B4E6E">
        <w:t>from the Secretariat of the Collaborative Partnership on Forests.</w:t>
      </w:r>
    </w:p>
    <w:p w14:paraId="58C55A81" w14:textId="77777777" w:rsidR="00A179A4" w:rsidRPr="00313A72" w:rsidRDefault="00A179A4" w:rsidP="00A179A4">
      <w:r w:rsidRPr="00313A72">
        <w:br w:type="page"/>
      </w:r>
    </w:p>
    <w:p w14:paraId="34F4C9C0" w14:textId="0FA5AE02" w:rsidR="009A4193" w:rsidRPr="00313A72" w:rsidRDefault="00E06B00" w:rsidP="009A4193">
      <w:pPr>
        <w:pStyle w:val="ListParagraph"/>
        <w:numPr>
          <w:ilvl w:val="0"/>
          <w:numId w:val="3"/>
        </w:numPr>
        <w:contextualSpacing w:val="0"/>
        <w:jc w:val="center"/>
        <w:rPr>
          <w:b/>
          <w:bCs/>
        </w:rPr>
      </w:pPr>
      <w:r w:rsidRPr="00313A72">
        <w:rPr>
          <w:b/>
          <w:bCs/>
          <w:caps/>
        </w:rPr>
        <w:lastRenderedPageBreak/>
        <w:t>Introduction</w:t>
      </w:r>
    </w:p>
    <w:p w14:paraId="3FE5DADA" w14:textId="3A82549C" w:rsidR="001874D3" w:rsidRPr="00313A72" w:rsidRDefault="00A65269" w:rsidP="009A4193">
      <w:pPr>
        <w:pStyle w:val="ListParagraph"/>
        <w:contextualSpacing w:val="0"/>
        <w:rPr>
          <w:b/>
          <w:bCs/>
        </w:rPr>
      </w:pPr>
      <w:r w:rsidRPr="00313A72">
        <w:rPr>
          <w:b/>
          <w:bCs/>
        </w:rPr>
        <w:t>Members and the mandate of</w:t>
      </w:r>
      <w:r w:rsidR="00DB331F" w:rsidRPr="00313A72">
        <w:rPr>
          <w:b/>
          <w:bCs/>
        </w:rPr>
        <w:t xml:space="preserve"> the Collaborative Partnership on Forests</w:t>
      </w:r>
    </w:p>
    <w:p w14:paraId="4270E930" w14:textId="4D8896B5" w:rsidR="00E00979" w:rsidRPr="00313A72" w:rsidRDefault="00E00979" w:rsidP="00D643BF">
      <w:pPr>
        <w:pStyle w:val="CBDNormalNumber"/>
        <w:numPr>
          <w:ilvl w:val="0"/>
          <w:numId w:val="29"/>
        </w:numPr>
      </w:pPr>
      <w:r w:rsidRPr="00313A72">
        <w:t>The Collaborative Partnership on Forests (CPF)</w:t>
      </w:r>
      <w:r w:rsidR="00935633" w:rsidRPr="00313A72">
        <w:t>, chaired by FAO,</w:t>
      </w:r>
      <w:r w:rsidRPr="00313A72">
        <w:t xml:space="preserve"> is a voluntary arrangement among 16 international organizations and secretariats</w:t>
      </w:r>
      <w:r w:rsidRPr="00313A72">
        <w:rPr>
          <w:rStyle w:val="FootnoteReference"/>
        </w:rPr>
        <w:footnoteReference w:id="4"/>
      </w:r>
      <w:r w:rsidRPr="00313A72">
        <w:t xml:space="preserve"> with substantial programmes on forests, e</w:t>
      </w:r>
      <w:r w:rsidR="00A6122A" w:rsidRPr="00313A72">
        <w:t xml:space="preserve">stablished in 2001, </w:t>
      </w:r>
      <w:r w:rsidRPr="00313A72">
        <w:t>in response to an invitation issued in the resolution 2000/35</w:t>
      </w:r>
      <w:r w:rsidRPr="00313A72">
        <w:rPr>
          <w:rStyle w:val="FootnoteReference"/>
        </w:rPr>
        <w:footnoteReference w:id="5"/>
      </w:r>
      <w:r w:rsidRPr="00313A72">
        <w:t xml:space="preserve"> by the Economic and Social Council of the UN (ECOSOC) that established the International Arrangement on Forests </w:t>
      </w:r>
      <w:r w:rsidR="00051B13" w:rsidRPr="00313A72">
        <w:t xml:space="preserve">(IAF) </w:t>
      </w:r>
      <w:r w:rsidRPr="00313A72">
        <w:t xml:space="preserve">and the UN Forum on Forests (UNFF). The mission of the CPF is to help enhance the contribution of all types of forests and trees outside forests to the 2030 Agenda for Sustainable Development and other internationally agreed development goals, promote the sustainable management of all types of forests and </w:t>
      </w:r>
      <w:r w:rsidR="00DE36C2" w:rsidRPr="00313A72">
        <w:t>strengthen</w:t>
      </w:r>
      <w:r w:rsidRPr="00313A72">
        <w:t xml:space="preserve"> long-term political commitment to that end. </w:t>
      </w:r>
      <w:r w:rsidR="00A6122A" w:rsidRPr="00313A72">
        <w:t>Through its resolution 2015/33</w:t>
      </w:r>
      <w:r w:rsidRPr="00313A72">
        <w:rPr>
          <w:rStyle w:val="FootnoteReference"/>
        </w:rPr>
        <w:footnoteReference w:id="6"/>
      </w:r>
      <w:r w:rsidR="00A6122A" w:rsidRPr="00313A72">
        <w:t xml:space="preserve">, </w:t>
      </w:r>
      <w:r w:rsidR="00A65269" w:rsidRPr="00313A72">
        <w:t>ECOSOC</w:t>
      </w:r>
      <w:r w:rsidR="00A6122A" w:rsidRPr="00313A72">
        <w:t xml:space="preserve"> defined the core functions of the CPF</w:t>
      </w:r>
      <w:r w:rsidR="00DC4886" w:rsidRPr="00313A72">
        <w:t>,</w:t>
      </w:r>
      <w:r w:rsidRPr="00313A72">
        <w:t xml:space="preserve"> </w:t>
      </w:r>
      <w:r w:rsidR="00F21203" w:rsidRPr="00313A72">
        <w:t xml:space="preserve">summarized </w:t>
      </w:r>
      <w:r w:rsidRPr="00313A72">
        <w:t>as follows:</w:t>
      </w:r>
    </w:p>
    <w:p w14:paraId="1B0A00D2" w14:textId="54190508" w:rsidR="00D37ADA" w:rsidRPr="00313A72" w:rsidRDefault="00D37ADA" w:rsidP="00016C00">
      <w:pPr>
        <w:pStyle w:val="ListParagraph"/>
        <w:numPr>
          <w:ilvl w:val="1"/>
          <w:numId w:val="24"/>
        </w:numPr>
        <w:spacing w:after="120"/>
        <w:contextualSpacing w:val="0"/>
      </w:pPr>
      <w:r w:rsidRPr="00313A72">
        <w:t>Promote the implementation of the UN Forest Instrument and the United Nations Strategic Plan for Forests 2017-2030</w:t>
      </w:r>
      <w:r w:rsidRPr="00313A72">
        <w:rPr>
          <w:rStyle w:val="FootnoteReference"/>
        </w:rPr>
        <w:footnoteReference w:id="7"/>
      </w:r>
      <w:r w:rsidRPr="00313A72">
        <w:t xml:space="preserve"> (UNSPF) as well as the contribution of forests and trees to the 2030 Agenda for Sustainable Development and other major forest-related agreements</w:t>
      </w:r>
      <w:r w:rsidR="00F21203" w:rsidRPr="00313A72">
        <w:t>;</w:t>
      </w:r>
    </w:p>
    <w:p w14:paraId="04145E66" w14:textId="2A5BB3B5" w:rsidR="00E00979" w:rsidRPr="00313A72" w:rsidRDefault="000E4CD0" w:rsidP="00016C00">
      <w:pPr>
        <w:pStyle w:val="ListParagraph"/>
        <w:numPr>
          <w:ilvl w:val="1"/>
          <w:numId w:val="24"/>
        </w:numPr>
        <w:spacing w:after="120"/>
        <w:contextualSpacing w:val="0"/>
      </w:pPr>
      <w:r w:rsidRPr="00313A72">
        <w:t xml:space="preserve">To </w:t>
      </w:r>
      <w:r w:rsidR="00E00979" w:rsidRPr="00313A72">
        <w:t>support the work of UNFF and its member countries;</w:t>
      </w:r>
    </w:p>
    <w:p w14:paraId="1C760F80" w14:textId="13E06E0E" w:rsidR="00E00979" w:rsidRPr="00313A72" w:rsidRDefault="000E4CD0" w:rsidP="00016C00">
      <w:pPr>
        <w:pStyle w:val="ListParagraph"/>
        <w:numPr>
          <w:ilvl w:val="1"/>
          <w:numId w:val="24"/>
        </w:numPr>
        <w:spacing w:after="120"/>
        <w:contextualSpacing w:val="0"/>
      </w:pPr>
      <w:r w:rsidRPr="00313A72">
        <w:t xml:space="preserve">To </w:t>
      </w:r>
      <w:r w:rsidR="00E00979" w:rsidRPr="00313A72">
        <w:t xml:space="preserve">provide scientific and technical advice to </w:t>
      </w:r>
      <w:r w:rsidRPr="00313A72">
        <w:t>UNFF and governing bodies of CPF members, at their request</w:t>
      </w:r>
      <w:r w:rsidR="00E00979" w:rsidRPr="00313A72">
        <w:t>;</w:t>
      </w:r>
    </w:p>
    <w:p w14:paraId="67AF016D" w14:textId="762E1763" w:rsidR="00E00979" w:rsidRPr="00313A72" w:rsidRDefault="000E4CD0" w:rsidP="00016C00">
      <w:pPr>
        <w:pStyle w:val="ListParagraph"/>
        <w:numPr>
          <w:ilvl w:val="1"/>
          <w:numId w:val="24"/>
        </w:numPr>
        <w:spacing w:after="120"/>
        <w:contextualSpacing w:val="0"/>
      </w:pPr>
      <w:r w:rsidRPr="00313A72">
        <w:t xml:space="preserve">To </w:t>
      </w:r>
      <w:r w:rsidR="00E00979" w:rsidRPr="00313A72">
        <w:t>enhance coherence, cooperation as well as policy and programme coordination at all levels</w:t>
      </w:r>
      <w:r w:rsidRPr="00313A72">
        <w:t xml:space="preserve"> among its member organizations</w:t>
      </w:r>
      <w:r w:rsidR="00E00979" w:rsidRPr="00313A72">
        <w:t>, including through joint programming and the submission of coordinated proposals to members’ governing bodies, consistent with their mandates</w:t>
      </w:r>
      <w:r w:rsidR="00016C00" w:rsidRPr="00313A72">
        <w:t>.</w:t>
      </w:r>
    </w:p>
    <w:p w14:paraId="10CAFFAD" w14:textId="77777777" w:rsidR="00F060DC" w:rsidRPr="00313A72" w:rsidRDefault="009B5272" w:rsidP="00D643BF">
      <w:pPr>
        <w:pStyle w:val="CBDNormalNumber"/>
        <w:numPr>
          <w:ilvl w:val="0"/>
          <w:numId w:val="29"/>
        </w:numPr>
      </w:pPr>
      <w:r w:rsidRPr="00313A72">
        <w:t xml:space="preserve">The critical role of </w:t>
      </w:r>
      <w:r w:rsidR="00B357E0" w:rsidRPr="00313A72">
        <w:t>the</w:t>
      </w:r>
      <w:r w:rsidR="00BD0B81" w:rsidRPr="00313A72">
        <w:t xml:space="preserve"> conservation, restoration and sustainable management</w:t>
      </w:r>
      <w:r w:rsidRPr="00313A72">
        <w:t xml:space="preserve"> </w:t>
      </w:r>
      <w:r w:rsidR="00B357E0" w:rsidRPr="00313A72">
        <w:t xml:space="preserve">of forests </w:t>
      </w:r>
      <w:r w:rsidRPr="00313A72">
        <w:t xml:space="preserve">for maintaining global biodiversity is well </w:t>
      </w:r>
      <w:r w:rsidR="00950097" w:rsidRPr="00313A72">
        <w:t>embedded</w:t>
      </w:r>
      <w:r w:rsidR="005F4F52" w:rsidRPr="00313A72">
        <w:t xml:space="preserve"> in</w:t>
      </w:r>
      <w:r w:rsidRPr="00313A72">
        <w:t xml:space="preserve"> the </w:t>
      </w:r>
      <w:r w:rsidR="00E56EA7" w:rsidRPr="00313A72">
        <w:t xml:space="preserve">overarching objectives of the </w:t>
      </w:r>
      <w:r w:rsidRPr="00313A72">
        <w:t>UNSPF</w:t>
      </w:r>
      <w:r w:rsidR="00E56EA7" w:rsidRPr="00313A72">
        <w:t xml:space="preserve">, </w:t>
      </w:r>
      <w:r w:rsidRPr="00313A72">
        <w:t xml:space="preserve">its </w:t>
      </w:r>
      <w:r w:rsidR="00A31A65" w:rsidRPr="00313A72">
        <w:t>Global Forest Goals (GFGs)</w:t>
      </w:r>
      <w:r w:rsidR="00E56EA7" w:rsidRPr="00313A72">
        <w:t xml:space="preserve"> and associated targets</w:t>
      </w:r>
      <w:r w:rsidRPr="00313A72">
        <w:t xml:space="preserve">, </w:t>
      </w:r>
      <w:r w:rsidR="005F4F52" w:rsidRPr="00313A72">
        <w:t>including</w:t>
      </w:r>
      <w:r w:rsidR="00E56EA7" w:rsidRPr="00313A72">
        <w:t xml:space="preserve"> for</w:t>
      </w:r>
      <w:r w:rsidRPr="00313A72">
        <w:t xml:space="preserve"> GFG 1: </w:t>
      </w:r>
      <w:r w:rsidRPr="00313A72">
        <w:rPr>
          <w:i/>
          <w:iCs/>
        </w:rPr>
        <w:t>reverse the loss of forest cover worldwide</w:t>
      </w:r>
      <w:r w:rsidRPr="00313A72">
        <w:t xml:space="preserve">; GFG 2: </w:t>
      </w:r>
      <w:r w:rsidRPr="00313A72">
        <w:rPr>
          <w:i/>
          <w:iCs/>
        </w:rPr>
        <w:t>enhance forest-based economic, social and environmental benefits</w:t>
      </w:r>
      <w:r w:rsidRPr="00313A72">
        <w:t xml:space="preserve"> and GFG 3: </w:t>
      </w:r>
      <w:r w:rsidRPr="00313A72">
        <w:rPr>
          <w:i/>
          <w:iCs/>
        </w:rPr>
        <w:t>increase significantly the area of protect</w:t>
      </w:r>
      <w:r w:rsidR="00BD0B81" w:rsidRPr="00313A72">
        <w:rPr>
          <w:i/>
          <w:iCs/>
        </w:rPr>
        <w:t>ed</w:t>
      </w:r>
      <w:r w:rsidRPr="00313A72">
        <w:rPr>
          <w:i/>
          <w:iCs/>
        </w:rPr>
        <w:t xml:space="preserve"> forests worldwide and other areas of sustainably managed forests</w:t>
      </w:r>
      <w:r w:rsidRPr="00313A72">
        <w:t>.</w:t>
      </w:r>
      <w:r w:rsidR="00A31A65" w:rsidRPr="00313A72">
        <w:t xml:space="preserve"> </w:t>
      </w:r>
    </w:p>
    <w:p w14:paraId="43010EE3" w14:textId="528A08E5" w:rsidR="0071365D" w:rsidRPr="00313A72" w:rsidRDefault="0071365D" w:rsidP="00C61DE2">
      <w:pPr>
        <w:pStyle w:val="CBDNormalNumber"/>
      </w:pPr>
      <w:r w:rsidRPr="00313A72">
        <w:t>The expanded programme of work on forest biodiversity (</w:t>
      </w:r>
      <w:proofErr w:type="spellStart"/>
      <w:r w:rsidRPr="00313A72">
        <w:t>PoWFB</w:t>
      </w:r>
      <w:proofErr w:type="spellEnd"/>
      <w:r w:rsidRPr="00313A72">
        <w:t>) adopted in 2002 in Decision VI/22, invited the members of the CPF “</w:t>
      </w:r>
      <w:r w:rsidRPr="00313A72">
        <w:rPr>
          <w:i/>
          <w:iCs/>
        </w:rPr>
        <w:t>to support the implementation of the expanded programme of work on forest biological diversity, recognizing that the CPF provides a mechanism for enhancing collaboration on activities addressing common goals of the CBD and the UNFF</w:t>
      </w:r>
      <w:r w:rsidRPr="00313A72">
        <w:t>.”</w:t>
      </w:r>
      <w:r w:rsidRPr="00313A72">
        <w:rPr>
          <w:rStyle w:val="FootnoteReference"/>
        </w:rPr>
        <w:footnoteReference w:id="8"/>
      </w:r>
      <w:r w:rsidRPr="00313A72">
        <w:t xml:space="preserve"> Since this time, guidance from the Parties to the CBD from subsequent COPs including inter alia, Decisions </w:t>
      </w:r>
      <w:r w:rsidR="00D76591" w:rsidRPr="00313A72">
        <w:t>XIII</w:t>
      </w:r>
      <w:r w:rsidRPr="00313A72">
        <w:t>/7</w:t>
      </w:r>
      <w:r w:rsidRPr="00313A72">
        <w:rPr>
          <w:rStyle w:val="FootnoteReference"/>
        </w:rPr>
        <w:footnoteReference w:id="9"/>
      </w:r>
      <w:r w:rsidRPr="00313A72">
        <w:t>, XII/6,</w:t>
      </w:r>
      <w:r w:rsidRPr="00313A72">
        <w:rPr>
          <w:rStyle w:val="FootnoteReference"/>
        </w:rPr>
        <w:footnoteReference w:id="10"/>
      </w:r>
      <w:r w:rsidRPr="00313A72">
        <w:t xml:space="preserve"> IX/5</w:t>
      </w:r>
      <w:r w:rsidRPr="00313A72">
        <w:rPr>
          <w:rStyle w:val="FootnoteReference"/>
        </w:rPr>
        <w:footnoteReference w:id="11"/>
      </w:r>
      <w:r w:rsidRPr="00313A72">
        <w:t>, X/36</w:t>
      </w:r>
      <w:r w:rsidRPr="00313A72">
        <w:rPr>
          <w:rStyle w:val="FootnoteReference"/>
        </w:rPr>
        <w:footnoteReference w:id="12"/>
      </w:r>
      <w:r w:rsidRPr="00313A72">
        <w:t>, IX/16</w:t>
      </w:r>
      <w:r w:rsidRPr="00313A72">
        <w:rPr>
          <w:rStyle w:val="FootnoteReference"/>
        </w:rPr>
        <w:footnoteReference w:id="13"/>
      </w:r>
      <w:r w:rsidRPr="00313A72">
        <w:t xml:space="preserve"> and VIII/19</w:t>
      </w:r>
      <w:r w:rsidRPr="00313A72">
        <w:rPr>
          <w:rStyle w:val="FootnoteReference"/>
        </w:rPr>
        <w:footnoteReference w:id="14"/>
      </w:r>
      <w:r w:rsidRPr="00313A72">
        <w:t xml:space="preserve">, have continued to emphasize the </w:t>
      </w:r>
      <w:r w:rsidRPr="00313A72">
        <w:lastRenderedPageBreak/>
        <w:t xml:space="preserve">value of CPF support to Parties to achieve sustainable forest management and the conservation of biodiversity. </w:t>
      </w:r>
    </w:p>
    <w:p w14:paraId="797F69FB" w14:textId="63E12CF5" w:rsidR="00CD37BC" w:rsidRPr="00313A72" w:rsidRDefault="00A31A65" w:rsidP="00C61DE2">
      <w:pPr>
        <w:pStyle w:val="CBDNormalNumber"/>
      </w:pPr>
      <w:r w:rsidRPr="00313A72">
        <w:t>A</w:t>
      </w:r>
      <w:r w:rsidR="00E56EA7" w:rsidRPr="00313A72">
        <w:t>t</w:t>
      </w:r>
      <w:r w:rsidR="00CD37BC" w:rsidRPr="00313A72">
        <w:t xml:space="preserve"> the 16th Meeting of the Conference of the Parties (COP16) </w:t>
      </w:r>
      <w:r w:rsidR="00E56EA7" w:rsidRPr="00313A72">
        <w:t>to the CBD</w:t>
      </w:r>
      <w:r w:rsidR="00CD37BC" w:rsidRPr="00313A72">
        <w:t xml:space="preserve">, </w:t>
      </w:r>
      <w:r w:rsidR="000C2FFC" w:rsidRPr="00313A72">
        <w:t>Parties</w:t>
      </w:r>
      <w:r w:rsidR="00D652F7" w:rsidRPr="00313A72">
        <w:t xml:space="preserve"> </w:t>
      </w:r>
      <w:r w:rsidR="000C2FFC" w:rsidRPr="00313A72">
        <w:t>requested the CBD Executive Secretary</w:t>
      </w:r>
      <w:r w:rsidR="00821A45" w:rsidRPr="00313A72">
        <w:t xml:space="preserve"> in Decision 16/35</w:t>
      </w:r>
      <w:r w:rsidR="000C2FFC" w:rsidRPr="00313A72">
        <w:t xml:space="preserve"> </w:t>
      </w:r>
      <w:r w:rsidR="00CD37BC" w:rsidRPr="00313A72">
        <w:t>“</w:t>
      </w:r>
      <w:r w:rsidR="000E1116" w:rsidRPr="00313A72">
        <w:rPr>
          <w:i/>
          <w:iCs/>
        </w:rPr>
        <w:t>to strengthen collaboration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and the Framework</w:t>
      </w:r>
      <w:r w:rsidR="008F059A" w:rsidRPr="00313A72">
        <w:t>.”</w:t>
      </w:r>
      <w:r w:rsidR="008F059A" w:rsidRPr="00313A72">
        <w:rPr>
          <w:rStyle w:val="FootnoteReference"/>
        </w:rPr>
        <w:t xml:space="preserve"> </w:t>
      </w:r>
      <w:r w:rsidR="008F059A" w:rsidRPr="00313A72">
        <w:rPr>
          <w:rStyle w:val="FootnoteReference"/>
        </w:rPr>
        <w:footnoteReference w:id="15"/>
      </w:r>
      <w:r w:rsidR="008F059A" w:rsidRPr="00313A72">
        <w:t xml:space="preserve"> </w:t>
      </w:r>
    </w:p>
    <w:p w14:paraId="4E5583B9" w14:textId="4BF5BE0E" w:rsidR="00522EB5" w:rsidRPr="00313A72" w:rsidRDefault="00951A15" w:rsidP="00C61DE2">
      <w:pPr>
        <w:pStyle w:val="CBDNormalNumber"/>
      </w:pPr>
      <w:r w:rsidRPr="00313A72">
        <w:t>Th</w:t>
      </w:r>
      <w:r w:rsidR="006D4F09" w:rsidRPr="00313A72">
        <w:t>e present</w:t>
      </w:r>
      <w:r w:rsidRPr="00313A72">
        <w:t xml:space="preserve"> document has been prepared </w:t>
      </w:r>
      <w:r w:rsidR="001E0E64" w:rsidRPr="00313A72">
        <w:t xml:space="preserve">to inform Parties on the ongoing activities of the CPF in </w:t>
      </w:r>
      <w:r w:rsidR="00C57103" w:rsidRPr="00313A72">
        <w:t xml:space="preserve">relation to forest biodiversity and </w:t>
      </w:r>
      <w:r w:rsidRPr="00313A72">
        <w:t xml:space="preserve">to support Parties consideration of </w:t>
      </w:r>
      <w:r w:rsidR="003700D5" w:rsidRPr="00313A72">
        <w:t>the</w:t>
      </w:r>
      <w:r w:rsidR="00C85F24" w:rsidRPr="00313A72">
        <w:t xml:space="preserve"> “</w:t>
      </w:r>
      <w:r w:rsidR="00C85F24" w:rsidRPr="00313A72">
        <w:rPr>
          <w:i/>
          <w:iCs/>
        </w:rPr>
        <w:t>Strategic review</w:t>
      </w:r>
      <w:r w:rsidR="00F01222" w:rsidRPr="00313A72">
        <w:rPr>
          <w:i/>
          <w:iCs/>
        </w:rPr>
        <w:t xml:space="preserve"> of</w:t>
      </w:r>
      <w:r w:rsidR="00C85F24" w:rsidRPr="00313A72">
        <w:rPr>
          <w:i/>
          <w:iCs/>
        </w:rPr>
        <w:t xml:space="preserve"> and updates </w:t>
      </w:r>
      <w:r w:rsidR="00F01222" w:rsidRPr="00313A72">
        <w:rPr>
          <w:i/>
          <w:iCs/>
        </w:rPr>
        <w:t>to</w:t>
      </w:r>
      <w:r w:rsidR="00C85F24" w:rsidRPr="00313A72">
        <w:rPr>
          <w:i/>
          <w:iCs/>
        </w:rPr>
        <w:t xml:space="preserve"> the expanded programme of work on forest biodiversity in the context of the Kunming</w:t>
      </w:r>
      <w:r w:rsidR="00F01222" w:rsidRPr="00313A72">
        <w:rPr>
          <w:i/>
          <w:iCs/>
        </w:rPr>
        <w:t>-</w:t>
      </w:r>
      <w:r w:rsidR="00C85F24" w:rsidRPr="00313A72">
        <w:rPr>
          <w:i/>
          <w:iCs/>
        </w:rPr>
        <w:t>Montreal Global Biodiversity Framework</w:t>
      </w:r>
      <w:r w:rsidR="00C85F24" w:rsidRPr="00313A72">
        <w:t>”</w:t>
      </w:r>
      <w:r w:rsidR="00F9624F" w:rsidRPr="00313A72">
        <w:t xml:space="preserve"> (CBD</w:t>
      </w:r>
      <w:r w:rsidR="00BF56F1" w:rsidRPr="00313A72">
        <w:t>/SBSTTA/27/5/Add.2)</w:t>
      </w:r>
      <w:r w:rsidR="003979E5" w:rsidRPr="00313A72">
        <w:t xml:space="preserve">. </w:t>
      </w:r>
      <w:r w:rsidR="00BE2EEA" w:rsidRPr="00313A72">
        <w:t>It</w:t>
      </w:r>
      <w:r w:rsidR="00DF6D36" w:rsidRPr="00313A72">
        <w:t xml:space="preserve"> outlines </w:t>
      </w:r>
      <w:r w:rsidR="00167F6E" w:rsidRPr="00313A72">
        <w:t xml:space="preserve">how </w:t>
      </w:r>
      <w:r w:rsidR="00DF6D36" w:rsidRPr="00313A72">
        <w:t>CPF member</w:t>
      </w:r>
      <w:r w:rsidR="00BE2EEA" w:rsidRPr="00313A72">
        <w:t xml:space="preserve"> organizations</w:t>
      </w:r>
      <w:r w:rsidR="00DF6D36" w:rsidRPr="00313A72">
        <w:t xml:space="preserve"> are </w:t>
      </w:r>
      <w:r w:rsidR="00E56EA7" w:rsidRPr="00313A72">
        <w:t>working</w:t>
      </w:r>
      <w:r w:rsidR="00BD0B81" w:rsidRPr="00313A72">
        <w:t xml:space="preserve"> jointly</w:t>
      </w:r>
      <w:r w:rsidR="00E56EA7" w:rsidRPr="00313A72">
        <w:t xml:space="preserve"> to</w:t>
      </w:r>
      <w:r w:rsidR="00EB3AEA" w:rsidRPr="00313A72">
        <w:t xml:space="preserve"> </w:t>
      </w:r>
      <w:r w:rsidR="00DF6D36" w:rsidRPr="00313A72">
        <w:t xml:space="preserve">develop and implement </w:t>
      </w:r>
      <w:r w:rsidR="00BD0B81" w:rsidRPr="00313A72">
        <w:t xml:space="preserve">new </w:t>
      </w:r>
      <w:r w:rsidR="00DF6D36" w:rsidRPr="00313A72">
        <w:t>knowledge</w:t>
      </w:r>
      <w:r w:rsidR="00EB3AEA" w:rsidRPr="00313A72">
        <w:t xml:space="preserve"> and</w:t>
      </w:r>
      <w:r w:rsidR="00DF6D36" w:rsidRPr="00313A72">
        <w:t xml:space="preserve"> tool</w:t>
      </w:r>
      <w:r w:rsidR="00EB3AEA" w:rsidRPr="00313A72">
        <w:t xml:space="preserve">s to enhance policy and programme coherence and </w:t>
      </w:r>
      <w:r w:rsidR="00C57103" w:rsidRPr="00313A72">
        <w:t xml:space="preserve">coordination to </w:t>
      </w:r>
      <w:r w:rsidR="00DF6D36" w:rsidRPr="00313A72">
        <w:t xml:space="preserve">assist Parties to </w:t>
      </w:r>
      <w:r w:rsidR="00167F6E" w:rsidRPr="00313A72">
        <w:t>conserve biodiversity</w:t>
      </w:r>
      <w:r w:rsidR="00E56EA7" w:rsidRPr="00313A72">
        <w:t xml:space="preserve"> and promote sustainable forest management</w:t>
      </w:r>
      <w:r w:rsidR="007F10C0" w:rsidRPr="00313A72">
        <w:t xml:space="preserve">, </w:t>
      </w:r>
      <w:r w:rsidR="007B5C9B" w:rsidRPr="00313A72">
        <w:t>consistent</w:t>
      </w:r>
      <w:r w:rsidR="007F10C0" w:rsidRPr="00313A72">
        <w:t xml:space="preserve"> with the aims of goals and targets of the KMGBF</w:t>
      </w:r>
      <w:r w:rsidR="00E56EA7" w:rsidRPr="00313A72">
        <w:t xml:space="preserve"> and the UNSPF</w:t>
      </w:r>
      <w:r w:rsidR="00DF6D36" w:rsidRPr="00313A72">
        <w:t xml:space="preserve">. </w:t>
      </w:r>
    </w:p>
    <w:p w14:paraId="4C8AD097" w14:textId="77777777" w:rsidR="00C57103" w:rsidRPr="00313A72" w:rsidRDefault="00C57103" w:rsidP="00C57103">
      <w:pPr>
        <w:pStyle w:val="ListParagraph"/>
        <w:spacing w:after="120"/>
        <w:ind w:left="360"/>
        <w:contextualSpacing w:val="0"/>
      </w:pPr>
    </w:p>
    <w:p w14:paraId="1A10A5E2" w14:textId="3AC3DBD7" w:rsidR="00385872" w:rsidRPr="00313A72" w:rsidRDefault="001B08A7" w:rsidP="007F171C">
      <w:pPr>
        <w:pStyle w:val="ListParagraph"/>
        <w:numPr>
          <w:ilvl w:val="0"/>
          <w:numId w:val="3"/>
        </w:numPr>
        <w:contextualSpacing w:val="0"/>
        <w:jc w:val="center"/>
        <w:rPr>
          <w:b/>
          <w:bCs/>
        </w:rPr>
      </w:pPr>
      <w:r w:rsidRPr="00313A72">
        <w:rPr>
          <w:b/>
          <w:bCs/>
          <w:caps/>
        </w:rPr>
        <w:t xml:space="preserve">The role of </w:t>
      </w:r>
      <w:r w:rsidR="0009773F" w:rsidRPr="00313A72">
        <w:rPr>
          <w:b/>
          <w:bCs/>
          <w:caps/>
        </w:rPr>
        <w:t xml:space="preserve">FORESTS and </w:t>
      </w:r>
      <w:r w:rsidRPr="00313A72">
        <w:rPr>
          <w:b/>
          <w:bCs/>
          <w:caps/>
        </w:rPr>
        <w:t>sustainable</w:t>
      </w:r>
      <w:r w:rsidRPr="00313A72">
        <w:rPr>
          <w:b/>
          <w:bCs/>
        </w:rPr>
        <w:t xml:space="preserve"> </w:t>
      </w:r>
      <w:r w:rsidRPr="00313A72">
        <w:rPr>
          <w:b/>
          <w:bCs/>
          <w:caps/>
        </w:rPr>
        <w:t>forest</w:t>
      </w:r>
      <w:r w:rsidRPr="00313A72">
        <w:rPr>
          <w:b/>
          <w:bCs/>
        </w:rPr>
        <w:t xml:space="preserve"> </w:t>
      </w:r>
      <w:r w:rsidRPr="00313A72">
        <w:rPr>
          <w:b/>
          <w:bCs/>
          <w:caps/>
        </w:rPr>
        <w:t xml:space="preserve">management </w:t>
      </w:r>
      <w:r w:rsidR="007F171C" w:rsidRPr="00313A72">
        <w:rPr>
          <w:b/>
          <w:bCs/>
          <w:caps/>
        </w:rPr>
        <w:t>in</w:t>
      </w:r>
      <w:r w:rsidR="007966B1" w:rsidRPr="00313A72">
        <w:rPr>
          <w:b/>
          <w:bCs/>
          <w:caps/>
        </w:rPr>
        <w:t xml:space="preserve"> the</w:t>
      </w:r>
      <w:r w:rsidR="007966B1" w:rsidRPr="00313A72">
        <w:rPr>
          <w:b/>
          <w:bCs/>
        </w:rPr>
        <w:t xml:space="preserve"> </w:t>
      </w:r>
      <w:r w:rsidR="0009773F" w:rsidRPr="00313A72">
        <w:rPr>
          <w:rFonts w:ascii="Times New Roman Bold" w:hAnsi="Times New Roman Bold"/>
          <w:b/>
          <w:bCs/>
          <w:caps/>
        </w:rPr>
        <w:t>implementation of the</w:t>
      </w:r>
      <w:r w:rsidR="0009773F" w:rsidRPr="00313A72">
        <w:rPr>
          <w:b/>
          <w:bCs/>
        </w:rPr>
        <w:t xml:space="preserve"> </w:t>
      </w:r>
      <w:r w:rsidR="007966B1" w:rsidRPr="00313A72">
        <w:rPr>
          <w:b/>
          <w:bCs/>
        </w:rPr>
        <w:t>KMGBF</w:t>
      </w:r>
    </w:p>
    <w:p w14:paraId="6EC87610" w14:textId="37B2AA53" w:rsidR="005E3511" w:rsidRPr="00313A72" w:rsidRDefault="00D755EA" w:rsidP="00C61DE2">
      <w:pPr>
        <w:pStyle w:val="CBDNormalNumber"/>
      </w:pPr>
      <w:r w:rsidRPr="00313A72">
        <w:t xml:space="preserve">Forests are </w:t>
      </w:r>
      <w:r w:rsidR="00A90E3A" w:rsidRPr="00313A72">
        <w:t xml:space="preserve">vital ecosystems that are </w:t>
      </w:r>
      <w:r w:rsidRPr="00313A72">
        <w:t>home to the majority of terrestrial biodiversity,</w:t>
      </w:r>
      <w:r w:rsidR="00FB05C2" w:rsidRPr="00313A72">
        <w:rPr>
          <w:rStyle w:val="FootnoteReference"/>
        </w:rPr>
        <w:footnoteReference w:id="16"/>
      </w:r>
      <w:r w:rsidRPr="00313A72">
        <w:t xml:space="preserve"> providing habitats for around 80% of amphibians, 75% of birds, and 68% of mammals.</w:t>
      </w:r>
      <w:r w:rsidR="0063160F" w:rsidRPr="00313A72">
        <w:rPr>
          <w:rStyle w:val="FootnoteReference"/>
        </w:rPr>
        <w:footnoteReference w:id="17"/>
      </w:r>
      <w:r w:rsidR="0063160F" w:rsidRPr="00313A72">
        <w:t xml:space="preserve"> </w:t>
      </w:r>
      <w:r w:rsidR="007638EB" w:rsidRPr="00313A72">
        <w:t>Tropical forests alone are home to 60% of all vascular plants.</w:t>
      </w:r>
      <w:r w:rsidR="007638EB" w:rsidRPr="00313A72">
        <w:rPr>
          <w:rStyle w:val="FootnoteReference"/>
        </w:rPr>
        <w:footnoteReference w:id="18"/>
      </w:r>
      <w:r w:rsidR="007638EB" w:rsidRPr="00313A72">
        <w:t xml:space="preserve"> </w:t>
      </w:r>
      <w:r w:rsidR="002651C0" w:rsidRPr="00313A72">
        <w:t xml:space="preserve">Forest biodiversity </w:t>
      </w:r>
      <w:r w:rsidR="008F72CF" w:rsidRPr="00313A72">
        <w:t>underpins</w:t>
      </w:r>
      <w:r w:rsidR="000617DB" w:rsidRPr="00313A72">
        <w:t xml:space="preserve"> forest ecosystem services, productivity, resilience and adaptive capacity and is critical for the maintenance of ecological processes such as the carbon and water cycles</w:t>
      </w:r>
      <w:r w:rsidR="000617DB" w:rsidRPr="00313A72">
        <w:rPr>
          <w:rStyle w:val="FootnoteReference"/>
        </w:rPr>
        <w:footnoteReference w:id="19"/>
      </w:r>
      <w:r w:rsidR="000617DB" w:rsidRPr="00313A72">
        <w:t xml:space="preserve">. </w:t>
      </w:r>
      <w:r w:rsidR="00DE36C2" w:rsidRPr="00313A72">
        <w:t>This includes</w:t>
      </w:r>
      <w:r w:rsidR="008F72CF" w:rsidRPr="00313A72">
        <w:t xml:space="preserve"> cooling and rainfall generation benefits</w:t>
      </w:r>
      <w:r w:rsidR="00DE36C2" w:rsidRPr="00313A72">
        <w:t xml:space="preserve"> of forests</w:t>
      </w:r>
      <w:r w:rsidR="008F72CF" w:rsidRPr="00313A72">
        <w:t>, which help stabilize local and regional climate, protect human health, and contribute to agricultural productivity.</w:t>
      </w:r>
      <w:r w:rsidR="008F72CF" w:rsidRPr="00313A72">
        <w:rPr>
          <w:rStyle w:val="FootnoteReference"/>
        </w:rPr>
        <w:footnoteReference w:id="20"/>
      </w:r>
      <w:r w:rsidR="0073742C" w:rsidRPr="00313A72">
        <w:t xml:space="preserve"> </w:t>
      </w:r>
      <w:r w:rsidR="008F72CF" w:rsidRPr="00313A72">
        <w:rPr>
          <w:rStyle w:val="FootnoteReference"/>
        </w:rPr>
        <w:footnoteReference w:id="21"/>
      </w:r>
      <w:r w:rsidR="008F72CF" w:rsidRPr="00313A72">
        <w:t xml:space="preserve"> </w:t>
      </w:r>
      <w:r w:rsidR="008F72CF" w:rsidRPr="00313A72">
        <w:rPr>
          <w:rStyle w:val="FootnoteReference"/>
        </w:rPr>
        <w:footnoteReference w:id="22"/>
      </w:r>
      <w:r w:rsidR="008F72CF" w:rsidRPr="00313A72">
        <w:t xml:space="preserve"> </w:t>
      </w:r>
    </w:p>
    <w:p w14:paraId="42098739" w14:textId="0AC4CED9" w:rsidR="008F72CF" w:rsidRPr="00313A72" w:rsidRDefault="008F72CF" w:rsidP="00C61DE2">
      <w:pPr>
        <w:pStyle w:val="CBDNormalNumber"/>
      </w:pPr>
      <w:r w:rsidRPr="00313A72">
        <w:t>Forest biodiversity</w:t>
      </w:r>
      <w:r w:rsidR="000617DB" w:rsidRPr="00313A72">
        <w:t xml:space="preserve"> also </w:t>
      </w:r>
      <w:r w:rsidR="00DE36C2" w:rsidRPr="00313A72">
        <w:t>supports an estimated 3.5-5.76 billion forest-adjacent people that use</w:t>
      </w:r>
      <w:r w:rsidR="000617DB" w:rsidRPr="00313A72">
        <w:t xml:space="preserve"> </w:t>
      </w:r>
      <w:r w:rsidRPr="00313A72">
        <w:t>non-wood forest products</w:t>
      </w:r>
      <w:r w:rsidR="000617DB" w:rsidRPr="00313A72">
        <w:t xml:space="preserve"> </w:t>
      </w:r>
      <w:r w:rsidR="00DE36C2" w:rsidRPr="00313A72">
        <w:t>to</w:t>
      </w:r>
      <w:r w:rsidRPr="00313A72">
        <w:t xml:space="preserve"> support</w:t>
      </w:r>
      <w:r w:rsidR="000617DB" w:rsidRPr="00313A72">
        <w:t xml:space="preserve"> </w:t>
      </w:r>
      <w:r w:rsidR="00DE36C2" w:rsidRPr="00313A72">
        <w:t>food security and nutrition</w:t>
      </w:r>
      <w:r w:rsidR="00DE36C2" w:rsidRPr="00313A72">
        <w:rPr>
          <w:rStyle w:val="FootnoteReference"/>
        </w:rPr>
        <w:footnoteReference w:id="23"/>
      </w:r>
      <w:r w:rsidR="00DE36C2" w:rsidRPr="00313A72">
        <w:t xml:space="preserve"> </w:t>
      </w:r>
      <w:r w:rsidR="000617DB" w:rsidRPr="00313A72">
        <w:t xml:space="preserve">and </w:t>
      </w:r>
      <w:r w:rsidR="00DE36C2" w:rsidRPr="00313A72">
        <w:t xml:space="preserve">the provision of </w:t>
      </w:r>
      <w:r w:rsidR="000617DB" w:rsidRPr="00313A72">
        <w:t>medicinal plants</w:t>
      </w:r>
      <w:r w:rsidRPr="00313A72">
        <w:rPr>
          <w:rStyle w:val="FootnoteReference"/>
        </w:rPr>
        <w:footnoteReference w:id="24"/>
      </w:r>
      <w:r w:rsidR="00BD0B81" w:rsidRPr="00313A72">
        <w:t>.</w:t>
      </w:r>
      <w:r w:rsidR="00192D17" w:rsidRPr="00313A72">
        <w:t xml:space="preserve"> It is imperative to engage these forest dependent </w:t>
      </w:r>
      <w:r w:rsidR="00D27D56" w:rsidRPr="00313A72">
        <w:t>i</w:t>
      </w:r>
      <w:r w:rsidR="00192D17" w:rsidRPr="00313A72">
        <w:t xml:space="preserve">ndigenous </w:t>
      </w:r>
      <w:r w:rsidR="001C0E56" w:rsidRPr="00313A72">
        <w:rPr>
          <w:rFonts w:eastAsia="Yu Mincho"/>
          <w:lang w:eastAsia="ja-JP"/>
        </w:rPr>
        <w:t>p</w:t>
      </w:r>
      <w:r w:rsidR="00192D17" w:rsidRPr="00313A72">
        <w:rPr>
          <w:rFonts w:eastAsia="Yu Mincho" w:hint="eastAsia"/>
          <w:lang w:eastAsia="ja-JP"/>
        </w:rPr>
        <w:t>eoples</w:t>
      </w:r>
      <w:r w:rsidR="00192D17" w:rsidRPr="00313A72">
        <w:t xml:space="preserve"> and local communities in forest management decision</w:t>
      </w:r>
      <w:r w:rsidR="00204D91" w:rsidRPr="00313A72">
        <w:t>-making</w:t>
      </w:r>
      <w:r w:rsidR="00192D17" w:rsidRPr="00313A72">
        <w:t xml:space="preserve"> as they possess rich knowledge and deep understanding of the local forest ecosystems and biodiversity</w:t>
      </w:r>
      <w:r w:rsidR="00192D17" w:rsidRPr="00313A72">
        <w:rPr>
          <w:rStyle w:val="FootnoteReference"/>
        </w:rPr>
        <w:footnoteReference w:id="25"/>
      </w:r>
      <w:r w:rsidR="00192D17" w:rsidRPr="00313A72">
        <w:t>.</w:t>
      </w:r>
      <w:r w:rsidR="00BD0B81" w:rsidRPr="00313A72">
        <w:t xml:space="preserve"> </w:t>
      </w:r>
      <w:r w:rsidR="0025529B" w:rsidRPr="00313A72">
        <w:t xml:space="preserve">The forest sector also </w:t>
      </w:r>
      <w:r w:rsidR="00DE36C2" w:rsidRPr="00313A72">
        <w:t>accounted</w:t>
      </w:r>
      <w:r w:rsidR="0025529B" w:rsidRPr="00313A72">
        <w:t xml:space="preserve"> for approximately 1 </w:t>
      </w:r>
      <w:r w:rsidR="0025529B" w:rsidRPr="00313A72">
        <w:lastRenderedPageBreak/>
        <w:t>percent of global employment (33 million people)</w:t>
      </w:r>
      <w:r w:rsidRPr="00313A72">
        <w:t xml:space="preserve"> </w:t>
      </w:r>
      <w:r w:rsidR="00DE36C2" w:rsidRPr="00313A72">
        <w:t xml:space="preserve">and </w:t>
      </w:r>
      <w:r w:rsidRPr="00313A72">
        <w:t>contributed (directly, indirectly and induced) more than US$ 1.52 trillion to world gross domestic product in 2015</w:t>
      </w:r>
      <w:r w:rsidR="00DE36C2" w:rsidRPr="00313A72">
        <w:rPr>
          <w:rStyle w:val="FootnoteReference"/>
        </w:rPr>
        <w:footnoteReference w:id="26"/>
      </w:r>
      <w:r w:rsidR="005E3511" w:rsidRPr="00313A72">
        <w:t>.</w:t>
      </w:r>
      <w:r w:rsidR="00D60464" w:rsidRPr="00313A72">
        <w:t xml:space="preserve"> </w:t>
      </w:r>
    </w:p>
    <w:p w14:paraId="42F1FD76" w14:textId="4B8837CC" w:rsidR="00BD0B81" w:rsidRPr="00313A72" w:rsidRDefault="00EB2BC8" w:rsidP="00C61DE2">
      <w:pPr>
        <w:pStyle w:val="CBDNormalNumber"/>
      </w:pPr>
      <w:r w:rsidRPr="00313A72">
        <w:t>As outlined in FAO’s Global Forest Resource Assessment (FRA), t</w:t>
      </w:r>
      <w:r w:rsidR="00584650" w:rsidRPr="00313A72">
        <w:t>he world has a total forest area of 4.06 billion hectares (ha), which is 31 percent of the total land area.</w:t>
      </w:r>
      <w:r w:rsidR="00DE1768" w:rsidRPr="00313A72">
        <w:rPr>
          <w:rStyle w:val="FootnoteReference"/>
        </w:rPr>
        <w:footnoteReference w:id="27"/>
      </w:r>
      <w:r w:rsidR="00584650" w:rsidRPr="00313A72">
        <w:t xml:space="preserve"> </w:t>
      </w:r>
      <w:r w:rsidR="00CE2902" w:rsidRPr="00313A72">
        <w:t xml:space="preserve">Despite </w:t>
      </w:r>
      <w:r w:rsidR="00DF72F6" w:rsidRPr="00313A72">
        <w:t>a decrease in the rate of deforestation from 15.8 million ha per year in 1990–2000 to 10.2 million ha per year in 2015–2020</w:t>
      </w:r>
      <w:r w:rsidR="00DF72F6" w:rsidRPr="00313A72">
        <w:rPr>
          <w:rStyle w:val="FootnoteReference"/>
        </w:rPr>
        <w:footnoteReference w:id="28"/>
      </w:r>
      <w:r w:rsidR="00CE2902" w:rsidRPr="00313A72">
        <w:t>, forests continue to be degraded and lost at an alarming rate. An estimated 420 million ha of forest has been lost worldwide through deforestation since 1990.</w:t>
      </w:r>
      <w:r w:rsidR="00DE1768" w:rsidRPr="00313A72">
        <w:rPr>
          <w:rStyle w:val="FootnoteReference"/>
        </w:rPr>
        <w:footnoteReference w:id="29"/>
      </w:r>
      <w:r w:rsidR="00CE2902" w:rsidRPr="00313A72">
        <w:t xml:space="preserve"> </w:t>
      </w:r>
      <w:r w:rsidR="00DF72F6" w:rsidRPr="00313A72">
        <w:t>In the context of climate change, f</w:t>
      </w:r>
      <w:r w:rsidR="00DE1768" w:rsidRPr="00313A72">
        <w:t xml:space="preserve">orests are </w:t>
      </w:r>
      <w:r w:rsidR="00E72317" w:rsidRPr="00313A72">
        <w:t>also</w:t>
      </w:r>
      <w:r w:rsidR="00DF72F6" w:rsidRPr="00313A72">
        <w:t xml:space="preserve"> increasingly</w:t>
      </w:r>
      <w:r w:rsidR="00E72317" w:rsidRPr="00313A72">
        <w:t xml:space="preserve"> subject to abiotic and biotic stressors such as wildfire and </w:t>
      </w:r>
      <w:r w:rsidR="00DB2C65" w:rsidRPr="00313A72">
        <w:t xml:space="preserve">insect </w:t>
      </w:r>
      <w:r w:rsidR="00E72317" w:rsidRPr="00313A72">
        <w:t xml:space="preserve">pests, which is </w:t>
      </w:r>
      <w:r w:rsidR="007B5C9B" w:rsidRPr="00313A72">
        <w:t>leading to forest degradation of 70 million ha</w:t>
      </w:r>
      <w:r w:rsidR="007B5C9B" w:rsidRPr="00313A72">
        <w:rPr>
          <w:rStyle w:val="FootnoteReference"/>
        </w:rPr>
        <w:footnoteReference w:id="30"/>
      </w:r>
      <w:r w:rsidR="007B5C9B" w:rsidRPr="00313A72">
        <w:t xml:space="preserve"> and 35 million ha</w:t>
      </w:r>
      <w:r w:rsidR="007B5C9B" w:rsidRPr="00313A72">
        <w:rPr>
          <w:rStyle w:val="FootnoteReference"/>
        </w:rPr>
        <w:footnoteReference w:id="31"/>
      </w:r>
      <w:r w:rsidR="007B5C9B" w:rsidRPr="00313A72">
        <w:t xml:space="preserve"> respectively per year</w:t>
      </w:r>
      <w:r w:rsidR="00BD0B81" w:rsidRPr="00313A72">
        <w:t xml:space="preserve">. </w:t>
      </w:r>
      <w:r w:rsidRPr="00313A72">
        <w:t xml:space="preserve">The next edition of the FRA will be released in October 2025. </w:t>
      </w:r>
    </w:p>
    <w:p w14:paraId="0E875112" w14:textId="0246EF0D" w:rsidR="004F78E1" w:rsidRPr="00313A72" w:rsidRDefault="00527474" w:rsidP="00C61DE2">
      <w:pPr>
        <w:pStyle w:val="CBDNormalNumber"/>
      </w:pPr>
      <w:r w:rsidRPr="00313A72">
        <w:t>Reducing and ultimately halting deforestation</w:t>
      </w:r>
      <w:r w:rsidR="0059234F" w:rsidRPr="00313A72">
        <w:t xml:space="preserve"> </w:t>
      </w:r>
      <w:r w:rsidR="009D4AA1" w:rsidRPr="00313A72">
        <w:t>– especially in high ecological integrity natural and/or primary forests – is the most important priority for conserving global biodiversity</w:t>
      </w:r>
      <w:r w:rsidR="009D4AA1" w:rsidRPr="00313A72">
        <w:rPr>
          <w:rStyle w:val="FootnoteReference"/>
        </w:rPr>
        <w:footnoteReference w:id="32"/>
      </w:r>
      <w:r w:rsidR="009D4AA1" w:rsidRPr="00313A72">
        <w:t xml:space="preserve"> </w:t>
      </w:r>
      <w:r w:rsidR="006C6BF8" w:rsidRPr="00313A72">
        <w:t xml:space="preserve">and protected areas have been a key strategy and foundational element of biodiversity conservation. </w:t>
      </w:r>
      <w:r w:rsidR="00BE2EEA" w:rsidRPr="00313A72">
        <w:t>Currently, 18 percent (726 million ha) of the world’s forest area is managed specifically for conservation</w:t>
      </w:r>
      <w:r w:rsidR="003B121B" w:rsidRPr="00313A72">
        <w:t xml:space="preserve"> in legally established protected areas</w:t>
      </w:r>
      <w:r w:rsidR="00BD0B81" w:rsidRPr="00313A72">
        <w:t>.</w:t>
      </w:r>
      <w:r w:rsidR="00BD0B81" w:rsidRPr="00313A72">
        <w:rPr>
          <w:rStyle w:val="FootnoteReference"/>
        </w:rPr>
        <w:footnoteReference w:id="33"/>
      </w:r>
      <w:r w:rsidR="00BD0B81" w:rsidRPr="00313A72">
        <w:t xml:space="preserve"> Yet protected areas alone cannot maintain biodiversity</w:t>
      </w:r>
      <w:r w:rsidR="00204771" w:rsidRPr="00313A72">
        <w:rPr>
          <w:rStyle w:val="FootnoteReference"/>
        </w:rPr>
        <w:footnoteReference w:id="34"/>
      </w:r>
      <w:r w:rsidR="00BD0B81" w:rsidRPr="00313A72">
        <w:t xml:space="preserve"> because most biodiversity resides in non-protected areas.</w:t>
      </w:r>
      <w:r w:rsidR="00BD0B81" w:rsidRPr="00313A72">
        <w:rPr>
          <w:rStyle w:val="FootnoteReference"/>
        </w:rPr>
        <w:footnoteReference w:id="35"/>
      </w:r>
      <w:r w:rsidR="006C6BF8" w:rsidRPr="00313A72">
        <w:t xml:space="preserve"> A</w:t>
      </w:r>
      <w:r w:rsidR="00BE2EEA" w:rsidRPr="00313A72">
        <w:t>pproximately 30 percent (</w:t>
      </w:r>
      <w:r w:rsidR="00F7525D" w:rsidRPr="00313A72">
        <w:t xml:space="preserve">or </w:t>
      </w:r>
      <w:r w:rsidR="00BE2EEA" w:rsidRPr="00313A72">
        <w:t>1.15 billion ha) is officially designated for production of timber and non-wood forest products (NWFPs)</w:t>
      </w:r>
      <w:r w:rsidR="00204771" w:rsidRPr="00313A72">
        <w:t xml:space="preserve"> and 749 million ha is designated for multiple use, which often includes production purposes</w:t>
      </w:r>
      <w:r w:rsidR="00BD0B81" w:rsidRPr="00313A72">
        <w:rPr>
          <w:rStyle w:val="FootnoteReference"/>
        </w:rPr>
        <w:footnoteReference w:id="36"/>
      </w:r>
      <w:r w:rsidR="00BE2EEA" w:rsidRPr="00313A72">
        <w:t xml:space="preserve">. </w:t>
      </w:r>
      <w:r w:rsidR="00525007" w:rsidRPr="00313A72">
        <w:t>Well-managed forests are not only able to support significant biodiversity and deliver critical ecosystem services</w:t>
      </w:r>
      <w:r w:rsidR="00525007" w:rsidRPr="00313A72">
        <w:rPr>
          <w:rStyle w:val="FootnoteReference"/>
        </w:rPr>
        <w:footnoteReference w:id="37"/>
      </w:r>
      <w:r w:rsidR="00525007" w:rsidRPr="00313A72">
        <w:t>, but they are also essential components of landscapes in which protected areas are embedded, providing corridors and enhancing connectivity among reserves.</w:t>
      </w:r>
      <w:r w:rsidR="00525007" w:rsidRPr="00313A72">
        <w:rPr>
          <w:rStyle w:val="FootnoteReference"/>
        </w:rPr>
        <w:footnoteReference w:id="38"/>
      </w:r>
      <w:r w:rsidR="00525007" w:rsidRPr="00313A72">
        <w:rPr>
          <w:vertAlign w:val="superscript"/>
        </w:rPr>
        <w:t xml:space="preserve">, </w:t>
      </w:r>
      <w:r w:rsidR="00525007" w:rsidRPr="00313A72">
        <w:rPr>
          <w:rStyle w:val="FootnoteReference"/>
        </w:rPr>
        <w:footnoteReference w:id="39"/>
      </w:r>
    </w:p>
    <w:p w14:paraId="16A895DC" w14:textId="5BD89818" w:rsidR="009D4AA1" w:rsidRPr="00313A72" w:rsidRDefault="004F78E1" w:rsidP="00C61DE2">
      <w:pPr>
        <w:pStyle w:val="CBDNormalNumber"/>
        <w:rPr>
          <w:rFonts w:asciiTheme="majorBidi" w:hAnsiTheme="majorBidi" w:cstheme="majorBidi"/>
        </w:rPr>
      </w:pPr>
      <w:r w:rsidRPr="00313A72">
        <w:t>The implementation of s</w:t>
      </w:r>
      <w:r w:rsidR="00BD0B81" w:rsidRPr="00313A72">
        <w:t>ustainable forest management (SFM)</w:t>
      </w:r>
      <w:r w:rsidR="00BD0B81" w:rsidRPr="00313A72">
        <w:rPr>
          <w:rStyle w:val="FootnoteReference"/>
        </w:rPr>
        <w:footnoteReference w:id="40"/>
      </w:r>
      <w:r w:rsidR="009D4AA1" w:rsidRPr="00313A72">
        <w:t xml:space="preserve"> </w:t>
      </w:r>
      <w:r w:rsidR="00BD0B81" w:rsidRPr="00313A72">
        <w:t>is</w:t>
      </w:r>
      <w:r w:rsidRPr="00313A72">
        <w:t xml:space="preserve"> </w:t>
      </w:r>
      <w:r w:rsidR="00BD0B81" w:rsidRPr="00313A72">
        <w:t>a</w:t>
      </w:r>
      <w:r w:rsidR="005C0E72" w:rsidRPr="00313A72">
        <w:t xml:space="preserve"> key </w:t>
      </w:r>
      <w:r w:rsidR="00BD0B81" w:rsidRPr="00313A72">
        <w:t xml:space="preserve">lever for </w:t>
      </w:r>
      <w:r w:rsidR="009D4AA1" w:rsidRPr="00313A72">
        <w:t xml:space="preserve">achieving </w:t>
      </w:r>
      <w:r w:rsidR="00BD0B81" w:rsidRPr="00313A72">
        <w:t xml:space="preserve">global biodiversity </w:t>
      </w:r>
      <w:r w:rsidR="009D4AA1" w:rsidRPr="00313A72">
        <w:t>conservation goals</w:t>
      </w:r>
      <w:r w:rsidR="00BD0B81" w:rsidRPr="00313A72">
        <w:t xml:space="preserve">, while also enhancing </w:t>
      </w:r>
      <w:r w:rsidR="000617DB" w:rsidRPr="00313A72">
        <w:t>the</w:t>
      </w:r>
      <w:r w:rsidR="00BD0B81" w:rsidRPr="00313A72">
        <w:t xml:space="preserve"> social, economic and environmental values of forests, such as climate adaptation and mitigation, </w:t>
      </w:r>
      <w:r w:rsidR="000617DB" w:rsidRPr="00313A72">
        <w:t xml:space="preserve">addressing </w:t>
      </w:r>
      <w:r w:rsidR="00BD0B81" w:rsidRPr="00313A72">
        <w:t>land degradation and desertification; livelihoods</w:t>
      </w:r>
      <w:r w:rsidR="000617DB" w:rsidRPr="00313A72">
        <w:t xml:space="preserve"> and economic development</w:t>
      </w:r>
      <w:r w:rsidR="00BD0B81" w:rsidRPr="00313A72">
        <w:t>, food security and nutrition, cultural values and human health.</w:t>
      </w:r>
      <w:r w:rsidR="003B121B" w:rsidRPr="00313A72">
        <w:t xml:space="preserve"> Approximately 2.05 billion ha of forest </w:t>
      </w:r>
      <w:r w:rsidR="00894516" w:rsidRPr="00313A72">
        <w:t>are</w:t>
      </w:r>
      <w:r w:rsidR="003B121B" w:rsidRPr="00313A72">
        <w:t xml:space="preserve"> under management plans</w:t>
      </w:r>
      <w:r w:rsidRPr="00313A72">
        <w:t xml:space="preserve"> in 2020</w:t>
      </w:r>
      <w:r w:rsidR="003B121B" w:rsidRPr="00313A72">
        <w:t xml:space="preserve">, a </w:t>
      </w:r>
      <w:r w:rsidR="003B121B" w:rsidRPr="00313A72">
        <w:lastRenderedPageBreak/>
        <w:t>figure which is increasing in all regions and has increased by 233 million ha since 2000.</w:t>
      </w:r>
      <w:r w:rsidR="003B121B" w:rsidRPr="00313A72">
        <w:rPr>
          <w:rStyle w:val="FootnoteReference"/>
        </w:rPr>
        <w:footnoteReference w:id="41"/>
      </w:r>
      <w:r w:rsidRPr="00313A72">
        <w:t xml:space="preserve"> The area of certified forest also reached 435 million ha in 2020 although this is mostly in boreal and temperate forests rather than in low-income tropical countries</w:t>
      </w:r>
      <w:r w:rsidRPr="00313A72">
        <w:rPr>
          <w:rStyle w:val="FootnoteReference"/>
        </w:rPr>
        <w:footnoteReference w:id="42"/>
      </w:r>
      <w:r w:rsidR="00A9261C" w:rsidRPr="00313A72">
        <w:t>.</w:t>
      </w:r>
      <w:r w:rsidR="001C106C" w:rsidRPr="00313A72">
        <w:t xml:space="preserve"> </w:t>
      </w:r>
    </w:p>
    <w:p w14:paraId="341CCD5B" w14:textId="05D934D6" w:rsidR="00B357E0" w:rsidRPr="00313A72" w:rsidRDefault="00E9743E" w:rsidP="00DE4F03">
      <w:pPr>
        <w:pStyle w:val="CBDNormalNumber"/>
        <w:rPr>
          <w:rFonts w:asciiTheme="majorBidi" w:hAnsiTheme="majorBidi" w:cstheme="majorBidi"/>
        </w:rPr>
      </w:pPr>
      <w:r w:rsidRPr="00313A72">
        <w:t>The</w:t>
      </w:r>
      <w:r w:rsidR="003700D5" w:rsidRPr="00313A72" w:rsidDel="007E1496">
        <w:t xml:space="preserve"> 23 targets </w:t>
      </w:r>
      <w:r w:rsidR="00A4425C" w:rsidRPr="00313A72">
        <w:t xml:space="preserve">of the </w:t>
      </w:r>
      <w:r w:rsidR="00A4425C" w:rsidRPr="00313A72" w:rsidDel="007E1496">
        <w:t xml:space="preserve">KMGBF </w:t>
      </w:r>
      <w:r w:rsidR="00F7525D" w:rsidRPr="00313A72" w:rsidDel="007E1496">
        <w:t>provide a strong basis</w:t>
      </w:r>
      <w:r w:rsidR="003700D5" w:rsidRPr="00313A72" w:rsidDel="007E1496">
        <w:t xml:space="preserve"> for Parties to </w:t>
      </w:r>
      <w:r w:rsidR="00F7525D" w:rsidRPr="00313A72" w:rsidDel="007E1496">
        <w:t>implement</w:t>
      </w:r>
      <w:r w:rsidR="003700D5" w:rsidRPr="00313A72" w:rsidDel="007E1496">
        <w:t xml:space="preserve"> </w:t>
      </w:r>
      <w:r w:rsidR="007D7615" w:rsidRPr="00313A72" w:rsidDel="007E1496">
        <w:t xml:space="preserve">actions </w:t>
      </w:r>
      <w:r w:rsidR="00E048E1" w:rsidRPr="00313A72" w:rsidDel="007E1496">
        <w:t xml:space="preserve">on forest biodiversity. </w:t>
      </w:r>
      <w:r w:rsidR="00E048E1" w:rsidRPr="00313A72" w:rsidDel="007E1496">
        <w:rPr>
          <w:rFonts w:asciiTheme="majorBidi" w:hAnsiTheme="majorBidi" w:cstheme="majorBidi"/>
        </w:rPr>
        <w:t xml:space="preserve">The majority – 75 percent – of proposed activities, measures, tools, policies and strategies to protect and enhance forest biodiversity in the </w:t>
      </w:r>
      <w:r w:rsidR="001B4E2D" w:rsidRPr="00313A72" w:rsidDel="007E1496">
        <w:rPr>
          <w:rFonts w:asciiTheme="majorBidi" w:hAnsiTheme="majorBidi" w:cstheme="majorBidi"/>
        </w:rPr>
        <w:t xml:space="preserve">submitted </w:t>
      </w:r>
      <w:r w:rsidR="00CE6EFB" w:rsidRPr="00313A72">
        <w:t>National Biodiversity Strategies and Action Plans (NBSAPs)</w:t>
      </w:r>
      <w:r w:rsidR="00CE6EFB" w:rsidRPr="00313A72" w:rsidDel="00CE6EFB">
        <w:rPr>
          <w:rFonts w:asciiTheme="majorBidi" w:hAnsiTheme="majorBidi" w:cstheme="majorBidi"/>
        </w:rPr>
        <w:t xml:space="preserve"> </w:t>
      </w:r>
      <w:r w:rsidR="001B4E2D" w:rsidRPr="00313A72" w:rsidDel="007E1496">
        <w:rPr>
          <w:rFonts w:asciiTheme="majorBidi" w:hAnsiTheme="majorBidi" w:cstheme="majorBidi"/>
        </w:rPr>
        <w:t xml:space="preserve">(status as of June 2025), </w:t>
      </w:r>
      <w:r w:rsidR="00E048E1" w:rsidRPr="00313A72" w:rsidDel="007E1496">
        <w:rPr>
          <w:rFonts w:asciiTheme="majorBidi" w:hAnsiTheme="majorBidi" w:cstheme="majorBidi"/>
        </w:rPr>
        <w:t>relate</w:t>
      </w:r>
      <w:r w:rsidR="001B4E2D" w:rsidRPr="00313A72" w:rsidDel="007E1496">
        <w:rPr>
          <w:rFonts w:asciiTheme="majorBidi" w:hAnsiTheme="majorBidi" w:cstheme="majorBidi"/>
        </w:rPr>
        <w:t xml:space="preserve"> to the implementation and/or</w:t>
      </w:r>
      <w:r w:rsidR="00E048E1" w:rsidRPr="00313A72" w:rsidDel="007E1496">
        <w:rPr>
          <w:rFonts w:asciiTheme="majorBidi" w:hAnsiTheme="majorBidi" w:cstheme="majorBidi"/>
        </w:rPr>
        <w:t xml:space="preserve"> the improvement of </w:t>
      </w:r>
      <w:r w:rsidR="001B4E2D" w:rsidRPr="00313A72" w:rsidDel="007E1496">
        <w:rPr>
          <w:rFonts w:asciiTheme="majorBidi" w:hAnsiTheme="majorBidi" w:cstheme="majorBidi"/>
        </w:rPr>
        <w:t>SFM</w:t>
      </w:r>
      <w:r w:rsidR="001B4E2D" w:rsidRPr="00313A72" w:rsidDel="007E1496">
        <w:rPr>
          <w:rStyle w:val="FootnoteReference"/>
          <w:rFonts w:asciiTheme="majorBidi" w:hAnsiTheme="majorBidi" w:cstheme="majorBidi"/>
        </w:rPr>
        <w:footnoteReference w:id="43"/>
      </w:r>
      <w:r w:rsidR="001B4E2D" w:rsidRPr="00313A72" w:rsidDel="007E1496">
        <w:rPr>
          <w:rFonts w:asciiTheme="majorBidi" w:hAnsiTheme="majorBidi" w:cstheme="majorBidi"/>
        </w:rPr>
        <w:t>. Hence, the</w:t>
      </w:r>
      <w:r w:rsidR="004901FA" w:rsidRPr="00313A72" w:rsidDel="007E1496">
        <w:rPr>
          <w:rFonts w:asciiTheme="majorBidi" w:hAnsiTheme="majorBidi" w:cstheme="majorBidi"/>
        </w:rPr>
        <w:t xml:space="preserve"> strengthening of the</w:t>
      </w:r>
      <w:r w:rsidR="001B4E2D" w:rsidRPr="00313A72" w:rsidDel="007E1496">
        <w:rPr>
          <w:rFonts w:asciiTheme="majorBidi" w:hAnsiTheme="majorBidi" w:cstheme="majorBidi"/>
        </w:rPr>
        <w:t xml:space="preserve"> </w:t>
      </w:r>
      <w:r w:rsidR="004901FA" w:rsidRPr="00313A72" w:rsidDel="007E1496">
        <w:rPr>
          <w:rFonts w:asciiTheme="majorBidi" w:hAnsiTheme="majorBidi" w:cstheme="majorBidi"/>
        </w:rPr>
        <w:t xml:space="preserve">implementation of SFM will support </w:t>
      </w:r>
      <w:r w:rsidR="00320D65" w:rsidRPr="00313A72" w:rsidDel="007E1496">
        <w:rPr>
          <w:rFonts w:asciiTheme="majorBidi" w:hAnsiTheme="majorBidi" w:cstheme="majorBidi"/>
        </w:rPr>
        <w:t>both</w:t>
      </w:r>
      <w:r w:rsidR="004772F9" w:rsidRPr="00313A72" w:rsidDel="007E1496">
        <w:rPr>
          <w:rFonts w:asciiTheme="majorBidi" w:hAnsiTheme="majorBidi" w:cstheme="majorBidi"/>
        </w:rPr>
        <w:t>,</w:t>
      </w:r>
      <w:r w:rsidR="00B357E0" w:rsidRPr="00313A72" w:rsidDel="007E1496">
        <w:t xml:space="preserve"> the KMGBF and its goals and targets </w:t>
      </w:r>
      <w:r w:rsidR="00320D65" w:rsidRPr="00313A72" w:rsidDel="007E1496">
        <w:t>as well as</w:t>
      </w:r>
      <w:r w:rsidR="00B357E0" w:rsidRPr="00313A72" w:rsidDel="007E1496">
        <w:t xml:space="preserve"> the UNSPF and its Global Forest Goals.</w:t>
      </w:r>
      <w:r w:rsidR="00B357E0" w:rsidRPr="00313A72" w:rsidDel="007E1496">
        <w:rPr>
          <w:rStyle w:val="FootnoteReference"/>
        </w:rPr>
        <w:footnoteReference w:id="44"/>
      </w:r>
      <w:r w:rsidR="00B357E0" w:rsidRPr="00313A72" w:rsidDel="007E1496">
        <w:t xml:space="preserve"> </w:t>
      </w:r>
      <w:r w:rsidR="001A22DF" w:rsidRPr="00313A72" w:rsidDel="007E1496">
        <w:t>Mainstreaming biodiversity in forestry is therefore a</w:t>
      </w:r>
      <w:r w:rsidR="00C54230" w:rsidRPr="00313A72" w:rsidDel="007E1496">
        <w:t>n important action to ensure</w:t>
      </w:r>
      <w:r w:rsidR="00DA75AB" w:rsidRPr="00313A72" w:rsidDel="007E1496">
        <w:t xml:space="preserve"> biodiversity consideration in forest management.</w:t>
      </w:r>
    </w:p>
    <w:p w14:paraId="0C2EF51A" w14:textId="4A2BAF19" w:rsidR="00527474" w:rsidRPr="00313A72" w:rsidRDefault="00527474" w:rsidP="00527474">
      <w:pPr>
        <w:pStyle w:val="CBDNormalNumber"/>
      </w:pPr>
      <w:bookmarkStart w:id="1" w:name="_Hlk210814472"/>
      <w:r w:rsidRPr="00313A72">
        <w:rPr>
          <w:rFonts w:asciiTheme="majorBidi" w:hAnsiTheme="majorBidi" w:cstheme="majorBidi"/>
        </w:rPr>
        <w:t>The CPF publication “</w:t>
      </w:r>
      <w:r w:rsidRPr="00313A72">
        <w:rPr>
          <w:rFonts w:asciiTheme="majorBidi" w:hAnsiTheme="majorBidi" w:cstheme="majorBidi"/>
          <w:i/>
          <w:iCs/>
        </w:rPr>
        <w:t>The Forest Factor: The role of protection, restoration and sustainable management of forests for the implementation of the Kunming-Montreal Global</w:t>
      </w:r>
      <w:r w:rsidRPr="00313A72">
        <w:rPr>
          <w:i/>
          <w:iCs/>
        </w:rPr>
        <w:t xml:space="preserve"> Biodiversity Framework</w:t>
      </w:r>
      <w:r w:rsidRPr="00313A72">
        <w:t>”</w:t>
      </w:r>
      <w:r w:rsidRPr="00313A72">
        <w:rPr>
          <w:rStyle w:val="FootnoteReference"/>
        </w:rPr>
        <w:footnoteReference w:id="45"/>
      </w:r>
      <w:r w:rsidRPr="00313A72">
        <w:t xml:space="preserve"> launched at the 16</w:t>
      </w:r>
      <w:r w:rsidRPr="00313A72">
        <w:rPr>
          <w:vertAlign w:val="superscript"/>
        </w:rPr>
        <w:t>th</w:t>
      </w:r>
      <w:r w:rsidRPr="00313A72">
        <w:t xml:space="preserve"> Conference of the Parties (COP16) to the CBD in 2024, outlines the role of SFM in achieving the goals and targets of the Kunming-Montreal Global Biodiversity Framework (KMGBF). The report i) discusses the threats to forest biodiversity relative to recent global and regional trends and data on the conservation, restoration and sustainable management of forests and ii) identifies pathways (policies and recommended actions) to improve the implementation of the KMGBF in forests. It summarizes key analytical information and data and suggests recommendations for various stakeholders to: (i) assist governments to mainstream or update forest-related policies and commitments as planned in their NBSAPs, (ii) assist organizations and businesses to align their policies and practices with the KMGBF to reduce impacts on biodiversity, and (iii) provides increased understanding of the relationship between sustaining biodiversity and the associated goods and services from forests.</w:t>
      </w:r>
    </w:p>
    <w:bookmarkEnd w:id="1"/>
    <w:p w14:paraId="2A151FC4" w14:textId="77777777" w:rsidR="00527474" w:rsidRPr="00313A72" w:rsidRDefault="00527474" w:rsidP="003C0735">
      <w:pPr>
        <w:pStyle w:val="CBDNormalNumber"/>
        <w:numPr>
          <w:ilvl w:val="0"/>
          <w:numId w:val="0"/>
        </w:numPr>
        <w:ind w:left="720"/>
        <w:rPr>
          <w:rFonts w:asciiTheme="majorBidi" w:hAnsiTheme="majorBidi" w:cstheme="majorBidi"/>
        </w:rPr>
      </w:pPr>
    </w:p>
    <w:p w14:paraId="111EBA13" w14:textId="5664ABE3" w:rsidR="007966B1" w:rsidRPr="00313A72" w:rsidRDefault="007966B1" w:rsidP="00D75578">
      <w:pPr>
        <w:pStyle w:val="ListParagraph"/>
        <w:numPr>
          <w:ilvl w:val="0"/>
          <w:numId w:val="3"/>
        </w:numPr>
        <w:contextualSpacing w:val="0"/>
        <w:jc w:val="center"/>
        <w:rPr>
          <w:b/>
          <w:bCs/>
          <w:caps/>
        </w:rPr>
      </w:pPr>
      <w:r w:rsidRPr="00313A72">
        <w:rPr>
          <w:b/>
          <w:bCs/>
          <w:caps/>
        </w:rPr>
        <w:t>Contributions of the CPF</w:t>
      </w:r>
      <w:r w:rsidR="003A2842" w:rsidRPr="00313A72">
        <w:rPr>
          <w:b/>
          <w:bCs/>
          <w:caps/>
        </w:rPr>
        <w:t xml:space="preserve"> to the united nations strategic plan for forests </w:t>
      </w:r>
      <w:r w:rsidR="009F71E1" w:rsidRPr="00313A72">
        <w:rPr>
          <w:b/>
          <w:bCs/>
          <w:caps/>
        </w:rPr>
        <w:t xml:space="preserve">2017-2030 </w:t>
      </w:r>
      <w:r w:rsidR="003A2842" w:rsidRPr="00313A72">
        <w:rPr>
          <w:b/>
          <w:bCs/>
          <w:caps/>
        </w:rPr>
        <w:t>and the kunming-montreal global biodiversity framework</w:t>
      </w:r>
    </w:p>
    <w:p w14:paraId="064F42E4" w14:textId="77AB2442" w:rsidR="00BE61B1" w:rsidRPr="00313A72" w:rsidRDefault="00BE61B1" w:rsidP="00C61DE2">
      <w:pPr>
        <w:pStyle w:val="CBDNormalNumber"/>
      </w:pPr>
      <w:r w:rsidRPr="00313A72">
        <w:t xml:space="preserve">As a central component of the IAF, the CPF has made substantial contributions to support </w:t>
      </w:r>
      <w:r w:rsidR="00EE288A" w:rsidRPr="00313A72">
        <w:t xml:space="preserve">the implementation of the UNSPF and other international forest related goals, including those of the </w:t>
      </w:r>
      <w:r w:rsidR="00F432A7" w:rsidRPr="00313A72">
        <w:t xml:space="preserve">KMGBF and other </w:t>
      </w:r>
      <w:r w:rsidR="00EE288A" w:rsidRPr="00313A72">
        <w:t xml:space="preserve">Rio Conventions. </w:t>
      </w:r>
      <w:r w:rsidRPr="00313A72">
        <w:t>The CPF has actively promoted the implementation of SFM, provided scientific and technical advice and fostered international and cross-sectoral collaboration. Moreover, the CPF has played a key role in enhancing coherence, coordination and synergies on forest-related issues, thereby strengthening global efforts to address forest challenges in an integrated and impactful manner.</w:t>
      </w:r>
    </w:p>
    <w:p w14:paraId="29ED0D1C" w14:textId="4554BC34" w:rsidR="000C4659" w:rsidRPr="00313A72" w:rsidRDefault="000C4659" w:rsidP="00E85ED3">
      <w:pPr>
        <w:pStyle w:val="CBDNormalNumber"/>
      </w:pPr>
      <w:r w:rsidRPr="00313A72">
        <w:t>In</w:t>
      </w:r>
      <w:r w:rsidR="00C264E6" w:rsidRPr="00313A72">
        <w:t xml:space="preserve"> line with</w:t>
      </w:r>
      <w:r w:rsidRPr="00313A72">
        <w:t xml:space="preserve"> its “Joint Call to Action for Forests towards 2030”</w:t>
      </w:r>
      <w:r w:rsidRPr="00313A72">
        <w:rPr>
          <w:rStyle w:val="FootnoteReference"/>
        </w:rPr>
        <w:footnoteReference w:id="46"/>
      </w:r>
      <w:r w:rsidRPr="00313A72">
        <w:t xml:space="preserve"> released at the SDG Summit in September 2023, t</w:t>
      </w:r>
      <w:r w:rsidRPr="00E26709">
        <w:t xml:space="preserve">he CPF has accelerated its global advocacy efforts to </w:t>
      </w:r>
      <w:r w:rsidR="00C264E6" w:rsidRPr="00E26709">
        <w:t>spotlight</w:t>
      </w:r>
      <w:r w:rsidRPr="00E26709">
        <w:t xml:space="preserve"> forests </w:t>
      </w:r>
      <w:r w:rsidR="00C264E6" w:rsidRPr="00E26709">
        <w:t>in</w:t>
      </w:r>
      <w:r w:rsidRPr="00E26709">
        <w:t xml:space="preserve"> discussions on biodiversity, climate change, agriculture and socioeconomic issues. This </w:t>
      </w:r>
      <w:r w:rsidR="00C264E6" w:rsidRPr="00E26709">
        <w:t>includes</w:t>
      </w:r>
      <w:r w:rsidRPr="00E26709">
        <w:t xml:space="preserve"> the organization of events and activities during the Conferences of the Parties (COPs) to the three Rio </w:t>
      </w:r>
      <w:r w:rsidRPr="00E26709">
        <w:lastRenderedPageBreak/>
        <w:t>Conventions held in 2024.</w:t>
      </w:r>
      <w:r w:rsidRPr="00E26709">
        <w:rPr>
          <w:rStyle w:val="FootnoteReference"/>
        </w:rPr>
        <w:footnoteReference w:id="47"/>
      </w:r>
      <w:r w:rsidRPr="00E26709">
        <w:t xml:space="preserve"> </w:t>
      </w:r>
      <w:r w:rsidR="00E85ED3" w:rsidRPr="00313A72">
        <w:t>At COP16</w:t>
      </w:r>
      <w:r w:rsidRPr="00313A72">
        <w:t xml:space="preserve"> of the CBD</w:t>
      </w:r>
      <w:r w:rsidR="00E85ED3" w:rsidRPr="00313A72">
        <w:t xml:space="preserve">, the CPF took the lead in organizing </w:t>
      </w:r>
      <w:r w:rsidR="00E85ED3" w:rsidRPr="00313A72">
        <w:rPr>
          <w:i/>
          <w:iCs/>
        </w:rPr>
        <w:t>Forests and Water Day</w:t>
      </w:r>
      <w:r w:rsidR="00E85ED3" w:rsidRPr="00313A72">
        <w:t xml:space="preserve"> and </w:t>
      </w:r>
      <w:r w:rsidR="00E85ED3" w:rsidRPr="00313A72">
        <w:rPr>
          <w:i/>
          <w:iCs/>
        </w:rPr>
        <w:t>Restoration Day</w:t>
      </w:r>
      <w:r w:rsidR="00E85ED3" w:rsidRPr="00313A72">
        <w:t xml:space="preserve"> in the KMGBF Pavilion</w:t>
      </w:r>
      <w:r w:rsidR="00D643BF" w:rsidRPr="00313A72">
        <w:rPr>
          <w:rStyle w:val="FootnoteReference"/>
        </w:rPr>
        <w:footnoteReference w:id="48"/>
      </w:r>
      <w:r w:rsidR="00E85ED3" w:rsidRPr="00313A72">
        <w:t>. Events included sessions on “Forests in a changing climate: biodiversity as a safeguard for resilient forest landscapes”, “Sustainable forest-based economies: meeting the needs of people and biodiversity” and “Strengthening conservation of primary forests: the catalytic role of the GEF”, “The six-year race to restoration”, “Global restoration movement”, “Tracking progress and building capacity: new guidance and tools”, “Funding local restoration innovation” and “Scaling finance for the global restoration agenda”.</w:t>
      </w:r>
      <w:r w:rsidRPr="00313A72">
        <w:t xml:space="preserve"> </w:t>
      </w:r>
    </w:p>
    <w:p w14:paraId="4C0A7AD3" w14:textId="43CD4899" w:rsidR="000C4659" w:rsidRPr="00313A72" w:rsidRDefault="000C4659" w:rsidP="00C264E6">
      <w:pPr>
        <w:pStyle w:val="CBDNormalNumber"/>
      </w:pPr>
      <w:r w:rsidRPr="00313A72">
        <w:t xml:space="preserve">At COP29 of the UNFCCC, the CPF </w:t>
      </w:r>
      <w:r w:rsidRPr="00E26709">
        <w:t>held a series of events at the Forest Pavilion</w:t>
      </w:r>
      <w:r w:rsidR="00D643BF" w:rsidRPr="00E26709">
        <w:rPr>
          <w:rStyle w:val="FootnoteReference"/>
        </w:rPr>
        <w:footnoteReference w:id="49"/>
      </w:r>
      <w:r w:rsidRPr="00E26709">
        <w:t xml:space="preserve"> within the </w:t>
      </w:r>
      <w:r w:rsidR="00C264E6" w:rsidRPr="00E26709">
        <w:t>SDG</w:t>
      </w:r>
      <w:r w:rsidRPr="00E26709">
        <w:t xml:space="preserve"> Pavilion, hosted by the </w:t>
      </w:r>
      <w:r w:rsidR="00C264E6" w:rsidRPr="00E26709">
        <w:t xml:space="preserve">United Nations </w:t>
      </w:r>
      <w:r w:rsidRPr="00E26709">
        <w:t>Department of Economic and Social Affairs</w:t>
      </w:r>
      <w:r w:rsidR="00C264E6" w:rsidRPr="00E26709">
        <w:t xml:space="preserve">, including </w:t>
      </w:r>
      <w:r w:rsidRPr="00E26709">
        <w:t xml:space="preserve">a session on “Forests, nature and biodiversity”, led by UNEP, the CBD Secretariat and the International Council of Forest and Paper Associations. </w:t>
      </w:r>
      <w:r w:rsidR="00C264E6" w:rsidRPr="00E26709">
        <w:t xml:space="preserve">IUCN, FAO, GEF and the UNFF Secretariat also organized a session on “Mobilizing finance for climate and biodiversity in primary forests”. The event highlighted the urgent need for financing to protect primary forests given their vital contributions to biodiversity and climate and explored innovative financing approaches. </w:t>
      </w:r>
      <w:r w:rsidRPr="00E26709">
        <w:t>Key messages of these sessions were included in the communiqué of the Forest Pavilion</w:t>
      </w:r>
      <w:r w:rsidRPr="00E26709">
        <w:rPr>
          <w:rStyle w:val="FootnoteReference"/>
        </w:rPr>
        <w:footnoteReference w:id="50"/>
      </w:r>
      <w:r w:rsidRPr="00E26709">
        <w:t xml:space="preserve">. At COP16 of the UNCCD, the CPF </w:t>
      </w:r>
      <w:r w:rsidR="00C264E6" w:rsidRPr="00E26709">
        <w:t xml:space="preserve">also </w:t>
      </w:r>
      <w:r w:rsidRPr="00E26709">
        <w:t xml:space="preserve">organized side events </w:t>
      </w:r>
      <w:r w:rsidR="00C264E6" w:rsidRPr="00E26709">
        <w:t>including</w:t>
      </w:r>
      <w:r w:rsidRPr="00E26709">
        <w:t xml:space="preserve"> “Scaling up agroecology for restoration and conservation in mosaic landscapes”</w:t>
      </w:r>
      <w:r w:rsidR="00D643BF" w:rsidRPr="00E26709">
        <w:rPr>
          <w:rStyle w:val="FootnoteReference"/>
        </w:rPr>
        <w:footnoteReference w:id="51"/>
      </w:r>
      <w:r w:rsidRPr="00E26709">
        <w:t xml:space="preserve">, led by </w:t>
      </w:r>
      <w:r w:rsidR="00C264E6" w:rsidRPr="00E26709">
        <w:t>IUCN</w:t>
      </w:r>
      <w:r w:rsidRPr="00E26709">
        <w:t xml:space="preserve">, and the “Significance of dryland forests for achieving land degradation neutrality, combating biodiversity loss and climate change”, organized by the </w:t>
      </w:r>
      <w:r w:rsidR="00C264E6" w:rsidRPr="00E26709">
        <w:t>UNFF Secretariat</w:t>
      </w:r>
      <w:r w:rsidRPr="00E26709">
        <w:t xml:space="preserve"> jointly with Saudi Arabia.</w:t>
      </w:r>
      <w:r w:rsidR="00C264E6" w:rsidRPr="00E26709">
        <w:rPr>
          <w:rStyle w:val="FootnoteReference"/>
        </w:rPr>
        <w:footnoteReference w:id="52"/>
      </w:r>
    </w:p>
    <w:p w14:paraId="66051942" w14:textId="0270ACD6" w:rsidR="0073730C" w:rsidRPr="00313A72" w:rsidRDefault="00131A1A" w:rsidP="00C61DE2">
      <w:pPr>
        <w:pStyle w:val="CBDNormalNumber"/>
      </w:pPr>
      <w:r w:rsidRPr="00313A72">
        <w:t>The CPF Work Plan 2025-2028</w:t>
      </w:r>
      <w:r w:rsidRPr="00313A72">
        <w:rPr>
          <w:rStyle w:val="FootnoteReference"/>
        </w:rPr>
        <w:footnoteReference w:id="53"/>
      </w:r>
      <w:r w:rsidRPr="00313A72">
        <w:t xml:space="preserve">, </w:t>
      </w:r>
      <w:r w:rsidR="00527474" w:rsidRPr="00313A72">
        <w:t>presente</w:t>
      </w:r>
      <w:r w:rsidRPr="00313A72">
        <w:t xml:space="preserve">d </w:t>
      </w:r>
      <w:r w:rsidR="00527474" w:rsidRPr="00313A72">
        <w:t xml:space="preserve">during UNFF20 </w:t>
      </w:r>
      <w:r w:rsidRPr="00313A72">
        <w:t xml:space="preserve">in May 2025 outlines how the CPF </w:t>
      </w:r>
      <w:r w:rsidR="00B357E0" w:rsidRPr="00313A72">
        <w:t>aims to</w:t>
      </w:r>
      <w:r w:rsidR="004772F9" w:rsidRPr="00313A72">
        <w:t xml:space="preserve"> jointly</w:t>
      </w:r>
      <w:r w:rsidR="001A22DF" w:rsidRPr="00313A72">
        <w:t xml:space="preserve"> exercise </w:t>
      </w:r>
      <w:r w:rsidRPr="00313A72">
        <w:t xml:space="preserve">the unique mandates and capacities of its members to </w:t>
      </w:r>
      <w:r w:rsidR="00A31A65" w:rsidRPr="00313A72">
        <w:t xml:space="preserve">support the </w:t>
      </w:r>
      <w:r w:rsidR="00B357E0" w:rsidRPr="00313A72">
        <w:t>conserv</w:t>
      </w:r>
      <w:r w:rsidR="001A22DF" w:rsidRPr="00313A72">
        <w:t>ation</w:t>
      </w:r>
      <w:r w:rsidR="00B357E0" w:rsidRPr="00313A72">
        <w:t>, restor</w:t>
      </w:r>
      <w:r w:rsidR="001A22DF" w:rsidRPr="00313A72">
        <w:t>ation</w:t>
      </w:r>
      <w:r w:rsidR="00B357E0" w:rsidRPr="00313A72">
        <w:t xml:space="preserve"> and sustainabl</w:t>
      </w:r>
      <w:r w:rsidR="001A22DF" w:rsidRPr="00313A72">
        <w:t>e</w:t>
      </w:r>
      <w:r w:rsidR="00B357E0" w:rsidRPr="00313A72">
        <w:t xml:space="preserve"> manag</w:t>
      </w:r>
      <w:r w:rsidR="001A22DF" w:rsidRPr="00313A72">
        <w:t>ement of</w:t>
      </w:r>
      <w:r w:rsidR="00B357E0" w:rsidRPr="00313A72">
        <w:t xml:space="preserve"> forest</w:t>
      </w:r>
      <w:r w:rsidR="001A22DF" w:rsidRPr="00313A72">
        <w:t>s</w:t>
      </w:r>
      <w:r w:rsidRPr="00313A72">
        <w:t>.</w:t>
      </w:r>
      <w:r w:rsidR="00B357E0" w:rsidRPr="00313A72">
        <w:t xml:space="preserve"> </w:t>
      </w:r>
      <w:r w:rsidR="000C4659" w:rsidRPr="00E26709">
        <w:t>In the new workplan, the Partnership seek</w:t>
      </w:r>
      <w:r w:rsidR="00C264E6" w:rsidRPr="00E26709">
        <w:t>s</w:t>
      </w:r>
      <w:r w:rsidR="000C4659" w:rsidRPr="00E26709">
        <w:t xml:space="preserve"> to address emerging issues and the interlinkages and relationships between the work of the Rio Conventions, including the KMGBF, and other forest-related international developments. </w:t>
      </w:r>
      <w:r w:rsidR="00503494" w:rsidRPr="00313A72">
        <w:t>A key modality through which the CPF delivers coordinated action is the development and implementation of Joint Initiatives (JIs)</w:t>
      </w:r>
      <w:r w:rsidR="00A31A65" w:rsidRPr="00313A72">
        <w:rPr>
          <w:rStyle w:val="FootnoteReference"/>
        </w:rPr>
        <w:footnoteReference w:id="54"/>
      </w:r>
      <w:r w:rsidR="00C264E6" w:rsidRPr="00313A72">
        <w:t>.</w:t>
      </w:r>
      <w:r w:rsidR="003A2842" w:rsidRPr="00313A72">
        <w:t xml:space="preserve"> </w:t>
      </w:r>
      <w:r w:rsidR="00503494" w:rsidRPr="00313A72">
        <w:t xml:space="preserve">These are voluntary, collaborative efforts undertaken by two or more CPF members to address strategic forest-related challenges and advance global commitments. </w:t>
      </w:r>
      <w:r w:rsidR="00A31A65" w:rsidRPr="00313A72">
        <w:t>JIs</w:t>
      </w:r>
      <w:r w:rsidR="00503494" w:rsidRPr="00313A72">
        <w:t xml:space="preserve"> strengthen collaboration and mobilize political, scientific, technical and financial support within and beyond the partnership. </w:t>
      </w:r>
      <w:r w:rsidR="0073730C" w:rsidRPr="00313A72">
        <w:t>Four JIs that focus on, or significantly contribute to, the conservation and sustainable use of forest biodiversity</w:t>
      </w:r>
      <w:r w:rsidR="00C264E6" w:rsidRPr="00313A72">
        <w:t xml:space="preserve">, in alignment with to the UNSPF, the KMGBF and SDGs, </w:t>
      </w:r>
      <w:r w:rsidR="0073730C" w:rsidRPr="00313A72">
        <w:t xml:space="preserve">are described below. It should be noted that several other JIs also contribute meaningfully to this area, even if biodiversity is not their primary objective. </w:t>
      </w:r>
    </w:p>
    <w:p w14:paraId="2E1E28FD" w14:textId="77777777" w:rsidR="00E85ED3" w:rsidRPr="00313A72" w:rsidRDefault="00E85ED3" w:rsidP="000829BD">
      <w:pPr>
        <w:pStyle w:val="CBDNormalNumber"/>
        <w:numPr>
          <w:ilvl w:val="0"/>
          <w:numId w:val="0"/>
        </w:numPr>
        <w:ind w:left="720"/>
      </w:pPr>
    </w:p>
    <w:p w14:paraId="688B3AD1" w14:textId="5E3CDCC5" w:rsidR="0023464D" w:rsidRPr="00313A72" w:rsidRDefault="0023464D" w:rsidP="00B76FDD">
      <w:pPr>
        <w:spacing w:after="120"/>
        <w:ind w:left="720"/>
        <w:contextualSpacing/>
        <w:rPr>
          <w:b/>
          <w:bCs/>
          <w:i/>
        </w:rPr>
      </w:pPr>
      <w:r w:rsidRPr="00313A72">
        <w:rPr>
          <w:b/>
          <w:bCs/>
          <w:i/>
        </w:rPr>
        <w:t>CPF Joint Initiative</w:t>
      </w:r>
    </w:p>
    <w:p w14:paraId="71C5D613" w14:textId="62E78FF9" w:rsidR="00D1588B" w:rsidRPr="00313A72" w:rsidRDefault="00D1588B" w:rsidP="00B76FDD">
      <w:pPr>
        <w:spacing w:after="120"/>
        <w:ind w:left="720"/>
        <w:contextualSpacing/>
        <w:rPr>
          <w:b/>
          <w:bCs/>
          <w:i/>
        </w:rPr>
      </w:pPr>
      <w:r w:rsidRPr="00313A72">
        <w:rPr>
          <w:b/>
          <w:bCs/>
          <w:i/>
        </w:rPr>
        <w:t>Kunming–Montreal Global Biodiversity Framework and the Global Forest Goals Harnessing Complementarities and addressing Fragmentation in the Global Forest Agenda</w:t>
      </w:r>
      <w:r w:rsidR="0022233B" w:rsidRPr="00313A72">
        <w:rPr>
          <w:rStyle w:val="FootnoteReference"/>
          <w:b/>
          <w:bCs/>
          <w:i/>
        </w:rPr>
        <w:footnoteReference w:id="55"/>
      </w:r>
    </w:p>
    <w:p w14:paraId="444F0122" w14:textId="1213CB54" w:rsidR="009F71E1" w:rsidRPr="00313A72" w:rsidRDefault="009F71E1" w:rsidP="00B76FDD">
      <w:pPr>
        <w:spacing w:after="120"/>
        <w:ind w:left="720"/>
        <w:contextualSpacing/>
        <w:rPr>
          <w:b/>
          <w:bCs/>
          <w:iCs/>
        </w:rPr>
      </w:pPr>
      <w:r w:rsidRPr="00313A72">
        <w:rPr>
          <w:b/>
          <w:bCs/>
          <w:iCs/>
        </w:rPr>
        <w:t xml:space="preserve">Timeline: </w:t>
      </w:r>
      <w:r w:rsidR="00C61DE2" w:rsidRPr="00313A72">
        <w:rPr>
          <w:iCs/>
        </w:rPr>
        <w:t>2025-2028</w:t>
      </w:r>
    </w:p>
    <w:p w14:paraId="6184E036" w14:textId="203E59C0" w:rsidR="003C0735" w:rsidRPr="00313A72" w:rsidRDefault="00284D1A" w:rsidP="003C0735">
      <w:pPr>
        <w:spacing w:after="120"/>
        <w:ind w:left="720"/>
        <w:contextualSpacing/>
        <w:rPr>
          <w:iCs/>
        </w:rPr>
      </w:pPr>
      <w:r w:rsidRPr="00313A72">
        <w:rPr>
          <w:b/>
          <w:bCs/>
          <w:iCs/>
        </w:rPr>
        <w:lastRenderedPageBreak/>
        <w:t>Led by</w:t>
      </w:r>
      <w:r w:rsidR="000829BD" w:rsidRPr="00313A72">
        <w:rPr>
          <w:b/>
          <w:bCs/>
          <w:iCs/>
        </w:rPr>
        <w:t xml:space="preserve"> </w:t>
      </w:r>
      <w:r w:rsidR="00C61DE2" w:rsidRPr="00313A72">
        <w:rPr>
          <w:iCs/>
        </w:rPr>
        <w:t>CBD Secretariat, UNFF Secretariat and FAO</w:t>
      </w:r>
    </w:p>
    <w:p w14:paraId="1C151CD3" w14:textId="63DFA55D" w:rsidR="003C0735" w:rsidRPr="00313A72" w:rsidRDefault="003C0735" w:rsidP="004678E5">
      <w:pPr>
        <w:pStyle w:val="CBDNormalNumber"/>
      </w:pPr>
      <w:r w:rsidRPr="00313A72">
        <w:t>Led by Secretariats of the CBD and UNFF, and FAO, this JI aims to assist countries in understanding the role of conservation and sustainable use of forests in the KMGBF goals and targets and the interlinkages of the UNSPF, its GFGs and other forest-related instruments, as well as mainstreaming biodiversity in forestry. An information note</w:t>
      </w:r>
      <w:r w:rsidRPr="00313A72">
        <w:rPr>
          <w:rStyle w:val="FootnoteReference"/>
        </w:rPr>
        <w:footnoteReference w:id="56"/>
      </w:r>
      <w:r w:rsidRPr="00313A72">
        <w:t xml:space="preserve"> identifying areas of similarity between the UNSPF and the KMGBF, including in the areas of spatial land use planning; restoration of degraded forests; protected areas; trade in wild species; climate change; sustainable forest management; need for increased funding; cooperation, capacity-building training; monitoring and developing forest data; and stakeholder involvement in management processes has been released. As a part of the JI, regional analyses in Africa and Latin America, including in-depth case studies in six countries (three in each region), are being conducted to assess and identify opportunities, challenges, and ways forward for coherently and synergistically advancing the timely achievement of the</w:t>
      </w:r>
      <w:r w:rsidR="00862164" w:rsidRPr="00313A72">
        <w:t xml:space="preserve"> </w:t>
      </w:r>
      <w:r w:rsidRPr="00313A72">
        <w:t>GFGs</w:t>
      </w:r>
      <w:r w:rsidR="00862164" w:rsidRPr="00313A72">
        <w:t xml:space="preserve"> </w:t>
      </w:r>
      <w:r w:rsidR="000A54E4" w:rsidRPr="00313A72">
        <w:t xml:space="preserve">of the United Nations Strategic Plan for Forests 2017–2030 </w:t>
      </w:r>
      <w:r w:rsidR="00862164" w:rsidRPr="00313A72">
        <w:t xml:space="preserve">and the </w:t>
      </w:r>
      <w:r w:rsidRPr="00313A72">
        <w:t>KMGBF</w:t>
      </w:r>
      <w:r w:rsidR="00862164" w:rsidRPr="00313A72">
        <w:t>.</w:t>
      </w:r>
      <w:r w:rsidRPr="00313A72">
        <w:t xml:space="preserve"> The assessment is expected to provide concrete pathways and recommendations to harmonize forest and biodiversity agendas at the national level, </w:t>
      </w:r>
      <w:proofErr w:type="gramStart"/>
      <w:r w:rsidRPr="00313A72">
        <w:t>in order to</w:t>
      </w:r>
      <w:proofErr w:type="gramEnd"/>
      <w:r w:rsidRPr="00313A72">
        <w:t xml:space="preserve"> support and strengthen the capacity of countries to raise the profile of, and accelerate actions on, the conservation and sustainable management of forests. This will contribute to the mutually reinforcing implementation of the KMGBF and the</w:t>
      </w:r>
      <w:r w:rsidR="00862164" w:rsidRPr="00313A72">
        <w:t xml:space="preserve"> </w:t>
      </w:r>
      <w:r w:rsidR="000A54E4" w:rsidRPr="00313A72">
        <w:t>UNSPF</w:t>
      </w:r>
      <w:r w:rsidRPr="00313A72">
        <w:t>.</w:t>
      </w:r>
    </w:p>
    <w:p w14:paraId="6DF3673E" w14:textId="58270C5F" w:rsidR="0044546E" w:rsidRPr="00313A72" w:rsidRDefault="00503494" w:rsidP="00C61DE2">
      <w:pPr>
        <w:pStyle w:val="CBDNormalNumber"/>
      </w:pPr>
      <w:bookmarkStart w:id="2" w:name="_Hlk210814512"/>
      <w:r w:rsidRPr="00313A72">
        <w:t xml:space="preserve">The </w:t>
      </w:r>
      <w:r w:rsidR="0097597C" w:rsidRPr="00313A72">
        <w:t>JI</w:t>
      </w:r>
      <w:r w:rsidRPr="00313A72">
        <w:t xml:space="preserve"> </w:t>
      </w:r>
      <w:r w:rsidR="001E4FE3" w:rsidRPr="00313A72">
        <w:t>is also facilitating</w:t>
      </w:r>
      <w:r w:rsidRPr="00313A72">
        <w:t xml:space="preserve"> collaboration among countries and agencies to collectively elevate the recognition of natural forests, especially primary forests, within the framework of the three Rio Conventions, the </w:t>
      </w:r>
      <w:r w:rsidR="0044546E" w:rsidRPr="00313A72">
        <w:t>UNFF</w:t>
      </w:r>
      <w:r w:rsidRPr="00313A72">
        <w:t xml:space="preserve"> and the </w:t>
      </w:r>
      <w:r w:rsidR="0044546E" w:rsidRPr="00313A72">
        <w:t>SDGs</w:t>
      </w:r>
      <w:r w:rsidRPr="00313A72">
        <w:t xml:space="preserve"> </w:t>
      </w:r>
      <w:r w:rsidR="001E4FE3" w:rsidRPr="00313A72">
        <w:t>to</w:t>
      </w:r>
      <w:r w:rsidRPr="00313A72">
        <w:t xml:space="preserve"> </w:t>
      </w:r>
      <w:r w:rsidR="0097597C" w:rsidRPr="00313A72">
        <w:t>identify</w:t>
      </w:r>
      <w:r w:rsidRPr="00313A72">
        <w:t xml:space="preserve"> </w:t>
      </w:r>
      <w:r w:rsidR="0097597C" w:rsidRPr="00313A72">
        <w:t>coherent actions</w:t>
      </w:r>
      <w:r w:rsidRPr="00313A72">
        <w:t xml:space="preserve"> </w:t>
      </w:r>
      <w:r w:rsidR="0097597C" w:rsidRPr="00313A72">
        <w:t>towards forest biodiversity</w:t>
      </w:r>
      <w:r w:rsidRPr="00313A72">
        <w:t xml:space="preserve"> conservation </w:t>
      </w:r>
      <w:r w:rsidR="0097597C" w:rsidRPr="00313A72">
        <w:t>including by</w:t>
      </w:r>
      <w:r w:rsidRPr="00313A72">
        <w:t xml:space="preserve"> enhanc</w:t>
      </w:r>
      <w:r w:rsidR="0097597C" w:rsidRPr="00313A72">
        <w:t>ing</w:t>
      </w:r>
      <w:r w:rsidRPr="00313A72">
        <w:t xml:space="preserve"> the role of </w:t>
      </w:r>
      <w:r w:rsidR="0044546E" w:rsidRPr="00313A72">
        <w:t>SFM</w:t>
      </w:r>
      <w:r w:rsidRPr="00313A72">
        <w:t>.</w:t>
      </w:r>
      <w:r w:rsidR="0022233B" w:rsidRPr="00313A72">
        <w:t xml:space="preserve"> </w:t>
      </w:r>
      <w:r w:rsidR="00634D9D" w:rsidRPr="00E26709">
        <w:t xml:space="preserve">Under the leadership of the CBD Secretariat, FAO and the UNFF Secretariat, this work also led to the CPF flagship publication </w:t>
      </w:r>
      <w:hyperlink r:id="rId16" w:history="1">
        <w:r w:rsidR="00634D9D" w:rsidRPr="00E26709">
          <w:rPr>
            <w:rStyle w:val="Hyperlink"/>
            <w:i/>
            <w:iCs/>
          </w:rPr>
          <w:t>The Forest Factor</w:t>
        </w:r>
      </w:hyperlink>
      <w:r w:rsidR="00634D9D" w:rsidRPr="00E26709">
        <w:t xml:space="preserve"> (see paragraph 12), which supports the implementation of the KMGBF.</w:t>
      </w:r>
      <w:r w:rsidR="0044546E" w:rsidRPr="00313A72">
        <w:t xml:space="preserve"> </w:t>
      </w:r>
      <w:r w:rsidR="00634D9D" w:rsidRPr="00313A72">
        <w:t>In addition, t</w:t>
      </w:r>
      <w:r w:rsidR="007C574F" w:rsidRPr="00313A72">
        <w:t>wo regional assessments, involving four in-depth country cases, to review national forest and biodiversity policies and strategic documents to identify best practices, barriers and solutions for coherent planning and implementation</w:t>
      </w:r>
      <w:r w:rsidR="00D10523" w:rsidRPr="00313A72">
        <w:t>, are ongoing.</w:t>
      </w:r>
    </w:p>
    <w:bookmarkEnd w:id="2"/>
    <w:p w14:paraId="60CD1894" w14:textId="77777777" w:rsidR="00B23609" w:rsidRPr="00313A72" w:rsidRDefault="00B23609" w:rsidP="00634D9D">
      <w:pPr>
        <w:pStyle w:val="CBDNormalNumber"/>
        <w:numPr>
          <w:ilvl w:val="0"/>
          <w:numId w:val="0"/>
        </w:numPr>
      </w:pPr>
    </w:p>
    <w:p w14:paraId="091B3FA1" w14:textId="251F38E5" w:rsidR="00B23609" w:rsidRPr="00313A72" w:rsidRDefault="00B23609" w:rsidP="00B23609">
      <w:pPr>
        <w:pStyle w:val="CBDNormalNumber"/>
        <w:numPr>
          <w:ilvl w:val="0"/>
          <w:numId w:val="0"/>
        </w:numPr>
        <w:ind w:left="720"/>
        <w:rPr>
          <w:b/>
          <w:bCs/>
        </w:rPr>
      </w:pPr>
      <w:r w:rsidRPr="00313A72">
        <w:rPr>
          <w:b/>
          <w:bCs/>
        </w:rPr>
        <w:t>Preliminary analysis of forest-related commitments in NBSAPs and national targets</w:t>
      </w:r>
    </w:p>
    <w:p w14:paraId="557D2005" w14:textId="5FD25767" w:rsidR="0009773F" w:rsidRPr="00313A72" w:rsidRDefault="00D10523" w:rsidP="00DE4F03">
      <w:pPr>
        <w:pStyle w:val="CBDNormalNumber"/>
      </w:pPr>
      <w:r w:rsidRPr="00313A72">
        <w:t>A</w:t>
      </w:r>
      <w:r w:rsidR="0022233B" w:rsidRPr="00313A72">
        <w:t xml:space="preserve">s part of this </w:t>
      </w:r>
      <w:r w:rsidR="0097597C" w:rsidRPr="00313A72">
        <w:t>JI</w:t>
      </w:r>
      <w:r w:rsidR="0022233B" w:rsidRPr="00313A72">
        <w:t>, a</w:t>
      </w:r>
      <w:r w:rsidRPr="00313A72">
        <w:t>n analysis</w:t>
      </w:r>
      <w:r w:rsidR="00E46691" w:rsidRPr="00313A72">
        <w:rPr>
          <w:rStyle w:val="FootnoteReference"/>
        </w:rPr>
        <w:footnoteReference w:id="57"/>
      </w:r>
      <w:r w:rsidR="0022233B" w:rsidRPr="00313A72">
        <w:t xml:space="preserve"> of 54 National Biodiversity Strategies and Action Plans (NBSAPs) submitted by Parties as of 30 June 2025, was undertaken by </w:t>
      </w:r>
      <w:r w:rsidR="0044546E" w:rsidRPr="00313A72">
        <w:t xml:space="preserve">the </w:t>
      </w:r>
      <w:r w:rsidR="0022233B" w:rsidRPr="00313A72">
        <w:t xml:space="preserve">CBD Secretariat and FAO, to identify the extent to which they address forest biodiversity. The study focused on three key aspects: (1) threats to forest biodiversity; (2) actions and strategies to address these threats; and (3) implementation challenges and capacity gaps. </w:t>
      </w:r>
      <w:r w:rsidR="00B53605" w:rsidRPr="00313A72">
        <w:t xml:space="preserve">All 54 NBSAPs </w:t>
      </w:r>
      <w:proofErr w:type="spellStart"/>
      <w:r w:rsidR="00B53605" w:rsidRPr="00313A72">
        <w:t>analyzed</w:t>
      </w:r>
      <w:proofErr w:type="spellEnd"/>
      <w:r w:rsidR="00B53605" w:rsidRPr="00313A72">
        <w:t xml:space="preserve"> incorporate measures for forest biodiversity conservation, outlining a broad spectrum of proposed actions</w:t>
      </w:r>
      <w:r w:rsidR="00B23609" w:rsidRPr="00313A72">
        <w:t xml:space="preserve">, while </w:t>
      </w:r>
      <w:r w:rsidR="00E46691" w:rsidRPr="00313A72">
        <w:t>a</w:t>
      </w:r>
      <w:r w:rsidR="00B53605" w:rsidRPr="00313A72">
        <w:t xml:space="preserve">pproximately half </w:t>
      </w:r>
      <w:r w:rsidR="00B23609" w:rsidRPr="00313A72">
        <w:t>also</w:t>
      </w:r>
      <w:r w:rsidR="00B53605" w:rsidRPr="00313A72">
        <w:t xml:space="preserve"> highlight challenges or capacity gaps. </w:t>
      </w:r>
      <w:r w:rsidR="0044546E" w:rsidRPr="00313A72">
        <w:t>The outcomes of th</w:t>
      </w:r>
      <w:r w:rsidR="0060359E" w:rsidRPr="00313A72">
        <w:t>i</w:t>
      </w:r>
      <w:r w:rsidR="0044546E" w:rsidRPr="00313A72">
        <w:t>s study will inform CPF member organization actions to address more effectively the barriers and needs identified to promote aspects of SFM and strengthen the role of forests in national planning and implementation processes</w:t>
      </w:r>
      <w:r w:rsidR="001D3CC8" w:rsidRPr="00313A72">
        <w:t xml:space="preserve"> for biodiversity conservation</w:t>
      </w:r>
      <w:r w:rsidR="00B23609" w:rsidRPr="00313A72">
        <w:t>. The complete analysis will be made available by the end of 2025</w:t>
      </w:r>
      <w:r w:rsidR="0044546E" w:rsidRPr="00313A72">
        <w:t>.</w:t>
      </w:r>
      <w:r w:rsidR="001D3CC8" w:rsidRPr="00313A72">
        <w:t xml:space="preserve"> </w:t>
      </w:r>
    </w:p>
    <w:p w14:paraId="1F734D5F" w14:textId="2AB47CB5" w:rsidR="00DE4F03" w:rsidRPr="00313A72" w:rsidRDefault="00DE4F03" w:rsidP="00DE4F03">
      <w:pPr>
        <w:pStyle w:val="CBDNormalNumber"/>
        <w:numPr>
          <w:ilvl w:val="0"/>
          <w:numId w:val="0"/>
        </w:numPr>
        <w:ind w:left="720"/>
      </w:pPr>
    </w:p>
    <w:p w14:paraId="7EB16962" w14:textId="37760B4A" w:rsidR="0009773F" w:rsidRPr="00313A72" w:rsidRDefault="0009773F" w:rsidP="00B76FDD">
      <w:pPr>
        <w:spacing w:after="120"/>
        <w:ind w:left="720"/>
        <w:contextualSpacing/>
        <w:rPr>
          <w:b/>
          <w:bCs/>
          <w:i/>
        </w:rPr>
      </w:pPr>
      <w:r w:rsidRPr="00313A72">
        <w:rPr>
          <w:b/>
          <w:bCs/>
          <w:i/>
        </w:rPr>
        <w:t>CPF Joint Initiative:</w:t>
      </w:r>
    </w:p>
    <w:p w14:paraId="7CA7974B" w14:textId="467B2E70" w:rsidR="000F289A" w:rsidRPr="00313A72" w:rsidRDefault="00D1588B" w:rsidP="00B76FDD">
      <w:pPr>
        <w:spacing w:after="120"/>
        <w:ind w:left="720"/>
        <w:contextualSpacing/>
        <w:rPr>
          <w:b/>
          <w:bCs/>
          <w:i/>
        </w:rPr>
      </w:pPr>
      <w:r w:rsidRPr="00313A72">
        <w:rPr>
          <w:b/>
          <w:bCs/>
          <w:i/>
        </w:rPr>
        <w:t>Strengthening the Conservation of Primary Forests</w:t>
      </w:r>
      <w:r w:rsidR="00DE6204" w:rsidRPr="00313A72">
        <w:rPr>
          <w:rStyle w:val="FootnoteReference"/>
          <w:b/>
          <w:bCs/>
          <w:i/>
        </w:rPr>
        <w:footnoteReference w:id="58"/>
      </w:r>
      <w:r w:rsidR="003E0E8D" w:rsidRPr="00313A72">
        <w:rPr>
          <w:b/>
          <w:bCs/>
          <w:i/>
        </w:rPr>
        <w:t xml:space="preserve"> </w:t>
      </w:r>
    </w:p>
    <w:p w14:paraId="0500A3B6" w14:textId="09160005" w:rsidR="009F71E1" w:rsidRPr="00313A72" w:rsidRDefault="009F71E1" w:rsidP="00B76FDD">
      <w:pPr>
        <w:spacing w:after="120"/>
        <w:ind w:left="720"/>
        <w:contextualSpacing/>
        <w:rPr>
          <w:iCs/>
        </w:rPr>
      </w:pPr>
      <w:r w:rsidRPr="00313A72">
        <w:rPr>
          <w:b/>
          <w:bCs/>
          <w:iCs/>
        </w:rPr>
        <w:t xml:space="preserve">Timeline: </w:t>
      </w:r>
      <w:r w:rsidR="00C61DE2" w:rsidRPr="00313A72">
        <w:rPr>
          <w:iCs/>
        </w:rPr>
        <w:t>2025-2026</w:t>
      </w:r>
    </w:p>
    <w:p w14:paraId="34F05549" w14:textId="3F2B0F28" w:rsidR="009F71E1" w:rsidRPr="00313A72" w:rsidRDefault="00284D1A" w:rsidP="004678E5">
      <w:pPr>
        <w:spacing w:after="120"/>
        <w:ind w:left="720"/>
        <w:contextualSpacing/>
        <w:rPr>
          <w:b/>
          <w:bCs/>
          <w:iCs/>
        </w:rPr>
      </w:pPr>
      <w:r w:rsidRPr="00313A72">
        <w:rPr>
          <w:b/>
          <w:bCs/>
          <w:iCs/>
        </w:rPr>
        <w:lastRenderedPageBreak/>
        <w:t>Led by</w:t>
      </w:r>
      <w:r w:rsidR="00C61DE2" w:rsidRPr="00313A72">
        <w:rPr>
          <w:b/>
          <w:bCs/>
          <w:iCs/>
        </w:rPr>
        <w:t xml:space="preserve"> </w:t>
      </w:r>
      <w:r w:rsidR="00C61DE2" w:rsidRPr="00313A72">
        <w:rPr>
          <w:iCs/>
        </w:rPr>
        <w:t>IUCN, GEF, UNFF Secretariat and FAO</w:t>
      </w:r>
    </w:p>
    <w:p w14:paraId="69EFEE1A" w14:textId="6A1D5806" w:rsidR="0097597C" w:rsidRPr="00313A72" w:rsidRDefault="00DE6204" w:rsidP="00C61DE2">
      <w:pPr>
        <w:pStyle w:val="CBDNormalNumber"/>
        <w:rPr>
          <w:iCs/>
        </w:rPr>
      </w:pPr>
      <w:r w:rsidRPr="00313A72">
        <w:t xml:space="preserve">Led by IUCN, GEF, </w:t>
      </w:r>
      <w:r w:rsidR="0009773F" w:rsidRPr="00313A72">
        <w:t xml:space="preserve">FAO and </w:t>
      </w:r>
      <w:r w:rsidRPr="00313A72">
        <w:t>UNFF Secretariat</w:t>
      </w:r>
      <w:r w:rsidR="0009773F" w:rsidRPr="00313A72">
        <w:t>,</w:t>
      </w:r>
      <w:r w:rsidRPr="00313A72">
        <w:t xml:space="preserve"> </w:t>
      </w:r>
      <w:r w:rsidR="0009773F" w:rsidRPr="00313A72">
        <w:t xml:space="preserve">in collaboration with universities and other partners, </w:t>
      </w:r>
      <w:r w:rsidRPr="00313A72">
        <w:t>t</w:t>
      </w:r>
      <w:r w:rsidR="0097597C" w:rsidRPr="00313A72">
        <w:t xml:space="preserve">his </w:t>
      </w:r>
      <w:r w:rsidR="00663F13" w:rsidRPr="00313A72">
        <w:t>JI</w:t>
      </w:r>
      <w:r w:rsidR="0097597C" w:rsidRPr="00313A72">
        <w:t xml:space="preserve"> seeks to elevate the global importance of tropical primary forests by increasing</w:t>
      </w:r>
      <w:r w:rsidR="0097597C" w:rsidRPr="00313A72">
        <w:rPr>
          <w:iCs/>
        </w:rPr>
        <w:t xml:space="preserve"> awareness among governments, donors, and stakeholders about their critical role in addressing </w:t>
      </w:r>
      <w:r w:rsidRPr="00313A72">
        <w:rPr>
          <w:iCs/>
        </w:rPr>
        <w:t xml:space="preserve">biodiversity loss, </w:t>
      </w:r>
      <w:r w:rsidR="0097597C" w:rsidRPr="00313A72">
        <w:rPr>
          <w:iCs/>
        </w:rPr>
        <w:t xml:space="preserve">climate change and land degradation. It responds to the urgent need for greater recognition of primary forests in international </w:t>
      </w:r>
      <w:r w:rsidR="00663F13" w:rsidRPr="00313A72">
        <w:rPr>
          <w:iCs/>
        </w:rPr>
        <w:t xml:space="preserve">forest </w:t>
      </w:r>
      <w:r w:rsidR="0097597C" w:rsidRPr="00313A72">
        <w:rPr>
          <w:iCs/>
        </w:rPr>
        <w:t>policy and finance</w:t>
      </w:r>
      <w:r w:rsidR="00663F13" w:rsidRPr="00313A72">
        <w:rPr>
          <w:iCs/>
        </w:rPr>
        <w:t xml:space="preserve"> mechanisms</w:t>
      </w:r>
      <w:r w:rsidR="0097597C" w:rsidRPr="00313A72">
        <w:rPr>
          <w:iCs/>
        </w:rPr>
        <w:t xml:space="preserve">, emphasizing their ecological value and the support they provide to </w:t>
      </w:r>
      <w:r w:rsidR="005C509F" w:rsidRPr="00313A72">
        <w:rPr>
          <w:iCs/>
        </w:rPr>
        <w:t>i</w:t>
      </w:r>
      <w:r w:rsidR="0097597C" w:rsidRPr="00313A72">
        <w:rPr>
          <w:iCs/>
        </w:rPr>
        <w:t xml:space="preserve">ndigenous </w:t>
      </w:r>
      <w:r w:rsidR="005C509F" w:rsidRPr="00313A72">
        <w:rPr>
          <w:iCs/>
        </w:rPr>
        <w:t>p</w:t>
      </w:r>
      <w:r w:rsidR="0097597C" w:rsidRPr="00313A72">
        <w:rPr>
          <w:iCs/>
        </w:rPr>
        <w:t xml:space="preserve">eoples and </w:t>
      </w:r>
      <w:r w:rsidR="005C509F" w:rsidRPr="00313A72">
        <w:rPr>
          <w:iCs/>
        </w:rPr>
        <w:t>l</w:t>
      </w:r>
      <w:r w:rsidR="0097597C" w:rsidRPr="00313A72">
        <w:rPr>
          <w:iCs/>
        </w:rPr>
        <w:t xml:space="preserve">ocal </w:t>
      </w:r>
      <w:r w:rsidR="005C509F" w:rsidRPr="00313A72">
        <w:rPr>
          <w:iCs/>
        </w:rPr>
        <w:t>c</w:t>
      </w:r>
      <w:r w:rsidR="0097597C" w:rsidRPr="00313A72">
        <w:rPr>
          <w:iCs/>
        </w:rPr>
        <w:t xml:space="preserve">ommunities. </w:t>
      </w:r>
      <w:r w:rsidR="00663F13" w:rsidRPr="00313A72">
        <w:rPr>
          <w:iCs/>
        </w:rPr>
        <w:t>The JI</w:t>
      </w:r>
      <w:r w:rsidR="0097597C" w:rsidRPr="00313A72">
        <w:rPr>
          <w:iCs/>
        </w:rPr>
        <w:t xml:space="preserve"> aims to position primary forest conservation as a global priority, leveraging scientific knowledge, policy coordination, and capacity development to inform and strengthen decision-making.</w:t>
      </w:r>
    </w:p>
    <w:p w14:paraId="68073E1A" w14:textId="38C2DFC0" w:rsidR="00D16A11" w:rsidRPr="00313A72" w:rsidRDefault="0097597C" w:rsidP="00DE4F03">
      <w:pPr>
        <w:pStyle w:val="CBDNormalNumber"/>
        <w:rPr>
          <w:iCs/>
        </w:rPr>
      </w:pPr>
      <w:r w:rsidRPr="00313A72">
        <w:t>To</w:t>
      </w:r>
      <w:r w:rsidRPr="00313A72">
        <w:rPr>
          <w:iCs/>
        </w:rPr>
        <w:t xml:space="preserve"> achieve its goals, the initiative focuses on four key areas: raising the global profile of tropical primary forests through advocacy and policy integration; promoting innovative forest financing strategies; building capacity </w:t>
      </w:r>
      <w:r w:rsidR="00663F13" w:rsidRPr="00313A72">
        <w:rPr>
          <w:iCs/>
        </w:rPr>
        <w:t xml:space="preserve">for monitoring and reporting </w:t>
      </w:r>
      <w:r w:rsidRPr="00313A72">
        <w:rPr>
          <w:iCs/>
        </w:rPr>
        <w:t xml:space="preserve">through training and </w:t>
      </w:r>
      <w:r w:rsidR="00663F13" w:rsidRPr="00313A72">
        <w:rPr>
          <w:iCs/>
        </w:rPr>
        <w:t>guidance</w:t>
      </w:r>
      <w:r w:rsidRPr="00313A72">
        <w:rPr>
          <w:iCs/>
        </w:rPr>
        <w:t xml:space="preserve">; and enhancing knowledge sharing and visibility. It </w:t>
      </w:r>
      <w:r w:rsidR="00DE6204" w:rsidRPr="00313A72">
        <w:rPr>
          <w:iCs/>
        </w:rPr>
        <w:t>reinforces efforts within the</w:t>
      </w:r>
      <w:r w:rsidRPr="00313A72">
        <w:rPr>
          <w:iCs/>
        </w:rPr>
        <w:t xml:space="preserve"> UNFF, CPF, and </w:t>
      </w:r>
      <w:r w:rsidR="00DE6204" w:rsidRPr="00313A72">
        <w:rPr>
          <w:iCs/>
        </w:rPr>
        <w:t>Global Forest Financing Facilitation Network</w:t>
      </w:r>
      <w:r w:rsidRPr="00313A72">
        <w:rPr>
          <w:iCs/>
        </w:rPr>
        <w:t xml:space="preserve">, </w:t>
      </w:r>
      <w:r w:rsidR="00DE6204" w:rsidRPr="00313A72">
        <w:rPr>
          <w:iCs/>
        </w:rPr>
        <w:t>to ensure that primary forests receive the visibility and support they urgently need across global environmental and development agendas</w:t>
      </w:r>
      <w:r w:rsidRPr="00313A72">
        <w:rPr>
          <w:iCs/>
        </w:rPr>
        <w:t>. By the end of the 2025–2028 period, the initiative aims to mobilize resources, foster innovative financing approaches, and</w:t>
      </w:r>
      <w:r w:rsidR="00DE6204" w:rsidRPr="00313A72">
        <w:rPr>
          <w:iCs/>
        </w:rPr>
        <w:t xml:space="preserve"> leverage the networks and reach of CPF member organizations to</w:t>
      </w:r>
      <w:r w:rsidRPr="00313A72">
        <w:rPr>
          <w:iCs/>
        </w:rPr>
        <w:t xml:space="preserve"> increase the amount of conserved primary forest</w:t>
      </w:r>
      <w:r w:rsidR="00DE4F03" w:rsidRPr="00313A72">
        <w:rPr>
          <w:iCs/>
        </w:rPr>
        <w:t>.</w:t>
      </w:r>
    </w:p>
    <w:p w14:paraId="0BE192A4" w14:textId="77777777" w:rsidR="00D76591" w:rsidRPr="00313A72" w:rsidRDefault="00D76591" w:rsidP="004678E5">
      <w:pPr>
        <w:rPr>
          <w:b/>
          <w:bCs/>
          <w:i/>
        </w:rPr>
      </w:pPr>
    </w:p>
    <w:p w14:paraId="205D6B8E" w14:textId="70371305" w:rsidR="0009773F" w:rsidRPr="00313A72" w:rsidRDefault="0009773F" w:rsidP="00B76FDD">
      <w:pPr>
        <w:pStyle w:val="ListParagraph"/>
        <w:rPr>
          <w:b/>
          <w:bCs/>
          <w:i/>
        </w:rPr>
      </w:pPr>
      <w:r w:rsidRPr="00313A72">
        <w:rPr>
          <w:b/>
          <w:bCs/>
          <w:i/>
        </w:rPr>
        <w:t>CPF Joint Initiative:</w:t>
      </w:r>
    </w:p>
    <w:p w14:paraId="5E750C5C" w14:textId="500A7C1E" w:rsidR="00D1588B" w:rsidRPr="00313A72" w:rsidRDefault="005B1AB2" w:rsidP="00B76FDD">
      <w:pPr>
        <w:ind w:left="720"/>
        <w:contextualSpacing/>
        <w:rPr>
          <w:b/>
          <w:bCs/>
          <w:i/>
        </w:rPr>
      </w:pPr>
      <w:r w:rsidRPr="00313A72">
        <w:rPr>
          <w:b/>
          <w:bCs/>
          <w:i/>
        </w:rPr>
        <w:t>Convention on International Trade in Endangered Species of Wild Fauna and Flora (CITES)</w:t>
      </w:r>
      <w:r w:rsidR="00D1588B" w:rsidRPr="00313A72">
        <w:rPr>
          <w:b/>
          <w:bCs/>
          <w:i/>
        </w:rPr>
        <w:t xml:space="preserve"> Tree Species Project</w:t>
      </w:r>
      <w:r w:rsidR="003E0E8D" w:rsidRPr="00313A72">
        <w:rPr>
          <w:b/>
          <w:bCs/>
          <w:i/>
        </w:rPr>
        <w:t xml:space="preserve"> </w:t>
      </w:r>
    </w:p>
    <w:p w14:paraId="23EC42FF" w14:textId="6DDC9FC6" w:rsidR="009F71E1" w:rsidRPr="00313A72" w:rsidRDefault="009F71E1" w:rsidP="00B76FDD">
      <w:pPr>
        <w:spacing w:after="120"/>
        <w:ind w:left="720"/>
        <w:contextualSpacing/>
        <w:rPr>
          <w:iCs/>
        </w:rPr>
      </w:pPr>
      <w:r w:rsidRPr="00313A72">
        <w:rPr>
          <w:b/>
          <w:bCs/>
          <w:iCs/>
        </w:rPr>
        <w:t xml:space="preserve">Timeline: </w:t>
      </w:r>
      <w:r w:rsidR="00C61DE2" w:rsidRPr="00313A72">
        <w:rPr>
          <w:iCs/>
        </w:rPr>
        <w:t>2025-2029</w:t>
      </w:r>
    </w:p>
    <w:p w14:paraId="38538166" w14:textId="37CE4465" w:rsidR="009F71E1" w:rsidRPr="00313A72" w:rsidRDefault="00284D1A" w:rsidP="00B76FDD">
      <w:pPr>
        <w:spacing w:after="120"/>
        <w:ind w:left="720"/>
        <w:contextualSpacing/>
        <w:rPr>
          <w:b/>
          <w:bCs/>
          <w:iCs/>
        </w:rPr>
      </w:pPr>
      <w:r w:rsidRPr="00313A72">
        <w:rPr>
          <w:b/>
          <w:bCs/>
          <w:iCs/>
        </w:rPr>
        <w:t>Led by</w:t>
      </w:r>
      <w:r w:rsidR="00B76FDD" w:rsidRPr="00313A72">
        <w:rPr>
          <w:b/>
          <w:bCs/>
          <w:iCs/>
        </w:rPr>
        <w:t xml:space="preserve">: </w:t>
      </w:r>
      <w:r w:rsidR="00C61DE2" w:rsidRPr="00313A72">
        <w:rPr>
          <w:iCs/>
        </w:rPr>
        <w:t>CITES Secretariat, FAO, ITTO, CIFOR and IUCN</w:t>
      </w:r>
    </w:p>
    <w:p w14:paraId="455F8FA2" w14:textId="6025F3BF" w:rsidR="00663F13" w:rsidRPr="00313A72" w:rsidRDefault="00663F13" w:rsidP="00C61DE2">
      <w:pPr>
        <w:pStyle w:val="CBDNormalNumber"/>
      </w:pPr>
      <w:r w:rsidRPr="00313A72">
        <w:t xml:space="preserve">This JI, led by the CITES </w:t>
      </w:r>
      <w:r w:rsidR="005B1AB2" w:rsidRPr="00313A72">
        <w:t xml:space="preserve">Secretariat, </w:t>
      </w:r>
      <w:r w:rsidRPr="00313A72">
        <w:t>seeks to strengthen sustainable forest management and ensure compliance with CITES by promoting legal and sustainable trade in CITES-listed tree species. It addresses the challenges of illegal, unregulated and unsustainable harvesting and trade, which contribute to deforestation, forest degradatio</w:t>
      </w:r>
      <w:r w:rsidR="005B1AB2" w:rsidRPr="00313A72">
        <w:t>n</w:t>
      </w:r>
      <w:r w:rsidRPr="00313A72">
        <w:t xml:space="preserve"> and biodiversity loss. Through a structured approach</w:t>
      </w:r>
      <w:r w:rsidR="0009773F" w:rsidRPr="00313A72">
        <w:t xml:space="preserve"> - </w:t>
      </w:r>
      <w:r w:rsidRPr="00313A72">
        <w:t>including project proposal calls, webinars and direct support to Member States</w:t>
      </w:r>
      <w:r w:rsidR="0009773F" w:rsidRPr="00313A72">
        <w:t xml:space="preserve"> - </w:t>
      </w:r>
      <w:r w:rsidRPr="00313A72">
        <w:t xml:space="preserve">the initiative aims to enhance conservation and management practices, ensuring </w:t>
      </w:r>
      <w:r w:rsidR="009713A6" w:rsidRPr="00313A72">
        <w:t>in</w:t>
      </w:r>
      <w:r w:rsidRPr="00313A72">
        <w:t>t</w:t>
      </w:r>
      <w:r w:rsidR="009713A6" w:rsidRPr="00313A72">
        <w:t>e</w:t>
      </w:r>
      <w:r w:rsidRPr="00313A72">
        <w:t>r</w:t>
      </w:r>
      <w:r w:rsidR="009713A6" w:rsidRPr="00313A72">
        <w:t>national trade of CITES-listed timber species and related products is sustainable, legal and traceable.</w:t>
      </w:r>
    </w:p>
    <w:p w14:paraId="4313F724" w14:textId="59184C15" w:rsidR="0009773F" w:rsidRPr="00313A72" w:rsidRDefault="00663F13" w:rsidP="00DE4F03">
      <w:pPr>
        <w:pStyle w:val="CBDNormalNumber"/>
        <w:rPr>
          <w:b/>
          <w:bCs/>
          <w:i/>
        </w:rPr>
      </w:pPr>
      <w:r w:rsidRPr="00313A72">
        <w:t xml:space="preserve">Key activities include developing and disseminating guidance materials, conducting regional and taxon-specific workshops and building capacity in project development and implementation. The initiative also emphasizes knowledge sharing through briefs, explanatory materials and participation in major biodiversity events. </w:t>
      </w:r>
      <w:r w:rsidR="005B1AB2" w:rsidRPr="00313A72">
        <w:t>It</w:t>
      </w:r>
      <w:r w:rsidRPr="00313A72">
        <w:t xml:space="preserve"> aims to improve forest governance, reduce over-exploitation and enhance compliance with CITES regulations.</w:t>
      </w:r>
      <w:r w:rsidR="00897A1B" w:rsidRPr="00313A72">
        <w:t xml:space="preserve"> </w:t>
      </w:r>
      <w:r w:rsidRPr="00313A72">
        <w:t>Outputs will include strengthened capacities of CITES authorities, increased availability of tools for legal and sustainable trade and improved communication and knowledge resources to support long-term conservation outcomes</w:t>
      </w:r>
      <w:r w:rsidR="005B1AB2" w:rsidRPr="00313A72">
        <w:t>, including for biodiversity</w:t>
      </w:r>
      <w:r w:rsidRPr="00313A72">
        <w:t>.</w:t>
      </w:r>
    </w:p>
    <w:p w14:paraId="3B334355" w14:textId="77777777" w:rsidR="00DE4F03" w:rsidRPr="00313A72" w:rsidRDefault="00DE4F03" w:rsidP="00DE4F03">
      <w:pPr>
        <w:pStyle w:val="CBDNormalNumber"/>
        <w:numPr>
          <w:ilvl w:val="0"/>
          <w:numId w:val="0"/>
        </w:numPr>
        <w:ind w:left="720"/>
        <w:rPr>
          <w:b/>
          <w:bCs/>
          <w:i/>
        </w:rPr>
      </w:pPr>
    </w:p>
    <w:p w14:paraId="4CD9C83F" w14:textId="54AC4B65" w:rsidR="0009773F" w:rsidRPr="00313A72" w:rsidRDefault="0009773F" w:rsidP="00B76FDD">
      <w:pPr>
        <w:pStyle w:val="ListParagraph"/>
        <w:rPr>
          <w:b/>
          <w:bCs/>
          <w:i/>
          <w:iCs/>
        </w:rPr>
      </w:pPr>
      <w:r w:rsidRPr="00313A72">
        <w:rPr>
          <w:b/>
          <w:bCs/>
          <w:i/>
          <w:iCs/>
        </w:rPr>
        <w:t>CPF Joint Initiative:</w:t>
      </w:r>
    </w:p>
    <w:p w14:paraId="41FBE500" w14:textId="06A14A40" w:rsidR="0097597C" w:rsidRPr="00313A72" w:rsidRDefault="0097597C" w:rsidP="00B76FDD">
      <w:pPr>
        <w:ind w:left="720"/>
        <w:contextualSpacing/>
        <w:rPr>
          <w:b/>
          <w:bCs/>
          <w:i/>
        </w:rPr>
      </w:pPr>
      <w:r w:rsidRPr="00313A72">
        <w:rPr>
          <w:b/>
          <w:bCs/>
          <w:i/>
        </w:rPr>
        <w:t>Streamlining forest</w:t>
      </w:r>
      <w:r w:rsidR="00B76FDD" w:rsidRPr="00313A72">
        <w:rPr>
          <w:b/>
          <w:bCs/>
          <w:i/>
        </w:rPr>
        <w:t>-related</w:t>
      </w:r>
      <w:r w:rsidRPr="00313A72">
        <w:rPr>
          <w:b/>
          <w:bCs/>
          <w:i/>
        </w:rPr>
        <w:t xml:space="preserve"> reporting </w:t>
      </w:r>
    </w:p>
    <w:p w14:paraId="4CDA6FB1" w14:textId="5E24163F" w:rsidR="009F71E1" w:rsidRPr="00313A72" w:rsidRDefault="009F71E1" w:rsidP="00B76FDD">
      <w:pPr>
        <w:spacing w:after="120"/>
        <w:ind w:left="720"/>
        <w:contextualSpacing/>
        <w:rPr>
          <w:iCs/>
        </w:rPr>
      </w:pPr>
      <w:r w:rsidRPr="00313A72">
        <w:rPr>
          <w:b/>
          <w:bCs/>
          <w:iCs/>
        </w:rPr>
        <w:t xml:space="preserve">Timeline: </w:t>
      </w:r>
      <w:r w:rsidR="00735936" w:rsidRPr="00313A72">
        <w:rPr>
          <w:iCs/>
        </w:rPr>
        <w:t>2025-2028</w:t>
      </w:r>
    </w:p>
    <w:p w14:paraId="5C21EBF5" w14:textId="3A07BB00" w:rsidR="009F71E1" w:rsidRPr="00313A72" w:rsidRDefault="00284D1A" w:rsidP="00B76FDD">
      <w:pPr>
        <w:spacing w:after="120"/>
        <w:ind w:left="720"/>
        <w:contextualSpacing/>
        <w:rPr>
          <w:b/>
          <w:bCs/>
          <w:iCs/>
        </w:rPr>
      </w:pPr>
      <w:r w:rsidRPr="00313A72">
        <w:rPr>
          <w:b/>
          <w:bCs/>
          <w:iCs/>
        </w:rPr>
        <w:t>Led by</w:t>
      </w:r>
      <w:r w:rsidR="00B76FDD" w:rsidRPr="00313A72">
        <w:rPr>
          <w:b/>
          <w:bCs/>
          <w:iCs/>
        </w:rPr>
        <w:t>:</w:t>
      </w:r>
      <w:r w:rsidR="00735936" w:rsidRPr="00313A72">
        <w:rPr>
          <w:b/>
          <w:bCs/>
          <w:iCs/>
        </w:rPr>
        <w:t xml:space="preserve"> </w:t>
      </w:r>
      <w:r w:rsidR="00735936" w:rsidRPr="00313A72">
        <w:rPr>
          <w:iCs/>
        </w:rPr>
        <w:t>FAO</w:t>
      </w:r>
      <w:r w:rsidR="00C61DE2" w:rsidRPr="00313A72">
        <w:rPr>
          <w:iCs/>
        </w:rPr>
        <w:t xml:space="preserve">, UNFF </w:t>
      </w:r>
      <w:r w:rsidR="00735936" w:rsidRPr="00313A72">
        <w:rPr>
          <w:iCs/>
        </w:rPr>
        <w:t>Secretariat</w:t>
      </w:r>
      <w:r w:rsidR="00C61DE2" w:rsidRPr="00313A72">
        <w:rPr>
          <w:iCs/>
        </w:rPr>
        <w:t xml:space="preserve"> and</w:t>
      </w:r>
      <w:r w:rsidR="00C30597" w:rsidRPr="00313A72">
        <w:rPr>
          <w:iCs/>
        </w:rPr>
        <w:t xml:space="preserve"> supported by</w:t>
      </w:r>
      <w:r w:rsidR="00C61DE2" w:rsidRPr="00313A72">
        <w:rPr>
          <w:iCs/>
        </w:rPr>
        <w:t xml:space="preserve"> IUCN</w:t>
      </w:r>
    </w:p>
    <w:p w14:paraId="1060E4D2" w14:textId="71BEA397" w:rsidR="00D76591" w:rsidRPr="00313A72" w:rsidRDefault="00897A1B" w:rsidP="004678E5">
      <w:pPr>
        <w:pStyle w:val="CBDNormalNumber"/>
        <w:rPr>
          <w:iCs/>
        </w:rPr>
      </w:pPr>
      <w:r w:rsidRPr="00313A72">
        <w:rPr>
          <w:iCs/>
        </w:rPr>
        <w:t xml:space="preserve">This JI proposes ways to reduce forest-related reporting burden through reducing and streamlining reporting requests, synchronizing reporting cycles, harmonizing data collection methods, increasing data comparability and compatibility, and facilitating the accessibility and flows of existing information. It aims to guide ongoing international processes by sharing experiences and </w:t>
      </w:r>
      <w:r w:rsidRPr="00313A72">
        <w:rPr>
          <w:iCs/>
        </w:rPr>
        <w:lastRenderedPageBreak/>
        <w:t>lessons learned on different reporting frameworks and by seeking possibilities for common approaches for data and information collection, storage and reporting by international organizations. A key component of this effort is the development of a Global Core Set (GCS) of forest-related indicators, which focuses data collection on high-priority policy areas and minimizes duplication.</w:t>
      </w:r>
      <w:r w:rsidR="00C10B2A" w:rsidRPr="00313A72">
        <w:rPr>
          <w:iCs/>
        </w:rPr>
        <w:t xml:space="preserve"> </w:t>
      </w:r>
    </w:p>
    <w:p w14:paraId="6684BBE4" w14:textId="77777777" w:rsidR="004678E5" w:rsidRPr="00313A72" w:rsidRDefault="004678E5" w:rsidP="004678E5">
      <w:pPr>
        <w:pStyle w:val="CBDNormalNumber"/>
        <w:numPr>
          <w:ilvl w:val="0"/>
          <w:numId w:val="0"/>
        </w:numPr>
        <w:ind w:left="720"/>
        <w:rPr>
          <w:iCs/>
        </w:rPr>
      </w:pPr>
    </w:p>
    <w:p w14:paraId="542916FF" w14:textId="5098C8EC" w:rsidR="0009773F" w:rsidRPr="00313A72" w:rsidRDefault="0009773F" w:rsidP="0009773F">
      <w:pPr>
        <w:pStyle w:val="ListParagraph"/>
        <w:spacing w:after="120"/>
        <w:ind w:left="360"/>
        <w:contextualSpacing w:val="0"/>
        <w:rPr>
          <w:b/>
          <w:bCs/>
          <w:i/>
        </w:rPr>
      </w:pPr>
      <w:r w:rsidRPr="00313A72">
        <w:rPr>
          <w:b/>
          <w:bCs/>
          <w:i/>
        </w:rPr>
        <w:t xml:space="preserve">Other CPF Joint Initiatives </w:t>
      </w:r>
    </w:p>
    <w:p w14:paraId="648C2FFE" w14:textId="41648AA6" w:rsidR="0009773F" w:rsidRPr="00313A72" w:rsidRDefault="00675D61" w:rsidP="00C61DE2">
      <w:pPr>
        <w:pStyle w:val="CBDNormalNumber"/>
        <w:rPr>
          <w:iCs/>
        </w:rPr>
      </w:pPr>
      <w:r w:rsidRPr="00313A72">
        <w:rPr>
          <w:iCs/>
        </w:rPr>
        <w:t xml:space="preserve">There are 10 additional JIs, </w:t>
      </w:r>
      <w:r w:rsidR="00B66B8B" w:rsidRPr="00313A72">
        <w:rPr>
          <w:iCs/>
        </w:rPr>
        <w:t>categorized as</w:t>
      </w:r>
      <w:r w:rsidRPr="00313A72">
        <w:rPr>
          <w:iCs/>
        </w:rPr>
        <w:t xml:space="preserve"> enabling and thematic, which also support the conservation and sustainable use of forest biodiversity even if this is not their overarching objective. Enabling JIs support coordination, policy development, science-based decisions, monitoring, finance, reporting, education and awareness. Six such JIs are ongoing, including on: </w:t>
      </w:r>
      <w:r w:rsidR="00E10D70" w:rsidRPr="00313A72">
        <w:rPr>
          <w:iCs/>
        </w:rPr>
        <w:t xml:space="preserve">Streamlining Global Forest-related Reporting; </w:t>
      </w:r>
      <w:r w:rsidRPr="00313A72">
        <w:rPr>
          <w:iCs/>
        </w:rPr>
        <w:t>Forest Finance Facilitation</w:t>
      </w:r>
      <w:r w:rsidR="00B66B8B" w:rsidRPr="00313A72">
        <w:rPr>
          <w:rStyle w:val="FootnoteReference"/>
          <w:iCs/>
        </w:rPr>
        <w:footnoteReference w:id="59"/>
      </w:r>
      <w:r w:rsidRPr="00313A72">
        <w:rPr>
          <w:iCs/>
        </w:rPr>
        <w:t>; Forest Education</w:t>
      </w:r>
      <w:r w:rsidR="00B66B8B" w:rsidRPr="00313A72">
        <w:rPr>
          <w:rStyle w:val="FootnoteReference"/>
          <w:iCs/>
        </w:rPr>
        <w:footnoteReference w:id="60"/>
      </w:r>
      <w:r w:rsidRPr="00313A72">
        <w:rPr>
          <w:iCs/>
        </w:rPr>
        <w:t>; Global Forest Expert Panels</w:t>
      </w:r>
      <w:r w:rsidRPr="00313A72">
        <w:rPr>
          <w:rStyle w:val="FootnoteReference"/>
          <w:iCs/>
        </w:rPr>
        <w:footnoteReference w:id="61"/>
      </w:r>
      <w:r w:rsidRPr="00313A72">
        <w:rPr>
          <w:iCs/>
        </w:rPr>
        <w:t>; Wangari Maathai Forest Champions Award</w:t>
      </w:r>
      <w:r w:rsidRPr="00313A72">
        <w:rPr>
          <w:rStyle w:val="FootnoteReference"/>
          <w:iCs/>
        </w:rPr>
        <w:footnoteReference w:id="62"/>
      </w:r>
      <w:r w:rsidRPr="00313A72">
        <w:rPr>
          <w:iCs/>
        </w:rPr>
        <w:t>; and Communication</w:t>
      </w:r>
      <w:r w:rsidRPr="00313A72">
        <w:rPr>
          <w:rStyle w:val="FootnoteReference"/>
          <w:iCs/>
        </w:rPr>
        <w:footnoteReference w:id="63"/>
      </w:r>
      <w:r w:rsidRPr="00313A72">
        <w:rPr>
          <w:iCs/>
        </w:rPr>
        <w:t xml:space="preserve">. Thematic JIs address emerging priorities. These are typically time-bound but may evolve into larger projects. Current thematic JIs </w:t>
      </w:r>
      <w:proofErr w:type="gramStart"/>
      <w:r w:rsidRPr="00313A72">
        <w:rPr>
          <w:iCs/>
        </w:rPr>
        <w:t>include:</w:t>
      </w:r>
      <w:proofErr w:type="gramEnd"/>
      <w:r w:rsidRPr="00313A72">
        <w:rPr>
          <w:iCs/>
        </w:rPr>
        <w:t xml:space="preserve"> Sustainable Wood for a Sustainable World</w:t>
      </w:r>
      <w:r w:rsidRPr="00313A72">
        <w:rPr>
          <w:rStyle w:val="FootnoteReference"/>
          <w:iCs/>
        </w:rPr>
        <w:footnoteReference w:id="64"/>
      </w:r>
      <w:r w:rsidRPr="00313A72">
        <w:rPr>
          <w:iCs/>
        </w:rPr>
        <w:t>; Turning the tide on deforestation</w:t>
      </w:r>
      <w:r w:rsidRPr="00313A72">
        <w:rPr>
          <w:rStyle w:val="FootnoteReference"/>
          <w:iCs/>
        </w:rPr>
        <w:footnoteReference w:id="65"/>
      </w:r>
      <w:r w:rsidRPr="00313A72">
        <w:rPr>
          <w:iCs/>
        </w:rPr>
        <w:t>; Integrated Fire Management in Tropical Forests</w:t>
      </w:r>
      <w:r w:rsidRPr="00313A72">
        <w:rPr>
          <w:rStyle w:val="FootnoteReference"/>
          <w:iCs/>
        </w:rPr>
        <w:footnoteReference w:id="66"/>
      </w:r>
      <w:r w:rsidRPr="00313A72">
        <w:rPr>
          <w:iCs/>
        </w:rPr>
        <w:t>; and Forests for food security and nutrition</w:t>
      </w:r>
      <w:r w:rsidRPr="00313A72">
        <w:rPr>
          <w:rStyle w:val="FootnoteReference"/>
          <w:iCs/>
        </w:rPr>
        <w:footnoteReference w:id="67"/>
      </w:r>
      <w:r w:rsidRPr="00313A72">
        <w:rPr>
          <w:iCs/>
        </w:rPr>
        <w:t>.</w:t>
      </w:r>
    </w:p>
    <w:p w14:paraId="4F2DAB56" w14:textId="65E27FAB" w:rsidR="003A2842" w:rsidRPr="00313A72" w:rsidRDefault="003A2842" w:rsidP="0009773F">
      <w:pPr>
        <w:pStyle w:val="ListParagraph"/>
        <w:spacing w:after="120"/>
        <w:ind w:left="360"/>
        <w:rPr>
          <w:iCs/>
        </w:rPr>
      </w:pPr>
    </w:p>
    <w:p w14:paraId="5E1C9398" w14:textId="33BBCE94" w:rsidR="00D1588B" w:rsidRPr="00313A72" w:rsidRDefault="00014D40" w:rsidP="003A2842">
      <w:pPr>
        <w:jc w:val="center"/>
        <w:rPr>
          <w:rFonts w:ascii="Times New Roman Bold" w:hAnsi="Times New Roman Bold" w:hint="eastAsia"/>
          <w:b/>
          <w:bCs/>
          <w:caps/>
        </w:rPr>
      </w:pPr>
      <w:r w:rsidRPr="00313A72">
        <w:rPr>
          <w:rFonts w:ascii="Times New Roman Bold" w:hAnsi="Times New Roman Bold"/>
          <w:b/>
          <w:bCs/>
          <w:caps/>
        </w:rPr>
        <w:t>IV</w:t>
      </w:r>
      <w:r w:rsidR="004678E5" w:rsidRPr="00313A72">
        <w:rPr>
          <w:rFonts w:ascii="Times New Roman Bold" w:hAnsi="Times New Roman Bold"/>
          <w:b/>
          <w:bCs/>
          <w:caps/>
        </w:rPr>
        <w:t>. CPF</w:t>
      </w:r>
      <w:r w:rsidR="00DD46EF" w:rsidRPr="00313A72">
        <w:rPr>
          <w:rFonts w:ascii="Times New Roman Bold" w:hAnsi="Times New Roman Bold"/>
          <w:b/>
          <w:bCs/>
          <w:caps/>
        </w:rPr>
        <w:t xml:space="preserve"> </w:t>
      </w:r>
      <w:r w:rsidR="00464601" w:rsidRPr="00313A72">
        <w:rPr>
          <w:rFonts w:ascii="Times New Roman Bold" w:hAnsi="Times New Roman Bold"/>
          <w:b/>
          <w:bCs/>
          <w:caps/>
        </w:rPr>
        <w:t>support to</w:t>
      </w:r>
      <w:r w:rsidR="0080389A" w:rsidRPr="00313A72">
        <w:rPr>
          <w:rFonts w:ascii="Times New Roman Bold" w:hAnsi="Times New Roman Bold"/>
          <w:b/>
          <w:bCs/>
          <w:caps/>
        </w:rPr>
        <w:t xml:space="preserve"> the implementation</w:t>
      </w:r>
      <w:r w:rsidR="00DD46EF" w:rsidRPr="00313A72">
        <w:rPr>
          <w:rFonts w:ascii="Times New Roman Bold" w:hAnsi="Times New Roman Bold"/>
          <w:b/>
          <w:bCs/>
          <w:caps/>
        </w:rPr>
        <w:t xml:space="preserve"> of </w:t>
      </w:r>
      <w:r w:rsidR="00464601" w:rsidRPr="00313A72">
        <w:rPr>
          <w:rFonts w:ascii="Times New Roman Bold" w:hAnsi="Times New Roman Bold"/>
          <w:b/>
          <w:bCs/>
          <w:caps/>
        </w:rPr>
        <w:t xml:space="preserve">programme </w:t>
      </w:r>
      <w:r w:rsidR="0080389A" w:rsidRPr="00313A72">
        <w:rPr>
          <w:rFonts w:ascii="Times New Roman Bold" w:hAnsi="Times New Roman Bold"/>
          <w:b/>
          <w:bCs/>
          <w:caps/>
        </w:rPr>
        <w:t>of work on</w:t>
      </w:r>
      <w:r w:rsidR="009F0BD4" w:rsidRPr="00313A72">
        <w:rPr>
          <w:rFonts w:ascii="Times New Roman Bold" w:hAnsi="Times New Roman Bold"/>
          <w:b/>
          <w:bCs/>
          <w:caps/>
        </w:rPr>
        <w:t xml:space="preserve"> </w:t>
      </w:r>
      <w:r w:rsidR="0080389A" w:rsidRPr="00313A72">
        <w:rPr>
          <w:rFonts w:ascii="Times New Roman Bold" w:hAnsi="Times New Roman Bold"/>
          <w:b/>
          <w:bCs/>
          <w:caps/>
        </w:rPr>
        <w:t xml:space="preserve">forest biodiversity </w:t>
      </w:r>
    </w:p>
    <w:p w14:paraId="111B9B76" w14:textId="4563F2BC" w:rsidR="004B68FD" w:rsidRPr="00313A72" w:rsidRDefault="00B66B8B" w:rsidP="00125FEE">
      <w:pPr>
        <w:pStyle w:val="CBDNormalNumber"/>
      </w:pPr>
      <w:r w:rsidRPr="00313A72">
        <w:t>In its “Joint Call to Action for Forests towards 2030”</w:t>
      </w:r>
      <w:r w:rsidRPr="00313A72">
        <w:rPr>
          <w:rStyle w:val="FootnoteReference"/>
        </w:rPr>
        <w:footnoteReference w:id="68"/>
      </w:r>
      <w:r w:rsidRPr="00313A72">
        <w:t xml:space="preserve">, the CPF reaffirmed its commitment to urgent and collaborative action to work towards a world in which all forests are managed sustainably for the benefit of people and the planet under the overarching roadmap of the </w:t>
      </w:r>
      <w:r w:rsidR="00300CFE" w:rsidRPr="00313A72">
        <w:t>SDGs</w:t>
      </w:r>
      <w:r w:rsidRPr="00313A72">
        <w:t>, the UNSPF</w:t>
      </w:r>
      <w:r w:rsidR="00EE288A" w:rsidRPr="00313A72">
        <w:t>,</w:t>
      </w:r>
      <w:r w:rsidRPr="00313A72">
        <w:t xml:space="preserve"> its GFG</w:t>
      </w:r>
      <w:r w:rsidR="00755F4A" w:rsidRPr="00313A72">
        <w:t>s</w:t>
      </w:r>
      <w:r w:rsidR="00EE288A" w:rsidRPr="00313A72">
        <w:t xml:space="preserve"> and other forest related international goals and targets</w:t>
      </w:r>
      <w:r w:rsidRPr="00313A72">
        <w:t>.</w:t>
      </w:r>
      <w:r w:rsidR="00574B81" w:rsidRPr="00313A72">
        <w:t xml:space="preserve"> To this end, CPF member organizations are scaling up forest actions and strengthening efforts to unlock the contribution of forests </w:t>
      </w:r>
      <w:r w:rsidR="00755F4A" w:rsidRPr="00313A72">
        <w:t>towards</w:t>
      </w:r>
      <w:r w:rsidR="00574B81" w:rsidRPr="00313A72">
        <w:t xml:space="preserve"> globally agreed goals and forest-related commitment</w:t>
      </w:r>
      <w:r w:rsidR="00EE288A" w:rsidRPr="00313A72">
        <w:t xml:space="preserve">s, </w:t>
      </w:r>
      <w:r w:rsidR="00574B81" w:rsidRPr="00313A72">
        <w:t>including the KMGBF</w:t>
      </w:r>
      <w:r w:rsidR="00755F4A" w:rsidRPr="00313A72">
        <w:t>.</w:t>
      </w:r>
      <w:r w:rsidR="00574B81" w:rsidRPr="00313A72">
        <w:t xml:space="preserve"> </w:t>
      </w:r>
      <w:r w:rsidR="00755F4A" w:rsidRPr="00313A72">
        <w:t xml:space="preserve">These efforts are focused </w:t>
      </w:r>
      <w:r w:rsidR="00EE288A" w:rsidRPr="00313A72">
        <w:t>on</w:t>
      </w:r>
      <w:r w:rsidR="00574B81" w:rsidRPr="00313A72">
        <w:t xml:space="preserve"> four focal areas: implementation and action</w:t>
      </w:r>
      <w:r w:rsidR="00EE288A" w:rsidRPr="00313A72">
        <w:t xml:space="preserve"> on the ground</w:t>
      </w:r>
      <w:r w:rsidR="00574B81" w:rsidRPr="00313A72">
        <w:t xml:space="preserve">; data, science and innovation; finance for forests; and communication and awareness-raising. </w:t>
      </w:r>
    </w:p>
    <w:p w14:paraId="3AB958BC" w14:textId="28C76EF0" w:rsidR="00276E92" w:rsidRPr="00313A72" w:rsidRDefault="00276E92" w:rsidP="00C61DE2">
      <w:pPr>
        <w:pStyle w:val="CBDNormalNumber"/>
      </w:pPr>
      <w:r w:rsidRPr="00313A72">
        <w:t xml:space="preserve">Moreover, at the 19th Session of the UNFF in 2024, the CPF was invited to continue to enhance cooperation, coordination, coherence and synergies on sustainable forest management by addressing the interlinkages of climate change, biodiversity, land degradation, among others. The CPF was also invited to focus its workplan on the implementation of the UNSPF and its GFGs, as well as other multilaterally agreed forest-related goals, including the KMGBF. The governing bodies of the CPF member organizations were also invited to integrate the UNSPF and its GFGs in their </w:t>
      </w:r>
      <w:r w:rsidRPr="00313A72">
        <w:lastRenderedPageBreak/>
        <w:t>plans and operational programme of work, and to take mutually beneficial decisions to strengthen the CPF</w:t>
      </w:r>
      <w:r w:rsidRPr="00313A72">
        <w:rPr>
          <w:rStyle w:val="FootnoteReference"/>
        </w:rPr>
        <w:footnoteReference w:id="69"/>
      </w:r>
      <w:r w:rsidRPr="00313A72">
        <w:t>.</w:t>
      </w:r>
    </w:p>
    <w:p w14:paraId="14D22A15" w14:textId="082FA66E" w:rsidR="004E2EFE" w:rsidRPr="00313A72" w:rsidRDefault="004E2EFE" w:rsidP="000829BD">
      <w:pPr>
        <w:pStyle w:val="CBDNormalNumber"/>
      </w:pPr>
      <w:r w:rsidRPr="00313A72">
        <w:t>As reflected in Section I (particularly paragraph</w:t>
      </w:r>
      <w:r w:rsidR="00276E92" w:rsidRPr="00313A72">
        <w:t>s</w:t>
      </w:r>
      <w:r w:rsidRPr="00313A72">
        <w:t xml:space="preserve"> 3</w:t>
      </w:r>
      <w:r w:rsidR="00276E92" w:rsidRPr="00313A72">
        <w:t xml:space="preserve"> and 4</w:t>
      </w:r>
      <w:r w:rsidRPr="00313A72">
        <w:t>) of this document, the CPF has a longstanding history of engagement in CBD process</w:t>
      </w:r>
      <w:r w:rsidR="00DF2DA7" w:rsidRPr="00313A72">
        <w:t>es</w:t>
      </w:r>
      <w:r w:rsidR="00276E92" w:rsidRPr="00313A72">
        <w:t>, at the request of Parties</w:t>
      </w:r>
      <w:r w:rsidR="00DD41A3" w:rsidRPr="00313A72">
        <w:t xml:space="preserve"> </w:t>
      </w:r>
      <w:r w:rsidR="00276E92" w:rsidRPr="00313A72">
        <w:t xml:space="preserve">including through the </w:t>
      </w:r>
      <w:r w:rsidRPr="00313A72">
        <w:t xml:space="preserve">provision of technical advice and support. </w:t>
      </w:r>
      <w:r w:rsidR="000326FE" w:rsidRPr="00313A72">
        <w:t xml:space="preserve">Since the adoption of the </w:t>
      </w:r>
      <w:proofErr w:type="spellStart"/>
      <w:r w:rsidR="000326FE" w:rsidRPr="00313A72">
        <w:t>PoWFB</w:t>
      </w:r>
      <w:proofErr w:type="spellEnd"/>
      <w:r w:rsidR="000326FE" w:rsidRPr="00313A72">
        <w:t xml:space="preserve"> in 2002, CPF members have leveraged their diverse mandates, technical expertise and comparative advantages to support its implementation and help to guide Parties in their policies and the conservation and sustainable management of forests. </w:t>
      </w:r>
    </w:p>
    <w:p w14:paraId="0501D7E5" w14:textId="79A80AE1" w:rsidR="004E2EFE" w:rsidRPr="00313A72" w:rsidRDefault="004E2EFE" w:rsidP="004E2EFE">
      <w:pPr>
        <w:pStyle w:val="CBDNormalNumber"/>
      </w:pPr>
      <w:r w:rsidRPr="00313A72">
        <w:t>The KMGBF adopted in 2022, provides a comprehensive framework for the conservation, sustainable use and benefit</w:t>
      </w:r>
      <w:r w:rsidR="00885F8D" w:rsidRPr="00313A72">
        <w:t>-</w:t>
      </w:r>
      <w:r w:rsidRPr="00313A72">
        <w:t>sharing of biodiversity. The conservation and sustainable management of the world’s forests is central to the KMGBF’s ambitious vision of a world living in harmony with nature, as outlined by the pathway of its 4 broad goals by 2050 and 23 milestone targets for 2030. CPF members are engaged in multiple individual and collective efforts to promote sustainable forest management, including for biodiversity conservation, in alignment with the goals and targets of the KMGBF.</w:t>
      </w:r>
      <w:r w:rsidR="00E10D70" w:rsidRPr="00313A72">
        <w:t xml:space="preserve"> This includes efforts to integrate forest priorities and solutions into the design, financing, implementation and monitoring of NBSAPs and to facilitate the sharing of such solutions within and across countries and regions through South-South and Triangular Cooperation.</w:t>
      </w:r>
    </w:p>
    <w:p w14:paraId="2256C821" w14:textId="561BDB30" w:rsidR="000326FE" w:rsidRPr="00313A72" w:rsidRDefault="004E2EFE">
      <w:pPr>
        <w:pStyle w:val="CBDNormalNumber"/>
      </w:pPr>
      <w:r w:rsidRPr="00313A72">
        <w:t>With particular regard to document CBD/SBSTTA/27/5</w:t>
      </w:r>
      <w:r w:rsidR="00596169" w:rsidRPr="00313A72">
        <w:t>/Add.2</w:t>
      </w:r>
      <w:r w:rsidRPr="00313A72">
        <w:t xml:space="preserve"> “Strategic review </w:t>
      </w:r>
      <w:r w:rsidR="00FC6453" w:rsidRPr="00313A72">
        <w:t xml:space="preserve">of </w:t>
      </w:r>
      <w:r w:rsidRPr="00313A72">
        <w:t xml:space="preserve">and updates </w:t>
      </w:r>
      <w:r w:rsidR="00FC6453" w:rsidRPr="00313A72">
        <w:t>to</w:t>
      </w:r>
      <w:r w:rsidRPr="00313A72">
        <w:t xml:space="preserve"> the expanded programme of work on forest biodiversity in the context of the Kunming</w:t>
      </w:r>
      <w:r w:rsidR="00FC6453" w:rsidRPr="00313A72">
        <w:t>-</w:t>
      </w:r>
      <w:r w:rsidRPr="00313A72">
        <w:t>Montreal Global Biodiversity Framework,” t</w:t>
      </w:r>
      <w:r w:rsidR="000326FE" w:rsidRPr="00313A72">
        <w:t>he CPF is</w:t>
      </w:r>
      <w:r w:rsidRPr="00313A72">
        <w:t xml:space="preserve"> committed</w:t>
      </w:r>
      <w:r w:rsidRPr="00E26709">
        <w:t xml:space="preserve"> to</w:t>
      </w:r>
      <w:r w:rsidR="000326FE" w:rsidRPr="00313A72">
        <w:t xml:space="preserve"> supporting</w:t>
      </w:r>
      <w:r w:rsidR="00DD41A3" w:rsidRPr="00313A72">
        <w:t xml:space="preserve"> </w:t>
      </w:r>
      <w:r w:rsidR="000326FE" w:rsidRPr="00313A72">
        <w:t>Parties towards the goals of the KMGBF through the provision of technical expertise, collaboration on joint initiatives, and coordinated actions to support the development of complementary guidance and technical advice to Parties, upon request,</w:t>
      </w:r>
      <w:r w:rsidR="00DD41A3" w:rsidRPr="00313A72">
        <w:t xml:space="preserve"> </w:t>
      </w:r>
      <w:r w:rsidR="000326FE" w:rsidRPr="00313A72">
        <w:t xml:space="preserve">to implement forest-related KMGBF targets.  </w:t>
      </w:r>
    </w:p>
    <w:p w14:paraId="5852AEAB" w14:textId="4E59B498" w:rsidR="003067D2" w:rsidRPr="00313A72" w:rsidRDefault="003067D2" w:rsidP="003067D2">
      <w:pPr>
        <w:pStyle w:val="CBDNormalNumber"/>
      </w:pPr>
      <w:r w:rsidRPr="00313A72">
        <w:t>FAO</w:t>
      </w:r>
      <w:r w:rsidR="00086D95" w:rsidRPr="00313A72">
        <w:t>, UNEP</w:t>
      </w:r>
      <w:r w:rsidRPr="00313A72">
        <w:t xml:space="preserve"> </w:t>
      </w:r>
      <w:r w:rsidR="00DA3CAD" w:rsidRPr="00313A72">
        <w:t>and</w:t>
      </w:r>
      <w:r w:rsidR="00FA275C" w:rsidRPr="00313A72">
        <w:t xml:space="preserve"> </w:t>
      </w:r>
      <w:r w:rsidR="00DA3CAD" w:rsidRPr="00313A72">
        <w:t>partners are</w:t>
      </w:r>
      <w:r w:rsidRPr="00313A72">
        <w:t xml:space="preserve"> promoting integrated fire management (IFM) as a transformative </w:t>
      </w:r>
      <w:r w:rsidR="00DA3CAD" w:rsidRPr="00313A72">
        <w:t>approach</w:t>
      </w:r>
      <w:r w:rsidRPr="00313A72">
        <w:t xml:space="preserve"> that </w:t>
      </w:r>
      <w:r w:rsidR="00E6179F" w:rsidRPr="00313A72">
        <w:t>bri</w:t>
      </w:r>
      <w:r w:rsidR="000E35B6" w:rsidRPr="00313A72">
        <w:t>dges</w:t>
      </w:r>
      <w:r w:rsidR="00E6179F" w:rsidRPr="00313A72">
        <w:t xml:space="preserve"> diverse knowledge systems and </w:t>
      </w:r>
      <w:r w:rsidRPr="00313A72">
        <w:t>moves from reactive firefighting to prevention</w:t>
      </w:r>
      <w:r w:rsidR="00DA3CAD" w:rsidRPr="00313A72">
        <w:t xml:space="preserve"> and preparedness</w:t>
      </w:r>
      <w:r w:rsidRPr="00313A72">
        <w:t>. The FAO-hosted Global Fire Management Hub</w:t>
      </w:r>
      <w:r w:rsidR="00563B18" w:rsidRPr="00313A72">
        <w:t xml:space="preserve"> (Fire Hub)</w:t>
      </w:r>
      <w:r w:rsidRPr="00313A72">
        <w:t xml:space="preserve">, which brings together key partners to assist countries in implementing </w:t>
      </w:r>
      <w:r w:rsidR="000D05CE" w:rsidRPr="00313A72">
        <w:t>IFM</w:t>
      </w:r>
      <w:r w:rsidRPr="00313A72">
        <w:t xml:space="preserve">, </w:t>
      </w:r>
      <w:r w:rsidR="007D5104" w:rsidRPr="00313A72">
        <w:t>promot</w:t>
      </w:r>
      <w:r w:rsidR="002E701C" w:rsidRPr="00313A72">
        <w:t>es</w:t>
      </w:r>
      <w:r w:rsidRPr="00313A72">
        <w:t xml:space="preserve"> knowledge and data sharing, </w:t>
      </w:r>
      <w:r w:rsidR="00B22D88" w:rsidRPr="00313A72">
        <w:t xml:space="preserve">training and </w:t>
      </w:r>
      <w:r w:rsidRPr="00313A72">
        <w:t xml:space="preserve">capacity building, wildfire-resilient communities, fire risk </w:t>
      </w:r>
      <w:r w:rsidR="00472198" w:rsidRPr="00313A72">
        <w:t xml:space="preserve">mapping, </w:t>
      </w:r>
      <w:r w:rsidRPr="00313A72">
        <w:t>reduction and early warning</w:t>
      </w:r>
      <w:r w:rsidR="00310ECD" w:rsidRPr="00313A72">
        <w:t xml:space="preserve"> systems</w:t>
      </w:r>
      <w:r w:rsidRPr="00313A72">
        <w:t xml:space="preserve"> and </w:t>
      </w:r>
      <w:r w:rsidR="009C5281" w:rsidRPr="00313A72">
        <w:t xml:space="preserve">IFM </w:t>
      </w:r>
      <w:r w:rsidRPr="00313A72">
        <w:t>policy development and implementation</w:t>
      </w:r>
      <w:r w:rsidR="009C5281" w:rsidRPr="00313A72">
        <w:t>. The Fire Hub</w:t>
      </w:r>
      <w:r w:rsidR="00315026" w:rsidRPr="00313A72">
        <w:t xml:space="preserve"> provides a </w:t>
      </w:r>
      <w:r w:rsidR="00B70CDB" w:rsidRPr="00313A72">
        <w:t>“</w:t>
      </w:r>
      <w:r w:rsidR="00315026" w:rsidRPr="00313A72">
        <w:t>one-stop</w:t>
      </w:r>
      <w:r w:rsidR="00B270AB" w:rsidRPr="00313A72">
        <w:t>-</w:t>
      </w:r>
      <w:r w:rsidR="00315026" w:rsidRPr="00313A72">
        <w:t>shop</w:t>
      </w:r>
      <w:r w:rsidR="00B70CDB" w:rsidRPr="00313A72">
        <w:t>”</w:t>
      </w:r>
      <w:r w:rsidR="00315026" w:rsidRPr="00313A72">
        <w:t xml:space="preserve"> for</w:t>
      </w:r>
      <w:r w:rsidR="00B70CDB" w:rsidRPr="00313A72">
        <w:t xml:space="preserve"> data, guidelines, best practices, </w:t>
      </w:r>
      <w:r w:rsidR="00B34BF5" w:rsidRPr="00313A72">
        <w:t>technologies</w:t>
      </w:r>
      <w:r w:rsidR="00B70CDB" w:rsidRPr="00313A72">
        <w:t xml:space="preserve"> and access to various</w:t>
      </w:r>
      <w:r w:rsidR="00E62F46" w:rsidRPr="00313A72">
        <w:t xml:space="preserve"> </w:t>
      </w:r>
      <w:r w:rsidR="00B70CDB" w:rsidRPr="00313A72">
        <w:t xml:space="preserve">networks and initiatives </w:t>
      </w:r>
      <w:r w:rsidR="00E62F46" w:rsidRPr="00313A72">
        <w:t xml:space="preserve">of the international fire community </w:t>
      </w:r>
      <w:r w:rsidR="0060588E" w:rsidRPr="00313A72">
        <w:t>to promote cooperation</w:t>
      </w:r>
      <w:r w:rsidR="002E5C2D" w:rsidRPr="00313A72">
        <w:t xml:space="preserve"> and </w:t>
      </w:r>
      <w:proofErr w:type="gramStart"/>
      <w:r w:rsidR="002E5C2D" w:rsidRPr="00313A72">
        <w:t>interoperability</w:t>
      </w:r>
      <w:r w:rsidRPr="00313A72">
        <w:t>, and</w:t>
      </w:r>
      <w:proofErr w:type="gramEnd"/>
      <w:r w:rsidRPr="00313A72">
        <w:t xml:space="preserve"> encourages parties to strengthen their implementation of integrated fire management, in recognition of its contribution to the achievement of the KMGBF.</w:t>
      </w:r>
      <w:r w:rsidR="0048566B" w:rsidRPr="00E26709">
        <w:t xml:space="preserve"> </w:t>
      </w:r>
      <w:r w:rsidR="00563B18" w:rsidRPr="00E26709">
        <w:t>Fire Hub activities</w:t>
      </w:r>
      <w:r w:rsidR="0048566B" w:rsidRPr="00E26709">
        <w:t xml:space="preserve"> </w:t>
      </w:r>
      <w:r w:rsidR="000C69C3" w:rsidRPr="00E26709">
        <w:t>[</w:t>
      </w:r>
      <w:r w:rsidR="0048566B" w:rsidRPr="00E26709">
        <w:t>in Latin America</w:t>
      </w:r>
      <w:r w:rsidR="000C69C3" w:rsidRPr="00E26709">
        <w:t>]</w:t>
      </w:r>
      <w:r w:rsidR="0048566B" w:rsidRPr="00E26709">
        <w:t xml:space="preserve"> </w:t>
      </w:r>
      <w:r w:rsidR="00563B18" w:rsidRPr="00E26709">
        <w:t>focus on improving the conservation and restoration of ecosystems through</w:t>
      </w:r>
      <w:r w:rsidR="000C69C3" w:rsidRPr="00E26709">
        <w:t xml:space="preserve"> active engagement of </w:t>
      </w:r>
      <w:r w:rsidR="00D27D56" w:rsidRPr="00E26709">
        <w:t>i</w:t>
      </w:r>
      <w:r w:rsidR="000C69C3" w:rsidRPr="00E26709">
        <w:t xml:space="preserve">ndigenous </w:t>
      </w:r>
      <w:r w:rsidR="00D27D56" w:rsidRPr="00E26709">
        <w:t>p</w:t>
      </w:r>
      <w:r w:rsidR="000C69C3" w:rsidRPr="00E26709">
        <w:t>eoples and other local knowledge holders in</w:t>
      </w:r>
      <w:r w:rsidR="00563B18" w:rsidRPr="00E26709">
        <w:t xml:space="preserve"> IFM</w:t>
      </w:r>
      <w:r w:rsidR="000C69C3" w:rsidRPr="00E26709">
        <w:t>,</w:t>
      </w:r>
      <w:r w:rsidR="00563B18" w:rsidRPr="00E26709">
        <w:t xml:space="preserve"> in support of Targets 2 and 3 of the KMGBF. </w:t>
      </w:r>
      <w:r w:rsidR="00B93D1E" w:rsidRPr="00E26709">
        <w:t>A</w:t>
      </w:r>
      <w:r w:rsidR="00ED500E" w:rsidRPr="00E26709">
        <w:t xml:space="preserve"> forthcoming </w:t>
      </w:r>
      <w:r w:rsidR="00B93D1E" w:rsidRPr="00E26709">
        <w:t>International Indigenous-led Fire Adaptation Network</w:t>
      </w:r>
      <w:r w:rsidR="00ED500E" w:rsidRPr="00E26709">
        <w:t xml:space="preserve"> </w:t>
      </w:r>
      <w:r w:rsidR="007A7C6D" w:rsidRPr="00E26709">
        <w:t xml:space="preserve">will </w:t>
      </w:r>
      <w:r w:rsidR="00F04C5F" w:rsidRPr="00E26709">
        <w:t xml:space="preserve">enhance </w:t>
      </w:r>
      <w:r w:rsidR="00B704B9" w:rsidRPr="00E26709">
        <w:t>i</w:t>
      </w:r>
      <w:r w:rsidR="004400F7" w:rsidRPr="00E26709">
        <w:t xml:space="preserve">ndigenous </w:t>
      </w:r>
      <w:r w:rsidR="00B704B9" w:rsidRPr="00E26709">
        <w:t>p</w:t>
      </w:r>
      <w:r w:rsidR="004400F7" w:rsidRPr="00E26709">
        <w:t>eoples</w:t>
      </w:r>
      <w:r w:rsidR="00ED500E" w:rsidRPr="00E26709">
        <w:t>’ leadership</w:t>
      </w:r>
      <w:r w:rsidR="004400F7" w:rsidRPr="00E26709">
        <w:t xml:space="preserve"> in IFM</w:t>
      </w:r>
      <w:r w:rsidR="00ED500E" w:rsidRPr="00E26709">
        <w:t xml:space="preserve"> and </w:t>
      </w:r>
      <w:r w:rsidR="007E4E0B" w:rsidRPr="00E26709">
        <w:t xml:space="preserve">help </w:t>
      </w:r>
      <w:r w:rsidR="00ED500E" w:rsidRPr="00E26709">
        <w:t xml:space="preserve">promote </w:t>
      </w:r>
      <w:r w:rsidR="00B704B9" w:rsidRPr="00E26709">
        <w:t>i</w:t>
      </w:r>
      <w:r w:rsidR="00ED500E" w:rsidRPr="00E26709">
        <w:t>ndigenous knowledge and fire management practices globally</w:t>
      </w:r>
      <w:r w:rsidR="004400F7" w:rsidRPr="00E26709">
        <w:t xml:space="preserve">. </w:t>
      </w:r>
    </w:p>
    <w:p w14:paraId="145172AD" w14:textId="08BE7033" w:rsidR="006A14E5" w:rsidRPr="00313A72" w:rsidRDefault="00272087" w:rsidP="00D864F9">
      <w:pPr>
        <w:pStyle w:val="CBDNormalNumber"/>
      </w:pPr>
      <w:r w:rsidRPr="00313A72">
        <w:t xml:space="preserve">Strong </w:t>
      </w:r>
      <w:r w:rsidR="00E9743E" w:rsidRPr="00313A72">
        <w:t xml:space="preserve">complementarity </w:t>
      </w:r>
      <w:r w:rsidRPr="00313A72">
        <w:t>exist</w:t>
      </w:r>
      <w:r w:rsidR="00096E83" w:rsidRPr="00313A72">
        <w:t>s</w:t>
      </w:r>
      <w:r w:rsidRPr="00313A72">
        <w:t xml:space="preserve"> between forest-related indicators used in the Kunming-Montreal Global Biodiversity Framework (KMGBF), the Global Forest Goals (GFGs), and the Sustainable Development Goals (SDGs). This alignment suggests that shared indicators could be used across these processes, simplifying reporting requirements and enhancing coherence. Many forest-related statistics and data relevant to the GFG, KMGBF and SDG reporting processes are derived from FAO’s Global Forest Resource Assessment (FRA), which provides essential information for understanding the extent of forest resources, their condition, management and uses. The next edition of FRA will be released in October 2025. Where possible, countries are encouraged to integrate forest targets into their National Biodiversity Strategies and Action Plans (NBSAPs) and Voluntary National Forest Contributions, using cross-referenced indicators to streamline national and international reporting efforts. </w:t>
      </w:r>
      <w:r w:rsidR="00F450E9" w:rsidRPr="00313A72">
        <w:t xml:space="preserve">FAO is also the custodian agency for a range of indicators used to measure progress towards the implementation of the KMGBF, including Progress toward </w:t>
      </w:r>
      <w:r w:rsidR="00F450E9" w:rsidRPr="00313A72">
        <w:lastRenderedPageBreak/>
        <w:t xml:space="preserve">sustainable forest management (SDG Indicator 15.2.1). The Framework for Ecosystem Restoration Monitoring (FERM), developed by FAO, assists countries in reporting on areas under restoration in alignment with Target 2 of the KMGBF. </w:t>
      </w:r>
    </w:p>
    <w:p w14:paraId="0AAA1262" w14:textId="77777777" w:rsidR="009A68C0" w:rsidRPr="00313A72" w:rsidRDefault="009A68C0" w:rsidP="009A68C0">
      <w:pPr>
        <w:pStyle w:val="CBDNormalNumber"/>
        <w:rPr>
          <w:rFonts w:asciiTheme="majorBidi" w:eastAsia="Times New Roman" w:hAnsiTheme="majorBidi" w:cstheme="majorBidi"/>
        </w:rPr>
      </w:pPr>
      <w:r w:rsidRPr="00313A72">
        <w:rPr>
          <w:rFonts w:asciiTheme="majorBidi" w:eastAsia="Times New Roman" w:hAnsiTheme="majorBidi" w:cstheme="majorBidi"/>
        </w:rPr>
        <w:t>The Global Forest Financing Facilitation Network (GFFFN) was established in 2015 by the UNFF to assist members in mobilizing, accessing and effective use of financial resources for sustainable forest management. As of this writing, the GFFFN has supported 37 countries and three regional or sub-regional organizations with capacity-building and technical assistance for the development of national and regional forest financing strategies and project proposals. These capacity-building activities have included components on financing for forest biodiversity. The national and regional forest financing strategies and projects developed have incorporated biodiversity elements, as appropriate, in line with relevant national strategies and priorities. </w:t>
      </w:r>
    </w:p>
    <w:p w14:paraId="6D528C4F" w14:textId="2083459A" w:rsidR="007A1C75" w:rsidRPr="00313A72" w:rsidRDefault="009A68C0" w:rsidP="004678E5">
      <w:pPr>
        <w:pStyle w:val="CBDNormalNumber"/>
        <w:rPr>
          <w:rFonts w:asciiTheme="majorBidi" w:eastAsia="Times New Roman" w:hAnsiTheme="majorBidi" w:cstheme="majorBidi"/>
        </w:rPr>
      </w:pPr>
      <w:r w:rsidRPr="00313A72">
        <w:rPr>
          <w:rFonts w:asciiTheme="majorBidi" w:eastAsia="Times New Roman" w:hAnsiTheme="majorBidi" w:cstheme="majorBidi"/>
        </w:rPr>
        <w:t>In addition, the UNFF Clearing House on Forest Financing</w:t>
      </w:r>
      <w:r w:rsidRPr="00313A72">
        <w:rPr>
          <w:rFonts w:asciiTheme="majorBidi" w:eastAsia="Times New Roman" w:hAnsiTheme="majorBidi" w:cstheme="majorBidi"/>
          <w:vertAlign w:val="superscript"/>
        </w:rPr>
        <w:footnoteReference w:id="70"/>
      </w:r>
      <w:r w:rsidRPr="00313A72">
        <w:rPr>
          <w:rFonts w:asciiTheme="majorBidi" w:eastAsia="Times New Roman" w:hAnsiTheme="majorBidi" w:cstheme="majorBidi"/>
        </w:rPr>
        <w:t xml:space="preserve"> provides a one-stop-shop for information and knowledge on forest financing. It contains three databases with information on financing opportunities, learning materials, and good practices related to financing for forests. Out of 323 entries, over a third are tagged as relevant to biodiversity conservation. These include 99 financing opportunities and 22 publications, including several directly referencing the goals and targets of the KMGBF. In addition, the UNFF Clearing House Quarterly Highlight brings further visibility to the latest developments in financing for forests, including updates on resource mobilization for the KMGBF, as well as calls for proposals and learning materials targeting forest biodiversity.  </w:t>
      </w:r>
    </w:p>
    <w:p w14:paraId="629421FD" w14:textId="2BADBED4" w:rsidR="009A68C0" w:rsidRPr="00313A72" w:rsidRDefault="00AE433B"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 xml:space="preserve">The </w:t>
      </w:r>
      <w:r w:rsidR="009A68C0" w:rsidRPr="00313A72">
        <w:rPr>
          <w:rFonts w:asciiTheme="majorBidi" w:eastAsia="Times New Roman" w:hAnsiTheme="majorBidi" w:cstheme="majorBidi"/>
        </w:rPr>
        <w:t>UNFF</w:t>
      </w:r>
      <w:r w:rsidRPr="00313A72">
        <w:rPr>
          <w:rFonts w:asciiTheme="majorBidi" w:eastAsia="Times New Roman" w:hAnsiTheme="majorBidi" w:cstheme="majorBidi"/>
        </w:rPr>
        <w:t>S</w:t>
      </w:r>
      <w:r w:rsidR="009A68C0" w:rsidRPr="00313A72">
        <w:rPr>
          <w:rFonts w:asciiTheme="majorBidi" w:eastAsia="Times New Roman" w:hAnsiTheme="majorBidi" w:cstheme="majorBidi"/>
        </w:rPr>
        <w:t xml:space="preserve"> has developed a project “Innovative and digital technologies for forest monitoring and data-sharing by </w:t>
      </w:r>
      <w:r w:rsidR="00B704B9" w:rsidRPr="00313A72">
        <w:rPr>
          <w:rFonts w:asciiTheme="majorBidi" w:eastAsia="Times New Roman" w:hAnsiTheme="majorBidi" w:cstheme="majorBidi"/>
        </w:rPr>
        <w:t>i</w:t>
      </w:r>
      <w:r w:rsidR="009A68C0" w:rsidRPr="00313A72">
        <w:rPr>
          <w:rFonts w:asciiTheme="majorBidi" w:eastAsia="Times New Roman" w:hAnsiTheme="majorBidi" w:cstheme="majorBidi"/>
        </w:rPr>
        <w:t xml:space="preserve">ndigenous </w:t>
      </w:r>
      <w:r w:rsidR="00B704B9" w:rsidRPr="00313A72">
        <w:rPr>
          <w:rFonts w:asciiTheme="majorBidi" w:eastAsia="Times New Roman" w:hAnsiTheme="majorBidi" w:cstheme="majorBidi"/>
        </w:rPr>
        <w:t>p</w:t>
      </w:r>
      <w:r w:rsidR="009A68C0" w:rsidRPr="00313A72">
        <w:rPr>
          <w:rFonts w:asciiTheme="majorBidi" w:eastAsia="Times New Roman" w:hAnsiTheme="majorBidi" w:cstheme="majorBidi"/>
        </w:rPr>
        <w:t>eoples</w:t>
      </w:r>
      <w:r w:rsidR="002C40DB" w:rsidRPr="00313A72">
        <w:rPr>
          <w:rFonts w:asciiTheme="majorBidi" w:eastAsia="Times New Roman" w:hAnsiTheme="majorBidi" w:cstheme="majorBidi"/>
        </w:rPr>
        <w:t xml:space="preserve"> and</w:t>
      </w:r>
      <w:r w:rsidR="005C2380" w:rsidRPr="00313A72">
        <w:rPr>
          <w:rFonts w:asciiTheme="majorBidi" w:eastAsia="Times New Roman" w:hAnsiTheme="majorBidi" w:cstheme="majorBidi"/>
        </w:rPr>
        <w:t xml:space="preserve"> </w:t>
      </w:r>
      <w:r w:rsidR="009A68C0" w:rsidRPr="00313A72">
        <w:rPr>
          <w:rFonts w:asciiTheme="majorBidi" w:eastAsia="Times New Roman" w:hAnsiTheme="majorBidi" w:cstheme="majorBidi"/>
        </w:rPr>
        <w:t xml:space="preserve">local communities, women and young people”. The aim of the project is to strengthen the capacities of a few countries to integrate scientific data and traditional knowledge of the </w:t>
      </w:r>
      <w:r w:rsidR="00B704B9" w:rsidRPr="00313A72">
        <w:rPr>
          <w:rFonts w:asciiTheme="majorBidi" w:eastAsia="Times New Roman" w:hAnsiTheme="majorBidi" w:cstheme="majorBidi"/>
        </w:rPr>
        <w:t>i</w:t>
      </w:r>
      <w:r w:rsidR="009A68C0" w:rsidRPr="00313A72">
        <w:rPr>
          <w:rFonts w:asciiTheme="majorBidi" w:eastAsia="Times New Roman" w:hAnsiTheme="majorBidi" w:cstheme="majorBidi"/>
        </w:rPr>
        <w:t xml:space="preserve">ndigenous </w:t>
      </w:r>
      <w:r w:rsidR="00B704B9" w:rsidRPr="00313A72">
        <w:rPr>
          <w:rFonts w:asciiTheme="majorBidi" w:eastAsia="Times New Roman" w:hAnsiTheme="majorBidi" w:cstheme="majorBidi"/>
        </w:rPr>
        <w:t>p</w:t>
      </w:r>
      <w:r w:rsidR="009A68C0" w:rsidRPr="00313A72">
        <w:rPr>
          <w:rFonts w:asciiTheme="majorBidi" w:eastAsia="Times New Roman" w:hAnsiTheme="majorBidi" w:cstheme="majorBidi"/>
        </w:rPr>
        <w:t xml:space="preserve">eoples and local communities by identifying and applying user-friendly monitoring and assessment tools including user friendly digital technology for monitoring, assessment, and reporting on the implementation of sustainable forest management and the UNSPF. </w:t>
      </w:r>
    </w:p>
    <w:p w14:paraId="74420F5A" w14:textId="6711EE00" w:rsidR="007A1C75" w:rsidRPr="00313A72" w:rsidRDefault="007A1C75"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IUFRO, under its science-business platform Teaming Up 4 Forest (TU4F) has recently started a scientific assessment focused on better understanding how to balance forest management and use with biodiversity goals and social expectations. The study is scheduled to be published in mid-2026.</w:t>
      </w:r>
    </w:p>
    <w:p w14:paraId="51CE9CCC" w14:textId="162586DE" w:rsidR="007A1C75" w:rsidRPr="00313A72" w:rsidRDefault="007A1C75"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The GEF</w:t>
      </w:r>
      <w:r w:rsidR="009720C9" w:rsidRPr="00313A72">
        <w:rPr>
          <w:rFonts w:asciiTheme="majorBidi" w:eastAsia="Times New Roman" w:hAnsiTheme="majorBidi" w:cstheme="majorBidi"/>
        </w:rPr>
        <w:t>,</w:t>
      </w:r>
      <w:r w:rsidRPr="00313A72">
        <w:rPr>
          <w:rFonts w:asciiTheme="majorBidi" w:eastAsia="Times New Roman" w:hAnsiTheme="majorBidi" w:cstheme="majorBidi"/>
        </w:rPr>
        <w:t xml:space="preserve"> </w:t>
      </w:r>
      <w:r w:rsidR="009720C9" w:rsidRPr="00313A72">
        <w:rPr>
          <w:rFonts w:asciiTheme="majorBidi" w:eastAsia="Times New Roman" w:hAnsiTheme="majorBidi" w:cstheme="majorBidi"/>
        </w:rPr>
        <w:t xml:space="preserve">as </w:t>
      </w:r>
      <w:r w:rsidRPr="00313A72">
        <w:rPr>
          <w:rFonts w:asciiTheme="majorBidi" w:eastAsia="Times New Roman" w:hAnsiTheme="majorBidi" w:cstheme="majorBidi"/>
        </w:rPr>
        <w:t xml:space="preserve">the institutional structure operating the Financial Mechanism of the CBD, </w:t>
      </w:r>
      <w:r w:rsidR="009720C9" w:rsidRPr="00313A72">
        <w:rPr>
          <w:rFonts w:asciiTheme="majorBidi" w:eastAsia="Times New Roman" w:hAnsiTheme="majorBidi" w:cstheme="majorBidi"/>
        </w:rPr>
        <w:t xml:space="preserve">developed </w:t>
      </w:r>
      <w:r w:rsidRPr="00313A72">
        <w:rPr>
          <w:rFonts w:asciiTheme="majorBidi" w:eastAsia="Times New Roman" w:hAnsiTheme="majorBidi" w:cstheme="majorBidi"/>
        </w:rPr>
        <w:t xml:space="preserve">the Programming Directions of the GEF Trust Fund for the period 2022-2026 (GEF-8) to support the implementation of the </w:t>
      </w:r>
      <w:r w:rsidR="009720C9" w:rsidRPr="00313A72">
        <w:rPr>
          <w:rFonts w:asciiTheme="majorBidi" w:eastAsia="Times New Roman" w:hAnsiTheme="majorBidi" w:cstheme="majorBidi"/>
        </w:rPr>
        <w:t>KMGBF</w:t>
      </w:r>
      <w:r w:rsidRPr="00313A72">
        <w:rPr>
          <w:rFonts w:asciiTheme="majorBidi" w:eastAsia="Times New Roman" w:hAnsiTheme="majorBidi" w:cstheme="majorBidi"/>
        </w:rPr>
        <w:t>. In addition, the GEF established the Global Biodiversity Framework Fund in 2023 in response to CBD COP 15 guidance. Country-driven programming across these two funds has resulted in significant investments in forest landscapes globally, with $1.7 billion invested in forest conservation and sustainable use related projects and programs between June 2022 and August 2025. These forest-related programs and projects are expected to make the following quantitative contributions to the KMGBF targets (note that these contributions may change until implementation):</w:t>
      </w:r>
    </w:p>
    <w:p w14:paraId="25978E58" w14:textId="77777777" w:rsidR="007A1C75" w:rsidRPr="00313A72" w:rsidRDefault="007A1C75" w:rsidP="007A1C75">
      <w:pPr>
        <w:pStyle w:val="CBDNormalNumber"/>
        <w:numPr>
          <w:ilvl w:val="0"/>
          <w:numId w:val="59"/>
        </w:numPr>
        <w:spacing w:before="0" w:after="0"/>
      </w:pPr>
      <w:r w:rsidRPr="00313A72">
        <w:t>Target 1: Strengthen management effectiveness of 49.6 million hectares of forest landscapes benefitting biodiversity</w:t>
      </w:r>
    </w:p>
    <w:p w14:paraId="423C905F" w14:textId="77777777" w:rsidR="007A1C75" w:rsidRPr="00313A72" w:rsidRDefault="007A1C75" w:rsidP="007A1C75">
      <w:pPr>
        <w:pStyle w:val="CBDNormalNumber"/>
        <w:numPr>
          <w:ilvl w:val="0"/>
          <w:numId w:val="59"/>
        </w:numPr>
        <w:spacing w:before="0" w:after="0"/>
      </w:pPr>
      <w:r w:rsidRPr="00313A72">
        <w:t>Target 2: 1.7 million ha of forest ecosystems under restoration</w:t>
      </w:r>
    </w:p>
    <w:p w14:paraId="287B7484" w14:textId="77777777" w:rsidR="007A1C75" w:rsidRPr="00313A72" w:rsidRDefault="007A1C75" w:rsidP="007A1C75">
      <w:pPr>
        <w:pStyle w:val="CBDNormalNumber"/>
        <w:numPr>
          <w:ilvl w:val="0"/>
          <w:numId w:val="59"/>
        </w:numPr>
        <w:spacing w:before="0" w:after="0"/>
      </w:pPr>
      <w:r w:rsidRPr="00313A72">
        <w:t>Target 3: 114 million ha of protected areas and 8 million ha of other effective area-based conservation measures (OECM) created or under improved management</w:t>
      </w:r>
    </w:p>
    <w:p w14:paraId="2331A3ED" w14:textId="77777777" w:rsidR="007A1C75" w:rsidRPr="00313A72" w:rsidRDefault="007A1C75" w:rsidP="007A1C75">
      <w:pPr>
        <w:pStyle w:val="CBDNormalNumber"/>
        <w:numPr>
          <w:ilvl w:val="0"/>
          <w:numId w:val="59"/>
        </w:numPr>
        <w:spacing w:before="0" w:after="0"/>
      </w:pPr>
      <w:r w:rsidRPr="00313A72">
        <w:t>Target 7: 14,000 metric tons of chemicals of global concern and their waste reduced and 18,000 metric tons of residual plastic waste avoided</w:t>
      </w:r>
    </w:p>
    <w:p w14:paraId="426A88E0" w14:textId="77777777" w:rsidR="007A1C75" w:rsidRPr="00313A72" w:rsidRDefault="007A1C75" w:rsidP="007A1C75">
      <w:pPr>
        <w:pStyle w:val="CBDNormalNumber"/>
        <w:numPr>
          <w:ilvl w:val="0"/>
          <w:numId w:val="59"/>
        </w:numPr>
        <w:spacing w:before="0" w:after="0"/>
      </w:pPr>
      <w:r w:rsidRPr="00313A72">
        <w:t>Target 8 and Target 11: 919 million metric tons of GHG emissions mitigated (CO2e)</w:t>
      </w:r>
    </w:p>
    <w:p w14:paraId="0C11C1AF" w14:textId="77777777" w:rsidR="007A1C75" w:rsidRPr="00313A72" w:rsidRDefault="007A1C75" w:rsidP="007A1C75">
      <w:pPr>
        <w:pStyle w:val="CBDNormalNumber"/>
        <w:numPr>
          <w:ilvl w:val="0"/>
          <w:numId w:val="59"/>
        </w:numPr>
        <w:spacing w:before="0" w:after="0"/>
      </w:pPr>
      <w:r w:rsidRPr="00313A72">
        <w:t>Target 10: 38 million ha of productive landscapes under improved practices</w:t>
      </w:r>
    </w:p>
    <w:p w14:paraId="204014EB" w14:textId="77777777" w:rsidR="007A1C75" w:rsidRPr="00313A72" w:rsidRDefault="007A1C75" w:rsidP="007A1C75">
      <w:pPr>
        <w:pStyle w:val="CBDNormalNumber"/>
        <w:numPr>
          <w:ilvl w:val="0"/>
          <w:numId w:val="59"/>
        </w:numPr>
        <w:spacing w:before="0" w:after="0"/>
      </w:pPr>
      <w:r w:rsidRPr="00313A72">
        <w:lastRenderedPageBreak/>
        <w:t xml:space="preserve">Target 19: $13.9 billion of co-financing, for a total investment of $15.6 billion in biodiversity-relevant projects </w:t>
      </w:r>
    </w:p>
    <w:p w14:paraId="556F33A4" w14:textId="77777777" w:rsidR="007A1C75" w:rsidRPr="00313A72" w:rsidRDefault="007A1C75" w:rsidP="007A1C75">
      <w:pPr>
        <w:pStyle w:val="CBDNormalNumber"/>
        <w:numPr>
          <w:ilvl w:val="0"/>
          <w:numId w:val="59"/>
        </w:numPr>
        <w:spacing w:before="0" w:after="0"/>
      </w:pPr>
      <w:r w:rsidRPr="00313A72">
        <w:t>Target 22 and Target 23: 19.6 million people benefitting from the conservation, sustainable use or restoration of biodiversity, including 50% women.</w:t>
      </w:r>
    </w:p>
    <w:p w14:paraId="7E622535" w14:textId="77777777" w:rsidR="007A1C75" w:rsidRPr="00313A72" w:rsidRDefault="007A1C75"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GEF-8 projects make important contributions to the achievement of Targets 20 (capacity building) and 21 (data/information/knowledge management). While not specifically measured by the GEF Trust Fund core indicators, most if not all projects actively support these targets to achieve program and project goals.</w:t>
      </w:r>
    </w:p>
    <w:p w14:paraId="163A6010" w14:textId="602BB83B" w:rsidR="007A1C75" w:rsidRPr="00313A72" w:rsidRDefault="007A1C75"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 xml:space="preserve">Similarly, Targets 22 and 23 refer to the way the KMGBF is implemented at the national level, with Target 22 focusing on equitable, inclusive, and gender-responsive participation and Target 23 focusing on gender equality. GEF’s policy framework on </w:t>
      </w:r>
      <w:r w:rsidR="00172484" w:rsidRPr="00313A72">
        <w:rPr>
          <w:rFonts w:asciiTheme="majorBidi" w:eastAsia="Times New Roman" w:hAnsiTheme="majorBidi" w:cstheme="majorBidi"/>
        </w:rPr>
        <w:t>indigenous peoples and local communities</w:t>
      </w:r>
      <w:r w:rsidRPr="00313A72">
        <w:rPr>
          <w:rFonts w:asciiTheme="majorBidi" w:eastAsia="Times New Roman" w:hAnsiTheme="majorBidi" w:cstheme="majorBidi"/>
        </w:rPr>
        <w:t xml:space="preserve"> and gender ensures that all GEF investments contribute to these targets.</w:t>
      </w:r>
    </w:p>
    <w:p w14:paraId="6449A61E" w14:textId="7C81C560" w:rsidR="007A1C75" w:rsidRPr="00313A72" w:rsidRDefault="00E10D70"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 xml:space="preserve">The CPF plans to support the organization of the Forest Pavilion at UNFCCC COP30 to be hosted by the Organizing Committee of the Forest Pavilion, </w:t>
      </w:r>
      <w:r w:rsidR="00E9743E" w:rsidRPr="00313A72">
        <w:rPr>
          <w:rFonts w:asciiTheme="majorBidi" w:eastAsia="Times New Roman" w:hAnsiTheme="majorBidi" w:cstheme="majorBidi"/>
        </w:rPr>
        <w:t xml:space="preserve">co-chaired by the Government of Brazil and the Government of Canada, </w:t>
      </w:r>
      <w:r w:rsidRPr="00313A72">
        <w:rPr>
          <w:rFonts w:asciiTheme="majorBidi" w:eastAsia="Times New Roman" w:hAnsiTheme="majorBidi" w:cstheme="majorBidi"/>
        </w:rPr>
        <w:t>and hold a series of events at the pavilion, including those focused on forest biodiversity and above-mentioned Joint Initiatives of the CPF to share its experiences and best practices.</w:t>
      </w:r>
    </w:p>
    <w:p w14:paraId="1FDE48F3" w14:textId="47DA1657" w:rsidR="00B66B8B" w:rsidRPr="00313A72" w:rsidRDefault="00E10D70"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UNDP, at the request of the government of Brazil, is supporting country dialogues on tropical forests engagement in the Tropical Forests Forever Facility, expected to be launched at COP</w:t>
      </w:r>
      <w:r w:rsidR="00F14B2D" w:rsidRPr="00313A72">
        <w:rPr>
          <w:rFonts w:asciiTheme="majorBidi" w:eastAsia="Times New Roman" w:hAnsiTheme="majorBidi" w:cstheme="majorBidi"/>
        </w:rPr>
        <w:t>3</w:t>
      </w:r>
      <w:r w:rsidRPr="00313A72">
        <w:rPr>
          <w:rFonts w:asciiTheme="majorBidi" w:eastAsia="Times New Roman" w:hAnsiTheme="majorBidi" w:cstheme="majorBidi"/>
        </w:rPr>
        <w:t>0. In addition, and as part of the broader Climate Promise initiative, UNDP will be featuring countries</w:t>
      </w:r>
      <w:r w:rsidR="001C278E" w:rsidRPr="00313A72">
        <w:rPr>
          <w:rFonts w:asciiTheme="majorBidi" w:eastAsia="Times New Roman" w:hAnsiTheme="majorBidi" w:cstheme="majorBidi"/>
        </w:rPr>
        <w:t>’</w:t>
      </w:r>
      <w:r w:rsidRPr="00313A72">
        <w:rPr>
          <w:rFonts w:asciiTheme="majorBidi" w:eastAsia="Times New Roman" w:hAnsiTheme="majorBidi" w:cstheme="majorBidi"/>
        </w:rPr>
        <w:t xml:space="preserve"> progress on NDC design and implementation, including the contribution of the forests and land use sector.</w:t>
      </w:r>
    </w:p>
    <w:p w14:paraId="21123553" w14:textId="40AB465F" w:rsidR="007A1C75" w:rsidRPr="00313A72" w:rsidRDefault="007A1C75" w:rsidP="00570F7A">
      <w:pPr>
        <w:pStyle w:val="CBDNormalNumber"/>
        <w:rPr>
          <w:rFonts w:asciiTheme="majorBidi" w:eastAsia="Times New Roman" w:hAnsiTheme="majorBidi" w:cstheme="majorBidi"/>
        </w:rPr>
      </w:pPr>
      <w:r w:rsidRPr="00313A72">
        <w:rPr>
          <w:rFonts w:asciiTheme="majorBidi" w:eastAsia="Times New Roman" w:hAnsiTheme="majorBidi" w:cstheme="majorBidi"/>
        </w:rPr>
        <w:t>IUCN, under its JI Strengthening the Conservation of Primary Forest, is organizing an event at the IUCN World Conservation Congress, convening stakeholders and decision-makers from governments, multilateral finance institutions, civil society, academia and UN agencies to advance the global dialogue on the conservation of primary forests. It will also showcase initiatives from the CPF and highlight what has been achieved so far and how these efforts can be further advanced.</w:t>
      </w:r>
    </w:p>
    <w:p w14:paraId="734F566F" w14:textId="7C1A0FAD" w:rsidR="007A1C75" w:rsidRPr="00313A72" w:rsidRDefault="001C278E" w:rsidP="001C278E">
      <w:pPr>
        <w:pStyle w:val="CBDNormalNumber"/>
        <w:numPr>
          <w:ilvl w:val="0"/>
          <w:numId w:val="0"/>
        </w:numPr>
        <w:ind w:left="720"/>
        <w:jc w:val="center"/>
        <w:rPr>
          <w:rFonts w:asciiTheme="majorBidi" w:eastAsia="Times New Roman" w:hAnsiTheme="majorBidi" w:cstheme="majorBidi"/>
        </w:rPr>
      </w:pPr>
      <w:r w:rsidRPr="00313A72">
        <w:rPr>
          <w:rFonts w:asciiTheme="majorBidi" w:eastAsia="Times New Roman" w:hAnsiTheme="majorBidi" w:cstheme="majorBidi"/>
        </w:rPr>
        <w:t>___________</w:t>
      </w:r>
    </w:p>
    <w:p w14:paraId="74EFF30B" w14:textId="77777777" w:rsidR="001D3CC8" w:rsidRPr="00313A72" w:rsidRDefault="001D3CC8" w:rsidP="001E4FE3"/>
    <w:sectPr w:rsidR="001D3CC8" w:rsidRPr="00313A72" w:rsidSect="00E26709">
      <w:headerReference w:type="even" r:id="rId17"/>
      <w:headerReference w:type="default" r:id="rId18"/>
      <w:footerReference w:type="even" r:id="rId19"/>
      <w:footerReference w:type="default" r:id="rId20"/>
      <w:foot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BAECF" w14:textId="77777777" w:rsidR="00741080" w:rsidRPr="00313A72" w:rsidRDefault="00741080" w:rsidP="00385872">
      <w:r w:rsidRPr="00313A72">
        <w:separator/>
      </w:r>
    </w:p>
  </w:endnote>
  <w:endnote w:type="continuationSeparator" w:id="0">
    <w:p w14:paraId="45794ED1" w14:textId="77777777" w:rsidR="00741080" w:rsidRPr="00313A72" w:rsidRDefault="00741080" w:rsidP="00385872">
      <w:r w:rsidRPr="00313A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5543" w14:textId="30B99942" w:rsidR="00A5349C" w:rsidRDefault="00CE6677" w:rsidP="00CE6677">
    <w:pPr>
      <w:pStyle w:val="Footer"/>
    </w:pPr>
    <w:r w:rsidRPr="007117EF">
      <w:fldChar w:fldCharType="begin"/>
    </w:r>
    <w:r w:rsidRPr="007117EF">
      <w:instrText xml:space="preserve"> PAGE </w:instrText>
    </w:r>
    <w:r w:rsidRPr="007117EF">
      <w:fldChar w:fldCharType="separate"/>
    </w:r>
    <w:r>
      <w:t>2</w:t>
    </w:r>
    <w:r w:rsidRPr="007117EF">
      <w:fldChar w:fldCharType="end"/>
    </w:r>
    <w:r w:rsidRPr="007117EF">
      <w:t>/</w:t>
    </w:r>
    <w:fldSimple w:instr=" NUMPAGES \* MERGEFORMAT ">
      <w: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1DF1" w14:textId="762254F3" w:rsidR="00A5349C" w:rsidRDefault="00CE6677" w:rsidP="00E26709">
    <w:pPr>
      <w:pStyle w:val="Footer"/>
      <w:jc w:val="right"/>
    </w:pPr>
    <w:r w:rsidRPr="007117EF">
      <w:fldChar w:fldCharType="begin"/>
    </w:r>
    <w:r w:rsidRPr="007117EF">
      <w:instrText xml:space="preserve"> PAGE </w:instrText>
    </w:r>
    <w:r w:rsidRPr="007117EF">
      <w:fldChar w:fldCharType="separate"/>
    </w:r>
    <w:r>
      <w:t>2</w:t>
    </w:r>
    <w:r w:rsidRPr="007117EF">
      <w:fldChar w:fldCharType="end"/>
    </w:r>
    <w:r w:rsidRPr="007117EF">
      <w:t>/</w:t>
    </w:r>
    <w:fldSimple w:instr=" NUMPAGES \* MERGEFORMAT ">
      <w: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1EF1" w14:textId="27B570BE" w:rsidR="0096362A" w:rsidRPr="00313A72" w:rsidRDefault="0096362A" w:rsidP="00E26709">
    <w:pPr>
      <w:pStyle w:val="Footer"/>
      <w:jc w:val="center"/>
      <w:rPr>
        <w:rFonts w:asciiTheme="majorBidi" w:hAnsiTheme="majorBidi" w:cstheme="majorBid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D7A2" w14:textId="77777777" w:rsidR="00741080" w:rsidRPr="00313A72" w:rsidRDefault="00741080" w:rsidP="00385872">
      <w:r w:rsidRPr="00313A72">
        <w:separator/>
      </w:r>
    </w:p>
  </w:footnote>
  <w:footnote w:type="continuationSeparator" w:id="0">
    <w:p w14:paraId="3C26051B" w14:textId="77777777" w:rsidR="00741080" w:rsidRPr="00313A72" w:rsidRDefault="00741080" w:rsidP="00385872">
      <w:r w:rsidRPr="00313A72">
        <w:continuationSeparator/>
      </w:r>
    </w:p>
  </w:footnote>
  <w:footnote w:id="1">
    <w:p w14:paraId="0B6A3544" w14:textId="511FC9CC" w:rsidR="004D45B9" w:rsidRPr="00E26709" w:rsidRDefault="004D45B9">
      <w:pPr>
        <w:pStyle w:val="FootnoteText"/>
        <w:rPr>
          <w:lang w:val="en-CA"/>
        </w:rPr>
      </w:pPr>
      <w:r>
        <w:rPr>
          <w:rStyle w:val="FootnoteReference"/>
        </w:rPr>
        <w:t>*</w:t>
      </w:r>
      <w:r>
        <w:t xml:space="preserve"> </w:t>
      </w:r>
      <w:r w:rsidR="006A2FF9" w:rsidRPr="006A2FF9">
        <w:t>CBD/SBSTTA/27/1</w:t>
      </w:r>
      <w:r w:rsidR="006A2FF9">
        <w:t>.</w:t>
      </w:r>
    </w:p>
  </w:footnote>
  <w:footnote w:id="2">
    <w:p w14:paraId="4D1D1D07" w14:textId="1BE8F40F" w:rsidR="004D45B9" w:rsidRPr="004D45B9" w:rsidRDefault="004D45B9">
      <w:pPr>
        <w:pStyle w:val="FootnoteText"/>
      </w:pPr>
      <w:r>
        <w:rPr>
          <w:rStyle w:val="FootnoteReference"/>
        </w:rPr>
        <w:t>**</w:t>
      </w:r>
      <w:r>
        <w:t xml:space="preserve"> </w:t>
      </w:r>
      <w:r w:rsidR="00A96EAE" w:rsidRPr="00A96EAE">
        <w:t>The present document is being issued without formal editing.</w:t>
      </w:r>
    </w:p>
  </w:footnote>
  <w:footnote w:id="3">
    <w:p w14:paraId="648AAFE6" w14:textId="34A8F5FF" w:rsidR="0073742C" w:rsidRPr="00E26709" w:rsidRDefault="0073742C">
      <w:pPr>
        <w:pStyle w:val="FootnoteText"/>
      </w:pPr>
      <w:r w:rsidRPr="00313A72">
        <w:rPr>
          <w:rStyle w:val="FootnoteReference"/>
        </w:rPr>
        <w:footnoteRef/>
      </w:r>
      <w:r w:rsidRPr="00313A72">
        <w:t xml:space="preserve"> </w:t>
      </w:r>
      <w:r w:rsidR="001F03BF" w:rsidRPr="00313A72">
        <w:rPr>
          <w:szCs w:val="18"/>
        </w:rPr>
        <w:t xml:space="preserve">Further information on the Collaborative Partnership on Forests </w:t>
      </w:r>
      <w:r w:rsidR="00150D46">
        <w:rPr>
          <w:szCs w:val="18"/>
        </w:rPr>
        <w:t xml:space="preserve">is </w:t>
      </w:r>
      <w:r w:rsidR="001F03BF" w:rsidRPr="00313A72">
        <w:rPr>
          <w:szCs w:val="18"/>
        </w:rPr>
        <w:t xml:space="preserve">available at </w:t>
      </w:r>
      <w:hyperlink r:id="rId1" w:history="1">
        <w:r w:rsidR="001F03BF" w:rsidRPr="00313A72">
          <w:rPr>
            <w:rStyle w:val="Hyperlink"/>
            <w:szCs w:val="18"/>
          </w:rPr>
          <w:t>www.fao.org/collaborative-partnership-on-forests</w:t>
        </w:r>
      </w:hyperlink>
      <w:r w:rsidR="00861B24">
        <w:rPr>
          <w:szCs w:val="18"/>
        </w:rPr>
        <w:t>.</w:t>
      </w:r>
    </w:p>
  </w:footnote>
  <w:footnote w:id="4">
    <w:p w14:paraId="0C6FE00A" w14:textId="77777777" w:rsidR="00E00979" w:rsidRPr="00E26709" w:rsidRDefault="00E00979" w:rsidP="00B169D6">
      <w:pPr>
        <w:pStyle w:val="FootnoteText"/>
        <w:spacing w:after="120"/>
        <w:contextualSpacing/>
        <w:rPr>
          <w:szCs w:val="18"/>
        </w:rPr>
      </w:pPr>
      <w:r w:rsidRPr="00313A72">
        <w:rPr>
          <w:rStyle w:val="FootnoteReference"/>
          <w:szCs w:val="18"/>
        </w:rPr>
        <w:footnoteRef/>
      </w:r>
      <w:r w:rsidRPr="00313A72">
        <w:rPr>
          <w:szCs w:val="18"/>
        </w:rPr>
        <w:t xml:space="preserve"> Members of the Collaborative Partnership on Forests: </w:t>
      </w:r>
      <w:proofErr w:type="spellStart"/>
      <w:r w:rsidRPr="00313A72">
        <w:rPr>
          <w:szCs w:val="18"/>
        </w:rPr>
        <w:t>Center</w:t>
      </w:r>
      <w:proofErr w:type="spellEnd"/>
      <w:r w:rsidRPr="00313A72">
        <w:rPr>
          <w:szCs w:val="18"/>
        </w:rPr>
        <w:t xml:space="preserve"> for International Forestry Research–World Agroforestry (CIFOR–ICRAF), Convention on Biological Diversity (CBD), Convention on International Trade in Endangered Species of Wild Fauna and Flora (CITES), Food and Agriculture Organization of the United Nations (FAO), Green Climate Fund (GCF), Global Environment Facility (GEF), International Tropical Timber Organization (ITTO), International Union for Conservation of Nature (IUCN), International Union of Forest Research Organizations (IUFRO), United Nations Convention to Combat Desertification (UNCCD), United Nations Development Programme (UNDP), United Nations Environment Programme (UNEP), United Nations Forum on Forests Secretariat (UNFFS), United Nations Framework Convention on Climate Change (UNFCCC), and the World Bank Group.</w:t>
      </w:r>
    </w:p>
  </w:footnote>
  <w:footnote w:id="5">
    <w:p w14:paraId="48513E09" w14:textId="2A0AE95C" w:rsidR="00E00979" w:rsidRPr="00E26709" w:rsidRDefault="00E00979" w:rsidP="00B169D6">
      <w:pPr>
        <w:pStyle w:val="FootnoteText"/>
        <w:spacing w:after="120"/>
        <w:contextualSpacing/>
        <w:rPr>
          <w:szCs w:val="18"/>
        </w:rPr>
      </w:pPr>
      <w:r w:rsidRPr="00313A72">
        <w:rPr>
          <w:rStyle w:val="FootnoteReference"/>
          <w:szCs w:val="18"/>
        </w:rPr>
        <w:footnoteRef/>
      </w:r>
      <w:r w:rsidRPr="00E26709">
        <w:rPr>
          <w:szCs w:val="18"/>
        </w:rPr>
        <w:t xml:space="preserve"> </w:t>
      </w:r>
      <w:r w:rsidR="00051B13" w:rsidRPr="00E26709">
        <w:rPr>
          <w:szCs w:val="18"/>
        </w:rPr>
        <w:t xml:space="preserve">ECOSOC Resolution 2000/35 available at: </w:t>
      </w:r>
      <w:hyperlink r:id="rId2" w:history="1">
        <w:r w:rsidR="00D76591" w:rsidRPr="00E26709">
          <w:rPr>
            <w:rStyle w:val="Hyperlink"/>
            <w:szCs w:val="18"/>
          </w:rPr>
          <w:t>https://www.un.org/esa/forests/wp-content/uploads/2013/09/2000_35_E.pdf</w:t>
        </w:r>
      </w:hyperlink>
      <w:r w:rsidR="00D76591" w:rsidRPr="00E26709">
        <w:rPr>
          <w:szCs w:val="18"/>
        </w:rPr>
        <w:t xml:space="preserve"> </w:t>
      </w:r>
    </w:p>
  </w:footnote>
  <w:footnote w:id="6">
    <w:p w14:paraId="0DCF7959" w14:textId="50F21093" w:rsidR="00E00979" w:rsidRPr="00E26709" w:rsidRDefault="00E00979" w:rsidP="00C0196F">
      <w:pPr>
        <w:pStyle w:val="FootnoteText"/>
        <w:spacing w:after="120"/>
        <w:contextualSpacing/>
        <w:rPr>
          <w:szCs w:val="18"/>
        </w:rPr>
      </w:pPr>
      <w:r w:rsidRPr="00313A72">
        <w:rPr>
          <w:rStyle w:val="FootnoteReference"/>
          <w:szCs w:val="18"/>
        </w:rPr>
        <w:footnoteRef/>
      </w:r>
      <w:r w:rsidRPr="00E26709">
        <w:rPr>
          <w:szCs w:val="18"/>
        </w:rPr>
        <w:t xml:space="preserve"> </w:t>
      </w:r>
      <w:r w:rsidR="00051B13" w:rsidRPr="00E26709">
        <w:rPr>
          <w:szCs w:val="18"/>
        </w:rPr>
        <w:t xml:space="preserve">ECOSOC Resolution 2015/33 available at: </w:t>
      </w:r>
      <w:hyperlink r:id="rId3" w:history="1">
        <w:r w:rsidR="00051B13" w:rsidRPr="00E26709">
          <w:rPr>
            <w:rStyle w:val="Hyperlink"/>
            <w:szCs w:val="18"/>
          </w:rPr>
          <w:t>https://docs.un.org/en/E/RES/2015/33</w:t>
        </w:r>
      </w:hyperlink>
      <w:r w:rsidRPr="00E26709">
        <w:rPr>
          <w:szCs w:val="18"/>
        </w:rPr>
        <w:t xml:space="preserve"> </w:t>
      </w:r>
    </w:p>
  </w:footnote>
  <w:footnote w:id="7">
    <w:p w14:paraId="11029004" w14:textId="77777777" w:rsidR="00D37ADA" w:rsidRPr="00313A72" w:rsidRDefault="00D37ADA" w:rsidP="00D37ADA">
      <w:pPr>
        <w:pStyle w:val="FootnoteText"/>
        <w:rPr>
          <w:szCs w:val="18"/>
        </w:rPr>
      </w:pPr>
      <w:r w:rsidRPr="00313A72">
        <w:rPr>
          <w:rStyle w:val="FootnoteReference"/>
          <w:szCs w:val="18"/>
        </w:rPr>
        <w:footnoteRef/>
      </w:r>
      <w:r w:rsidRPr="00313A72">
        <w:rPr>
          <w:szCs w:val="18"/>
        </w:rPr>
        <w:t xml:space="preserve"> United Nations Strategic Plan for Forests 2017-2030 available at: </w:t>
      </w:r>
      <w:hyperlink r:id="rId4" w:history="1">
        <w:r w:rsidRPr="00313A72">
          <w:rPr>
            <w:rStyle w:val="Hyperlink"/>
            <w:szCs w:val="18"/>
          </w:rPr>
          <w:t>https://documents.un.org/doc/undoc/gen/n17/184/62/pdf/n1718462.pdf</w:t>
        </w:r>
      </w:hyperlink>
      <w:r w:rsidRPr="00313A72">
        <w:rPr>
          <w:szCs w:val="18"/>
        </w:rPr>
        <w:t xml:space="preserve"> </w:t>
      </w:r>
    </w:p>
  </w:footnote>
  <w:footnote w:id="8">
    <w:p w14:paraId="1AA4EBC4" w14:textId="77777777" w:rsidR="0071365D" w:rsidRPr="00313A72" w:rsidRDefault="0071365D" w:rsidP="0071365D">
      <w:pPr>
        <w:pStyle w:val="FootnoteText"/>
        <w:rPr>
          <w:szCs w:val="18"/>
        </w:rPr>
      </w:pPr>
      <w:r w:rsidRPr="00313A72">
        <w:rPr>
          <w:rStyle w:val="FootnoteReference"/>
          <w:szCs w:val="18"/>
        </w:rPr>
        <w:footnoteRef/>
      </w:r>
      <w:r w:rsidRPr="00313A72">
        <w:rPr>
          <w:szCs w:val="18"/>
        </w:rPr>
        <w:t xml:space="preserve"> CBD COP Decision VI/22 available at: </w:t>
      </w:r>
      <w:hyperlink r:id="rId5" w:history="1">
        <w:r w:rsidRPr="00313A72">
          <w:rPr>
            <w:rStyle w:val="Hyperlink"/>
            <w:szCs w:val="18"/>
          </w:rPr>
          <w:t>https://www.cbd.int/decision/cop/default.shtml?id=7196</w:t>
        </w:r>
      </w:hyperlink>
      <w:r w:rsidRPr="00313A72">
        <w:rPr>
          <w:szCs w:val="18"/>
        </w:rPr>
        <w:t xml:space="preserve"> </w:t>
      </w:r>
    </w:p>
  </w:footnote>
  <w:footnote w:id="9">
    <w:p w14:paraId="43F574C0" w14:textId="5FBC9A34" w:rsidR="0071365D" w:rsidRPr="00E26709" w:rsidRDefault="0071365D" w:rsidP="0071365D">
      <w:pPr>
        <w:pStyle w:val="FootnoteText"/>
        <w:rPr>
          <w:szCs w:val="18"/>
        </w:rPr>
      </w:pPr>
      <w:r w:rsidRPr="00313A72">
        <w:rPr>
          <w:rStyle w:val="FootnoteReference"/>
          <w:szCs w:val="18"/>
        </w:rPr>
        <w:footnoteRef/>
      </w:r>
      <w:r w:rsidRPr="00E26709">
        <w:rPr>
          <w:szCs w:val="18"/>
        </w:rPr>
        <w:t xml:space="preserve"> CBD COP Decision </w:t>
      </w:r>
      <w:r w:rsidR="00D76591" w:rsidRPr="00E26709">
        <w:rPr>
          <w:szCs w:val="18"/>
        </w:rPr>
        <w:t>XIII</w:t>
      </w:r>
      <w:r w:rsidRPr="00E26709">
        <w:rPr>
          <w:szCs w:val="18"/>
        </w:rPr>
        <w:t xml:space="preserve">/7 available at: </w:t>
      </w:r>
      <w:hyperlink r:id="rId6" w:history="1">
        <w:r w:rsidRPr="00E26709">
          <w:rPr>
            <w:rStyle w:val="Hyperlink"/>
            <w:szCs w:val="18"/>
          </w:rPr>
          <w:t>https://www.cbd.int/doc/decisions/cop-13/cop-13-dec-07-en.pdf</w:t>
        </w:r>
      </w:hyperlink>
      <w:r w:rsidRPr="00E26709">
        <w:rPr>
          <w:szCs w:val="18"/>
        </w:rPr>
        <w:t xml:space="preserve"> </w:t>
      </w:r>
    </w:p>
  </w:footnote>
  <w:footnote w:id="10">
    <w:p w14:paraId="3A8CCC95" w14:textId="77777777" w:rsidR="0071365D" w:rsidRPr="00313A72" w:rsidRDefault="0071365D" w:rsidP="0071365D">
      <w:pPr>
        <w:pStyle w:val="FootnoteText"/>
        <w:rPr>
          <w:szCs w:val="18"/>
        </w:rPr>
      </w:pPr>
      <w:r w:rsidRPr="00313A72">
        <w:rPr>
          <w:rStyle w:val="FootnoteReference"/>
          <w:szCs w:val="18"/>
        </w:rPr>
        <w:footnoteRef/>
      </w:r>
      <w:r w:rsidRPr="00313A72">
        <w:rPr>
          <w:szCs w:val="18"/>
        </w:rPr>
        <w:t xml:space="preserve"> CBD COP Decision XII/6 available at: </w:t>
      </w:r>
      <w:hyperlink r:id="rId7" w:history="1">
        <w:r w:rsidRPr="00313A72">
          <w:rPr>
            <w:rStyle w:val="Hyperlink"/>
            <w:szCs w:val="18"/>
          </w:rPr>
          <w:t>https://www.cbd.int/doc/decisions/cop-12/cop-12-dec-06-en.pdf</w:t>
        </w:r>
      </w:hyperlink>
      <w:r w:rsidRPr="00313A72">
        <w:rPr>
          <w:szCs w:val="18"/>
        </w:rPr>
        <w:t xml:space="preserve"> </w:t>
      </w:r>
    </w:p>
  </w:footnote>
  <w:footnote w:id="11">
    <w:p w14:paraId="46913A02" w14:textId="788642FF" w:rsidR="0071365D" w:rsidRPr="00313A72" w:rsidRDefault="0071365D" w:rsidP="0071365D">
      <w:pPr>
        <w:pStyle w:val="FootnoteText"/>
        <w:rPr>
          <w:szCs w:val="18"/>
        </w:rPr>
      </w:pPr>
      <w:r w:rsidRPr="00313A72">
        <w:rPr>
          <w:rStyle w:val="FootnoteReference"/>
          <w:szCs w:val="18"/>
        </w:rPr>
        <w:footnoteRef/>
      </w:r>
      <w:r w:rsidRPr="00313A72">
        <w:rPr>
          <w:szCs w:val="18"/>
        </w:rPr>
        <w:t xml:space="preserve"> CBD COP Decision IX/5 available at:</w:t>
      </w:r>
      <w:r w:rsidR="00AB59FE" w:rsidRPr="00313A72">
        <w:rPr>
          <w:szCs w:val="18"/>
        </w:rPr>
        <w:t xml:space="preserve"> </w:t>
      </w:r>
      <w:hyperlink r:id="rId8" w:history="1">
        <w:r w:rsidR="00AB59FE" w:rsidRPr="00313A72">
          <w:rPr>
            <w:rStyle w:val="Hyperlink"/>
            <w:szCs w:val="18"/>
          </w:rPr>
          <w:t>https://www.cbd.int/decision/cop/default.shtml?id=11648</w:t>
        </w:r>
      </w:hyperlink>
      <w:r w:rsidRPr="00313A72">
        <w:rPr>
          <w:szCs w:val="18"/>
        </w:rPr>
        <w:t xml:space="preserve"> </w:t>
      </w:r>
    </w:p>
  </w:footnote>
  <w:footnote w:id="12">
    <w:p w14:paraId="4C6B3C50" w14:textId="77777777" w:rsidR="0071365D" w:rsidRPr="00313A72" w:rsidRDefault="0071365D" w:rsidP="0071365D">
      <w:pPr>
        <w:pStyle w:val="FootnoteText"/>
        <w:rPr>
          <w:szCs w:val="18"/>
        </w:rPr>
      </w:pPr>
      <w:r w:rsidRPr="00313A72">
        <w:rPr>
          <w:rStyle w:val="FootnoteReference"/>
          <w:szCs w:val="18"/>
        </w:rPr>
        <w:footnoteRef/>
      </w:r>
      <w:r w:rsidRPr="00313A72">
        <w:rPr>
          <w:szCs w:val="18"/>
        </w:rPr>
        <w:t xml:space="preserve"> CBD COP Decision X/36 available at: </w:t>
      </w:r>
      <w:hyperlink r:id="rId9" w:history="1">
        <w:r w:rsidRPr="00313A72">
          <w:rPr>
            <w:rStyle w:val="Hyperlink"/>
            <w:szCs w:val="18"/>
          </w:rPr>
          <w:t>https://www.cbd.int/decision/cop?id=12302</w:t>
        </w:r>
      </w:hyperlink>
      <w:r w:rsidRPr="00313A72">
        <w:rPr>
          <w:szCs w:val="18"/>
        </w:rPr>
        <w:t xml:space="preserve"> </w:t>
      </w:r>
    </w:p>
  </w:footnote>
  <w:footnote w:id="13">
    <w:p w14:paraId="48F59DE2" w14:textId="77777777" w:rsidR="0071365D" w:rsidRPr="00E26709" w:rsidRDefault="0071365D" w:rsidP="0071365D">
      <w:pPr>
        <w:pStyle w:val="FootnoteText"/>
        <w:rPr>
          <w:szCs w:val="18"/>
        </w:rPr>
      </w:pPr>
      <w:r w:rsidRPr="00313A72">
        <w:rPr>
          <w:rStyle w:val="FootnoteReference"/>
          <w:szCs w:val="18"/>
        </w:rPr>
        <w:footnoteRef/>
      </w:r>
      <w:r w:rsidRPr="00E26709">
        <w:rPr>
          <w:szCs w:val="18"/>
        </w:rPr>
        <w:t xml:space="preserve"> </w:t>
      </w:r>
      <w:r w:rsidRPr="00313A72">
        <w:rPr>
          <w:szCs w:val="18"/>
        </w:rPr>
        <w:t xml:space="preserve">CBD COP Decision IX/16 available at: </w:t>
      </w:r>
      <w:hyperlink r:id="rId10" w:history="1">
        <w:r w:rsidRPr="00E26709">
          <w:rPr>
            <w:rStyle w:val="Hyperlink"/>
            <w:szCs w:val="18"/>
          </w:rPr>
          <w:t>https://www.cbd.int/decision/cop/default.shtml?id=11659</w:t>
        </w:r>
      </w:hyperlink>
      <w:r w:rsidRPr="00E26709">
        <w:rPr>
          <w:szCs w:val="18"/>
        </w:rPr>
        <w:t xml:space="preserve"> </w:t>
      </w:r>
    </w:p>
  </w:footnote>
  <w:footnote w:id="14">
    <w:p w14:paraId="11B6B242" w14:textId="460C144C" w:rsidR="0071365D" w:rsidRPr="00313A72" w:rsidRDefault="0071365D" w:rsidP="0071365D">
      <w:pPr>
        <w:pStyle w:val="FootnoteText"/>
        <w:rPr>
          <w:szCs w:val="18"/>
        </w:rPr>
      </w:pPr>
      <w:r w:rsidRPr="00313A72">
        <w:rPr>
          <w:rStyle w:val="FootnoteReference"/>
          <w:szCs w:val="18"/>
        </w:rPr>
        <w:footnoteRef/>
      </w:r>
      <w:r w:rsidRPr="00313A72">
        <w:rPr>
          <w:szCs w:val="18"/>
        </w:rPr>
        <w:t xml:space="preserve"> </w:t>
      </w:r>
      <w:r w:rsidRPr="00E26709">
        <w:rPr>
          <w:szCs w:val="18"/>
        </w:rPr>
        <w:t>CBD COP Decision VIII/19 available at:</w:t>
      </w:r>
      <w:r w:rsidR="00B34C99">
        <w:rPr>
          <w:szCs w:val="18"/>
        </w:rPr>
        <w:t xml:space="preserve"> </w:t>
      </w:r>
      <w:hyperlink r:id="rId11" w:history="1">
        <w:r w:rsidR="0068394D" w:rsidRPr="0068394D">
          <w:rPr>
            <w:rStyle w:val="Hyperlink"/>
            <w:szCs w:val="18"/>
          </w:rPr>
          <w:t>https://www.cbd.int/decision/cop/default.shtml?id=11033</w:t>
        </w:r>
      </w:hyperlink>
      <w:r w:rsidRPr="00313A72">
        <w:rPr>
          <w:szCs w:val="18"/>
        </w:rPr>
        <w:t xml:space="preserve"> </w:t>
      </w:r>
    </w:p>
  </w:footnote>
  <w:footnote w:id="15">
    <w:p w14:paraId="0D2FBCF6" w14:textId="7528F6B2" w:rsidR="008F059A" w:rsidRPr="00313A72" w:rsidRDefault="008F059A" w:rsidP="008F059A">
      <w:pPr>
        <w:pStyle w:val="FootnoteText"/>
        <w:rPr>
          <w:szCs w:val="18"/>
        </w:rPr>
      </w:pPr>
      <w:r w:rsidRPr="00313A72">
        <w:rPr>
          <w:rStyle w:val="FootnoteReference"/>
          <w:szCs w:val="18"/>
        </w:rPr>
        <w:footnoteRef/>
      </w:r>
      <w:r w:rsidRPr="00313A72">
        <w:rPr>
          <w:szCs w:val="18"/>
        </w:rPr>
        <w:t xml:space="preserve"> </w:t>
      </w:r>
      <w:r w:rsidR="00051B13" w:rsidRPr="00313A72">
        <w:rPr>
          <w:szCs w:val="18"/>
        </w:rPr>
        <w:t xml:space="preserve">CBD COP Decision 16/35 available at: </w:t>
      </w:r>
      <w:hyperlink r:id="rId12" w:history="1">
        <w:r w:rsidR="00051B13" w:rsidRPr="00313A72">
          <w:rPr>
            <w:rStyle w:val="Hyperlink"/>
            <w:szCs w:val="18"/>
          </w:rPr>
          <w:t>https://www.cbd.int/doc/decisions/cop-16/cop-16-dec-35-en.pdf</w:t>
        </w:r>
      </w:hyperlink>
      <w:r w:rsidRPr="00313A72">
        <w:rPr>
          <w:szCs w:val="18"/>
        </w:rPr>
        <w:t xml:space="preserve"> </w:t>
      </w:r>
    </w:p>
  </w:footnote>
  <w:footnote w:id="16">
    <w:p w14:paraId="494847F8" w14:textId="26A3BF5F" w:rsidR="00FB05C2" w:rsidRPr="00313A72" w:rsidRDefault="00FB05C2" w:rsidP="00081736">
      <w:pPr>
        <w:pStyle w:val="FootnoteText"/>
        <w:rPr>
          <w:szCs w:val="18"/>
        </w:rPr>
      </w:pPr>
      <w:r w:rsidRPr="00313A72">
        <w:rPr>
          <w:rStyle w:val="FootnoteReference"/>
          <w:szCs w:val="18"/>
        </w:rPr>
        <w:footnoteRef/>
      </w:r>
      <w:r w:rsidRPr="00313A72">
        <w:rPr>
          <w:szCs w:val="18"/>
        </w:rPr>
        <w:t xml:space="preserve"> </w:t>
      </w:r>
      <w:r w:rsidR="00081736" w:rsidRPr="00313A72">
        <w:rPr>
          <w:szCs w:val="18"/>
        </w:rPr>
        <w:t xml:space="preserve">Secretariat of the </w:t>
      </w:r>
      <w:r w:rsidR="00C0196F" w:rsidRPr="00313A72">
        <w:rPr>
          <w:szCs w:val="18"/>
        </w:rPr>
        <w:t>CBD</w:t>
      </w:r>
      <w:r w:rsidR="00EB3AEA" w:rsidRPr="00313A72">
        <w:rPr>
          <w:szCs w:val="18"/>
        </w:rPr>
        <w:t>.</w:t>
      </w:r>
      <w:r w:rsidR="00081736" w:rsidRPr="00313A72">
        <w:rPr>
          <w:szCs w:val="18"/>
        </w:rPr>
        <w:t xml:space="preserve"> 2024. The Forest Factor: The role of protection, restoration and sustainable management of forests for the implementation of the Kunming-Montreal Global Biodiversity Framework, available at: </w:t>
      </w:r>
      <w:hyperlink r:id="rId13" w:history="1">
        <w:r w:rsidR="00081736" w:rsidRPr="00313A72">
          <w:rPr>
            <w:rStyle w:val="Hyperlink"/>
            <w:szCs w:val="18"/>
          </w:rPr>
          <w:t>https://www.cbd.int/forest/doc/forest-factor-en.pdf</w:t>
        </w:r>
      </w:hyperlink>
      <w:r w:rsidR="00081736" w:rsidRPr="00313A72">
        <w:rPr>
          <w:szCs w:val="18"/>
        </w:rPr>
        <w:t xml:space="preserve"> </w:t>
      </w:r>
    </w:p>
  </w:footnote>
  <w:footnote w:id="17">
    <w:p w14:paraId="06A61249" w14:textId="41CB1DA8" w:rsidR="0063160F" w:rsidRPr="00313A72" w:rsidRDefault="0063160F" w:rsidP="00081736">
      <w:pPr>
        <w:pStyle w:val="FootnoteText"/>
        <w:rPr>
          <w:szCs w:val="18"/>
        </w:rPr>
      </w:pPr>
      <w:r w:rsidRPr="00313A72">
        <w:rPr>
          <w:rStyle w:val="FootnoteReference"/>
          <w:szCs w:val="18"/>
        </w:rPr>
        <w:footnoteRef/>
      </w:r>
      <w:r w:rsidRPr="00313A72">
        <w:rPr>
          <w:szCs w:val="18"/>
        </w:rPr>
        <w:t xml:space="preserve"> </w:t>
      </w:r>
      <w:proofErr w:type="spellStart"/>
      <w:r w:rsidR="00081736" w:rsidRPr="00313A72">
        <w:rPr>
          <w:szCs w:val="18"/>
        </w:rPr>
        <w:t>Vié</w:t>
      </w:r>
      <w:proofErr w:type="spellEnd"/>
      <w:r w:rsidR="00081736" w:rsidRPr="00313A72">
        <w:rPr>
          <w:szCs w:val="18"/>
        </w:rPr>
        <w:t>, J.-C., Hilton-Taylor, C. &amp; Stuart, S.N. eds. 2009. Wildlife in a changing world: an analysis of the 2008 IUCN Red List of Threatened Species. Gland, Switzerland, IUCN.</w:t>
      </w:r>
    </w:p>
  </w:footnote>
  <w:footnote w:id="18">
    <w:p w14:paraId="77C4DAB9" w14:textId="38F64B3A" w:rsidR="007638EB" w:rsidRPr="00E26709" w:rsidRDefault="007638EB">
      <w:pPr>
        <w:pStyle w:val="FootnoteText"/>
        <w:rPr>
          <w:szCs w:val="18"/>
        </w:rPr>
      </w:pPr>
      <w:r w:rsidRPr="00313A72">
        <w:rPr>
          <w:rStyle w:val="FootnoteReference"/>
          <w:szCs w:val="18"/>
        </w:rPr>
        <w:footnoteRef/>
      </w:r>
      <w:r w:rsidRPr="00313A72">
        <w:rPr>
          <w:szCs w:val="18"/>
        </w:rPr>
        <w:t xml:space="preserve"> </w:t>
      </w:r>
      <w:r w:rsidRPr="00E26709">
        <w:rPr>
          <w:szCs w:val="18"/>
        </w:rPr>
        <w:t xml:space="preserve">Burley, J. 2002. Forest biological diversity: an overview. </w:t>
      </w:r>
      <w:proofErr w:type="spellStart"/>
      <w:r w:rsidRPr="00E26709">
        <w:rPr>
          <w:szCs w:val="18"/>
        </w:rPr>
        <w:t>Unasylva</w:t>
      </w:r>
      <w:proofErr w:type="spellEnd"/>
      <w:r w:rsidRPr="00E26709">
        <w:rPr>
          <w:szCs w:val="18"/>
        </w:rPr>
        <w:t xml:space="preserve">, 209: 3–9. </w:t>
      </w:r>
    </w:p>
  </w:footnote>
  <w:footnote w:id="19">
    <w:p w14:paraId="31AA1678" w14:textId="5A753543" w:rsidR="000617DB" w:rsidRPr="00E26709" w:rsidRDefault="000617DB">
      <w:pPr>
        <w:pStyle w:val="FootnoteText"/>
        <w:rPr>
          <w:szCs w:val="18"/>
        </w:rPr>
      </w:pPr>
      <w:r w:rsidRPr="00313A72">
        <w:rPr>
          <w:rStyle w:val="FootnoteReference"/>
          <w:szCs w:val="18"/>
        </w:rPr>
        <w:footnoteRef/>
      </w:r>
      <w:r w:rsidR="00EB3AEA" w:rsidRPr="00313A72">
        <w:rPr>
          <w:szCs w:val="18"/>
        </w:rPr>
        <w:t xml:space="preserve"> CPF. 2012. SFM Factsheet 6 – SFM and biodiversity: available at: </w:t>
      </w:r>
      <w:r w:rsidRPr="00313A72">
        <w:rPr>
          <w:szCs w:val="18"/>
        </w:rPr>
        <w:t xml:space="preserve"> </w:t>
      </w:r>
      <w:hyperlink r:id="rId14" w:history="1">
        <w:r w:rsidRPr="00313A72">
          <w:rPr>
            <w:rStyle w:val="Hyperlink"/>
            <w:szCs w:val="18"/>
          </w:rPr>
          <w:t>https://openknowledge.fao.org/server/api/core/bitstreams/35c6a002-98c7-497e-9248-c238118e1cae/content</w:t>
        </w:r>
      </w:hyperlink>
      <w:r w:rsidRPr="00313A72">
        <w:rPr>
          <w:szCs w:val="18"/>
        </w:rPr>
        <w:t xml:space="preserve"> </w:t>
      </w:r>
    </w:p>
  </w:footnote>
  <w:footnote w:id="20">
    <w:p w14:paraId="570FF54C" w14:textId="5716BDA7" w:rsidR="008F72CF" w:rsidRPr="00E26709" w:rsidRDefault="008F72CF" w:rsidP="008F72CF">
      <w:pPr>
        <w:pStyle w:val="FootnoteText"/>
        <w:rPr>
          <w:szCs w:val="18"/>
        </w:rPr>
      </w:pPr>
      <w:r w:rsidRPr="00313A72">
        <w:rPr>
          <w:rStyle w:val="FootnoteReference"/>
          <w:szCs w:val="18"/>
        </w:rPr>
        <w:footnoteRef/>
      </w:r>
      <w:r w:rsidRPr="00AD6855">
        <w:rPr>
          <w:szCs w:val="18"/>
          <w:lang w:val="fr-FR"/>
        </w:rPr>
        <w:t xml:space="preserve"> Ellison, D., Morris, C.E., Locatelli, B., </w:t>
      </w:r>
      <w:proofErr w:type="spellStart"/>
      <w:r w:rsidRPr="00AD6855">
        <w:rPr>
          <w:szCs w:val="18"/>
          <w:lang w:val="fr-FR"/>
        </w:rPr>
        <w:t>Sheil</w:t>
      </w:r>
      <w:proofErr w:type="spellEnd"/>
      <w:r w:rsidRPr="00AD6855">
        <w:rPr>
          <w:szCs w:val="18"/>
          <w:lang w:val="fr-FR"/>
        </w:rPr>
        <w:t xml:space="preserve">, D., Cohen, J., </w:t>
      </w:r>
      <w:proofErr w:type="spellStart"/>
      <w:r w:rsidRPr="00AD6855">
        <w:rPr>
          <w:szCs w:val="18"/>
          <w:lang w:val="fr-FR"/>
        </w:rPr>
        <w:t>Murdiyarso</w:t>
      </w:r>
      <w:proofErr w:type="spellEnd"/>
      <w:r w:rsidRPr="00AD6855">
        <w:rPr>
          <w:szCs w:val="18"/>
          <w:lang w:val="fr-FR"/>
        </w:rPr>
        <w:t xml:space="preserve">, D., Gutierrez, V. et al. 2017. </w:t>
      </w:r>
      <w:r w:rsidRPr="00E26709">
        <w:rPr>
          <w:szCs w:val="18"/>
        </w:rPr>
        <w:t xml:space="preserve">Trees, forests and </w:t>
      </w:r>
      <w:proofErr w:type="gramStart"/>
      <w:r w:rsidRPr="00E26709">
        <w:rPr>
          <w:szCs w:val="18"/>
        </w:rPr>
        <w:t>water:</w:t>
      </w:r>
      <w:proofErr w:type="gramEnd"/>
      <w:r w:rsidRPr="00E26709">
        <w:rPr>
          <w:szCs w:val="18"/>
        </w:rPr>
        <w:t xml:space="preserve"> Cool insights for a hot world. Global Environmental Change, 43: 51–6</w:t>
      </w:r>
      <w:r w:rsidR="00EB3AEA" w:rsidRPr="00E26709">
        <w:rPr>
          <w:szCs w:val="18"/>
        </w:rPr>
        <w:t xml:space="preserve">1. Available at: </w:t>
      </w:r>
      <w:hyperlink r:id="rId15" w:history="1">
        <w:r w:rsidR="00EB3AEA" w:rsidRPr="00E26709">
          <w:rPr>
            <w:rStyle w:val="Hyperlink"/>
            <w:szCs w:val="18"/>
          </w:rPr>
          <w:t>https://doi.org/10.1016/j.gloenvcha.2017.01.002</w:t>
        </w:r>
      </w:hyperlink>
      <w:r w:rsidR="00EB3AEA" w:rsidRPr="00E26709">
        <w:rPr>
          <w:szCs w:val="18"/>
        </w:rPr>
        <w:t xml:space="preserve"> </w:t>
      </w:r>
      <w:r w:rsidRPr="00E26709">
        <w:rPr>
          <w:szCs w:val="18"/>
        </w:rPr>
        <w:t xml:space="preserve"> </w:t>
      </w:r>
      <w:r w:rsidR="00EB3AEA" w:rsidRPr="00E26709">
        <w:rPr>
          <w:szCs w:val="18"/>
        </w:rPr>
        <w:t xml:space="preserve"> </w:t>
      </w:r>
    </w:p>
  </w:footnote>
  <w:footnote w:id="21">
    <w:p w14:paraId="1A4247F8" w14:textId="77777777" w:rsidR="008F72CF" w:rsidRPr="00E26709" w:rsidRDefault="008F72CF" w:rsidP="008F72CF">
      <w:pPr>
        <w:pStyle w:val="FootnoteText"/>
        <w:rPr>
          <w:szCs w:val="18"/>
        </w:rPr>
      </w:pPr>
      <w:r w:rsidRPr="00313A72">
        <w:rPr>
          <w:rStyle w:val="FootnoteReference"/>
          <w:szCs w:val="18"/>
        </w:rPr>
        <w:footnoteRef/>
      </w:r>
      <w:r w:rsidRPr="00E26709">
        <w:rPr>
          <w:szCs w:val="18"/>
        </w:rPr>
        <w:t xml:space="preserve">Lawrence, D., Coe, M., Walker, W., </w:t>
      </w:r>
      <w:proofErr w:type="spellStart"/>
      <w:r w:rsidRPr="00E26709">
        <w:rPr>
          <w:szCs w:val="18"/>
        </w:rPr>
        <w:t>Verchot</w:t>
      </w:r>
      <w:proofErr w:type="spellEnd"/>
      <w:r w:rsidRPr="00E26709">
        <w:rPr>
          <w:szCs w:val="18"/>
        </w:rPr>
        <w:t xml:space="preserve">, L. &amp; Vandecar, K. 2022. The Unseen Effects of Deforestation: Biophysical Effects on Climate. Frontiers in Forests and Global Change, 5.https://doi.org/10.3389/ffgc.2022.756115 </w:t>
      </w:r>
    </w:p>
  </w:footnote>
  <w:footnote w:id="22">
    <w:p w14:paraId="7BCFA305" w14:textId="753DBA5D" w:rsidR="008F72CF" w:rsidRPr="00E26709" w:rsidRDefault="008F72CF" w:rsidP="008F72CF">
      <w:pPr>
        <w:pStyle w:val="FootnoteText"/>
        <w:rPr>
          <w:szCs w:val="18"/>
        </w:rPr>
      </w:pPr>
      <w:r w:rsidRPr="00313A72">
        <w:rPr>
          <w:rStyle w:val="FootnoteReference"/>
          <w:szCs w:val="18"/>
        </w:rPr>
        <w:footnoteRef/>
      </w:r>
      <w:r w:rsidRPr="00AD6855">
        <w:rPr>
          <w:szCs w:val="18"/>
          <w:lang w:val="fr-FR"/>
        </w:rPr>
        <w:t xml:space="preserve"> Libert-</w:t>
      </w:r>
      <w:proofErr w:type="spellStart"/>
      <w:r w:rsidRPr="00AD6855">
        <w:rPr>
          <w:szCs w:val="18"/>
          <w:lang w:val="fr-FR"/>
        </w:rPr>
        <w:t>Amico</w:t>
      </w:r>
      <w:proofErr w:type="spellEnd"/>
      <w:r w:rsidRPr="00AD6855">
        <w:rPr>
          <w:szCs w:val="18"/>
          <w:lang w:val="fr-FR"/>
        </w:rPr>
        <w:t xml:space="preserve">, A., </w:t>
      </w:r>
      <w:proofErr w:type="spellStart"/>
      <w:r w:rsidRPr="00AD6855">
        <w:rPr>
          <w:szCs w:val="18"/>
          <w:lang w:val="fr-FR"/>
        </w:rPr>
        <w:t>Duchelle</w:t>
      </w:r>
      <w:proofErr w:type="spellEnd"/>
      <w:r w:rsidRPr="00AD6855">
        <w:rPr>
          <w:szCs w:val="18"/>
          <w:lang w:val="fr-FR"/>
        </w:rPr>
        <w:t xml:space="preserve">, A.E., Cobb, A., </w:t>
      </w:r>
      <w:proofErr w:type="spellStart"/>
      <w:r w:rsidRPr="00AD6855">
        <w:rPr>
          <w:szCs w:val="18"/>
          <w:lang w:val="fr-FR"/>
        </w:rPr>
        <w:t>Peccoud</w:t>
      </w:r>
      <w:proofErr w:type="spellEnd"/>
      <w:r w:rsidRPr="00AD6855">
        <w:rPr>
          <w:szCs w:val="18"/>
          <w:lang w:val="fr-FR"/>
        </w:rPr>
        <w:t xml:space="preserve">, V. &amp; </w:t>
      </w:r>
      <w:proofErr w:type="spellStart"/>
      <w:r w:rsidRPr="00AD6855">
        <w:rPr>
          <w:szCs w:val="18"/>
          <w:lang w:val="fr-FR"/>
        </w:rPr>
        <w:t>Djoudi</w:t>
      </w:r>
      <w:proofErr w:type="spellEnd"/>
      <w:r w:rsidRPr="00AD6855">
        <w:rPr>
          <w:szCs w:val="18"/>
          <w:lang w:val="fr-FR"/>
        </w:rPr>
        <w:t xml:space="preserve">, H. 2022. </w:t>
      </w:r>
      <w:r w:rsidRPr="00E26709">
        <w:rPr>
          <w:szCs w:val="18"/>
        </w:rPr>
        <w:t>Forest-based adaptation:</w:t>
      </w:r>
      <w:r w:rsidRPr="00E26709">
        <w:rPr>
          <w:rFonts w:asciiTheme="minorHAnsi" w:eastAsiaTheme="minorHAnsi" w:hAnsiTheme="minorHAnsi" w:cstheme="minorBidi"/>
          <w:kern w:val="2"/>
          <w:szCs w:val="18"/>
          <w14:ligatures w14:val="standardContextual"/>
        </w:rPr>
        <w:t xml:space="preserve"> </w:t>
      </w:r>
      <w:r w:rsidRPr="00E26709">
        <w:rPr>
          <w:szCs w:val="18"/>
        </w:rPr>
        <w:t xml:space="preserve">transformational adaptation through forests and trees. Rome, FAO. </w:t>
      </w:r>
      <w:r w:rsidR="00EB3AEA" w:rsidRPr="00E26709">
        <w:rPr>
          <w:szCs w:val="18"/>
        </w:rPr>
        <w:t xml:space="preserve">Available at: </w:t>
      </w:r>
      <w:hyperlink r:id="rId16" w:history="1">
        <w:r w:rsidR="00EB3AEA" w:rsidRPr="00E26709">
          <w:rPr>
            <w:rStyle w:val="Hyperlink"/>
            <w:szCs w:val="18"/>
          </w:rPr>
          <w:t>https://doi.org/10.4060/cc2886en</w:t>
        </w:r>
      </w:hyperlink>
      <w:r w:rsidRPr="00E26709">
        <w:rPr>
          <w:szCs w:val="18"/>
        </w:rPr>
        <w:t xml:space="preserve"> </w:t>
      </w:r>
    </w:p>
  </w:footnote>
  <w:footnote w:id="23">
    <w:p w14:paraId="279264EB" w14:textId="7F227E67" w:rsidR="00DE36C2" w:rsidRPr="00E26709" w:rsidRDefault="00DE36C2">
      <w:pPr>
        <w:pStyle w:val="FootnoteText"/>
        <w:rPr>
          <w:szCs w:val="18"/>
        </w:rPr>
      </w:pPr>
      <w:r w:rsidRPr="00313A72">
        <w:rPr>
          <w:rStyle w:val="FootnoteReference"/>
          <w:szCs w:val="18"/>
        </w:rPr>
        <w:footnoteRef/>
      </w:r>
      <w:r w:rsidRPr="00313A72">
        <w:rPr>
          <w:szCs w:val="18"/>
        </w:rPr>
        <w:t xml:space="preserve"> </w:t>
      </w:r>
      <w:r w:rsidR="00EB3AEA" w:rsidRPr="00E26709">
        <w:rPr>
          <w:szCs w:val="18"/>
        </w:rPr>
        <w:t xml:space="preserve">FAO. 2022. The State of the World’s Forests 2022. Forest pathways for green recovery and building inclusive, resilient and sustainable economies. Rome, FAO. Available at: </w:t>
      </w:r>
      <w:hyperlink r:id="rId17" w:history="1">
        <w:r w:rsidR="00EB3AEA" w:rsidRPr="00E26709">
          <w:rPr>
            <w:rStyle w:val="Hyperlink"/>
            <w:szCs w:val="18"/>
          </w:rPr>
          <w:t>https://doi.org/10.4060/cb9360en</w:t>
        </w:r>
      </w:hyperlink>
      <w:r w:rsidR="00EB3AEA" w:rsidRPr="00E26709">
        <w:rPr>
          <w:szCs w:val="18"/>
        </w:rPr>
        <w:t xml:space="preserve"> </w:t>
      </w:r>
    </w:p>
  </w:footnote>
  <w:footnote w:id="24">
    <w:p w14:paraId="7AE63E66" w14:textId="77777777" w:rsidR="008F72CF" w:rsidRPr="00E26709" w:rsidRDefault="008F72CF" w:rsidP="008F72CF">
      <w:pPr>
        <w:pStyle w:val="FootnoteText"/>
        <w:rPr>
          <w:szCs w:val="18"/>
        </w:rPr>
      </w:pPr>
      <w:r w:rsidRPr="00313A72">
        <w:rPr>
          <w:rStyle w:val="FootnoteReference"/>
          <w:szCs w:val="18"/>
        </w:rPr>
        <w:footnoteRef/>
      </w:r>
      <w:r w:rsidRPr="00313A72">
        <w:rPr>
          <w:szCs w:val="18"/>
        </w:rPr>
        <w:t xml:space="preserve"> </w:t>
      </w:r>
      <w:r w:rsidRPr="00E26709">
        <w:rPr>
          <w:szCs w:val="18"/>
        </w:rPr>
        <w:t>FAO. 2020. </w:t>
      </w:r>
      <w:r w:rsidRPr="00E26709">
        <w:rPr>
          <w:i/>
          <w:iCs/>
          <w:szCs w:val="18"/>
        </w:rPr>
        <w:t>Forests for human health and well-being – Strengthening the forest–health–nutrition nexus</w:t>
      </w:r>
      <w:r w:rsidRPr="00E26709">
        <w:rPr>
          <w:szCs w:val="18"/>
        </w:rPr>
        <w:t xml:space="preserve">. Forestry Working Paper No. 18. Rome. </w:t>
      </w:r>
      <w:hyperlink r:id="rId18" w:history="1">
        <w:r w:rsidRPr="00E26709">
          <w:rPr>
            <w:rStyle w:val="Hyperlink"/>
            <w:szCs w:val="18"/>
          </w:rPr>
          <w:t>https://openknowledge.fao.org/items/250eccd3-d5e8-464a-81cd-a4dbde50a561</w:t>
        </w:r>
      </w:hyperlink>
      <w:r w:rsidRPr="00E26709">
        <w:rPr>
          <w:szCs w:val="18"/>
        </w:rPr>
        <w:t xml:space="preserve"> </w:t>
      </w:r>
    </w:p>
  </w:footnote>
  <w:footnote w:id="25">
    <w:p w14:paraId="4A6F6FD2" w14:textId="134CC790" w:rsidR="00192D17" w:rsidRPr="00313A72" w:rsidRDefault="00192D17" w:rsidP="00F52112">
      <w:pPr>
        <w:contextualSpacing/>
        <w:rPr>
          <w:sz w:val="18"/>
          <w:szCs w:val="18"/>
        </w:rPr>
      </w:pPr>
      <w:r w:rsidRPr="00313A72">
        <w:rPr>
          <w:rStyle w:val="FootnoteReference"/>
          <w:sz w:val="18"/>
          <w:szCs w:val="18"/>
        </w:rPr>
        <w:footnoteRef/>
      </w:r>
      <w:r w:rsidRPr="00313A72">
        <w:rPr>
          <w:sz w:val="18"/>
          <w:szCs w:val="18"/>
        </w:rPr>
        <w:t xml:space="preserve"> UNEP</w:t>
      </w:r>
      <w:r w:rsidR="00F52112" w:rsidRPr="00313A72">
        <w:rPr>
          <w:sz w:val="18"/>
          <w:szCs w:val="18"/>
        </w:rPr>
        <w:t xml:space="preserve">. </w:t>
      </w:r>
      <w:r w:rsidRPr="00313A72">
        <w:rPr>
          <w:sz w:val="18"/>
          <w:szCs w:val="18"/>
        </w:rPr>
        <w:t>2019</w:t>
      </w:r>
      <w:r w:rsidR="00F52112" w:rsidRPr="00313A72">
        <w:rPr>
          <w:sz w:val="18"/>
          <w:szCs w:val="18"/>
        </w:rPr>
        <w:t xml:space="preserve">. </w:t>
      </w:r>
      <w:r w:rsidRPr="00313A72">
        <w:rPr>
          <w:i/>
          <w:iCs/>
          <w:sz w:val="18"/>
          <w:szCs w:val="18"/>
        </w:rPr>
        <w:t>The Role of Indigenous Peoples and Local Communities in Climate Action</w:t>
      </w:r>
      <w:r w:rsidRPr="00313A72">
        <w:rPr>
          <w:sz w:val="18"/>
          <w:szCs w:val="18"/>
        </w:rPr>
        <w:t>. United Nations Environment Programme.</w:t>
      </w:r>
    </w:p>
  </w:footnote>
  <w:footnote w:id="26">
    <w:p w14:paraId="4C617050" w14:textId="2710E23B" w:rsidR="00DE36C2" w:rsidRPr="00E26709" w:rsidRDefault="00DE36C2">
      <w:pPr>
        <w:pStyle w:val="FootnoteText"/>
        <w:rPr>
          <w:szCs w:val="18"/>
        </w:rPr>
      </w:pPr>
      <w:r w:rsidRPr="00313A72">
        <w:rPr>
          <w:rStyle w:val="FootnoteReference"/>
          <w:szCs w:val="18"/>
        </w:rPr>
        <w:footnoteRef/>
      </w:r>
      <w:r w:rsidR="00EB3AEA" w:rsidRPr="00E26709">
        <w:rPr>
          <w:szCs w:val="18"/>
        </w:rPr>
        <w:t xml:space="preserve">FAO. 2022. The State of the World’s Forests 2022. Forest pathways for green recovery and building inclusive, resilient and sustainable economies. Rome, FAO. Available at: </w:t>
      </w:r>
      <w:hyperlink r:id="rId19" w:history="1">
        <w:r w:rsidR="00EB3AEA" w:rsidRPr="00E26709">
          <w:rPr>
            <w:rStyle w:val="Hyperlink"/>
            <w:szCs w:val="18"/>
          </w:rPr>
          <w:t>https://doi.org/10.4060/cb9360en</w:t>
        </w:r>
      </w:hyperlink>
      <w:r w:rsidR="00EB3AEA" w:rsidRPr="00E26709">
        <w:rPr>
          <w:szCs w:val="18"/>
        </w:rPr>
        <w:t xml:space="preserve"> </w:t>
      </w:r>
    </w:p>
  </w:footnote>
  <w:footnote w:id="27">
    <w:p w14:paraId="78F3A249" w14:textId="176639F4" w:rsidR="00DE1768" w:rsidRPr="00E26709" w:rsidRDefault="00DE1768" w:rsidP="00EB3AEA">
      <w:pPr>
        <w:pStyle w:val="FootnoteText"/>
        <w:rPr>
          <w:szCs w:val="18"/>
        </w:rPr>
      </w:pPr>
      <w:r w:rsidRPr="00313A72">
        <w:rPr>
          <w:rStyle w:val="FootnoteReference"/>
          <w:szCs w:val="18"/>
        </w:rPr>
        <w:footnoteRef/>
      </w:r>
      <w:r w:rsidRPr="00313A72">
        <w:rPr>
          <w:szCs w:val="18"/>
        </w:rPr>
        <w:t xml:space="preserve"> </w:t>
      </w:r>
      <w:r w:rsidR="00EB3AEA" w:rsidRPr="00E26709">
        <w:rPr>
          <w:szCs w:val="18"/>
        </w:rPr>
        <w:t xml:space="preserve">FAO. 2020. Global Forest Resources Assessment 2020: Main report. Rome. Available at: </w:t>
      </w:r>
      <w:hyperlink r:id="rId20" w:history="1">
        <w:r w:rsidR="00EB3AEA" w:rsidRPr="00E26709">
          <w:rPr>
            <w:rStyle w:val="Hyperlink"/>
            <w:szCs w:val="18"/>
          </w:rPr>
          <w:t>https://doi.org/10.4060/ca9825en</w:t>
        </w:r>
      </w:hyperlink>
      <w:r w:rsidR="00EB3AEA" w:rsidRPr="00E26709">
        <w:rPr>
          <w:szCs w:val="18"/>
        </w:rPr>
        <w:t xml:space="preserve"> </w:t>
      </w:r>
    </w:p>
  </w:footnote>
  <w:footnote w:id="28">
    <w:p w14:paraId="4FC2DC76" w14:textId="1FF1F2C7" w:rsidR="00DF72F6" w:rsidRPr="00E26709" w:rsidRDefault="00DF72F6">
      <w:pPr>
        <w:pStyle w:val="FootnoteText"/>
        <w:rPr>
          <w:szCs w:val="18"/>
        </w:rPr>
      </w:pPr>
      <w:r w:rsidRPr="00313A72">
        <w:rPr>
          <w:rStyle w:val="FootnoteReference"/>
          <w:szCs w:val="18"/>
        </w:rPr>
        <w:footnoteRef/>
      </w:r>
      <w:r w:rsidRPr="00E26709">
        <w:rPr>
          <w:szCs w:val="18"/>
        </w:rPr>
        <w:t xml:space="preserve"> </w:t>
      </w:r>
      <w:r w:rsidR="00EB3AEA" w:rsidRPr="00E26709">
        <w:rPr>
          <w:szCs w:val="18"/>
        </w:rPr>
        <w:t xml:space="preserve">Ibid </w:t>
      </w:r>
    </w:p>
  </w:footnote>
  <w:footnote w:id="29">
    <w:p w14:paraId="5AFE4022" w14:textId="4A6A4606" w:rsidR="00DE1768" w:rsidRPr="00E26709" w:rsidRDefault="00DE1768">
      <w:pPr>
        <w:pStyle w:val="FootnoteText"/>
        <w:rPr>
          <w:szCs w:val="18"/>
        </w:rPr>
      </w:pPr>
      <w:r w:rsidRPr="00313A72">
        <w:rPr>
          <w:rStyle w:val="FootnoteReference"/>
          <w:szCs w:val="18"/>
        </w:rPr>
        <w:footnoteRef/>
      </w:r>
      <w:r w:rsidR="005F25B3" w:rsidRPr="00E26709">
        <w:rPr>
          <w:szCs w:val="18"/>
        </w:rPr>
        <w:t xml:space="preserve"> FAO. 2020. Global Forest Resources Assessment 2020: Main report. Rome. Available at: </w:t>
      </w:r>
      <w:hyperlink r:id="rId21" w:history="1">
        <w:r w:rsidR="005F25B3" w:rsidRPr="00E26709">
          <w:rPr>
            <w:rStyle w:val="Hyperlink"/>
            <w:szCs w:val="18"/>
          </w:rPr>
          <w:t>https://doi.org/10.4060/ca9825en</w:t>
        </w:r>
      </w:hyperlink>
      <w:r w:rsidR="005F25B3" w:rsidRPr="00E26709">
        <w:rPr>
          <w:szCs w:val="18"/>
        </w:rPr>
        <w:t xml:space="preserve"> </w:t>
      </w:r>
    </w:p>
  </w:footnote>
  <w:footnote w:id="30">
    <w:p w14:paraId="7F63D71C" w14:textId="1E0C7EC2" w:rsidR="007B5C9B" w:rsidRPr="00E26709" w:rsidRDefault="007B5C9B">
      <w:pPr>
        <w:pStyle w:val="FootnoteText"/>
        <w:rPr>
          <w:szCs w:val="18"/>
        </w:rPr>
      </w:pPr>
      <w:r w:rsidRPr="00313A72">
        <w:rPr>
          <w:rStyle w:val="FootnoteReference"/>
          <w:szCs w:val="18"/>
        </w:rPr>
        <w:footnoteRef/>
      </w:r>
      <w:r w:rsidRPr="00E26709">
        <w:rPr>
          <w:szCs w:val="18"/>
        </w:rPr>
        <w:t xml:space="preserve"> </w:t>
      </w:r>
      <w:r w:rsidR="002B33DF" w:rsidRPr="00E26709">
        <w:rPr>
          <w:szCs w:val="18"/>
        </w:rPr>
        <w:t xml:space="preserve">van Lierop, P., Lindquist, E., </w:t>
      </w:r>
      <w:proofErr w:type="spellStart"/>
      <w:r w:rsidR="002B33DF" w:rsidRPr="00E26709">
        <w:rPr>
          <w:szCs w:val="18"/>
        </w:rPr>
        <w:t>Sathyapala</w:t>
      </w:r>
      <w:proofErr w:type="spellEnd"/>
      <w:r w:rsidR="002B33DF" w:rsidRPr="00E26709">
        <w:rPr>
          <w:szCs w:val="18"/>
        </w:rPr>
        <w:t xml:space="preserve">, S. &amp; Franceschini, G. 2015. Global forest area disturbance from fire, insect pests, diseases and severe weather events, Forest Ecology and Management, vol. 352, pp. 78-88. Also available at: </w:t>
      </w:r>
      <w:hyperlink r:id="rId22" w:tgtFrame="_blank" w:tooltip="Persistent link using digital object identifier" w:history="1">
        <w:r w:rsidR="002B33DF" w:rsidRPr="00E26709">
          <w:rPr>
            <w:rStyle w:val="Hyperlink"/>
            <w:szCs w:val="18"/>
          </w:rPr>
          <w:t>https://doi.org/10.1016/j.foreco.2015.06.010</w:t>
        </w:r>
      </w:hyperlink>
      <w:r w:rsidR="002B33DF" w:rsidRPr="00E26709">
        <w:rPr>
          <w:szCs w:val="18"/>
        </w:rPr>
        <w:t xml:space="preserve"> </w:t>
      </w:r>
    </w:p>
  </w:footnote>
  <w:footnote w:id="31">
    <w:p w14:paraId="0FCF3563" w14:textId="09603775" w:rsidR="007B5C9B" w:rsidRPr="00E26709" w:rsidRDefault="007B5C9B">
      <w:pPr>
        <w:pStyle w:val="FootnoteText"/>
        <w:rPr>
          <w:szCs w:val="18"/>
        </w:rPr>
      </w:pPr>
      <w:r w:rsidRPr="00313A72">
        <w:rPr>
          <w:rStyle w:val="FootnoteReference"/>
          <w:szCs w:val="18"/>
        </w:rPr>
        <w:footnoteRef/>
      </w:r>
      <w:r w:rsidRPr="00313A72">
        <w:rPr>
          <w:szCs w:val="18"/>
        </w:rPr>
        <w:t xml:space="preserve"> </w:t>
      </w:r>
      <w:r w:rsidR="002B33DF" w:rsidRPr="00E26709">
        <w:rPr>
          <w:szCs w:val="18"/>
        </w:rPr>
        <w:t xml:space="preserve">FAO. 2010. Global Forest Resources Assessment 2010 – Main report. FAO Forestry Paper No. 163. Rome. Available at </w:t>
      </w:r>
      <w:r w:rsidR="00F1332F" w:rsidRPr="00313A72">
        <w:rPr>
          <w:szCs w:val="18"/>
        </w:rPr>
        <w:t>https://www.fao.org/4/i1757e/i1757e.pdf</w:t>
      </w:r>
    </w:p>
  </w:footnote>
  <w:footnote w:id="32">
    <w:p w14:paraId="0D4E66D2" w14:textId="5E4B90D5" w:rsidR="009D4AA1" w:rsidRPr="00E26709" w:rsidRDefault="009D4AA1">
      <w:pPr>
        <w:pStyle w:val="FootnoteText"/>
        <w:rPr>
          <w:szCs w:val="18"/>
        </w:rPr>
      </w:pPr>
      <w:r w:rsidRPr="00313A72">
        <w:rPr>
          <w:rStyle w:val="FootnoteReference"/>
          <w:szCs w:val="18"/>
        </w:rPr>
        <w:footnoteRef/>
      </w:r>
      <w:r w:rsidRPr="00313A72">
        <w:rPr>
          <w:szCs w:val="18"/>
        </w:rPr>
        <w:t xml:space="preserve"> </w:t>
      </w:r>
      <w:r w:rsidRPr="00E26709">
        <w:rPr>
          <w:szCs w:val="18"/>
        </w:rPr>
        <w:t>Harrison, R.D., Shono, K., Gitz, V., Meybeck, A., Hofer, T. &amp; Wertz-</w:t>
      </w:r>
      <w:proofErr w:type="spellStart"/>
      <w:r w:rsidRPr="00E26709">
        <w:rPr>
          <w:szCs w:val="18"/>
        </w:rPr>
        <w:t>Kanounnikoff</w:t>
      </w:r>
      <w:proofErr w:type="spellEnd"/>
      <w:r w:rsidRPr="00E26709">
        <w:rPr>
          <w:szCs w:val="18"/>
        </w:rPr>
        <w:t xml:space="preserve">, S. 2022. Mainstreaming biodiversity in forestry. FAO Forestry Paper, No. 188. Rome, FAO and Bogor, Indonesia, CIFOR. </w:t>
      </w:r>
      <w:r w:rsidR="005F25B3" w:rsidRPr="00E26709">
        <w:rPr>
          <w:szCs w:val="18"/>
        </w:rPr>
        <w:t xml:space="preserve">Available at: </w:t>
      </w:r>
      <w:hyperlink r:id="rId23" w:history="1">
        <w:r w:rsidR="005F25B3" w:rsidRPr="00E26709">
          <w:rPr>
            <w:rStyle w:val="Hyperlink"/>
            <w:szCs w:val="18"/>
          </w:rPr>
          <w:t>https://doi.org/10.4060/cc2229en</w:t>
        </w:r>
      </w:hyperlink>
      <w:r w:rsidR="005F25B3" w:rsidRPr="00E26709">
        <w:rPr>
          <w:szCs w:val="18"/>
        </w:rPr>
        <w:t xml:space="preserve">   </w:t>
      </w:r>
      <w:r w:rsidRPr="00E26709">
        <w:rPr>
          <w:szCs w:val="18"/>
        </w:rPr>
        <w:t xml:space="preserve"> </w:t>
      </w:r>
      <w:r w:rsidR="005F25B3" w:rsidRPr="00E26709">
        <w:rPr>
          <w:szCs w:val="18"/>
        </w:rPr>
        <w:t xml:space="preserve"> </w:t>
      </w:r>
    </w:p>
  </w:footnote>
  <w:footnote w:id="33">
    <w:p w14:paraId="12ED157B" w14:textId="5F51F5A5" w:rsidR="00BD0B81" w:rsidRPr="00E26709" w:rsidRDefault="00BD0B81">
      <w:pPr>
        <w:pStyle w:val="FootnoteText"/>
        <w:rPr>
          <w:szCs w:val="18"/>
        </w:rPr>
      </w:pPr>
      <w:r w:rsidRPr="00313A72">
        <w:rPr>
          <w:rStyle w:val="FootnoteReference"/>
          <w:szCs w:val="18"/>
        </w:rPr>
        <w:footnoteRef/>
      </w:r>
      <w:r w:rsidRPr="00313A72">
        <w:rPr>
          <w:szCs w:val="18"/>
        </w:rPr>
        <w:t xml:space="preserve"> </w:t>
      </w:r>
      <w:r w:rsidR="005F25B3" w:rsidRPr="00E26709">
        <w:rPr>
          <w:szCs w:val="18"/>
        </w:rPr>
        <w:t xml:space="preserve">FAO. 2020. Global Forest Resources Assessment 2020: Main report. Rome. Available at: </w:t>
      </w:r>
      <w:hyperlink r:id="rId24" w:history="1">
        <w:r w:rsidR="005F25B3" w:rsidRPr="00E26709">
          <w:rPr>
            <w:rStyle w:val="Hyperlink"/>
            <w:szCs w:val="18"/>
          </w:rPr>
          <w:t>https://doi.org/10.4060/ca9825en</w:t>
        </w:r>
      </w:hyperlink>
    </w:p>
  </w:footnote>
  <w:footnote w:id="34">
    <w:p w14:paraId="4E1DCBEE" w14:textId="62B36E48" w:rsidR="00204771" w:rsidRPr="00E26709" w:rsidRDefault="00204771">
      <w:pPr>
        <w:pStyle w:val="FootnoteText"/>
        <w:rPr>
          <w:szCs w:val="18"/>
        </w:rPr>
      </w:pPr>
      <w:r w:rsidRPr="00313A72">
        <w:rPr>
          <w:rStyle w:val="FootnoteReference"/>
          <w:szCs w:val="18"/>
        </w:rPr>
        <w:footnoteRef/>
      </w:r>
      <w:r w:rsidRPr="00313A72">
        <w:rPr>
          <w:szCs w:val="18"/>
        </w:rPr>
        <w:t xml:space="preserve"> Secretariat of the </w:t>
      </w:r>
      <w:r w:rsidR="00C0196F" w:rsidRPr="00313A72">
        <w:rPr>
          <w:szCs w:val="18"/>
        </w:rPr>
        <w:t>CBD</w:t>
      </w:r>
      <w:r w:rsidRPr="00313A72">
        <w:rPr>
          <w:szCs w:val="18"/>
        </w:rPr>
        <w:t xml:space="preserve">. 2024. The Forest Factor: The role of protection, restoration and sustainable management of forests for the implementation of the Kunming-Montreal Global Biodiversity Framework, available at: </w:t>
      </w:r>
      <w:hyperlink r:id="rId25" w:history="1">
        <w:r w:rsidRPr="00313A72">
          <w:rPr>
            <w:rStyle w:val="Hyperlink"/>
            <w:szCs w:val="18"/>
          </w:rPr>
          <w:t>https://www.cbd.int/forest/doc/forest-factor-en.pdf</w:t>
        </w:r>
      </w:hyperlink>
    </w:p>
  </w:footnote>
  <w:footnote w:id="35">
    <w:p w14:paraId="11982077" w14:textId="77777777" w:rsidR="00BD0B81" w:rsidRPr="00E26709" w:rsidRDefault="00BD0B81" w:rsidP="00BD0B81">
      <w:pPr>
        <w:pStyle w:val="FootnoteText"/>
        <w:rPr>
          <w:szCs w:val="18"/>
        </w:rPr>
      </w:pPr>
      <w:r w:rsidRPr="00313A72">
        <w:rPr>
          <w:rStyle w:val="FootnoteReference"/>
          <w:szCs w:val="18"/>
        </w:rPr>
        <w:footnoteRef/>
      </w:r>
      <w:r w:rsidRPr="00313A72">
        <w:rPr>
          <w:szCs w:val="18"/>
        </w:rPr>
        <w:t xml:space="preserve"> </w:t>
      </w:r>
      <w:r w:rsidRPr="00E26709">
        <w:rPr>
          <w:szCs w:val="18"/>
        </w:rPr>
        <w:t xml:space="preserve">Anderson, E., and </w:t>
      </w:r>
      <w:proofErr w:type="spellStart"/>
      <w:r w:rsidRPr="00E26709">
        <w:rPr>
          <w:szCs w:val="18"/>
        </w:rPr>
        <w:t>Mammides</w:t>
      </w:r>
      <w:proofErr w:type="spellEnd"/>
      <w:r w:rsidRPr="00E26709">
        <w:rPr>
          <w:szCs w:val="18"/>
        </w:rPr>
        <w:t xml:space="preserve">, C. 2020. The role of protected areas in mitigating human impact in the world’s last wilderness areas. </w:t>
      </w:r>
      <w:proofErr w:type="spellStart"/>
      <w:r w:rsidRPr="00E26709">
        <w:rPr>
          <w:szCs w:val="18"/>
        </w:rPr>
        <w:t>Ambio</w:t>
      </w:r>
      <w:proofErr w:type="spellEnd"/>
      <w:r w:rsidRPr="00E26709">
        <w:rPr>
          <w:szCs w:val="18"/>
        </w:rPr>
        <w:t xml:space="preserve">, 49(2): 434-441. </w:t>
      </w:r>
    </w:p>
  </w:footnote>
  <w:footnote w:id="36">
    <w:p w14:paraId="3993EC6A" w14:textId="352F12E3" w:rsidR="005F25B3" w:rsidRPr="00E26709" w:rsidRDefault="00BD0B81" w:rsidP="005F25B3">
      <w:pPr>
        <w:pStyle w:val="FootnoteText"/>
        <w:rPr>
          <w:szCs w:val="18"/>
        </w:rPr>
      </w:pPr>
      <w:r w:rsidRPr="00313A72">
        <w:rPr>
          <w:rStyle w:val="FootnoteReference"/>
          <w:szCs w:val="18"/>
        </w:rPr>
        <w:footnoteRef/>
      </w:r>
      <w:r w:rsidRPr="00313A72">
        <w:rPr>
          <w:szCs w:val="18"/>
        </w:rPr>
        <w:t xml:space="preserve"> </w:t>
      </w:r>
      <w:r w:rsidR="005F25B3" w:rsidRPr="00E26709">
        <w:rPr>
          <w:szCs w:val="18"/>
        </w:rPr>
        <w:t xml:space="preserve">FAO. 2020. Global Forest Resources Assessment 2020: Main report. Rome. Available at: </w:t>
      </w:r>
      <w:hyperlink r:id="rId26" w:history="1">
        <w:r w:rsidR="005F25B3" w:rsidRPr="00E26709">
          <w:rPr>
            <w:rStyle w:val="Hyperlink"/>
            <w:szCs w:val="18"/>
          </w:rPr>
          <w:t>https://doi.org/10.4060/ca9825en</w:t>
        </w:r>
      </w:hyperlink>
    </w:p>
    <w:p w14:paraId="4EA5910A" w14:textId="439F447E" w:rsidR="00BD0B81" w:rsidRPr="00313A72" w:rsidRDefault="005F25B3" w:rsidP="005F25B3">
      <w:pPr>
        <w:pStyle w:val="FootnoteText"/>
        <w:rPr>
          <w:szCs w:val="18"/>
        </w:rPr>
      </w:pPr>
      <w:r w:rsidRPr="00313A72">
        <w:rPr>
          <w:rStyle w:val="FootnoteReference"/>
          <w:szCs w:val="18"/>
        </w:rPr>
        <w:footnoteRef/>
      </w:r>
      <w:r w:rsidRPr="00313A72">
        <w:rPr>
          <w:szCs w:val="18"/>
        </w:rPr>
        <w:t xml:space="preserve"> </w:t>
      </w:r>
      <w:r w:rsidR="00204771" w:rsidRPr="00E26709">
        <w:rPr>
          <w:i/>
          <w:iCs/>
          <w:szCs w:val="18"/>
        </w:rPr>
        <w:t>Ibid</w:t>
      </w:r>
    </w:p>
  </w:footnote>
  <w:footnote w:id="37">
    <w:p w14:paraId="2FA32468" w14:textId="77777777" w:rsidR="00525007" w:rsidRPr="00E26709" w:rsidRDefault="00525007" w:rsidP="00525007">
      <w:pPr>
        <w:pStyle w:val="FootnoteText"/>
        <w:rPr>
          <w:szCs w:val="18"/>
        </w:rPr>
      </w:pPr>
      <w:r w:rsidRPr="00313A72">
        <w:rPr>
          <w:rStyle w:val="FootnoteReference"/>
          <w:szCs w:val="18"/>
        </w:rPr>
        <w:footnoteRef/>
      </w:r>
      <w:r w:rsidRPr="00313A72">
        <w:rPr>
          <w:szCs w:val="18"/>
        </w:rPr>
        <w:t xml:space="preserve"> </w:t>
      </w:r>
      <w:r w:rsidRPr="00E26709">
        <w:rPr>
          <w:szCs w:val="18"/>
        </w:rPr>
        <w:t>Harrison, R.D., Shono, K., Gitz, V., Meybeck, A., Hofer, T. &amp; Wertz-</w:t>
      </w:r>
      <w:proofErr w:type="spellStart"/>
      <w:r w:rsidRPr="00E26709">
        <w:rPr>
          <w:szCs w:val="18"/>
        </w:rPr>
        <w:t>Kanounnikoff</w:t>
      </w:r>
      <w:proofErr w:type="spellEnd"/>
      <w:r w:rsidRPr="00E26709">
        <w:rPr>
          <w:szCs w:val="18"/>
        </w:rPr>
        <w:t xml:space="preserve">, S. 2022. Mainstreaming biodiversity in forestry. FAO Forestry Paper, No. 188. Rome, FAO and Bogor, Indonesia, CIFOR. https://doi. org/10.4060/cc2229en </w:t>
      </w:r>
    </w:p>
  </w:footnote>
  <w:footnote w:id="38">
    <w:p w14:paraId="20B885F2" w14:textId="77777777" w:rsidR="00525007" w:rsidRPr="00313A72" w:rsidRDefault="00525007" w:rsidP="00525007">
      <w:pPr>
        <w:pStyle w:val="FootnoteText"/>
        <w:rPr>
          <w:szCs w:val="18"/>
        </w:rPr>
      </w:pPr>
      <w:r w:rsidRPr="00313A72">
        <w:rPr>
          <w:rStyle w:val="FootnoteReference"/>
          <w:szCs w:val="18"/>
        </w:rPr>
        <w:footnoteRef/>
      </w:r>
      <w:r w:rsidRPr="00313A72">
        <w:rPr>
          <w:szCs w:val="18"/>
        </w:rPr>
        <w:t xml:space="preserve"> </w:t>
      </w:r>
      <w:r w:rsidRPr="00E26709">
        <w:rPr>
          <w:szCs w:val="18"/>
        </w:rPr>
        <w:t>Senior, R.A., Hill, J.K. &amp; Edwards, D.P. 2019. Global loss of climate connectivity in tropical forests. Nature Climate Change, 9(8): 623–626</w:t>
      </w:r>
      <w:r w:rsidRPr="00313A72">
        <w:rPr>
          <w:szCs w:val="18"/>
        </w:rPr>
        <w:t xml:space="preserve"> </w:t>
      </w:r>
    </w:p>
  </w:footnote>
  <w:footnote w:id="39">
    <w:p w14:paraId="61F7586C" w14:textId="77777777" w:rsidR="00525007" w:rsidRPr="00313A72" w:rsidRDefault="00525007" w:rsidP="00525007">
      <w:pPr>
        <w:pStyle w:val="FootnoteText"/>
        <w:rPr>
          <w:szCs w:val="18"/>
        </w:rPr>
      </w:pPr>
      <w:r w:rsidRPr="00313A72">
        <w:rPr>
          <w:rStyle w:val="FootnoteReference"/>
          <w:szCs w:val="18"/>
        </w:rPr>
        <w:footnoteRef/>
      </w:r>
      <w:r w:rsidRPr="00313A72">
        <w:rPr>
          <w:szCs w:val="18"/>
        </w:rPr>
        <w:t xml:space="preserve"> </w:t>
      </w:r>
      <w:r w:rsidRPr="00E26709">
        <w:rPr>
          <w:szCs w:val="18"/>
        </w:rPr>
        <w:t xml:space="preserve">Brockerhoff, E.G., </w:t>
      </w:r>
      <w:proofErr w:type="spellStart"/>
      <w:r w:rsidRPr="00E26709">
        <w:rPr>
          <w:szCs w:val="18"/>
        </w:rPr>
        <w:t>Jactel</w:t>
      </w:r>
      <w:proofErr w:type="spellEnd"/>
      <w:r w:rsidRPr="00E26709">
        <w:rPr>
          <w:szCs w:val="18"/>
        </w:rPr>
        <w:t>, H., Parrotta, J.A., Quine, C.P. &amp; Sayer, J. 2008. Plantation forests and biodiversity: oxymoron or opportunity? Biodiversity and Conservation, 17(5): 925–951.</w:t>
      </w:r>
    </w:p>
  </w:footnote>
  <w:footnote w:id="40">
    <w:p w14:paraId="5D0E5E6D" w14:textId="1BF4689D" w:rsidR="00BD0B81" w:rsidRPr="00313A72" w:rsidRDefault="00BD0B81" w:rsidP="00BD0B81">
      <w:pPr>
        <w:pStyle w:val="FootnoteText"/>
        <w:rPr>
          <w:szCs w:val="18"/>
        </w:rPr>
      </w:pPr>
      <w:r w:rsidRPr="00313A72">
        <w:rPr>
          <w:rStyle w:val="FootnoteReference"/>
          <w:szCs w:val="18"/>
        </w:rPr>
        <w:footnoteRef/>
      </w:r>
      <w:r w:rsidRPr="00313A72">
        <w:rPr>
          <w:szCs w:val="18"/>
        </w:rPr>
        <w:t xml:space="preserve"> </w:t>
      </w:r>
      <w:r w:rsidR="003B121B" w:rsidRPr="00313A72">
        <w:rPr>
          <w:szCs w:val="18"/>
        </w:rPr>
        <w:t>The</w:t>
      </w:r>
      <w:r w:rsidRPr="00313A72">
        <w:rPr>
          <w:szCs w:val="18"/>
        </w:rPr>
        <w:t xml:space="preserve"> </w:t>
      </w:r>
      <w:r w:rsidR="00204771" w:rsidRPr="00313A72">
        <w:rPr>
          <w:szCs w:val="18"/>
        </w:rPr>
        <w:t>UNFF</w:t>
      </w:r>
      <w:r w:rsidRPr="00313A72">
        <w:rPr>
          <w:szCs w:val="18"/>
        </w:rPr>
        <w:t xml:space="preserve"> in Decision </w:t>
      </w:r>
      <w:hyperlink r:id="rId27" w:history="1">
        <w:r w:rsidRPr="00313A72">
          <w:rPr>
            <w:rStyle w:val="Hyperlink"/>
            <w:szCs w:val="18"/>
          </w:rPr>
          <w:t>E/2007/42 E/CN.18/2007/8</w:t>
        </w:r>
      </w:hyperlink>
      <w:r w:rsidRPr="00313A72">
        <w:rPr>
          <w:szCs w:val="18"/>
        </w:rPr>
        <w:t xml:space="preserve"> </w:t>
      </w:r>
      <w:r w:rsidR="003B121B" w:rsidRPr="00313A72">
        <w:rPr>
          <w:szCs w:val="18"/>
        </w:rPr>
        <w:t>defines</w:t>
      </w:r>
      <w:r w:rsidRPr="00313A72">
        <w:rPr>
          <w:szCs w:val="18"/>
        </w:rPr>
        <w:t xml:space="preserve"> </w:t>
      </w:r>
      <w:r w:rsidR="003B121B" w:rsidRPr="00313A72">
        <w:rPr>
          <w:szCs w:val="18"/>
        </w:rPr>
        <w:t>s</w:t>
      </w:r>
      <w:r w:rsidRPr="00313A72">
        <w:rPr>
          <w:szCs w:val="18"/>
        </w:rPr>
        <w:t>ustainable forest management as “</w:t>
      </w:r>
      <w:r w:rsidRPr="00E26709">
        <w:rPr>
          <w:szCs w:val="18"/>
        </w:rPr>
        <w:t>a dynamic and evolving concept, aims to maintain and enhance the economic, social and environmental values of all types of forests, for the benefit of present and future generations”</w:t>
      </w:r>
      <w:r w:rsidR="00204771" w:rsidRPr="00E26709">
        <w:rPr>
          <w:szCs w:val="18"/>
        </w:rPr>
        <w:t>.</w:t>
      </w:r>
    </w:p>
  </w:footnote>
  <w:footnote w:id="41">
    <w:p w14:paraId="166D1F03" w14:textId="29EC3C8D" w:rsidR="003B121B" w:rsidRPr="00E26709" w:rsidRDefault="003B121B">
      <w:pPr>
        <w:pStyle w:val="FootnoteText"/>
        <w:rPr>
          <w:szCs w:val="18"/>
        </w:rPr>
      </w:pPr>
      <w:r w:rsidRPr="00313A72">
        <w:rPr>
          <w:rStyle w:val="FootnoteReference"/>
          <w:szCs w:val="18"/>
        </w:rPr>
        <w:footnoteRef/>
      </w:r>
      <w:r w:rsidR="00204771" w:rsidRPr="00E26709">
        <w:rPr>
          <w:szCs w:val="18"/>
        </w:rPr>
        <w:t xml:space="preserve">FAO. 2020. Global Forest Resources Assessment 2020: Main report. Rome. Available at: </w:t>
      </w:r>
      <w:hyperlink r:id="rId28" w:history="1">
        <w:r w:rsidR="00204771" w:rsidRPr="00E26709">
          <w:rPr>
            <w:rStyle w:val="Hyperlink"/>
            <w:szCs w:val="18"/>
          </w:rPr>
          <w:t>https://doi.org/10.4060/ca9825en</w:t>
        </w:r>
      </w:hyperlink>
    </w:p>
  </w:footnote>
  <w:footnote w:id="42">
    <w:p w14:paraId="0D83720C" w14:textId="6492FFE0" w:rsidR="004F78E1" w:rsidRPr="00E26709" w:rsidRDefault="004F78E1" w:rsidP="004F78E1">
      <w:pPr>
        <w:pStyle w:val="FootnoteText"/>
        <w:rPr>
          <w:szCs w:val="18"/>
        </w:rPr>
      </w:pPr>
      <w:r w:rsidRPr="00313A72">
        <w:rPr>
          <w:rStyle w:val="FootnoteReference"/>
          <w:szCs w:val="18"/>
        </w:rPr>
        <w:footnoteRef/>
      </w:r>
      <w:r w:rsidRPr="00E26709">
        <w:rPr>
          <w:szCs w:val="18"/>
        </w:rPr>
        <w:t xml:space="preserve"> </w:t>
      </w:r>
      <w:r w:rsidR="00204771" w:rsidRPr="00E26709">
        <w:rPr>
          <w:i/>
          <w:iCs/>
          <w:szCs w:val="18"/>
        </w:rPr>
        <w:t>Ibid</w:t>
      </w:r>
    </w:p>
  </w:footnote>
  <w:footnote w:id="43">
    <w:p w14:paraId="1FCDC35B" w14:textId="11359B44" w:rsidR="001B4E2D" w:rsidRPr="00313A72" w:rsidRDefault="001B4E2D">
      <w:pPr>
        <w:pStyle w:val="FootnoteText"/>
        <w:rPr>
          <w:szCs w:val="18"/>
        </w:rPr>
      </w:pPr>
      <w:r w:rsidRPr="00313A72">
        <w:rPr>
          <w:rStyle w:val="FootnoteReference"/>
          <w:szCs w:val="18"/>
        </w:rPr>
        <w:footnoteRef/>
      </w:r>
      <w:r w:rsidRPr="00313A72">
        <w:rPr>
          <w:szCs w:val="18"/>
        </w:rPr>
        <w:t xml:space="preserve"> </w:t>
      </w:r>
      <w:r w:rsidR="009F71E1" w:rsidRPr="00313A72">
        <w:rPr>
          <w:szCs w:val="18"/>
        </w:rPr>
        <w:t xml:space="preserve">The analysis will be made available on the </w:t>
      </w:r>
      <w:r w:rsidR="00A74718" w:rsidRPr="00313A72">
        <w:rPr>
          <w:szCs w:val="18"/>
        </w:rPr>
        <w:t>following</w:t>
      </w:r>
      <w:r w:rsidR="009F71E1" w:rsidRPr="00313A72">
        <w:rPr>
          <w:szCs w:val="18"/>
        </w:rPr>
        <w:t xml:space="preserve"> webpage once finalized</w:t>
      </w:r>
      <w:r w:rsidR="00A74718" w:rsidRPr="00313A72">
        <w:rPr>
          <w:szCs w:val="18"/>
        </w:rPr>
        <w:t>:</w:t>
      </w:r>
      <w:r w:rsidR="00E9743E" w:rsidRPr="00313A72">
        <w:rPr>
          <w:szCs w:val="18"/>
        </w:rPr>
        <w:t xml:space="preserve"> https://www.fao.org/collaborative-partnership-on-forests/en</w:t>
      </w:r>
    </w:p>
  </w:footnote>
  <w:footnote w:id="44">
    <w:p w14:paraId="6107DD2F" w14:textId="55434DB7" w:rsidR="00B357E0" w:rsidRPr="00E26709" w:rsidRDefault="00B357E0" w:rsidP="00B357E0">
      <w:pPr>
        <w:pStyle w:val="FootnoteText"/>
        <w:rPr>
          <w:szCs w:val="18"/>
        </w:rPr>
      </w:pPr>
      <w:r w:rsidRPr="00313A72">
        <w:rPr>
          <w:rStyle w:val="FootnoteReference"/>
          <w:szCs w:val="18"/>
        </w:rPr>
        <w:footnoteRef/>
      </w:r>
      <w:r w:rsidRPr="00313A72">
        <w:rPr>
          <w:szCs w:val="18"/>
        </w:rPr>
        <w:t xml:space="preserve"> </w:t>
      </w:r>
      <w:r w:rsidR="00204771" w:rsidRPr="00313A72">
        <w:rPr>
          <w:szCs w:val="18"/>
        </w:rPr>
        <w:t>For a</w:t>
      </w:r>
      <w:r w:rsidRPr="00313A72">
        <w:rPr>
          <w:szCs w:val="18"/>
        </w:rPr>
        <w:t xml:space="preserve"> mapping of the relationship between the KMGBF targets and other global processes and conventions</w:t>
      </w:r>
      <w:r w:rsidR="00C0196F" w:rsidRPr="00313A72">
        <w:rPr>
          <w:szCs w:val="18"/>
        </w:rPr>
        <w:t xml:space="preserve"> please see</w:t>
      </w:r>
      <w:r w:rsidR="00204771" w:rsidRPr="00313A72">
        <w:rPr>
          <w:szCs w:val="18"/>
        </w:rPr>
        <w:t xml:space="preserve"> Table 1, page 21 of</w:t>
      </w:r>
      <w:r w:rsidR="00C0196F" w:rsidRPr="00313A72">
        <w:rPr>
          <w:szCs w:val="18"/>
        </w:rPr>
        <w:t xml:space="preserve">: Secretariat of the CBD. 2024. The Forest Factor: The role of protection, restoration and sustainable management of forests for the implementation of the Kunming-Montreal Global Biodiversity Framework, available at: </w:t>
      </w:r>
      <w:hyperlink r:id="rId29" w:history="1">
        <w:r w:rsidR="00C0196F" w:rsidRPr="00313A72">
          <w:rPr>
            <w:rStyle w:val="Hyperlink"/>
            <w:szCs w:val="18"/>
          </w:rPr>
          <w:t>https://www.cbd.int/forest/doc/forest-factor-en.pdf</w:t>
        </w:r>
      </w:hyperlink>
    </w:p>
  </w:footnote>
  <w:footnote w:id="45">
    <w:p w14:paraId="1C3FE313" w14:textId="77777777" w:rsidR="00527474" w:rsidRPr="00E26709" w:rsidRDefault="00527474" w:rsidP="00527474">
      <w:pPr>
        <w:pStyle w:val="FootnoteText"/>
        <w:rPr>
          <w:szCs w:val="18"/>
        </w:rPr>
      </w:pPr>
      <w:r w:rsidRPr="00313A72">
        <w:rPr>
          <w:rStyle w:val="FootnoteReference"/>
          <w:szCs w:val="18"/>
        </w:rPr>
        <w:footnoteRef/>
      </w:r>
      <w:r w:rsidRPr="00313A72">
        <w:rPr>
          <w:szCs w:val="18"/>
        </w:rPr>
        <w:t xml:space="preserve">  </w:t>
      </w:r>
      <w:r w:rsidRPr="00E26709">
        <w:rPr>
          <w:szCs w:val="18"/>
        </w:rPr>
        <w:t xml:space="preserve">Secretariat of the CBD. 2024: The Forest Factor: The role of protection, restoration and sustainable management of forests for the implementation of the Kunming-Montreal Global Biodiversity Framework. Available at: </w:t>
      </w:r>
      <w:hyperlink r:id="rId30" w:history="1">
        <w:r w:rsidRPr="00E26709">
          <w:rPr>
            <w:rStyle w:val="Hyperlink"/>
            <w:szCs w:val="18"/>
          </w:rPr>
          <w:t>https://www.cbd.int/forest/doc/forest-factor-en.pdf</w:t>
        </w:r>
      </w:hyperlink>
      <w:r w:rsidRPr="00E26709">
        <w:rPr>
          <w:szCs w:val="18"/>
        </w:rPr>
        <w:t xml:space="preserve"> </w:t>
      </w:r>
    </w:p>
  </w:footnote>
  <w:footnote w:id="46">
    <w:p w14:paraId="15063FB6" w14:textId="4525D8F8" w:rsidR="000C4659" w:rsidRPr="00E26709" w:rsidRDefault="000C4659" w:rsidP="000C4659">
      <w:pPr>
        <w:pStyle w:val="FootnoteText"/>
        <w:rPr>
          <w:szCs w:val="18"/>
        </w:rPr>
      </w:pPr>
      <w:r w:rsidRPr="00313A72">
        <w:rPr>
          <w:rStyle w:val="FootnoteReference"/>
          <w:szCs w:val="18"/>
        </w:rPr>
        <w:footnoteRef/>
      </w:r>
      <w:r w:rsidRPr="00313A72">
        <w:rPr>
          <w:szCs w:val="18"/>
        </w:rPr>
        <w:t xml:space="preserve"> </w:t>
      </w:r>
      <w:r w:rsidRPr="00E26709">
        <w:rPr>
          <w:szCs w:val="18"/>
        </w:rPr>
        <w:t xml:space="preserve">CPF. 2023. Joint Call to Action for Forests towards 2030. Available at: </w:t>
      </w:r>
      <w:hyperlink r:id="rId31" w:history="1">
        <w:r w:rsidRPr="00E26709">
          <w:rPr>
            <w:rStyle w:val="Hyperlink"/>
            <w:szCs w:val="18"/>
          </w:rPr>
          <w:t>https://openknowledge.fao.org/server/api/core/bitstreams/170a3a50-7118-4f32-aae4-06dd7a74a731/content</w:t>
        </w:r>
      </w:hyperlink>
      <w:r w:rsidRPr="00E26709">
        <w:rPr>
          <w:szCs w:val="18"/>
        </w:rPr>
        <w:t xml:space="preserve"> </w:t>
      </w:r>
    </w:p>
  </w:footnote>
  <w:footnote w:id="47">
    <w:p w14:paraId="6EDC5A58" w14:textId="576E27B0" w:rsidR="000C4659" w:rsidRPr="00E26709" w:rsidRDefault="000C4659">
      <w:pPr>
        <w:pStyle w:val="FootnoteText"/>
        <w:rPr>
          <w:szCs w:val="18"/>
          <w:lang w:val="es-ES"/>
        </w:rPr>
      </w:pPr>
      <w:r w:rsidRPr="00313A72">
        <w:rPr>
          <w:rStyle w:val="FootnoteReference"/>
          <w:szCs w:val="18"/>
        </w:rPr>
        <w:footnoteRef/>
      </w:r>
      <w:r w:rsidRPr="00E26709">
        <w:rPr>
          <w:szCs w:val="18"/>
          <w:lang w:val="es-ES"/>
        </w:rPr>
        <w:t xml:space="preserve"> E/CN.18/2025/3: </w:t>
      </w:r>
      <w:hyperlink r:id="rId32" w:history="1">
        <w:r w:rsidRPr="00E26709">
          <w:rPr>
            <w:rStyle w:val="Hyperlink"/>
            <w:szCs w:val="18"/>
            <w:lang w:val="es-ES"/>
          </w:rPr>
          <w:t>https://docs.un.org/en/E/CN.18/2025/3</w:t>
        </w:r>
      </w:hyperlink>
      <w:r w:rsidRPr="00E26709">
        <w:rPr>
          <w:szCs w:val="18"/>
          <w:lang w:val="es-ES"/>
        </w:rPr>
        <w:t xml:space="preserve"> </w:t>
      </w:r>
    </w:p>
  </w:footnote>
  <w:footnote w:id="48">
    <w:p w14:paraId="5EC4EEC8" w14:textId="673EE28B" w:rsidR="00D643BF" w:rsidRPr="00313A72" w:rsidRDefault="00D643BF">
      <w:pPr>
        <w:pStyle w:val="FootnoteText"/>
        <w:rPr>
          <w:szCs w:val="18"/>
        </w:rPr>
      </w:pPr>
      <w:r w:rsidRPr="00313A72">
        <w:rPr>
          <w:rStyle w:val="FootnoteReference"/>
          <w:szCs w:val="18"/>
        </w:rPr>
        <w:footnoteRef/>
      </w:r>
      <w:r w:rsidRPr="00313A72">
        <w:rPr>
          <w:szCs w:val="18"/>
        </w:rPr>
        <w:t xml:space="preserve"> Further information on the programme of side events for the KMGBF Pavilion available at: </w:t>
      </w:r>
      <w:hyperlink r:id="rId33" w:history="1">
        <w:r w:rsidRPr="00313A72">
          <w:rPr>
            <w:rStyle w:val="Hyperlink"/>
            <w:szCs w:val="18"/>
          </w:rPr>
          <w:t>https://www.cbd.int/conferences/2024/parallel-meetings/kmgbf-pavilion</w:t>
        </w:r>
      </w:hyperlink>
      <w:r w:rsidRPr="00313A72">
        <w:rPr>
          <w:szCs w:val="18"/>
        </w:rPr>
        <w:t xml:space="preserve"> </w:t>
      </w:r>
    </w:p>
  </w:footnote>
  <w:footnote w:id="49">
    <w:p w14:paraId="3E6C340B" w14:textId="24221F54" w:rsidR="00D643BF" w:rsidRPr="00313A72" w:rsidRDefault="00D643BF">
      <w:pPr>
        <w:pStyle w:val="FootnoteText"/>
        <w:rPr>
          <w:szCs w:val="18"/>
        </w:rPr>
      </w:pPr>
      <w:r w:rsidRPr="00313A72">
        <w:rPr>
          <w:rStyle w:val="FootnoteReference"/>
          <w:szCs w:val="18"/>
        </w:rPr>
        <w:footnoteRef/>
      </w:r>
      <w:r w:rsidRPr="00313A72">
        <w:rPr>
          <w:szCs w:val="18"/>
        </w:rPr>
        <w:t xml:space="preserve"> Further information on the programme of side events for the Forest Pavilion available at: </w:t>
      </w:r>
      <w:hyperlink r:id="rId34" w:history="1">
        <w:r w:rsidRPr="00313A72">
          <w:rPr>
            <w:rStyle w:val="Hyperlink"/>
            <w:szCs w:val="18"/>
          </w:rPr>
          <w:t>https://www.un.org/esa/forests/outreach/the-forest-pavilion-at-climate-cop29/index.html</w:t>
        </w:r>
      </w:hyperlink>
      <w:r w:rsidRPr="00313A72">
        <w:rPr>
          <w:szCs w:val="18"/>
        </w:rPr>
        <w:t xml:space="preserve"> </w:t>
      </w:r>
    </w:p>
  </w:footnote>
  <w:footnote w:id="50">
    <w:p w14:paraId="727D6C88" w14:textId="5A4226A8" w:rsidR="000C4659" w:rsidRPr="00AD6855" w:rsidRDefault="000C4659">
      <w:pPr>
        <w:pStyle w:val="FootnoteText"/>
        <w:rPr>
          <w:szCs w:val="18"/>
          <w:lang w:val="fr-FR"/>
        </w:rPr>
      </w:pPr>
      <w:r w:rsidRPr="00313A72">
        <w:rPr>
          <w:rStyle w:val="FootnoteReference"/>
          <w:szCs w:val="18"/>
        </w:rPr>
        <w:footnoteRef/>
      </w:r>
      <w:r w:rsidRPr="00AD6855">
        <w:rPr>
          <w:szCs w:val="18"/>
          <w:lang w:val="fr-FR"/>
        </w:rPr>
        <w:t xml:space="preserve"> COP29 Forest </w:t>
      </w:r>
      <w:proofErr w:type="spellStart"/>
      <w:r w:rsidRPr="00AD6855">
        <w:rPr>
          <w:szCs w:val="18"/>
          <w:lang w:val="fr-FR"/>
        </w:rPr>
        <w:t>Pavilion</w:t>
      </w:r>
      <w:proofErr w:type="spellEnd"/>
      <w:r w:rsidRPr="00AD6855">
        <w:rPr>
          <w:szCs w:val="18"/>
          <w:lang w:val="fr-FR"/>
        </w:rPr>
        <w:t xml:space="preserve"> </w:t>
      </w:r>
      <w:proofErr w:type="gramStart"/>
      <w:r w:rsidRPr="00AD6855">
        <w:rPr>
          <w:szCs w:val="18"/>
          <w:lang w:val="fr-FR"/>
        </w:rPr>
        <w:t>Communique:</w:t>
      </w:r>
      <w:proofErr w:type="gramEnd"/>
      <w:r w:rsidRPr="00AD6855">
        <w:rPr>
          <w:szCs w:val="18"/>
          <w:lang w:val="fr-FR"/>
        </w:rPr>
        <w:t xml:space="preserve"> </w:t>
      </w:r>
      <w:hyperlink r:id="rId35" w:history="1">
        <w:r w:rsidR="00723EBC" w:rsidRPr="00AD6855">
          <w:rPr>
            <w:rStyle w:val="Hyperlink"/>
            <w:szCs w:val="18"/>
            <w:lang w:val="fr-FR"/>
          </w:rPr>
          <w:t>https://www.un.org/esa/forests/wp-content/uploads/2024/12/Communique_Forest-Pavilion_UNFCCC-COP29.pdf</w:t>
        </w:r>
      </w:hyperlink>
      <w:r w:rsidR="00723EBC" w:rsidRPr="00AD6855">
        <w:rPr>
          <w:szCs w:val="18"/>
          <w:lang w:val="fr-FR"/>
        </w:rPr>
        <w:t xml:space="preserve"> </w:t>
      </w:r>
    </w:p>
  </w:footnote>
  <w:footnote w:id="51">
    <w:p w14:paraId="34E4A534" w14:textId="40655332" w:rsidR="00D643BF" w:rsidRPr="00313A72" w:rsidRDefault="00D643BF">
      <w:pPr>
        <w:pStyle w:val="FootnoteText"/>
        <w:rPr>
          <w:szCs w:val="18"/>
        </w:rPr>
      </w:pPr>
      <w:r w:rsidRPr="00313A72">
        <w:rPr>
          <w:rStyle w:val="FootnoteReference"/>
          <w:szCs w:val="18"/>
        </w:rPr>
        <w:footnoteRef/>
      </w:r>
      <w:r w:rsidRPr="00313A72">
        <w:rPr>
          <w:szCs w:val="18"/>
        </w:rPr>
        <w:t xml:space="preserve"> Further information on the side event available at: </w:t>
      </w:r>
      <w:hyperlink r:id="rId36" w:history="1">
        <w:r w:rsidRPr="00313A72">
          <w:rPr>
            <w:rStyle w:val="Hyperlink"/>
            <w:szCs w:val="18"/>
          </w:rPr>
          <w:t>https://www.fao.org/collaborative-partnership-on-forests/events/scaling-up-agroecology-for-restoration-and-conservation-in-mosaic-landscapes/en</w:t>
        </w:r>
      </w:hyperlink>
      <w:r w:rsidRPr="00313A72">
        <w:rPr>
          <w:szCs w:val="18"/>
        </w:rPr>
        <w:t xml:space="preserve"> </w:t>
      </w:r>
    </w:p>
  </w:footnote>
  <w:footnote w:id="52">
    <w:p w14:paraId="4E928F19" w14:textId="38E43779" w:rsidR="00C264E6" w:rsidRPr="00E26709" w:rsidRDefault="00C264E6">
      <w:pPr>
        <w:pStyle w:val="FootnoteText"/>
        <w:rPr>
          <w:szCs w:val="18"/>
        </w:rPr>
      </w:pPr>
      <w:r w:rsidRPr="00313A72">
        <w:rPr>
          <w:rStyle w:val="FootnoteReference"/>
          <w:szCs w:val="18"/>
        </w:rPr>
        <w:footnoteRef/>
      </w:r>
      <w:r w:rsidRPr="00313A72">
        <w:rPr>
          <w:szCs w:val="18"/>
        </w:rPr>
        <w:t xml:space="preserve"> </w:t>
      </w:r>
      <w:r w:rsidR="00D643BF" w:rsidRPr="00313A72">
        <w:rPr>
          <w:szCs w:val="18"/>
        </w:rPr>
        <w:t xml:space="preserve">Further information on the side event available at: </w:t>
      </w:r>
      <w:hyperlink r:id="rId37" w:history="1">
        <w:r w:rsidR="00D643BF" w:rsidRPr="00313A72">
          <w:rPr>
            <w:rStyle w:val="Hyperlink"/>
            <w:szCs w:val="18"/>
          </w:rPr>
          <w:t>https://www.un.org/esa/forests/wp-content/uploads/2024/12/Concept-Note_Side-Event-on-Dryland-Forests_UNCCD-COP16.pdf</w:t>
        </w:r>
      </w:hyperlink>
      <w:r w:rsidR="00D643BF" w:rsidRPr="00313A72">
        <w:rPr>
          <w:szCs w:val="18"/>
        </w:rPr>
        <w:t xml:space="preserve"> </w:t>
      </w:r>
    </w:p>
  </w:footnote>
  <w:footnote w:id="53">
    <w:p w14:paraId="6839E4B3" w14:textId="12450AD3" w:rsidR="00131A1A" w:rsidRPr="00E26709" w:rsidRDefault="00131A1A" w:rsidP="00131A1A">
      <w:pPr>
        <w:pStyle w:val="FootnoteText"/>
        <w:rPr>
          <w:szCs w:val="18"/>
        </w:rPr>
      </w:pPr>
      <w:r w:rsidRPr="00313A72">
        <w:rPr>
          <w:rStyle w:val="FootnoteReference"/>
          <w:szCs w:val="18"/>
        </w:rPr>
        <w:footnoteRef/>
      </w:r>
      <w:r w:rsidRPr="00E26709">
        <w:rPr>
          <w:szCs w:val="18"/>
        </w:rPr>
        <w:t xml:space="preserve"> </w:t>
      </w:r>
      <w:r w:rsidR="00C0196F" w:rsidRPr="00E26709">
        <w:rPr>
          <w:szCs w:val="18"/>
        </w:rPr>
        <w:t xml:space="preserve">CPF. 2025. Collaborative Partnership on Forests Work Plan 2025–2028 – Strategic Directions for Collaborative Forest Action. Rome. Available at: </w:t>
      </w:r>
      <w:hyperlink r:id="rId38" w:history="1">
        <w:r w:rsidR="00C0196F" w:rsidRPr="00E26709">
          <w:rPr>
            <w:rStyle w:val="Hyperlink"/>
            <w:szCs w:val="18"/>
          </w:rPr>
          <w:t>https://openknowledge.fao.org/items/c0b7b79a-4b1e-426e-b54b-93b2338a1375</w:t>
        </w:r>
      </w:hyperlink>
      <w:r w:rsidR="00B357E0" w:rsidRPr="00E26709">
        <w:rPr>
          <w:szCs w:val="18"/>
        </w:rPr>
        <w:t xml:space="preserve"> </w:t>
      </w:r>
    </w:p>
  </w:footnote>
  <w:footnote w:id="54">
    <w:p w14:paraId="7E4D9BD9" w14:textId="2BDE7C18" w:rsidR="00A31A65" w:rsidRPr="00313A72" w:rsidRDefault="00A31A65">
      <w:pPr>
        <w:pStyle w:val="FootnoteText"/>
        <w:rPr>
          <w:szCs w:val="18"/>
        </w:rPr>
      </w:pPr>
      <w:r w:rsidRPr="00313A72">
        <w:rPr>
          <w:rStyle w:val="FootnoteReference"/>
          <w:szCs w:val="18"/>
        </w:rPr>
        <w:footnoteRef/>
      </w:r>
      <w:r w:rsidRPr="00313A72">
        <w:rPr>
          <w:szCs w:val="18"/>
        </w:rPr>
        <w:t xml:space="preserve"> </w:t>
      </w:r>
      <w:r w:rsidR="00C0196F" w:rsidRPr="00313A72">
        <w:rPr>
          <w:szCs w:val="18"/>
        </w:rPr>
        <w:t xml:space="preserve">CPF Joint Initiatives: </w:t>
      </w:r>
      <w:hyperlink r:id="rId39" w:history="1">
        <w:r w:rsidR="00C0196F" w:rsidRPr="00313A72">
          <w:rPr>
            <w:rStyle w:val="Hyperlink"/>
            <w:szCs w:val="18"/>
          </w:rPr>
          <w:t>https://www.fao.org/collaborative-partnership-on-forests/initiatives/en</w:t>
        </w:r>
      </w:hyperlink>
      <w:r w:rsidRPr="00313A72">
        <w:rPr>
          <w:szCs w:val="18"/>
        </w:rPr>
        <w:t xml:space="preserve"> </w:t>
      </w:r>
    </w:p>
  </w:footnote>
  <w:footnote w:id="55">
    <w:p w14:paraId="0912632B" w14:textId="0462956C" w:rsidR="0022233B" w:rsidRPr="00313A72" w:rsidRDefault="0022233B">
      <w:pPr>
        <w:pStyle w:val="FootnoteText"/>
        <w:rPr>
          <w:szCs w:val="18"/>
        </w:rPr>
      </w:pPr>
      <w:r w:rsidRPr="00313A72">
        <w:rPr>
          <w:rStyle w:val="FootnoteReference"/>
          <w:szCs w:val="18"/>
        </w:rPr>
        <w:footnoteRef/>
      </w:r>
      <w:r w:rsidRPr="00313A72">
        <w:rPr>
          <w:szCs w:val="18"/>
        </w:rPr>
        <w:t xml:space="preserve"> </w:t>
      </w:r>
      <w:r w:rsidR="00C0196F" w:rsidRPr="00313A72">
        <w:rPr>
          <w:szCs w:val="18"/>
        </w:rPr>
        <w:t xml:space="preserve">Joint Initiative – Biodiversity </w:t>
      </w:r>
      <w:r w:rsidR="00D76591" w:rsidRPr="00313A72">
        <w:rPr>
          <w:szCs w:val="18"/>
        </w:rPr>
        <w:t>m</w:t>
      </w:r>
      <w:r w:rsidR="00C0196F" w:rsidRPr="00313A72">
        <w:rPr>
          <w:szCs w:val="18"/>
        </w:rPr>
        <w:t xml:space="preserve">ainstreaming in </w:t>
      </w:r>
      <w:r w:rsidR="00D76591" w:rsidRPr="00313A72">
        <w:rPr>
          <w:szCs w:val="18"/>
        </w:rPr>
        <w:t>f</w:t>
      </w:r>
      <w:r w:rsidR="00C0196F" w:rsidRPr="00313A72">
        <w:rPr>
          <w:szCs w:val="18"/>
        </w:rPr>
        <w:t xml:space="preserve">orestry: </w:t>
      </w:r>
      <w:hyperlink r:id="rId40" w:history="1">
        <w:r w:rsidR="00C0196F" w:rsidRPr="00313A72">
          <w:rPr>
            <w:rStyle w:val="Hyperlink"/>
            <w:szCs w:val="18"/>
          </w:rPr>
          <w:t>https://www.fao.org/collaborative-partnership-on-forests/initiatives/biodiversity-mainstreaming-in-forestry/en</w:t>
        </w:r>
      </w:hyperlink>
      <w:r w:rsidRPr="00313A72">
        <w:rPr>
          <w:szCs w:val="18"/>
        </w:rPr>
        <w:t xml:space="preserve"> </w:t>
      </w:r>
    </w:p>
  </w:footnote>
  <w:footnote w:id="56">
    <w:p w14:paraId="3104DA98" w14:textId="77777777" w:rsidR="003C0735" w:rsidRPr="00E26709" w:rsidRDefault="003C0735" w:rsidP="003C0735">
      <w:pPr>
        <w:pStyle w:val="FootnoteText"/>
        <w:rPr>
          <w:szCs w:val="18"/>
        </w:rPr>
      </w:pPr>
      <w:r w:rsidRPr="00313A72">
        <w:rPr>
          <w:rStyle w:val="FootnoteReference"/>
          <w:szCs w:val="18"/>
        </w:rPr>
        <w:footnoteRef/>
      </w:r>
      <w:r w:rsidRPr="00E26709">
        <w:rPr>
          <w:szCs w:val="18"/>
        </w:rPr>
        <w:t xml:space="preserve">Secretariat of the CBD, Secretariat of the UNFF. 2024. Information Note: Towards a coherent forest agenda. Available at:  </w:t>
      </w:r>
      <w:hyperlink r:id="rId41" w:history="1">
        <w:r w:rsidRPr="00E26709">
          <w:rPr>
            <w:rStyle w:val="Hyperlink"/>
            <w:szCs w:val="18"/>
          </w:rPr>
          <w:t>https://www.un.org/esa/forests/wp-content/uploads/2024/10/Towards-a-coherent-forest-agenda_final.pdf</w:t>
        </w:r>
      </w:hyperlink>
      <w:r w:rsidRPr="00E26709">
        <w:rPr>
          <w:szCs w:val="18"/>
        </w:rPr>
        <w:t xml:space="preserve"> </w:t>
      </w:r>
    </w:p>
  </w:footnote>
  <w:footnote w:id="57">
    <w:p w14:paraId="617710A8" w14:textId="537C1A5F" w:rsidR="00E46691" w:rsidRPr="00313A72" w:rsidRDefault="00E46691">
      <w:pPr>
        <w:pStyle w:val="FootnoteText"/>
        <w:rPr>
          <w:szCs w:val="18"/>
        </w:rPr>
      </w:pPr>
      <w:r w:rsidRPr="00313A72">
        <w:rPr>
          <w:rStyle w:val="FootnoteReference"/>
          <w:szCs w:val="18"/>
        </w:rPr>
        <w:footnoteRef/>
      </w:r>
      <w:r w:rsidRPr="00313A72">
        <w:rPr>
          <w:szCs w:val="18"/>
        </w:rPr>
        <w:t xml:space="preserve"> </w:t>
      </w:r>
      <w:r w:rsidR="009F71E1" w:rsidRPr="00313A72">
        <w:rPr>
          <w:szCs w:val="18"/>
        </w:rPr>
        <w:t xml:space="preserve">The analysis will be made available on the </w:t>
      </w:r>
      <w:r w:rsidR="00490BB4" w:rsidRPr="00313A72">
        <w:rPr>
          <w:szCs w:val="18"/>
        </w:rPr>
        <w:t>following</w:t>
      </w:r>
      <w:r w:rsidR="009F71E1" w:rsidRPr="00313A72">
        <w:rPr>
          <w:szCs w:val="18"/>
        </w:rPr>
        <w:t xml:space="preserve"> webpage once finalized.</w:t>
      </w:r>
      <w:r w:rsidR="00E9743E" w:rsidRPr="00313A72">
        <w:rPr>
          <w:szCs w:val="18"/>
        </w:rPr>
        <w:t xml:space="preserve"> https://www.fao.org/collaborative-partnership-on-forests/en</w:t>
      </w:r>
    </w:p>
  </w:footnote>
  <w:footnote w:id="58">
    <w:p w14:paraId="038203B0" w14:textId="74988975" w:rsidR="00DE6204" w:rsidRPr="00E26709" w:rsidRDefault="00DE6204">
      <w:pPr>
        <w:pStyle w:val="FootnoteText"/>
        <w:rPr>
          <w:szCs w:val="18"/>
        </w:rPr>
      </w:pPr>
      <w:r w:rsidRPr="00313A72">
        <w:rPr>
          <w:rStyle w:val="FootnoteReference"/>
          <w:szCs w:val="18"/>
        </w:rPr>
        <w:footnoteRef/>
      </w:r>
      <w:r w:rsidRPr="00313A72">
        <w:rPr>
          <w:szCs w:val="18"/>
        </w:rPr>
        <w:t xml:space="preserve"> </w:t>
      </w:r>
      <w:r w:rsidR="00C0196F" w:rsidRPr="00313A72">
        <w:rPr>
          <w:szCs w:val="18"/>
        </w:rPr>
        <w:t xml:space="preserve">Joint Initiative – Strengthening the conservation of  </w:t>
      </w:r>
      <w:r w:rsidR="00D76591" w:rsidRPr="00313A72">
        <w:rPr>
          <w:szCs w:val="18"/>
        </w:rPr>
        <w:t>p</w:t>
      </w:r>
      <w:r w:rsidR="00C0196F" w:rsidRPr="00313A72">
        <w:rPr>
          <w:szCs w:val="18"/>
        </w:rPr>
        <w:t xml:space="preserve">rimary </w:t>
      </w:r>
      <w:r w:rsidR="00D76591" w:rsidRPr="00313A72">
        <w:rPr>
          <w:szCs w:val="18"/>
        </w:rPr>
        <w:t>f</w:t>
      </w:r>
      <w:r w:rsidR="00C0196F" w:rsidRPr="00313A72">
        <w:rPr>
          <w:szCs w:val="18"/>
        </w:rPr>
        <w:t xml:space="preserve">orests: </w:t>
      </w:r>
      <w:hyperlink r:id="rId42" w:history="1">
        <w:r w:rsidR="00C0196F" w:rsidRPr="00313A72">
          <w:rPr>
            <w:rStyle w:val="Hyperlink"/>
            <w:szCs w:val="18"/>
          </w:rPr>
          <w:t>https://www.fao.org/collaborative-partnership-on-forests/initiatives/strengthening-the-conservation-of-primary-forests-through-enhanced-partnerships-and-coordination-of-support/en</w:t>
        </w:r>
      </w:hyperlink>
      <w:r w:rsidRPr="00313A72">
        <w:rPr>
          <w:szCs w:val="18"/>
        </w:rPr>
        <w:t xml:space="preserve"> </w:t>
      </w:r>
    </w:p>
  </w:footnote>
  <w:footnote w:id="59">
    <w:p w14:paraId="7EE28145" w14:textId="4D320AA7" w:rsidR="00B66B8B" w:rsidRPr="00313A72" w:rsidRDefault="00B66B8B">
      <w:pPr>
        <w:pStyle w:val="FootnoteText"/>
        <w:rPr>
          <w:szCs w:val="18"/>
        </w:rPr>
      </w:pPr>
      <w:r w:rsidRPr="00313A72">
        <w:rPr>
          <w:rStyle w:val="FootnoteReference"/>
          <w:szCs w:val="18"/>
        </w:rPr>
        <w:footnoteRef/>
      </w:r>
      <w:r w:rsidRPr="00313A72">
        <w:rPr>
          <w:szCs w:val="18"/>
        </w:rPr>
        <w:t xml:space="preserve"> Joint Initiative – Forest </w:t>
      </w:r>
      <w:r w:rsidR="00D76591" w:rsidRPr="00313A72">
        <w:rPr>
          <w:szCs w:val="18"/>
        </w:rPr>
        <w:t>f</w:t>
      </w:r>
      <w:r w:rsidRPr="00313A72">
        <w:rPr>
          <w:szCs w:val="18"/>
        </w:rPr>
        <w:t xml:space="preserve">inance </w:t>
      </w:r>
      <w:r w:rsidR="00D76591" w:rsidRPr="00313A72">
        <w:rPr>
          <w:szCs w:val="18"/>
        </w:rPr>
        <w:t>f</w:t>
      </w:r>
      <w:r w:rsidRPr="00313A72">
        <w:rPr>
          <w:szCs w:val="18"/>
        </w:rPr>
        <w:t xml:space="preserve">acilitation: </w:t>
      </w:r>
      <w:hyperlink r:id="rId43" w:history="1">
        <w:r w:rsidRPr="00313A72">
          <w:rPr>
            <w:rStyle w:val="Hyperlink"/>
            <w:szCs w:val="18"/>
          </w:rPr>
          <w:t>https://www.fao.org/collaborative-partnership-on-forests/initiatives/forest-finance-facilitation/en</w:t>
        </w:r>
      </w:hyperlink>
      <w:r w:rsidRPr="00313A72">
        <w:rPr>
          <w:szCs w:val="18"/>
        </w:rPr>
        <w:t xml:space="preserve"> </w:t>
      </w:r>
    </w:p>
  </w:footnote>
  <w:footnote w:id="60">
    <w:p w14:paraId="5BD0F3DD" w14:textId="77353D9A" w:rsidR="00B66B8B" w:rsidRPr="00313A72" w:rsidRDefault="00B66B8B">
      <w:pPr>
        <w:pStyle w:val="FootnoteText"/>
        <w:rPr>
          <w:szCs w:val="18"/>
        </w:rPr>
      </w:pPr>
      <w:r w:rsidRPr="00313A72">
        <w:rPr>
          <w:rStyle w:val="FootnoteReference"/>
          <w:szCs w:val="18"/>
        </w:rPr>
        <w:footnoteRef/>
      </w:r>
      <w:r w:rsidRPr="00313A72">
        <w:rPr>
          <w:szCs w:val="18"/>
        </w:rPr>
        <w:t xml:space="preserve"> Joint Initiative – Forest </w:t>
      </w:r>
      <w:r w:rsidR="00D76591" w:rsidRPr="00313A72">
        <w:rPr>
          <w:szCs w:val="18"/>
        </w:rPr>
        <w:t>e</w:t>
      </w:r>
      <w:r w:rsidRPr="00313A72">
        <w:rPr>
          <w:szCs w:val="18"/>
        </w:rPr>
        <w:t xml:space="preserve">ducation: </w:t>
      </w:r>
      <w:hyperlink r:id="rId44" w:history="1">
        <w:r w:rsidRPr="00313A72">
          <w:rPr>
            <w:rStyle w:val="Hyperlink"/>
            <w:szCs w:val="18"/>
          </w:rPr>
          <w:t>https://www.fao.org/collaborative-partnership-on-forests/initiatives/forest-education/en</w:t>
        </w:r>
      </w:hyperlink>
      <w:r w:rsidRPr="00313A72">
        <w:rPr>
          <w:szCs w:val="18"/>
        </w:rPr>
        <w:t xml:space="preserve"> </w:t>
      </w:r>
    </w:p>
  </w:footnote>
  <w:footnote w:id="61">
    <w:p w14:paraId="00785DA7" w14:textId="0368FBC4" w:rsidR="00675D61" w:rsidRPr="00313A72" w:rsidRDefault="00675D61">
      <w:pPr>
        <w:pStyle w:val="FootnoteText"/>
        <w:rPr>
          <w:szCs w:val="18"/>
        </w:rPr>
      </w:pPr>
      <w:r w:rsidRPr="00313A72">
        <w:rPr>
          <w:rStyle w:val="FootnoteReference"/>
          <w:szCs w:val="18"/>
        </w:rPr>
        <w:footnoteRef/>
      </w:r>
      <w:r w:rsidRPr="00313A72">
        <w:rPr>
          <w:szCs w:val="18"/>
        </w:rPr>
        <w:t xml:space="preserve"> Joint Initiative – Global </w:t>
      </w:r>
      <w:r w:rsidR="00D76591" w:rsidRPr="00313A72">
        <w:rPr>
          <w:szCs w:val="18"/>
        </w:rPr>
        <w:t>f</w:t>
      </w:r>
      <w:r w:rsidRPr="00313A72">
        <w:rPr>
          <w:szCs w:val="18"/>
        </w:rPr>
        <w:t xml:space="preserve">orest </w:t>
      </w:r>
      <w:r w:rsidR="00D76591" w:rsidRPr="00313A72">
        <w:rPr>
          <w:szCs w:val="18"/>
        </w:rPr>
        <w:t>e</w:t>
      </w:r>
      <w:r w:rsidRPr="00313A72">
        <w:rPr>
          <w:szCs w:val="18"/>
        </w:rPr>
        <w:t xml:space="preserve">xpert </w:t>
      </w:r>
      <w:r w:rsidR="00D76591" w:rsidRPr="00313A72">
        <w:rPr>
          <w:szCs w:val="18"/>
        </w:rPr>
        <w:t>p</w:t>
      </w:r>
      <w:r w:rsidRPr="00313A72">
        <w:rPr>
          <w:szCs w:val="18"/>
        </w:rPr>
        <w:t xml:space="preserve">anels: </w:t>
      </w:r>
      <w:hyperlink r:id="rId45" w:history="1">
        <w:r w:rsidRPr="00313A72">
          <w:rPr>
            <w:rStyle w:val="Hyperlink"/>
            <w:szCs w:val="18"/>
          </w:rPr>
          <w:t>https://www.fao.org/collaborative-partnership-on-forests/global-forest-expert-panels/en</w:t>
        </w:r>
      </w:hyperlink>
      <w:r w:rsidRPr="00313A72">
        <w:rPr>
          <w:szCs w:val="18"/>
        </w:rPr>
        <w:t xml:space="preserve"> </w:t>
      </w:r>
    </w:p>
  </w:footnote>
  <w:footnote w:id="62">
    <w:p w14:paraId="2D3358C2" w14:textId="65BA2CD5" w:rsidR="00675D61" w:rsidRPr="00313A72" w:rsidRDefault="00675D61">
      <w:pPr>
        <w:pStyle w:val="FootnoteText"/>
        <w:rPr>
          <w:szCs w:val="18"/>
        </w:rPr>
      </w:pPr>
      <w:r w:rsidRPr="00313A72">
        <w:rPr>
          <w:rStyle w:val="FootnoteReference"/>
          <w:szCs w:val="18"/>
        </w:rPr>
        <w:footnoteRef/>
      </w:r>
      <w:r w:rsidRPr="00313A72">
        <w:rPr>
          <w:szCs w:val="18"/>
        </w:rPr>
        <w:t xml:space="preserve"> Joint Initiative – Wangari Maathai Forest Champions Award: </w:t>
      </w:r>
      <w:hyperlink r:id="rId46" w:history="1">
        <w:r w:rsidRPr="00313A72">
          <w:rPr>
            <w:rStyle w:val="Hyperlink"/>
            <w:szCs w:val="18"/>
          </w:rPr>
          <w:t>https://www.fao.org/collaborative-partnership-on-forests/initiatives/wangari-maathai-forest-champions-award/en</w:t>
        </w:r>
      </w:hyperlink>
      <w:r w:rsidRPr="00313A72">
        <w:rPr>
          <w:szCs w:val="18"/>
        </w:rPr>
        <w:t xml:space="preserve"> </w:t>
      </w:r>
    </w:p>
  </w:footnote>
  <w:footnote w:id="63">
    <w:p w14:paraId="0F19C465" w14:textId="1ED1D95D" w:rsidR="00675D61" w:rsidRPr="00E26709" w:rsidRDefault="00675D61">
      <w:pPr>
        <w:pStyle w:val="FootnoteText"/>
        <w:rPr>
          <w:szCs w:val="18"/>
        </w:rPr>
      </w:pPr>
      <w:r w:rsidRPr="00313A72">
        <w:rPr>
          <w:rStyle w:val="FootnoteReference"/>
          <w:szCs w:val="18"/>
        </w:rPr>
        <w:footnoteRef/>
      </w:r>
      <w:r w:rsidRPr="00313A72">
        <w:rPr>
          <w:szCs w:val="18"/>
        </w:rPr>
        <w:t xml:space="preserve"> Joint Initiative - </w:t>
      </w:r>
      <w:r w:rsidRPr="00E26709">
        <w:rPr>
          <w:szCs w:val="18"/>
        </w:rPr>
        <w:t xml:space="preserve">CPF </w:t>
      </w:r>
      <w:r w:rsidR="00D76591" w:rsidRPr="00E26709">
        <w:rPr>
          <w:szCs w:val="18"/>
        </w:rPr>
        <w:t>c</w:t>
      </w:r>
      <w:r w:rsidRPr="00E26709">
        <w:rPr>
          <w:szCs w:val="18"/>
        </w:rPr>
        <w:t xml:space="preserve">ommunicator’s </w:t>
      </w:r>
      <w:r w:rsidR="00D76591" w:rsidRPr="00E26709">
        <w:rPr>
          <w:szCs w:val="18"/>
        </w:rPr>
        <w:t>n</w:t>
      </w:r>
      <w:r w:rsidRPr="00E26709">
        <w:rPr>
          <w:szCs w:val="18"/>
        </w:rPr>
        <w:t xml:space="preserve">etwork: </w:t>
      </w:r>
      <w:hyperlink r:id="rId47" w:history="1">
        <w:r w:rsidRPr="00E26709">
          <w:rPr>
            <w:rStyle w:val="Hyperlink"/>
            <w:szCs w:val="18"/>
          </w:rPr>
          <w:t>https://www.fao.org/collaborative-partnership-on-forests/initiatives/communicators'-network/en</w:t>
        </w:r>
      </w:hyperlink>
      <w:r w:rsidRPr="00E26709">
        <w:rPr>
          <w:szCs w:val="18"/>
        </w:rPr>
        <w:t xml:space="preserve"> </w:t>
      </w:r>
    </w:p>
  </w:footnote>
  <w:footnote w:id="64">
    <w:p w14:paraId="1353BDB2" w14:textId="6AF27A9F" w:rsidR="00675D61" w:rsidRPr="00313A72" w:rsidRDefault="00675D61">
      <w:pPr>
        <w:pStyle w:val="FootnoteText"/>
        <w:rPr>
          <w:szCs w:val="18"/>
        </w:rPr>
      </w:pPr>
      <w:r w:rsidRPr="00313A72">
        <w:rPr>
          <w:rStyle w:val="FootnoteReference"/>
          <w:szCs w:val="18"/>
        </w:rPr>
        <w:footnoteRef/>
      </w:r>
      <w:r w:rsidRPr="00313A72">
        <w:rPr>
          <w:szCs w:val="18"/>
        </w:rPr>
        <w:t xml:space="preserve"> Joint Initiative – Sustainable </w:t>
      </w:r>
      <w:r w:rsidR="00D76591" w:rsidRPr="00313A72">
        <w:rPr>
          <w:szCs w:val="18"/>
        </w:rPr>
        <w:t>w</w:t>
      </w:r>
      <w:r w:rsidRPr="00313A72">
        <w:rPr>
          <w:szCs w:val="18"/>
        </w:rPr>
        <w:t xml:space="preserve">ood for a </w:t>
      </w:r>
      <w:r w:rsidR="00D76591" w:rsidRPr="00313A72">
        <w:rPr>
          <w:szCs w:val="18"/>
        </w:rPr>
        <w:t>s</w:t>
      </w:r>
      <w:r w:rsidRPr="00313A72">
        <w:rPr>
          <w:szCs w:val="18"/>
        </w:rPr>
        <w:t xml:space="preserve">ustainable </w:t>
      </w:r>
      <w:r w:rsidR="00D76591" w:rsidRPr="00313A72">
        <w:rPr>
          <w:szCs w:val="18"/>
        </w:rPr>
        <w:t>w</w:t>
      </w:r>
      <w:r w:rsidRPr="00313A72">
        <w:rPr>
          <w:szCs w:val="18"/>
        </w:rPr>
        <w:t xml:space="preserve">orld: </w:t>
      </w:r>
      <w:hyperlink r:id="rId48" w:history="1">
        <w:r w:rsidRPr="00313A72">
          <w:rPr>
            <w:rStyle w:val="Hyperlink"/>
            <w:szCs w:val="18"/>
          </w:rPr>
          <w:t>https://www.fao.org/collaborative-partnership-on-forests/initiatives/sustainable-wood-for-a-sustainable-world/en</w:t>
        </w:r>
      </w:hyperlink>
      <w:r w:rsidRPr="00313A72">
        <w:rPr>
          <w:szCs w:val="18"/>
        </w:rPr>
        <w:t xml:space="preserve"> </w:t>
      </w:r>
    </w:p>
  </w:footnote>
  <w:footnote w:id="65">
    <w:p w14:paraId="03944BCA" w14:textId="0FA4CA24" w:rsidR="00675D61" w:rsidRPr="00E26709" w:rsidRDefault="00675D61">
      <w:pPr>
        <w:pStyle w:val="FootnoteText"/>
        <w:rPr>
          <w:szCs w:val="18"/>
        </w:rPr>
      </w:pPr>
      <w:r w:rsidRPr="00313A72">
        <w:rPr>
          <w:rStyle w:val="FootnoteReference"/>
          <w:szCs w:val="18"/>
        </w:rPr>
        <w:footnoteRef/>
      </w:r>
      <w:r w:rsidRPr="00313A72">
        <w:rPr>
          <w:szCs w:val="18"/>
        </w:rPr>
        <w:t xml:space="preserve"> </w:t>
      </w:r>
      <w:r w:rsidRPr="00E26709">
        <w:rPr>
          <w:szCs w:val="18"/>
        </w:rPr>
        <w:t xml:space="preserve">Joint Initiative – Turning the </w:t>
      </w:r>
      <w:r w:rsidR="00D76591" w:rsidRPr="00E26709">
        <w:rPr>
          <w:szCs w:val="18"/>
        </w:rPr>
        <w:t>t</w:t>
      </w:r>
      <w:r w:rsidRPr="00E26709">
        <w:rPr>
          <w:szCs w:val="18"/>
        </w:rPr>
        <w:t xml:space="preserve">ide on </w:t>
      </w:r>
      <w:r w:rsidR="00D76591" w:rsidRPr="00E26709">
        <w:rPr>
          <w:szCs w:val="18"/>
        </w:rPr>
        <w:t>d</w:t>
      </w:r>
      <w:r w:rsidRPr="00E26709">
        <w:rPr>
          <w:szCs w:val="18"/>
        </w:rPr>
        <w:t xml:space="preserve">eforestation: </w:t>
      </w:r>
      <w:hyperlink r:id="rId49" w:history="1">
        <w:r w:rsidR="00B66B8B" w:rsidRPr="00E26709">
          <w:rPr>
            <w:rStyle w:val="Hyperlink"/>
            <w:szCs w:val="18"/>
          </w:rPr>
          <w:t>https://www.fao.org/collaborative-partnership-on-forests/initiatives/turning-the-tide-on-deforestation/en</w:t>
        </w:r>
      </w:hyperlink>
      <w:r w:rsidR="00B66B8B" w:rsidRPr="00E26709">
        <w:rPr>
          <w:szCs w:val="18"/>
        </w:rPr>
        <w:t xml:space="preserve"> </w:t>
      </w:r>
    </w:p>
  </w:footnote>
  <w:footnote w:id="66">
    <w:p w14:paraId="00EF3629" w14:textId="6AF10F32" w:rsidR="00675D61" w:rsidRPr="00313A72" w:rsidRDefault="00675D61">
      <w:pPr>
        <w:pStyle w:val="FootnoteText"/>
        <w:rPr>
          <w:szCs w:val="18"/>
        </w:rPr>
      </w:pPr>
      <w:r w:rsidRPr="00313A72">
        <w:rPr>
          <w:rStyle w:val="FootnoteReference"/>
          <w:szCs w:val="18"/>
        </w:rPr>
        <w:footnoteRef/>
      </w:r>
      <w:r w:rsidRPr="00313A72">
        <w:rPr>
          <w:szCs w:val="18"/>
        </w:rPr>
        <w:t xml:space="preserve"> Joint Initiative – Integrated fire management in tropical forests: </w:t>
      </w:r>
      <w:hyperlink r:id="rId50" w:history="1">
        <w:r w:rsidRPr="00313A72">
          <w:rPr>
            <w:rStyle w:val="Hyperlink"/>
            <w:szCs w:val="18"/>
          </w:rPr>
          <w:t>https://www.fao.org/collaborative-partnership-on-forests/initiatives/integrated-fire-management-in-tropical-forests/en</w:t>
        </w:r>
      </w:hyperlink>
      <w:r w:rsidRPr="00313A72">
        <w:rPr>
          <w:szCs w:val="18"/>
        </w:rPr>
        <w:t xml:space="preserve"> </w:t>
      </w:r>
    </w:p>
  </w:footnote>
  <w:footnote w:id="67">
    <w:p w14:paraId="5AE6E6FC" w14:textId="28506088" w:rsidR="00675D61" w:rsidRPr="00E26709" w:rsidRDefault="00675D61">
      <w:pPr>
        <w:pStyle w:val="FootnoteText"/>
        <w:rPr>
          <w:szCs w:val="18"/>
        </w:rPr>
      </w:pPr>
      <w:r w:rsidRPr="00313A72">
        <w:rPr>
          <w:rStyle w:val="FootnoteReference"/>
          <w:szCs w:val="18"/>
        </w:rPr>
        <w:footnoteRef/>
      </w:r>
      <w:r w:rsidRPr="00313A72">
        <w:rPr>
          <w:szCs w:val="18"/>
        </w:rPr>
        <w:t xml:space="preserve"> </w:t>
      </w:r>
      <w:r w:rsidRPr="00E26709">
        <w:rPr>
          <w:szCs w:val="18"/>
        </w:rPr>
        <w:t xml:space="preserve">Joint Initiative – Forests for food security and nutrition: </w:t>
      </w:r>
      <w:hyperlink r:id="rId51" w:history="1">
        <w:r w:rsidRPr="00E26709">
          <w:rPr>
            <w:rStyle w:val="Hyperlink"/>
            <w:szCs w:val="18"/>
          </w:rPr>
          <w:t>https://www.fao.org/collaborative-partnership-on-forests/initiatives/forests-for-food-security-and-nutrition/en</w:t>
        </w:r>
      </w:hyperlink>
      <w:r w:rsidRPr="00E26709">
        <w:rPr>
          <w:szCs w:val="18"/>
        </w:rPr>
        <w:t xml:space="preserve"> </w:t>
      </w:r>
    </w:p>
  </w:footnote>
  <w:footnote w:id="68">
    <w:p w14:paraId="007BC166" w14:textId="7AFEBB18" w:rsidR="00B66B8B" w:rsidRPr="00E26709" w:rsidRDefault="00B66B8B">
      <w:pPr>
        <w:pStyle w:val="FootnoteText"/>
      </w:pPr>
      <w:r w:rsidRPr="00313A72">
        <w:rPr>
          <w:rStyle w:val="FootnoteReference"/>
          <w:szCs w:val="18"/>
        </w:rPr>
        <w:footnoteRef/>
      </w:r>
      <w:r w:rsidRPr="00313A72">
        <w:rPr>
          <w:szCs w:val="18"/>
        </w:rPr>
        <w:t xml:space="preserve"> </w:t>
      </w:r>
      <w:r w:rsidRPr="00E26709">
        <w:rPr>
          <w:szCs w:val="18"/>
        </w:rPr>
        <w:t xml:space="preserve">CPF. 2023. Joint Call to Action for Forests towards 2030. Available at: </w:t>
      </w:r>
      <w:hyperlink r:id="rId52" w:history="1">
        <w:r w:rsidRPr="00E26709">
          <w:rPr>
            <w:rStyle w:val="Hyperlink"/>
            <w:szCs w:val="18"/>
          </w:rPr>
          <w:t>https://openknowledge.fao.org/server/api/core/bitstreams/170a3a50-7118-4f32-aae4-06dd7a74a731/content</w:t>
        </w:r>
      </w:hyperlink>
      <w:r w:rsidRPr="00E26709">
        <w:t xml:space="preserve"> </w:t>
      </w:r>
    </w:p>
  </w:footnote>
  <w:footnote w:id="69">
    <w:p w14:paraId="15525E37" w14:textId="77777777" w:rsidR="00276E92" w:rsidRPr="00E26709" w:rsidRDefault="00276E92" w:rsidP="00276E92">
      <w:pPr>
        <w:pStyle w:val="FootnoteText"/>
        <w:rPr>
          <w:szCs w:val="18"/>
          <w:lang w:val="es-ES"/>
        </w:rPr>
      </w:pPr>
      <w:r w:rsidRPr="00313A72">
        <w:rPr>
          <w:rStyle w:val="FootnoteReference"/>
          <w:szCs w:val="18"/>
        </w:rPr>
        <w:footnoteRef/>
      </w:r>
      <w:r w:rsidRPr="00E26709">
        <w:rPr>
          <w:szCs w:val="18"/>
          <w:lang w:val="es-ES"/>
        </w:rPr>
        <w:t xml:space="preserve"> E/2024/42 E/CN.18/2024/9: </w:t>
      </w:r>
      <w:hyperlink r:id="rId53" w:history="1">
        <w:r w:rsidRPr="00E26709">
          <w:rPr>
            <w:rStyle w:val="Hyperlink"/>
            <w:szCs w:val="18"/>
            <w:lang w:val="es-ES"/>
          </w:rPr>
          <w:t>https://docs.un.org/en/E/2024/42</w:t>
        </w:r>
      </w:hyperlink>
      <w:r w:rsidRPr="00E26709">
        <w:rPr>
          <w:szCs w:val="18"/>
          <w:lang w:val="es-ES"/>
        </w:rPr>
        <w:t xml:space="preserve"> </w:t>
      </w:r>
    </w:p>
  </w:footnote>
  <w:footnote w:id="70">
    <w:p w14:paraId="62A37D22" w14:textId="5B7C617F" w:rsidR="009A68C0" w:rsidRPr="00E26709" w:rsidRDefault="009A68C0" w:rsidP="009A68C0">
      <w:pPr>
        <w:pStyle w:val="FootnoteText"/>
      </w:pPr>
      <w:r w:rsidRPr="00313A72">
        <w:rPr>
          <w:rStyle w:val="FootnoteReference"/>
        </w:rPr>
        <w:footnoteRef/>
      </w:r>
      <w:r w:rsidR="009720C9" w:rsidRPr="00E26709">
        <w:t xml:space="preserve"> </w:t>
      </w:r>
      <w:r w:rsidR="00F52112" w:rsidRPr="00E26709">
        <w:t xml:space="preserve">Further information on the </w:t>
      </w:r>
      <w:r w:rsidR="009720C9" w:rsidRPr="00E26709">
        <w:t xml:space="preserve">UNFF Clearing House on Forest Financing </w:t>
      </w:r>
      <w:r w:rsidR="00F52112" w:rsidRPr="00E26709">
        <w:t xml:space="preserve">available at: </w:t>
      </w:r>
      <w:hyperlink r:id="rId54" w:history="1">
        <w:r w:rsidR="00F52112" w:rsidRPr="00E26709">
          <w:rPr>
            <w:rStyle w:val="Hyperlink"/>
          </w:rPr>
          <w:t>https://forest-finance.un.org/</w:t>
        </w:r>
      </w:hyperlink>
      <w:r w:rsidR="004678E5" w:rsidRPr="00E2670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5C97" w14:textId="06D61FB2" w:rsidR="00A5349C" w:rsidRPr="00E26709" w:rsidRDefault="006B2E06">
    <w:pPr>
      <w:pStyle w:val="Header"/>
      <w:rPr>
        <w:lang w:val="en-US"/>
      </w:rPr>
    </w:pPr>
    <w:r>
      <w:rPr>
        <w:lang w:val="en-US"/>
      </w:rPr>
      <w:t>CBD/SBSTTA/27/INF/10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0729" w14:textId="1D8D4DDF" w:rsidR="00A5349C" w:rsidRPr="00E26709" w:rsidRDefault="006B2E06" w:rsidP="00E26709">
    <w:pPr>
      <w:pStyle w:val="Header"/>
      <w:jc w:val="right"/>
      <w:rPr>
        <w:lang w:val="en-US"/>
      </w:rPr>
    </w:pPr>
    <w:r>
      <w:rPr>
        <w:lang w:val="en-US"/>
      </w:rPr>
      <w:t>CBD/SBSTTA/27/INF/10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22ED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74C6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861D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7FCA4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36FB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34D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1CA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F2E5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86CB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53C46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3A510D"/>
    <w:multiLevelType w:val="hybridMultilevel"/>
    <w:tmpl w:val="1A5E055C"/>
    <w:lvl w:ilvl="0" w:tplc="083E8D10">
      <w:start w:val="1"/>
      <w:numFmt w:val="decimal"/>
      <w:lvlText w:val="%1."/>
      <w:lvlJc w:val="left"/>
      <w:pPr>
        <w:ind w:left="360" w:hanging="360"/>
      </w:pPr>
      <w:rPr>
        <w:rFonts w:hint="default"/>
        <w:b w:val="0"/>
        <w:bCs w:val="0"/>
        <w:i w:val="0"/>
        <w:iCs w:val="0"/>
      </w:rPr>
    </w:lvl>
    <w:lvl w:ilvl="1" w:tplc="13920D82">
      <w:start w:val="1"/>
      <w:numFmt w:val="lowerLetter"/>
      <w:lvlText w:val="%2."/>
      <w:lvlJc w:val="left"/>
      <w:pPr>
        <w:ind w:left="1080" w:hanging="360"/>
      </w:pPr>
      <w:rPr>
        <w:b/>
        <w:bCs/>
      </w:rPr>
    </w:lvl>
    <w:lvl w:ilvl="2" w:tplc="50F4F48A">
      <w:start w:val="1"/>
      <w:numFmt w:val="lowerRoman"/>
      <w:lvlText w:val="%3."/>
      <w:lvlJc w:val="right"/>
      <w:pPr>
        <w:ind w:left="1800" w:hanging="180"/>
      </w:pPr>
      <w:rPr>
        <w:b w:val="0"/>
        <w:bCs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72464E"/>
    <w:multiLevelType w:val="hybridMultilevel"/>
    <w:tmpl w:val="A33EF364"/>
    <w:lvl w:ilvl="0" w:tplc="16564394">
      <w:start w:val="16"/>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6A74978"/>
    <w:multiLevelType w:val="hybridMultilevel"/>
    <w:tmpl w:val="490A85DC"/>
    <w:lvl w:ilvl="0" w:tplc="0409000F">
      <w:start w:val="1"/>
      <w:numFmt w:val="decimal"/>
      <w:lvlText w:val="%1."/>
      <w:lvlJc w:val="left"/>
      <w:pPr>
        <w:ind w:left="108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84956EC"/>
    <w:multiLevelType w:val="hybridMultilevel"/>
    <w:tmpl w:val="E7844838"/>
    <w:lvl w:ilvl="0" w:tplc="04090001">
      <w:start w:val="1"/>
      <w:numFmt w:val="bullet"/>
      <w:lvlText w:val=""/>
      <w:lvlJc w:val="left"/>
      <w:pPr>
        <w:ind w:left="360" w:hanging="360"/>
      </w:pPr>
      <w:rPr>
        <w:rFonts w:ascii="Symbol" w:hAnsi="Symbol" w:hint="default"/>
        <w:b/>
        <w:bCs/>
        <w:i w:val="0"/>
        <w:iCs w:val="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 w15:restartNumberingAfterBreak="0">
    <w:nsid w:val="191614EF"/>
    <w:multiLevelType w:val="hybridMultilevel"/>
    <w:tmpl w:val="A7FE39EA"/>
    <w:lvl w:ilvl="0" w:tplc="153882E6">
      <w:start w:val="1"/>
      <w:numFmt w:val="decimal"/>
      <w:lvlText w:val="%1."/>
      <w:lvlJc w:val="left"/>
      <w:pPr>
        <w:ind w:left="1080" w:hanging="360"/>
      </w:pPr>
    </w:lvl>
    <w:lvl w:ilvl="1" w:tplc="36CA369A">
      <w:start w:val="1"/>
      <w:numFmt w:val="decimal"/>
      <w:lvlText w:val="%2."/>
      <w:lvlJc w:val="left"/>
      <w:pPr>
        <w:ind w:left="1080" w:hanging="360"/>
      </w:pPr>
    </w:lvl>
    <w:lvl w:ilvl="2" w:tplc="0C962042">
      <w:start w:val="1"/>
      <w:numFmt w:val="decimal"/>
      <w:lvlText w:val="%3."/>
      <w:lvlJc w:val="left"/>
      <w:pPr>
        <w:ind w:left="1080" w:hanging="360"/>
      </w:pPr>
    </w:lvl>
    <w:lvl w:ilvl="3" w:tplc="E572E0C8">
      <w:start w:val="1"/>
      <w:numFmt w:val="decimal"/>
      <w:lvlText w:val="%4."/>
      <w:lvlJc w:val="left"/>
      <w:pPr>
        <w:ind w:left="1080" w:hanging="360"/>
      </w:pPr>
    </w:lvl>
    <w:lvl w:ilvl="4" w:tplc="DA1CF9B6">
      <w:start w:val="1"/>
      <w:numFmt w:val="decimal"/>
      <w:lvlText w:val="%5."/>
      <w:lvlJc w:val="left"/>
      <w:pPr>
        <w:ind w:left="1080" w:hanging="360"/>
      </w:pPr>
    </w:lvl>
    <w:lvl w:ilvl="5" w:tplc="63A0764C">
      <w:start w:val="1"/>
      <w:numFmt w:val="decimal"/>
      <w:lvlText w:val="%6."/>
      <w:lvlJc w:val="left"/>
      <w:pPr>
        <w:ind w:left="1080" w:hanging="360"/>
      </w:pPr>
    </w:lvl>
    <w:lvl w:ilvl="6" w:tplc="A66C2770">
      <w:start w:val="1"/>
      <w:numFmt w:val="decimal"/>
      <w:lvlText w:val="%7."/>
      <w:lvlJc w:val="left"/>
      <w:pPr>
        <w:ind w:left="1080" w:hanging="360"/>
      </w:pPr>
    </w:lvl>
    <w:lvl w:ilvl="7" w:tplc="5BA8BCE6">
      <w:start w:val="1"/>
      <w:numFmt w:val="decimal"/>
      <w:lvlText w:val="%8."/>
      <w:lvlJc w:val="left"/>
      <w:pPr>
        <w:ind w:left="1080" w:hanging="360"/>
      </w:pPr>
    </w:lvl>
    <w:lvl w:ilvl="8" w:tplc="4882F166">
      <w:start w:val="1"/>
      <w:numFmt w:val="decimal"/>
      <w:lvlText w:val="%9."/>
      <w:lvlJc w:val="left"/>
      <w:pPr>
        <w:ind w:left="1080" w:hanging="360"/>
      </w:p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9848F9"/>
    <w:multiLevelType w:val="hybridMultilevel"/>
    <w:tmpl w:val="7862B244"/>
    <w:lvl w:ilvl="0" w:tplc="759EB8C4">
      <w:start w:val="1"/>
      <w:numFmt w:val="bullet"/>
      <w:lvlText w:val=""/>
      <w:lvlJc w:val="left"/>
      <w:pPr>
        <w:ind w:left="1260" w:hanging="360"/>
      </w:pPr>
      <w:rPr>
        <w:rFonts w:ascii="Symbol" w:hAnsi="Symbol"/>
      </w:rPr>
    </w:lvl>
    <w:lvl w:ilvl="1" w:tplc="D4C2CEFE">
      <w:start w:val="1"/>
      <w:numFmt w:val="bullet"/>
      <w:lvlText w:val=""/>
      <w:lvlJc w:val="left"/>
      <w:pPr>
        <w:ind w:left="1260" w:hanging="360"/>
      </w:pPr>
      <w:rPr>
        <w:rFonts w:ascii="Symbol" w:hAnsi="Symbol"/>
      </w:rPr>
    </w:lvl>
    <w:lvl w:ilvl="2" w:tplc="9CCCE238">
      <w:start w:val="1"/>
      <w:numFmt w:val="bullet"/>
      <w:lvlText w:val=""/>
      <w:lvlJc w:val="left"/>
      <w:pPr>
        <w:ind w:left="1260" w:hanging="360"/>
      </w:pPr>
      <w:rPr>
        <w:rFonts w:ascii="Symbol" w:hAnsi="Symbol"/>
      </w:rPr>
    </w:lvl>
    <w:lvl w:ilvl="3" w:tplc="2F5AF46E">
      <w:start w:val="1"/>
      <w:numFmt w:val="bullet"/>
      <w:lvlText w:val=""/>
      <w:lvlJc w:val="left"/>
      <w:pPr>
        <w:ind w:left="1260" w:hanging="360"/>
      </w:pPr>
      <w:rPr>
        <w:rFonts w:ascii="Symbol" w:hAnsi="Symbol"/>
      </w:rPr>
    </w:lvl>
    <w:lvl w:ilvl="4" w:tplc="BC2C5B46">
      <w:start w:val="1"/>
      <w:numFmt w:val="bullet"/>
      <w:lvlText w:val=""/>
      <w:lvlJc w:val="left"/>
      <w:pPr>
        <w:ind w:left="1260" w:hanging="360"/>
      </w:pPr>
      <w:rPr>
        <w:rFonts w:ascii="Symbol" w:hAnsi="Symbol"/>
      </w:rPr>
    </w:lvl>
    <w:lvl w:ilvl="5" w:tplc="10421CAA">
      <w:start w:val="1"/>
      <w:numFmt w:val="bullet"/>
      <w:lvlText w:val=""/>
      <w:lvlJc w:val="left"/>
      <w:pPr>
        <w:ind w:left="1260" w:hanging="360"/>
      </w:pPr>
      <w:rPr>
        <w:rFonts w:ascii="Symbol" w:hAnsi="Symbol"/>
      </w:rPr>
    </w:lvl>
    <w:lvl w:ilvl="6" w:tplc="0F72023C">
      <w:start w:val="1"/>
      <w:numFmt w:val="bullet"/>
      <w:lvlText w:val=""/>
      <w:lvlJc w:val="left"/>
      <w:pPr>
        <w:ind w:left="1260" w:hanging="360"/>
      </w:pPr>
      <w:rPr>
        <w:rFonts w:ascii="Symbol" w:hAnsi="Symbol"/>
      </w:rPr>
    </w:lvl>
    <w:lvl w:ilvl="7" w:tplc="FE92C1A8">
      <w:start w:val="1"/>
      <w:numFmt w:val="bullet"/>
      <w:lvlText w:val=""/>
      <w:lvlJc w:val="left"/>
      <w:pPr>
        <w:ind w:left="1260" w:hanging="360"/>
      </w:pPr>
      <w:rPr>
        <w:rFonts w:ascii="Symbol" w:hAnsi="Symbol"/>
      </w:rPr>
    </w:lvl>
    <w:lvl w:ilvl="8" w:tplc="02C0F44E">
      <w:start w:val="1"/>
      <w:numFmt w:val="bullet"/>
      <w:lvlText w:val=""/>
      <w:lvlJc w:val="left"/>
      <w:pPr>
        <w:ind w:left="1260" w:hanging="360"/>
      </w:pPr>
      <w:rPr>
        <w:rFonts w:ascii="Symbol" w:hAnsi="Symbol"/>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4657BCC"/>
    <w:multiLevelType w:val="hybridMultilevel"/>
    <w:tmpl w:val="08285644"/>
    <w:lvl w:ilvl="0" w:tplc="13920D82">
      <w:start w:val="1"/>
      <w:numFmt w:val="low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3D480B"/>
    <w:multiLevelType w:val="multilevel"/>
    <w:tmpl w:val="332A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DAB353A"/>
    <w:multiLevelType w:val="hybridMultilevel"/>
    <w:tmpl w:val="1818C54E"/>
    <w:lvl w:ilvl="0" w:tplc="D7BE13DA">
      <w:start w:val="1"/>
      <w:numFmt w:val="decimal"/>
      <w:lvlText w:val="%1."/>
      <w:lvlJc w:val="left"/>
      <w:pPr>
        <w:ind w:left="1080" w:hanging="360"/>
      </w:pPr>
    </w:lvl>
    <w:lvl w:ilvl="1" w:tplc="E5A6A724">
      <w:start w:val="1"/>
      <w:numFmt w:val="lowerLetter"/>
      <w:lvlText w:val="%2."/>
      <w:lvlJc w:val="left"/>
      <w:pPr>
        <w:ind w:left="720" w:hanging="360"/>
      </w:pPr>
    </w:lvl>
    <w:lvl w:ilvl="2" w:tplc="DF5EB318">
      <w:start w:val="1"/>
      <w:numFmt w:val="decimal"/>
      <w:lvlText w:val="%3."/>
      <w:lvlJc w:val="left"/>
      <w:pPr>
        <w:ind w:left="1080" w:hanging="360"/>
      </w:pPr>
    </w:lvl>
    <w:lvl w:ilvl="3" w:tplc="4272719A">
      <w:start w:val="1"/>
      <w:numFmt w:val="decimal"/>
      <w:lvlText w:val="%4."/>
      <w:lvlJc w:val="left"/>
      <w:pPr>
        <w:ind w:left="1080" w:hanging="360"/>
      </w:pPr>
    </w:lvl>
    <w:lvl w:ilvl="4" w:tplc="9AB8282E">
      <w:start w:val="1"/>
      <w:numFmt w:val="decimal"/>
      <w:lvlText w:val="%5."/>
      <w:lvlJc w:val="left"/>
      <w:pPr>
        <w:ind w:left="1080" w:hanging="360"/>
      </w:pPr>
    </w:lvl>
    <w:lvl w:ilvl="5" w:tplc="E2CC3CE2">
      <w:start w:val="1"/>
      <w:numFmt w:val="decimal"/>
      <w:lvlText w:val="%6."/>
      <w:lvlJc w:val="left"/>
      <w:pPr>
        <w:ind w:left="1080" w:hanging="360"/>
      </w:pPr>
    </w:lvl>
    <w:lvl w:ilvl="6" w:tplc="13B8BD96">
      <w:start w:val="1"/>
      <w:numFmt w:val="decimal"/>
      <w:lvlText w:val="%7."/>
      <w:lvlJc w:val="left"/>
      <w:pPr>
        <w:ind w:left="1080" w:hanging="360"/>
      </w:pPr>
    </w:lvl>
    <w:lvl w:ilvl="7" w:tplc="D3C84142">
      <w:start w:val="1"/>
      <w:numFmt w:val="decimal"/>
      <w:lvlText w:val="%8."/>
      <w:lvlJc w:val="left"/>
      <w:pPr>
        <w:ind w:left="1080" w:hanging="360"/>
      </w:pPr>
    </w:lvl>
    <w:lvl w:ilvl="8" w:tplc="FA6A4C9C">
      <w:start w:val="1"/>
      <w:numFmt w:val="decimal"/>
      <w:lvlText w:val="%9."/>
      <w:lvlJc w:val="left"/>
      <w:pPr>
        <w:ind w:left="1080" w:hanging="360"/>
      </w:pPr>
    </w:lvl>
  </w:abstractNum>
  <w:abstractNum w:abstractNumId="32" w15:restartNumberingAfterBreak="0">
    <w:nsid w:val="2E5356EC"/>
    <w:multiLevelType w:val="multilevel"/>
    <w:tmpl w:val="07D269C8"/>
    <w:numStyleLink w:val="CBDHeadings"/>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471208"/>
    <w:multiLevelType w:val="multilevel"/>
    <w:tmpl w:val="0480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9300AA"/>
    <w:multiLevelType w:val="hybridMultilevel"/>
    <w:tmpl w:val="82A689B0"/>
    <w:lvl w:ilvl="0" w:tplc="21283DCE">
      <w:start w:val="1"/>
      <w:numFmt w:val="lowerLetter"/>
      <w:lvlText w:val="%1)"/>
      <w:lvlJc w:val="left"/>
      <w:pPr>
        <w:ind w:left="720" w:hanging="360"/>
      </w:pPr>
    </w:lvl>
    <w:lvl w:ilvl="1" w:tplc="B9766600">
      <w:start w:val="1"/>
      <w:numFmt w:val="lowerRoman"/>
      <w:lvlText w:val="%2."/>
      <w:lvlJc w:val="right"/>
      <w:pPr>
        <w:ind w:left="720" w:hanging="360"/>
      </w:pPr>
    </w:lvl>
    <w:lvl w:ilvl="2" w:tplc="110C7FE4">
      <w:start w:val="1"/>
      <w:numFmt w:val="lowerLetter"/>
      <w:lvlText w:val="%3)"/>
      <w:lvlJc w:val="left"/>
      <w:pPr>
        <w:ind w:left="720" w:hanging="360"/>
      </w:pPr>
    </w:lvl>
    <w:lvl w:ilvl="3" w:tplc="EA5ECFA2">
      <w:start w:val="1"/>
      <w:numFmt w:val="lowerLetter"/>
      <w:lvlText w:val="%4)"/>
      <w:lvlJc w:val="left"/>
      <w:pPr>
        <w:ind w:left="720" w:hanging="360"/>
      </w:pPr>
    </w:lvl>
    <w:lvl w:ilvl="4" w:tplc="28E8CA04">
      <w:start w:val="1"/>
      <w:numFmt w:val="lowerLetter"/>
      <w:lvlText w:val="%5)"/>
      <w:lvlJc w:val="left"/>
      <w:pPr>
        <w:ind w:left="720" w:hanging="360"/>
      </w:pPr>
    </w:lvl>
    <w:lvl w:ilvl="5" w:tplc="75FA6B1C">
      <w:start w:val="1"/>
      <w:numFmt w:val="lowerLetter"/>
      <w:lvlText w:val="%6)"/>
      <w:lvlJc w:val="left"/>
      <w:pPr>
        <w:ind w:left="720" w:hanging="360"/>
      </w:pPr>
    </w:lvl>
    <w:lvl w:ilvl="6" w:tplc="6B4826CA">
      <w:start w:val="1"/>
      <w:numFmt w:val="lowerLetter"/>
      <w:lvlText w:val="%7)"/>
      <w:lvlJc w:val="left"/>
      <w:pPr>
        <w:ind w:left="720" w:hanging="360"/>
      </w:pPr>
    </w:lvl>
    <w:lvl w:ilvl="7" w:tplc="A1084A24">
      <w:start w:val="1"/>
      <w:numFmt w:val="lowerLetter"/>
      <w:lvlText w:val="%8)"/>
      <w:lvlJc w:val="left"/>
      <w:pPr>
        <w:ind w:left="720" w:hanging="360"/>
      </w:pPr>
    </w:lvl>
    <w:lvl w:ilvl="8" w:tplc="BEE63458">
      <w:start w:val="1"/>
      <w:numFmt w:val="lowerLetter"/>
      <w:lvlText w:val="%9)"/>
      <w:lvlJc w:val="left"/>
      <w:pPr>
        <w:ind w:left="720" w:hanging="36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9566E7"/>
    <w:multiLevelType w:val="hybridMultilevel"/>
    <w:tmpl w:val="EB8A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811109A"/>
    <w:multiLevelType w:val="hybridMultilevel"/>
    <w:tmpl w:val="4C80567C"/>
    <w:lvl w:ilvl="0" w:tplc="13920D82">
      <w:start w:val="1"/>
      <w:numFmt w:val="low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AA1E1B"/>
    <w:multiLevelType w:val="hybridMultilevel"/>
    <w:tmpl w:val="C5AE435C"/>
    <w:lvl w:ilvl="0" w:tplc="35C4ED8A">
      <w:start w:val="1"/>
      <w:numFmt w:val="decimal"/>
      <w:lvlText w:val="%1."/>
      <w:lvlJc w:val="left"/>
      <w:pPr>
        <w:ind w:left="1080" w:hanging="360"/>
      </w:pPr>
    </w:lvl>
    <w:lvl w:ilvl="1" w:tplc="AD4CCD10">
      <w:start w:val="1"/>
      <w:numFmt w:val="lowerLetter"/>
      <w:lvlText w:val="%2."/>
      <w:lvlJc w:val="left"/>
      <w:pPr>
        <w:ind w:left="1080" w:hanging="360"/>
      </w:pPr>
    </w:lvl>
    <w:lvl w:ilvl="2" w:tplc="A2E23332">
      <w:start w:val="1"/>
      <w:numFmt w:val="decimal"/>
      <w:lvlText w:val="%3."/>
      <w:lvlJc w:val="left"/>
      <w:pPr>
        <w:ind w:left="1080" w:hanging="360"/>
      </w:pPr>
    </w:lvl>
    <w:lvl w:ilvl="3" w:tplc="76D6732E">
      <w:start w:val="1"/>
      <w:numFmt w:val="decimal"/>
      <w:lvlText w:val="%4."/>
      <w:lvlJc w:val="left"/>
      <w:pPr>
        <w:ind w:left="1080" w:hanging="360"/>
      </w:pPr>
    </w:lvl>
    <w:lvl w:ilvl="4" w:tplc="1DF2205C">
      <w:start w:val="1"/>
      <w:numFmt w:val="decimal"/>
      <w:lvlText w:val="%5."/>
      <w:lvlJc w:val="left"/>
      <w:pPr>
        <w:ind w:left="1080" w:hanging="360"/>
      </w:pPr>
    </w:lvl>
    <w:lvl w:ilvl="5" w:tplc="B9BC18A6">
      <w:start w:val="1"/>
      <w:numFmt w:val="decimal"/>
      <w:lvlText w:val="%6."/>
      <w:lvlJc w:val="left"/>
      <w:pPr>
        <w:ind w:left="1080" w:hanging="360"/>
      </w:pPr>
    </w:lvl>
    <w:lvl w:ilvl="6" w:tplc="D74C3E82">
      <w:start w:val="1"/>
      <w:numFmt w:val="decimal"/>
      <w:lvlText w:val="%7."/>
      <w:lvlJc w:val="left"/>
      <w:pPr>
        <w:ind w:left="1080" w:hanging="360"/>
      </w:pPr>
    </w:lvl>
    <w:lvl w:ilvl="7" w:tplc="93CA5004">
      <w:start w:val="1"/>
      <w:numFmt w:val="decimal"/>
      <w:lvlText w:val="%8."/>
      <w:lvlJc w:val="left"/>
      <w:pPr>
        <w:ind w:left="1080" w:hanging="360"/>
      </w:pPr>
    </w:lvl>
    <w:lvl w:ilvl="8" w:tplc="057A7070">
      <w:start w:val="1"/>
      <w:numFmt w:val="decimal"/>
      <w:lvlText w:val="%9."/>
      <w:lvlJc w:val="left"/>
      <w:pPr>
        <w:ind w:left="1080" w:hanging="360"/>
      </w:pPr>
    </w:lvl>
  </w:abstractNum>
  <w:abstractNum w:abstractNumId="40" w15:restartNumberingAfterBreak="0">
    <w:nsid w:val="398E2FF3"/>
    <w:multiLevelType w:val="multilevel"/>
    <w:tmpl w:val="222A08B4"/>
    <w:numStyleLink w:val="ListCBD"/>
  </w:abstractNum>
  <w:abstractNum w:abstractNumId="41" w15:restartNumberingAfterBreak="0">
    <w:nsid w:val="3F90483B"/>
    <w:multiLevelType w:val="multilevel"/>
    <w:tmpl w:val="9380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3F43A8C"/>
    <w:multiLevelType w:val="hybridMultilevel"/>
    <w:tmpl w:val="A4EEC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E4B17"/>
    <w:multiLevelType w:val="hybridMultilevel"/>
    <w:tmpl w:val="C632E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C8A58B6"/>
    <w:multiLevelType w:val="hybridMultilevel"/>
    <w:tmpl w:val="8C92620C"/>
    <w:lvl w:ilvl="0" w:tplc="FFFFFFFF">
      <w:start w:val="1"/>
      <w:numFmt w:val="decimal"/>
      <w:lvlText w:val="%1."/>
      <w:lvlJc w:val="left"/>
      <w:pPr>
        <w:ind w:left="360" w:hanging="360"/>
      </w:pPr>
      <w:rPr>
        <w:rFonts w:hint="default"/>
        <w:b w:val="0"/>
        <w:bCs w:val="0"/>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rPr>
        <w:b w:val="0"/>
        <w:bCs w:val="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5D943BEE"/>
    <w:multiLevelType w:val="multilevel"/>
    <w:tmpl w:val="222A08B4"/>
    <w:numStyleLink w:val="ListCBD"/>
  </w:abstractNum>
  <w:abstractNum w:abstractNumId="54" w15:restartNumberingAfterBreak="0">
    <w:nsid w:val="5E61070C"/>
    <w:multiLevelType w:val="hybridMultilevel"/>
    <w:tmpl w:val="5502B9EE"/>
    <w:lvl w:ilvl="0" w:tplc="FFFFFFFF">
      <w:start w:val="1"/>
      <w:numFmt w:val="decimal"/>
      <w:lvlText w:val="%1."/>
      <w:lvlJc w:val="left"/>
      <w:pPr>
        <w:ind w:left="360" w:hanging="360"/>
      </w:pPr>
      <w:rPr>
        <w:rFonts w:hint="default"/>
        <w:b w:val="0"/>
        <w:bCs w:val="0"/>
        <w:i w:val="0"/>
        <w:iCs w:val="0"/>
      </w:rPr>
    </w:lvl>
    <w:lvl w:ilvl="1" w:tplc="04090019">
      <w:start w:val="1"/>
      <w:numFmt w:val="lowerLetter"/>
      <w:lvlText w:val="%2."/>
      <w:lvlJc w:val="left"/>
      <w:pPr>
        <w:ind w:left="1080" w:hanging="360"/>
      </w:pPr>
    </w:lvl>
    <w:lvl w:ilvl="2" w:tplc="FFFFFFFF">
      <w:start w:val="1"/>
      <w:numFmt w:val="lowerRoman"/>
      <w:lvlText w:val="%3."/>
      <w:lvlJc w:val="right"/>
      <w:pPr>
        <w:ind w:left="1800" w:hanging="180"/>
      </w:pPr>
      <w:rPr>
        <w:b w:val="0"/>
        <w:bCs w:val="0"/>
      </w:rPr>
    </w:lvl>
    <w:lvl w:ilvl="3" w:tplc="FFFFFFFF">
      <w:start w:val="1"/>
      <w:numFmt w:val="decimal"/>
      <w:lvlText w:val="%4."/>
      <w:lvlJc w:val="left"/>
      <w:pPr>
        <w:ind w:left="2520" w:hanging="360"/>
      </w:pPr>
    </w:lvl>
    <w:lvl w:ilvl="4" w:tplc="86FE2D48">
      <w:start w:val="6"/>
      <w:numFmt w:val="upperRoman"/>
      <w:lvlText w:val="%5."/>
      <w:lvlJc w:val="left"/>
      <w:pPr>
        <w:ind w:left="3600" w:hanging="720"/>
      </w:pPr>
      <w:rPr>
        <w:rFonts w:hint="default"/>
        <w:b/>
        <w:i w:val="0"/>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8B70991"/>
    <w:multiLevelType w:val="multilevel"/>
    <w:tmpl w:val="222A08B4"/>
    <w:numStyleLink w:val="ListCBD"/>
  </w:abstractNum>
  <w:abstractNum w:abstractNumId="56" w15:restartNumberingAfterBreak="0">
    <w:nsid w:val="68ED1F5D"/>
    <w:multiLevelType w:val="hybridMultilevel"/>
    <w:tmpl w:val="A27293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215935"/>
    <w:multiLevelType w:val="multilevel"/>
    <w:tmpl w:val="3BA20D6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A6E435D"/>
    <w:multiLevelType w:val="hybridMultilevel"/>
    <w:tmpl w:val="F2AEB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C9678C6"/>
    <w:multiLevelType w:val="hybridMultilevel"/>
    <w:tmpl w:val="383E0DAA"/>
    <w:lvl w:ilvl="0" w:tplc="6138364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2" w15:restartNumberingAfterBreak="0">
    <w:nsid w:val="72C5318A"/>
    <w:multiLevelType w:val="hybridMultilevel"/>
    <w:tmpl w:val="FEAC93B4"/>
    <w:lvl w:ilvl="0" w:tplc="5B589C4E">
      <w:start w:val="1"/>
      <w:numFmt w:val="decimal"/>
      <w:lvlText w:val="%1."/>
      <w:lvlJc w:val="left"/>
      <w:pPr>
        <w:ind w:left="1080" w:hanging="360"/>
      </w:pPr>
    </w:lvl>
    <w:lvl w:ilvl="1" w:tplc="D7927FF6">
      <w:start w:val="1"/>
      <w:numFmt w:val="lowerLetter"/>
      <w:lvlText w:val="%2."/>
      <w:lvlJc w:val="left"/>
      <w:pPr>
        <w:ind w:left="1800" w:hanging="360"/>
      </w:pPr>
    </w:lvl>
    <w:lvl w:ilvl="2" w:tplc="ECD2D66E">
      <w:start w:val="1"/>
      <w:numFmt w:val="decimal"/>
      <w:lvlText w:val="%3."/>
      <w:lvlJc w:val="left"/>
      <w:pPr>
        <w:ind w:left="1080" w:hanging="360"/>
      </w:pPr>
    </w:lvl>
    <w:lvl w:ilvl="3" w:tplc="C96CB25E">
      <w:start w:val="1"/>
      <w:numFmt w:val="decimal"/>
      <w:lvlText w:val="%4."/>
      <w:lvlJc w:val="left"/>
      <w:pPr>
        <w:ind w:left="1080" w:hanging="360"/>
      </w:pPr>
    </w:lvl>
    <w:lvl w:ilvl="4" w:tplc="4770F88E">
      <w:start w:val="1"/>
      <w:numFmt w:val="decimal"/>
      <w:lvlText w:val="%5."/>
      <w:lvlJc w:val="left"/>
      <w:pPr>
        <w:ind w:left="1080" w:hanging="360"/>
      </w:pPr>
    </w:lvl>
    <w:lvl w:ilvl="5" w:tplc="ED5438BA">
      <w:start w:val="1"/>
      <w:numFmt w:val="decimal"/>
      <w:lvlText w:val="%6."/>
      <w:lvlJc w:val="left"/>
      <w:pPr>
        <w:ind w:left="1080" w:hanging="360"/>
      </w:pPr>
    </w:lvl>
    <w:lvl w:ilvl="6" w:tplc="8C922EF8">
      <w:start w:val="1"/>
      <w:numFmt w:val="decimal"/>
      <w:lvlText w:val="%7."/>
      <w:lvlJc w:val="left"/>
      <w:pPr>
        <w:ind w:left="1080" w:hanging="360"/>
      </w:pPr>
    </w:lvl>
    <w:lvl w:ilvl="7" w:tplc="392465A0">
      <w:start w:val="1"/>
      <w:numFmt w:val="decimal"/>
      <w:lvlText w:val="%8."/>
      <w:lvlJc w:val="left"/>
      <w:pPr>
        <w:ind w:left="1080" w:hanging="360"/>
      </w:pPr>
    </w:lvl>
    <w:lvl w:ilvl="8" w:tplc="2E32AF3E">
      <w:start w:val="1"/>
      <w:numFmt w:val="decimal"/>
      <w:lvlText w:val="%9."/>
      <w:lvlJc w:val="left"/>
      <w:pPr>
        <w:ind w:left="1080" w:hanging="360"/>
      </w:pPr>
    </w:lvl>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69C0757"/>
    <w:multiLevelType w:val="hybridMultilevel"/>
    <w:tmpl w:val="97A03EDC"/>
    <w:lvl w:ilvl="0" w:tplc="D89EC01C">
      <w:start w:val="1"/>
      <w:numFmt w:val="bullet"/>
      <w:lvlText w:val=""/>
      <w:lvlJc w:val="left"/>
      <w:pPr>
        <w:ind w:left="1520" w:hanging="360"/>
      </w:pPr>
      <w:rPr>
        <w:rFonts w:ascii="Symbol" w:hAnsi="Symbol"/>
      </w:rPr>
    </w:lvl>
    <w:lvl w:ilvl="1" w:tplc="9E384A9E">
      <w:start w:val="1"/>
      <w:numFmt w:val="bullet"/>
      <w:lvlText w:val=""/>
      <w:lvlJc w:val="left"/>
      <w:pPr>
        <w:ind w:left="1520" w:hanging="360"/>
      </w:pPr>
      <w:rPr>
        <w:rFonts w:ascii="Symbol" w:hAnsi="Symbol"/>
      </w:rPr>
    </w:lvl>
    <w:lvl w:ilvl="2" w:tplc="195ADB20">
      <w:start w:val="1"/>
      <w:numFmt w:val="bullet"/>
      <w:lvlText w:val=""/>
      <w:lvlJc w:val="left"/>
      <w:pPr>
        <w:ind w:left="1520" w:hanging="360"/>
      </w:pPr>
      <w:rPr>
        <w:rFonts w:ascii="Symbol" w:hAnsi="Symbol"/>
      </w:rPr>
    </w:lvl>
    <w:lvl w:ilvl="3" w:tplc="F60234FC">
      <w:start w:val="1"/>
      <w:numFmt w:val="bullet"/>
      <w:lvlText w:val=""/>
      <w:lvlJc w:val="left"/>
      <w:pPr>
        <w:ind w:left="1520" w:hanging="360"/>
      </w:pPr>
      <w:rPr>
        <w:rFonts w:ascii="Symbol" w:hAnsi="Symbol"/>
      </w:rPr>
    </w:lvl>
    <w:lvl w:ilvl="4" w:tplc="23F86C52">
      <w:start w:val="1"/>
      <w:numFmt w:val="bullet"/>
      <w:lvlText w:val=""/>
      <w:lvlJc w:val="left"/>
      <w:pPr>
        <w:ind w:left="1520" w:hanging="360"/>
      </w:pPr>
      <w:rPr>
        <w:rFonts w:ascii="Symbol" w:hAnsi="Symbol"/>
      </w:rPr>
    </w:lvl>
    <w:lvl w:ilvl="5" w:tplc="09B0DE50">
      <w:start w:val="1"/>
      <w:numFmt w:val="bullet"/>
      <w:lvlText w:val=""/>
      <w:lvlJc w:val="left"/>
      <w:pPr>
        <w:ind w:left="1520" w:hanging="360"/>
      </w:pPr>
      <w:rPr>
        <w:rFonts w:ascii="Symbol" w:hAnsi="Symbol"/>
      </w:rPr>
    </w:lvl>
    <w:lvl w:ilvl="6" w:tplc="6562C7EA">
      <w:start w:val="1"/>
      <w:numFmt w:val="bullet"/>
      <w:lvlText w:val=""/>
      <w:lvlJc w:val="left"/>
      <w:pPr>
        <w:ind w:left="1520" w:hanging="360"/>
      </w:pPr>
      <w:rPr>
        <w:rFonts w:ascii="Symbol" w:hAnsi="Symbol"/>
      </w:rPr>
    </w:lvl>
    <w:lvl w:ilvl="7" w:tplc="D2B61BC2">
      <w:start w:val="1"/>
      <w:numFmt w:val="bullet"/>
      <w:lvlText w:val=""/>
      <w:lvlJc w:val="left"/>
      <w:pPr>
        <w:ind w:left="1520" w:hanging="360"/>
      </w:pPr>
      <w:rPr>
        <w:rFonts w:ascii="Symbol" w:hAnsi="Symbol"/>
      </w:rPr>
    </w:lvl>
    <w:lvl w:ilvl="8" w:tplc="68C48C62">
      <w:start w:val="1"/>
      <w:numFmt w:val="bullet"/>
      <w:lvlText w:val=""/>
      <w:lvlJc w:val="left"/>
      <w:pPr>
        <w:ind w:left="1520" w:hanging="360"/>
      </w:pPr>
      <w:rPr>
        <w:rFonts w:ascii="Symbol" w:hAnsi="Symbol"/>
      </w:rPr>
    </w:lvl>
  </w:abstractNum>
  <w:abstractNum w:abstractNumId="65" w15:restartNumberingAfterBreak="0">
    <w:nsid w:val="77204901"/>
    <w:multiLevelType w:val="hybridMultilevel"/>
    <w:tmpl w:val="FAD2E57E"/>
    <w:lvl w:ilvl="0" w:tplc="13920D82">
      <w:start w:val="1"/>
      <w:numFmt w:val="low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145B18"/>
    <w:multiLevelType w:val="hybridMultilevel"/>
    <w:tmpl w:val="12E4F74C"/>
    <w:lvl w:ilvl="0" w:tplc="D4AA38DE">
      <w:start w:val="1"/>
      <w:numFmt w:val="upperRoman"/>
      <w:lvlText w:val="%1."/>
      <w:lvlJc w:val="left"/>
      <w:pPr>
        <w:ind w:left="720" w:hanging="720"/>
      </w:pPr>
      <w:rPr>
        <w:rFonts w:hint="default"/>
        <w:b/>
        <w:bCs/>
      </w:rPr>
    </w:lvl>
    <w:lvl w:ilvl="1" w:tplc="9CB67850">
      <w:start w:val="1"/>
      <w:numFmt w:val="upperLetter"/>
      <w:lvlText w:val="%2."/>
      <w:lvlJc w:val="left"/>
      <w:pPr>
        <w:ind w:left="1080" w:hanging="360"/>
      </w:pPr>
      <w:rPr>
        <w:b/>
        <w:bCs/>
        <w:i w:val="0"/>
        <w:iCs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76836989">
    <w:abstractNumId w:val="11"/>
  </w:num>
  <w:num w:numId="2" w16cid:durableId="1182354690">
    <w:abstractNumId w:val="58"/>
  </w:num>
  <w:num w:numId="3" w16cid:durableId="890266831">
    <w:abstractNumId w:val="66"/>
  </w:num>
  <w:num w:numId="4" w16cid:durableId="1321081535">
    <w:abstractNumId w:val="57"/>
  </w:num>
  <w:num w:numId="5" w16cid:durableId="1655524380">
    <w:abstractNumId w:val="20"/>
  </w:num>
  <w:num w:numId="6" w16cid:durableId="30038466">
    <w:abstractNumId w:val="41"/>
  </w:num>
  <w:num w:numId="7" w16cid:durableId="1365323381">
    <w:abstractNumId w:val="65"/>
  </w:num>
  <w:num w:numId="8" w16cid:durableId="1949464339">
    <w:abstractNumId w:val="59"/>
  </w:num>
  <w:num w:numId="9" w16cid:durableId="1650280433">
    <w:abstractNumId w:val="37"/>
  </w:num>
  <w:num w:numId="10" w16cid:durableId="1311716580">
    <w:abstractNumId w:val="56"/>
  </w:num>
  <w:num w:numId="11" w16cid:durableId="209146156">
    <w:abstractNumId w:val="52"/>
  </w:num>
  <w:num w:numId="12" w16cid:durableId="1736774535">
    <w:abstractNumId w:val="50"/>
  </w:num>
  <w:num w:numId="13" w16cid:durableId="1178231892">
    <w:abstractNumId w:val="28"/>
  </w:num>
  <w:num w:numId="14" w16cid:durableId="1922333505">
    <w:abstractNumId w:val="38"/>
  </w:num>
  <w:num w:numId="15" w16cid:durableId="1032071436">
    <w:abstractNumId w:val="34"/>
  </w:num>
  <w:num w:numId="16" w16cid:durableId="1992828790">
    <w:abstractNumId w:val="25"/>
  </w:num>
  <w:num w:numId="17" w16cid:durableId="368995802">
    <w:abstractNumId w:val="64"/>
  </w:num>
  <w:num w:numId="18" w16cid:durableId="1051541196">
    <w:abstractNumId w:val="22"/>
  </w:num>
  <w:num w:numId="19" w16cid:durableId="217009493">
    <w:abstractNumId w:val="29"/>
  </w:num>
  <w:num w:numId="20" w16cid:durableId="1165509651">
    <w:abstractNumId w:val="62"/>
  </w:num>
  <w:num w:numId="21" w16cid:durableId="51659571">
    <w:abstractNumId w:val="39"/>
  </w:num>
  <w:num w:numId="22" w16cid:durableId="1139766169">
    <w:abstractNumId w:val="21"/>
  </w:num>
  <w:num w:numId="23" w16cid:durableId="1104610459">
    <w:abstractNumId w:val="31"/>
  </w:num>
  <w:num w:numId="24" w16cid:durableId="2076856333">
    <w:abstractNumId w:val="54"/>
  </w:num>
  <w:num w:numId="25" w16cid:durableId="1173184631">
    <w:abstractNumId w:val="45"/>
  </w:num>
  <w:num w:numId="26" w16cid:durableId="1603028147">
    <w:abstractNumId w:val="53"/>
  </w:num>
  <w:num w:numId="27" w16cid:durableId="1283606875">
    <w:abstractNumId w:val="53"/>
  </w:num>
  <w:num w:numId="28" w16cid:durableId="35198982">
    <w:abstractNumId w:val="53"/>
  </w:num>
  <w:num w:numId="29" w16cid:durableId="9873691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8997843">
    <w:abstractNumId w:val="53"/>
  </w:num>
  <w:num w:numId="31" w16cid:durableId="345256356">
    <w:abstractNumId w:val="53"/>
  </w:num>
  <w:num w:numId="32" w16cid:durableId="96223151">
    <w:abstractNumId w:val="53"/>
  </w:num>
  <w:num w:numId="33" w16cid:durableId="1576627060">
    <w:abstractNumId w:val="53"/>
  </w:num>
  <w:num w:numId="34" w16cid:durableId="1505704416">
    <w:abstractNumId w:val="53"/>
  </w:num>
  <w:num w:numId="35" w16cid:durableId="1897815629">
    <w:abstractNumId w:val="53"/>
  </w:num>
  <w:num w:numId="36" w16cid:durableId="2128770501">
    <w:abstractNumId w:val="53"/>
  </w:num>
  <w:num w:numId="37" w16cid:durableId="1235386111">
    <w:abstractNumId w:val="53"/>
  </w:num>
  <w:num w:numId="38" w16cid:durableId="1361129169">
    <w:abstractNumId w:val="53"/>
  </w:num>
  <w:num w:numId="39" w16cid:durableId="1156798255">
    <w:abstractNumId w:val="53"/>
  </w:num>
  <w:num w:numId="40" w16cid:durableId="1511748737">
    <w:abstractNumId w:val="53"/>
  </w:num>
  <w:num w:numId="41" w16cid:durableId="626547960">
    <w:abstractNumId w:val="53"/>
  </w:num>
  <w:num w:numId="42" w16cid:durableId="493033407">
    <w:abstractNumId w:val="53"/>
  </w:num>
  <w:num w:numId="43" w16cid:durableId="701589609">
    <w:abstractNumId w:val="53"/>
  </w:num>
  <w:num w:numId="44" w16cid:durableId="1623222154">
    <w:abstractNumId w:val="53"/>
  </w:num>
  <w:num w:numId="45" w16cid:durableId="276565163">
    <w:abstractNumId w:val="53"/>
  </w:num>
  <w:num w:numId="46" w16cid:durableId="1063453288">
    <w:abstractNumId w:val="53"/>
  </w:num>
  <w:num w:numId="47" w16cid:durableId="174464431">
    <w:abstractNumId w:val="53"/>
  </w:num>
  <w:num w:numId="48" w16cid:durableId="1828090528">
    <w:abstractNumId w:val="53"/>
  </w:num>
  <w:num w:numId="49" w16cid:durableId="1714498957">
    <w:abstractNumId w:val="53"/>
  </w:num>
  <w:num w:numId="50" w16cid:durableId="1910074104">
    <w:abstractNumId w:val="53"/>
  </w:num>
  <w:num w:numId="51" w16cid:durableId="1737777338">
    <w:abstractNumId w:val="53"/>
  </w:num>
  <w:num w:numId="52" w16cid:durableId="2143839008">
    <w:abstractNumId w:val="53"/>
  </w:num>
  <w:num w:numId="53" w16cid:durableId="449397581">
    <w:abstractNumId w:val="53"/>
  </w:num>
  <w:num w:numId="54" w16cid:durableId="1146313738">
    <w:abstractNumId w:val="53"/>
  </w:num>
  <w:num w:numId="55" w16cid:durableId="960233488">
    <w:abstractNumId w:val="53"/>
  </w:num>
  <w:num w:numId="56" w16cid:durableId="496924257">
    <w:abstractNumId w:val="53"/>
  </w:num>
  <w:num w:numId="57" w16cid:durableId="789200859">
    <w:abstractNumId w:val="53"/>
  </w:num>
  <w:num w:numId="58" w16cid:durableId="1212615582">
    <w:abstractNumId w:val="53"/>
  </w:num>
  <w:num w:numId="59" w16cid:durableId="1060516942">
    <w:abstractNumId w:val="43"/>
  </w:num>
  <w:num w:numId="60" w16cid:durableId="1873884550">
    <w:abstractNumId w:val="1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75773655">
    <w:abstractNumId w:val="35"/>
  </w:num>
  <w:num w:numId="62" w16cid:durableId="1195003638">
    <w:abstractNumId w:val="53"/>
  </w:num>
  <w:num w:numId="63" w16cid:durableId="1988507005">
    <w:abstractNumId w:val="53"/>
  </w:num>
  <w:num w:numId="64" w16cid:durableId="560672902">
    <w:abstractNumId w:val="15"/>
  </w:num>
  <w:num w:numId="65" w16cid:durableId="1072390599">
    <w:abstractNumId w:val="61"/>
  </w:num>
  <w:num w:numId="66" w16cid:durableId="1933662228">
    <w:abstractNumId w:val="36"/>
  </w:num>
  <w:num w:numId="67" w16cid:durableId="1991909117">
    <w:abstractNumId w:val="12"/>
  </w:num>
  <w:num w:numId="68" w16cid:durableId="1138956019">
    <w:abstractNumId w:val="23"/>
  </w:num>
  <w:num w:numId="69" w16cid:durableId="607395260">
    <w:abstractNumId w:val="9"/>
  </w:num>
  <w:num w:numId="70" w16cid:durableId="98110136">
    <w:abstractNumId w:val="7"/>
  </w:num>
  <w:num w:numId="71" w16cid:durableId="920676582">
    <w:abstractNumId w:val="6"/>
  </w:num>
  <w:num w:numId="72" w16cid:durableId="447286378">
    <w:abstractNumId w:val="5"/>
  </w:num>
  <w:num w:numId="73" w16cid:durableId="1532258362">
    <w:abstractNumId w:val="4"/>
  </w:num>
  <w:num w:numId="74" w16cid:durableId="1587106058">
    <w:abstractNumId w:val="8"/>
  </w:num>
  <w:num w:numId="75" w16cid:durableId="1646355732">
    <w:abstractNumId w:val="3"/>
  </w:num>
  <w:num w:numId="76" w16cid:durableId="2006930253">
    <w:abstractNumId w:val="2"/>
  </w:num>
  <w:num w:numId="77" w16cid:durableId="1811677887">
    <w:abstractNumId w:val="1"/>
  </w:num>
  <w:num w:numId="78" w16cid:durableId="537353487">
    <w:abstractNumId w:val="0"/>
  </w:num>
  <w:num w:numId="79" w16cid:durableId="2069499237">
    <w:abstractNumId w:val="55"/>
  </w:num>
  <w:num w:numId="80" w16cid:durableId="158270868">
    <w:abstractNumId w:val="63"/>
  </w:num>
  <w:num w:numId="81" w16cid:durableId="159275565">
    <w:abstractNumId w:val="26"/>
  </w:num>
  <w:num w:numId="82" w16cid:durableId="271714945">
    <w:abstractNumId w:val="27"/>
  </w:num>
  <w:num w:numId="83" w16cid:durableId="1638680439">
    <w:abstractNumId w:val="55"/>
    <w:lvlOverride w:ilvl="0">
      <w:startOverride w:val="1"/>
    </w:lvlOverride>
  </w:num>
  <w:num w:numId="84" w16cid:durableId="1865050652">
    <w:abstractNumId w:val="47"/>
  </w:num>
  <w:num w:numId="85" w16cid:durableId="152986975">
    <w:abstractNumId w:val="44"/>
  </w:num>
  <w:num w:numId="86" w16cid:durableId="1295136099">
    <w:abstractNumId w:val="51"/>
  </w:num>
  <w:num w:numId="87" w16cid:durableId="80179172">
    <w:abstractNumId w:val="49"/>
  </w:num>
  <w:num w:numId="88"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71076976">
    <w:abstractNumId w:val="17"/>
  </w:num>
  <w:num w:numId="90" w16cid:durableId="939752621">
    <w:abstractNumId w:val="46"/>
  </w:num>
  <w:num w:numId="91" w16cid:durableId="915044361">
    <w:abstractNumId w:val="40"/>
  </w:num>
  <w:num w:numId="92" w16cid:durableId="855196379">
    <w:abstractNumId w:val="19"/>
  </w:num>
  <w:num w:numId="93"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01917413">
    <w:abstractNumId w:val="24"/>
  </w:num>
  <w:num w:numId="95" w16cid:durableId="708722651">
    <w:abstractNumId w:val="10"/>
  </w:num>
  <w:num w:numId="96"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48112374">
    <w:abstractNumId w:val="13"/>
  </w:num>
  <w:num w:numId="99" w16cid:durableId="1607615596">
    <w:abstractNumId w:val="30"/>
  </w:num>
  <w:num w:numId="100" w16cid:durableId="643118139">
    <w:abstractNumId w:val="30"/>
    <w:lvlOverride w:ilvl="0">
      <w:startOverride w:val="1"/>
    </w:lvlOverride>
  </w:num>
  <w:num w:numId="101" w16cid:durableId="820851909">
    <w:abstractNumId w:val="30"/>
    <w:lvlOverride w:ilvl="0">
      <w:startOverride w:val="1"/>
    </w:lvlOverride>
  </w:num>
  <w:num w:numId="102" w16cid:durableId="709648587">
    <w:abstractNumId w:val="30"/>
    <w:lvlOverride w:ilvl="0">
      <w:startOverride w:val="1"/>
    </w:lvlOverride>
  </w:num>
  <w:num w:numId="103" w16cid:durableId="1353799543">
    <w:abstractNumId w:val="33"/>
  </w:num>
  <w:num w:numId="104" w16cid:durableId="1570270110">
    <w:abstractNumId w:val="48"/>
  </w:num>
  <w:num w:numId="105" w16cid:durableId="2125995167">
    <w:abstractNumId w:val="42"/>
  </w:num>
  <w:num w:numId="106" w16cid:durableId="893932166">
    <w:abstractNumId w:val="60"/>
  </w:num>
  <w:num w:numId="107" w16cid:durableId="1627851340">
    <w:abstractNumId w:val="32"/>
  </w:num>
  <w:num w:numId="108" w16cid:durableId="1945532808">
    <w:abstractNumId w:val="18"/>
  </w:num>
  <w:num w:numId="10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906494965">
    <w:abstractNumId w:val="14"/>
  </w:num>
  <w:num w:numId="11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107774432">
    <w:abstractNumId w:val="8"/>
  </w:num>
  <w:num w:numId="116" w16cid:durableId="1619216633">
    <w:abstractNumId w:val="3"/>
  </w:num>
  <w:num w:numId="117" w16cid:durableId="1519193891">
    <w:abstractNumId w:val="2"/>
  </w:num>
  <w:num w:numId="118" w16cid:durableId="1834371950">
    <w:abstractNumId w:val="1"/>
  </w:num>
  <w:num w:numId="119" w16cid:durableId="488906911">
    <w:abstractNumId w:val="0"/>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4E"/>
    <w:rsid w:val="000018D8"/>
    <w:rsid w:val="00002CC4"/>
    <w:rsid w:val="00007EEE"/>
    <w:rsid w:val="00014387"/>
    <w:rsid w:val="00014D40"/>
    <w:rsid w:val="0001531B"/>
    <w:rsid w:val="00015739"/>
    <w:rsid w:val="00016AF6"/>
    <w:rsid w:val="00016C00"/>
    <w:rsid w:val="00025A39"/>
    <w:rsid w:val="000300F0"/>
    <w:rsid w:val="000326FE"/>
    <w:rsid w:val="00034AD8"/>
    <w:rsid w:val="0003582C"/>
    <w:rsid w:val="00045094"/>
    <w:rsid w:val="00051B13"/>
    <w:rsid w:val="000524F2"/>
    <w:rsid w:val="00053B60"/>
    <w:rsid w:val="00060238"/>
    <w:rsid w:val="000617DB"/>
    <w:rsid w:val="0006221F"/>
    <w:rsid w:val="0006610C"/>
    <w:rsid w:val="0006768C"/>
    <w:rsid w:val="00070D8E"/>
    <w:rsid w:val="0007463C"/>
    <w:rsid w:val="00074A21"/>
    <w:rsid w:val="000767EC"/>
    <w:rsid w:val="00081736"/>
    <w:rsid w:val="000829BD"/>
    <w:rsid w:val="00086D95"/>
    <w:rsid w:val="00087AFD"/>
    <w:rsid w:val="000904F3"/>
    <w:rsid w:val="0009240F"/>
    <w:rsid w:val="00096E83"/>
    <w:rsid w:val="0009773F"/>
    <w:rsid w:val="000A54E4"/>
    <w:rsid w:val="000B02CF"/>
    <w:rsid w:val="000B5F58"/>
    <w:rsid w:val="000C2FFC"/>
    <w:rsid w:val="000C4659"/>
    <w:rsid w:val="000C4EBE"/>
    <w:rsid w:val="000C69C3"/>
    <w:rsid w:val="000C7FBF"/>
    <w:rsid w:val="000D05CE"/>
    <w:rsid w:val="000D23CD"/>
    <w:rsid w:val="000D6BDB"/>
    <w:rsid w:val="000D7BF9"/>
    <w:rsid w:val="000E1116"/>
    <w:rsid w:val="000E28FD"/>
    <w:rsid w:val="000E35B6"/>
    <w:rsid w:val="000E4011"/>
    <w:rsid w:val="000E4CD0"/>
    <w:rsid w:val="000F289A"/>
    <w:rsid w:val="00104D98"/>
    <w:rsid w:val="00110917"/>
    <w:rsid w:val="00113E98"/>
    <w:rsid w:val="001163A1"/>
    <w:rsid w:val="00122329"/>
    <w:rsid w:val="00124783"/>
    <w:rsid w:val="00125FEE"/>
    <w:rsid w:val="0012691C"/>
    <w:rsid w:val="001302B1"/>
    <w:rsid w:val="00131A1A"/>
    <w:rsid w:val="00131E8A"/>
    <w:rsid w:val="0013305E"/>
    <w:rsid w:val="001408FE"/>
    <w:rsid w:val="00142B31"/>
    <w:rsid w:val="0014350E"/>
    <w:rsid w:val="001509A6"/>
    <w:rsid w:val="00150D46"/>
    <w:rsid w:val="00165767"/>
    <w:rsid w:val="00167F6E"/>
    <w:rsid w:val="00170431"/>
    <w:rsid w:val="00172484"/>
    <w:rsid w:val="001758DF"/>
    <w:rsid w:val="00186D08"/>
    <w:rsid w:val="001874D3"/>
    <w:rsid w:val="00192D17"/>
    <w:rsid w:val="00192F39"/>
    <w:rsid w:val="001A22DF"/>
    <w:rsid w:val="001A5CF1"/>
    <w:rsid w:val="001B08A7"/>
    <w:rsid w:val="001B15F3"/>
    <w:rsid w:val="001B380A"/>
    <w:rsid w:val="001B4E2D"/>
    <w:rsid w:val="001B6F3A"/>
    <w:rsid w:val="001C0E56"/>
    <w:rsid w:val="001C106C"/>
    <w:rsid w:val="001C278E"/>
    <w:rsid w:val="001C537E"/>
    <w:rsid w:val="001C7719"/>
    <w:rsid w:val="001D3CC8"/>
    <w:rsid w:val="001E0E64"/>
    <w:rsid w:val="001E38E0"/>
    <w:rsid w:val="001E4756"/>
    <w:rsid w:val="001E4FE3"/>
    <w:rsid w:val="001E55F3"/>
    <w:rsid w:val="001F03BF"/>
    <w:rsid w:val="001F4AC3"/>
    <w:rsid w:val="00201DBE"/>
    <w:rsid w:val="00204771"/>
    <w:rsid w:val="00204D91"/>
    <w:rsid w:val="00206DD0"/>
    <w:rsid w:val="0021006B"/>
    <w:rsid w:val="00210406"/>
    <w:rsid w:val="00212462"/>
    <w:rsid w:val="0021663F"/>
    <w:rsid w:val="0022233B"/>
    <w:rsid w:val="00226417"/>
    <w:rsid w:val="002345B4"/>
    <w:rsid w:val="0023464D"/>
    <w:rsid w:val="00245811"/>
    <w:rsid w:val="002459B6"/>
    <w:rsid w:val="00247B3F"/>
    <w:rsid w:val="002536DA"/>
    <w:rsid w:val="0025529B"/>
    <w:rsid w:val="002629A0"/>
    <w:rsid w:val="00264A39"/>
    <w:rsid w:val="002651C0"/>
    <w:rsid w:val="00272087"/>
    <w:rsid w:val="00273697"/>
    <w:rsid w:val="00275384"/>
    <w:rsid w:val="00276E92"/>
    <w:rsid w:val="002824D3"/>
    <w:rsid w:val="00283B69"/>
    <w:rsid w:val="00284D1A"/>
    <w:rsid w:val="002850C7"/>
    <w:rsid w:val="00286C12"/>
    <w:rsid w:val="00296B1D"/>
    <w:rsid w:val="00297E31"/>
    <w:rsid w:val="002A25BB"/>
    <w:rsid w:val="002B0763"/>
    <w:rsid w:val="002B2F80"/>
    <w:rsid w:val="002B33DF"/>
    <w:rsid w:val="002B4A48"/>
    <w:rsid w:val="002B67AD"/>
    <w:rsid w:val="002C1DA4"/>
    <w:rsid w:val="002C30D1"/>
    <w:rsid w:val="002C40DB"/>
    <w:rsid w:val="002C4BE7"/>
    <w:rsid w:val="002C6512"/>
    <w:rsid w:val="002C765D"/>
    <w:rsid w:val="002D659D"/>
    <w:rsid w:val="002E3744"/>
    <w:rsid w:val="002E4877"/>
    <w:rsid w:val="002E5C2D"/>
    <w:rsid w:val="002E5E06"/>
    <w:rsid w:val="002E701C"/>
    <w:rsid w:val="002E794A"/>
    <w:rsid w:val="002F422C"/>
    <w:rsid w:val="002F4520"/>
    <w:rsid w:val="00300CFE"/>
    <w:rsid w:val="003066EE"/>
    <w:rsid w:val="003067D2"/>
    <w:rsid w:val="00310ECD"/>
    <w:rsid w:val="00313A72"/>
    <w:rsid w:val="00315026"/>
    <w:rsid w:val="00315257"/>
    <w:rsid w:val="00320D65"/>
    <w:rsid w:val="003264D5"/>
    <w:rsid w:val="00331FBC"/>
    <w:rsid w:val="003362DF"/>
    <w:rsid w:val="00337C96"/>
    <w:rsid w:val="003422F9"/>
    <w:rsid w:val="003461BC"/>
    <w:rsid w:val="0035048A"/>
    <w:rsid w:val="00351576"/>
    <w:rsid w:val="00352440"/>
    <w:rsid w:val="0036232E"/>
    <w:rsid w:val="00367390"/>
    <w:rsid w:val="003700D5"/>
    <w:rsid w:val="00370C31"/>
    <w:rsid w:val="00373F6B"/>
    <w:rsid w:val="00377786"/>
    <w:rsid w:val="0038031F"/>
    <w:rsid w:val="00384EAD"/>
    <w:rsid w:val="00385872"/>
    <w:rsid w:val="00392CA1"/>
    <w:rsid w:val="003979E5"/>
    <w:rsid w:val="003A2269"/>
    <w:rsid w:val="003A2842"/>
    <w:rsid w:val="003A4B04"/>
    <w:rsid w:val="003A6D5D"/>
    <w:rsid w:val="003B121B"/>
    <w:rsid w:val="003B74B2"/>
    <w:rsid w:val="003B7B67"/>
    <w:rsid w:val="003C0735"/>
    <w:rsid w:val="003C2361"/>
    <w:rsid w:val="003C276F"/>
    <w:rsid w:val="003C5255"/>
    <w:rsid w:val="003D11DF"/>
    <w:rsid w:val="003D1B93"/>
    <w:rsid w:val="003D230D"/>
    <w:rsid w:val="003E011F"/>
    <w:rsid w:val="003E0E8D"/>
    <w:rsid w:val="003E0F37"/>
    <w:rsid w:val="003E1154"/>
    <w:rsid w:val="003E30AA"/>
    <w:rsid w:val="003E5A0C"/>
    <w:rsid w:val="003F7791"/>
    <w:rsid w:val="003F7E0D"/>
    <w:rsid w:val="00412C55"/>
    <w:rsid w:val="00413A65"/>
    <w:rsid w:val="00415A95"/>
    <w:rsid w:val="0042284F"/>
    <w:rsid w:val="004269E0"/>
    <w:rsid w:val="00435543"/>
    <w:rsid w:val="00436EB7"/>
    <w:rsid w:val="004400F7"/>
    <w:rsid w:val="0044099B"/>
    <w:rsid w:val="004412F9"/>
    <w:rsid w:val="00444069"/>
    <w:rsid w:val="0044546E"/>
    <w:rsid w:val="0044658F"/>
    <w:rsid w:val="00446AB9"/>
    <w:rsid w:val="00450DF8"/>
    <w:rsid w:val="004531F4"/>
    <w:rsid w:val="00454764"/>
    <w:rsid w:val="00455490"/>
    <w:rsid w:val="004565E8"/>
    <w:rsid w:val="004573B5"/>
    <w:rsid w:val="00457B1E"/>
    <w:rsid w:val="00460D4D"/>
    <w:rsid w:val="00464601"/>
    <w:rsid w:val="004647DF"/>
    <w:rsid w:val="004678E5"/>
    <w:rsid w:val="004679D5"/>
    <w:rsid w:val="004701A3"/>
    <w:rsid w:val="00470A8D"/>
    <w:rsid w:val="00471E15"/>
    <w:rsid w:val="00472198"/>
    <w:rsid w:val="0047369A"/>
    <w:rsid w:val="004772F9"/>
    <w:rsid w:val="0048566B"/>
    <w:rsid w:val="004870CC"/>
    <w:rsid w:val="004901FA"/>
    <w:rsid w:val="00490BB4"/>
    <w:rsid w:val="00492041"/>
    <w:rsid w:val="00492AE6"/>
    <w:rsid w:val="00496991"/>
    <w:rsid w:val="00497576"/>
    <w:rsid w:val="004A650E"/>
    <w:rsid w:val="004A7B56"/>
    <w:rsid w:val="004B1AE1"/>
    <w:rsid w:val="004B2A03"/>
    <w:rsid w:val="004B33F8"/>
    <w:rsid w:val="004B3943"/>
    <w:rsid w:val="004B434A"/>
    <w:rsid w:val="004B5330"/>
    <w:rsid w:val="004B68FD"/>
    <w:rsid w:val="004B6EC9"/>
    <w:rsid w:val="004C17C3"/>
    <w:rsid w:val="004C750B"/>
    <w:rsid w:val="004D45B9"/>
    <w:rsid w:val="004D5A59"/>
    <w:rsid w:val="004E2EFE"/>
    <w:rsid w:val="004E6939"/>
    <w:rsid w:val="004F3B39"/>
    <w:rsid w:val="004F4B30"/>
    <w:rsid w:val="004F6AD1"/>
    <w:rsid w:val="004F78E1"/>
    <w:rsid w:val="00503494"/>
    <w:rsid w:val="00520F5C"/>
    <w:rsid w:val="005220E8"/>
    <w:rsid w:val="005228FA"/>
    <w:rsid w:val="00522EB5"/>
    <w:rsid w:val="0052375F"/>
    <w:rsid w:val="00525007"/>
    <w:rsid w:val="00526122"/>
    <w:rsid w:val="00527474"/>
    <w:rsid w:val="0053165A"/>
    <w:rsid w:val="005317C2"/>
    <w:rsid w:val="00533BE6"/>
    <w:rsid w:val="0054611C"/>
    <w:rsid w:val="00563B18"/>
    <w:rsid w:val="00570F7A"/>
    <w:rsid w:val="005715BC"/>
    <w:rsid w:val="00572130"/>
    <w:rsid w:val="00574B81"/>
    <w:rsid w:val="00576EA3"/>
    <w:rsid w:val="00581AC0"/>
    <w:rsid w:val="005840C9"/>
    <w:rsid w:val="00584650"/>
    <w:rsid w:val="0058559A"/>
    <w:rsid w:val="005905D0"/>
    <w:rsid w:val="0059234F"/>
    <w:rsid w:val="005943FE"/>
    <w:rsid w:val="0059462B"/>
    <w:rsid w:val="005947E6"/>
    <w:rsid w:val="00596169"/>
    <w:rsid w:val="005A2B26"/>
    <w:rsid w:val="005A31A6"/>
    <w:rsid w:val="005A4AD9"/>
    <w:rsid w:val="005A7E6D"/>
    <w:rsid w:val="005B1AB2"/>
    <w:rsid w:val="005B3F02"/>
    <w:rsid w:val="005B66B5"/>
    <w:rsid w:val="005B6F95"/>
    <w:rsid w:val="005C0E72"/>
    <w:rsid w:val="005C2380"/>
    <w:rsid w:val="005C509F"/>
    <w:rsid w:val="005D29F7"/>
    <w:rsid w:val="005D6623"/>
    <w:rsid w:val="005E0311"/>
    <w:rsid w:val="005E3511"/>
    <w:rsid w:val="005E45EE"/>
    <w:rsid w:val="005E62D4"/>
    <w:rsid w:val="005F25B3"/>
    <w:rsid w:val="005F4F52"/>
    <w:rsid w:val="005F6410"/>
    <w:rsid w:val="006016BB"/>
    <w:rsid w:val="0060359E"/>
    <w:rsid w:val="0060588E"/>
    <w:rsid w:val="00606444"/>
    <w:rsid w:val="0062107C"/>
    <w:rsid w:val="006224D2"/>
    <w:rsid w:val="00631169"/>
    <w:rsid w:val="0063160F"/>
    <w:rsid w:val="00634D9D"/>
    <w:rsid w:val="00640103"/>
    <w:rsid w:val="0064486B"/>
    <w:rsid w:val="00645087"/>
    <w:rsid w:val="0064622C"/>
    <w:rsid w:val="00652B3A"/>
    <w:rsid w:val="00655468"/>
    <w:rsid w:val="00663F13"/>
    <w:rsid w:val="00666A9C"/>
    <w:rsid w:val="0067562A"/>
    <w:rsid w:val="00675D61"/>
    <w:rsid w:val="00676E8E"/>
    <w:rsid w:val="00677510"/>
    <w:rsid w:val="00680983"/>
    <w:rsid w:val="00682730"/>
    <w:rsid w:val="0068394D"/>
    <w:rsid w:val="006A14E5"/>
    <w:rsid w:val="006A2FF9"/>
    <w:rsid w:val="006A4614"/>
    <w:rsid w:val="006A6682"/>
    <w:rsid w:val="006A7E23"/>
    <w:rsid w:val="006B2E06"/>
    <w:rsid w:val="006B4B38"/>
    <w:rsid w:val="006B4E6E"/>
    <w:rsid w:val="006C3A5E"/>
    <w:rsid w:val="006C6BF8"/>
    <w:rsid w:val="006D15A7"/>
    <w:rsid w:val="006D2E91"/>
    <w:rsid w:val="006D410C"/>
    <w:rsid w:val="006D4F09"/>
    <w:rsid w:val="006D6F93"/>
    <w:rsid w:val="006E037B"/>
    <w:rsid w:val="006E0463"/>
    <w:rsid w:val="006E07EF"/>
    <w:rsid w:val="006E0B10"/>
    <w:rsid w:val="006E2BB2"/>
    <w:rsid w:val="006E5458"/>
    <w:rsid w:val="006F2B91"/>
    <w:rsid w:val="006F3AC8"/>
    <w:rsid w:val="006F46DB"/>
    <w:rsid w:val="006F4954"/>
    <w:rsid w:val="007009DF"/>
    <w:rsid w:val="00701776"/>
    <w:rsid w:val="0071365D"/>
    <w:rsid w:val="00714A82"/>
    <w:rsid w:val="00715DD5"/>
    <w:rsid w:val="00716931"/>
    <w:rsid w:val="00717F00"/>
    <w:rsid w:val="00717FC6"/>
    <w:rsid w:val="00720B7D"/>
    <w:rsid w:val="007236B9"/>
    <w:rsid w:val="00723EBC"/>
    <w:rsid w:val="0072778E"/>
    <w:rsid w:val="007328FB"/>
    <w:rsid w:val="007335E7"/>
    <w:rsid w:val="00735936"/>
    <w:rsid w:val="0073730C"/>
    <w:rsid w:val="0073742C"/>
    <w:rsid w:val="00741080"/>
    <w:rsid w:val="00741F4D"/>
    <w:rsid w:val="00744A67"/>
    <w:rsid w:val="0074635B"/>
    <w:rsid w:val="00746623"/>
    <w:rsid w:val="00750CBE"/>
    <w:rsid w:val="00752826"/>
    <w:rsid w:val="00755F4A"/>
    <w:rsid w:val="0075771C"/>
    <w:rsid w:val="00762F05"/>
    <w:rsid w:val="007638EB"/>
    <w:rsid w:val="00763B94"/>
    <w:rsid w:val="0076706A"/>
    <w:rsid w:val="00770211"/>
    <w:rsid w:val="007763C6"/>
    <w:rsid w:val="00780A5A"/>
    <w:rsid w:val="007822D0"/>
    <w:rsid w:val="00784BAE"/>
    <w:rsid w:val="00790ABB"/>
    <w:rsid w:val="007966B1"/>
    <w:rsid w:val="0079674C"/>
    <w:rsid w:val="007A1C75"/>
    <w:rsid w:val="007A4746"/>
    <w:rsid w:val="007A7B39"/>
    <w:rsid w:val="007A7C6D"/>
    <w:rsid w:val="007B0228"/>
    <w:rsid w:val="007B0D77"/>
    <w:rsid w:val="007B1609"/>
    <w:rsid w:val="007B2E02"/>
    <w:rsid w:val="007B4734"/>
    <w:rsid w:val="007B5C9B"/>
    <w:rsid w:val="007B6838"/>
    <w:rsid w:val="007C05F7"/>
    <w:rsid w:val="007C0DA2"/>
    <w:rsid w:val="007C10D0"/>
    <w:rsid w:val="007C2A36"/>
    <w:rsid w:val="007C2CA3"/>
    <w:rsid w:val="007C574F"/>
    <w:rsid w:val="007D0A66"/>
    <w:rsid w:val="007D2D90"/>
    <w:rsid w:val="007D5104"/>
    <w:rsid w:val="007D7615"/>
    <w:rsid w:val="007E1496"/>
    <w:rsid w:val="007E4E0B"/>
    <w:rsid w:val="007F04E4"/>
    <w:rsid w:val="007F10C0"/>
    <w:rsid w:val="007F171C"/>
    <w:rsid w:val="0080142A"/>
    <w:rsid w:val="00801FB4"/>
    <w:rsid w:val="0080389A"/>
    <w:rsid w:val="00805CF2"/>
    <w:rsid w:val="008066AF"/>
    <w:rsid w:val="0080741D"/>
    <w:rsid w:val="00821A45"/>
    <w:rsid w:val="00826090"/>
    <w:rsid w:val="00826B1D"/>
    <w:rsid w:val="008342FB"/>
    <w:rsid w:val="00836424"/>
    <w:rsid w:val="00836DB5"/>
    <w:rsid w:val="00840B74"/>
    <w:rsid w:val="00843E9D"/>
    <w:rsid w:val="00861503"/>
    <w:rsid w:val="00861B24"/>
    <w:rsid w:val="00862164"/>
    <w:rsid w:val="00864868"/>
    <w:rsid w:val="0086757F"/>
    <w:rsid w:val="0087199A"/>
    <w:rsid w:val="00871A1B"/>
    <w:rsid w:val="00871F8D"/>
    <w:rsid w:val="00871FEE"/>
    <w:rsid w:val="008831FE"/>
    <w:rsid w:val="00885F8D"/>
    <w:rsid w:val="008905AC"/>
    <w:rsid w:val="0089167D"/>
    <w:rsid w:val="00892177"/>
    <w:rsid w:val="00892506"/>
    <w:rsid w:val="00894516"/>
    <w:rsid w:val="00895E4D"/>
    <w:rsid w:val="00897054"/>
    <w:rsid w:val="00897A1B"/>
    <w:rsid w:val="008A0C03"/>
    <w:rsid w:val="008A1FC7"/>
    <w:rsid w:val="008A3EC1"/>
    <w:rsid w:val="008A50BC"/>
    <w:rsid w:val="008A5C3C"/>
    <w:rsid w:val="008A6E83"/>
    <w:rsid w:val="008A7F1F"/>
    <w:rsid w:val="008B5BE3"/>
    <w:rsid w:val="008D6579"/>
    <w:rsid w:val="008D6CEC"/>
    <w:rsid w:val="008E3F5B"/>
    <w:rsid w:val="008E4B4D"/>
    <w:rsid w:val="008E7851"/>
    <w:rsid w:val="008F059A"/>
    <w:rsid w:val="008F72CF"/>
    <w:rsid w:val="00900E9E"/>
    <w:rsid w:val="00902347"/>
    <w:rsid w:val="00912363"/>
    <w:rsid w:val="00915D10"/>
    <w:rsid w:val="00916A9C"/>
    <w:rsid w:val="009212F5"/>
    <w:rsid w:val="009334A5"/>
    <w:rsid w:val="00933553"/>
    <w:rsid w:val="00934A73"/>
    <w:rsid w:val="00935633"/>
    <w:rsid w:val="00936823"/>
    <w:rsid w:val="00942010"/>
    <w:rsid w:val="009442D6"/>
    <w:rsid w:val="00944575"/>
    <w:rsid w:val="009457CE"/>
    <w:rsid w:val="00950097"/>
    <w:rsid w:val="00951A15"/>
    <w:rsid w:val="00952322"/>
    <w:rsid w:val="0095492B"/>
    <w:rsid w:val="00957819"/>
    <w:rsid w:val="00961B42"/>
    <w:rsid w:val="00962428"/>
    <w:rsid w:val="0096362A"/>
    <w:rsid w:val="00964B34"/>
    <w:rsid w:val="00967C29"/>
    <w:rsid w:val="009713A6"/>
    <w:rsid w:val="009720C9"/>
    <w:rsid w:val="00973ABA"/>
    <w:rsid w:val="0097597C"/>
    <w:rsid w:val="009759F8"/>
    <w:rsid w:val="00977B39"/>
    <w:rsid w:val="00980ABF"/>
    <w:rsid w:val="0098304A"/>
    <w:rsid w:val="0098695F"/>
    <w:rsid w:val="0098713C"/>
    <w:rsid w:val="00996E18"/>
    <w:rsid w:val="00997296"/>
    <w:rsid w:val="0099733C"/>
    <w:rsid w:val="0099747B"/>
    <w:rsid w:val="009A1922"/>
    <w:rsid w:val="009A4193"/>
    <w:rsid w:val="009A68C0"/>
    <w:rsid w:val="009B4C43"/>
    <w:rsid w:val="009B5272"/>
    <w:rsid w:val="009B55A2"/>
    <w:rsid w:val="009B6D60"/>
    <w:rsid w:val="009C276B"/>
    <w:rsid w:val="009C5281"/>
    <w:rsid w:val="009D0078"/>
    <w:rsid w:val="009D2197"/>
    <w:rsid w:val="009D27C4"/>
    <w:rsid w:val="009D299D"/>
    <w:rsid w:val="009D3CB4"/>
    <w:rsid w:val="009D4AA1"/>
    <w:rsid w:val="009D60B7"/>
    <w:rsid w:val="009E1307"/>
    <w:rsid w:val="009F0BD4"/>
    <w:rsid w:val="009F221E"/>
    <w:rsid w:val="009F463F"/>
    <w:rsid w:val="009F6124"/>
    <w:rsid w:val="009F71E1"/>
    <w:rsid w:val="00A016DD"/>
    <w:rsid w:val="00A043AF"/>
    <w:rsid w:val="00A069E9"/>
    <w:rsid w:val="00A179A4"/>
    <w:rsid w:val="00A215C0"/>
    <w:rsid w:val="00A24511"/>
    <w:rsid w:val="00A31A65"/>
    <w:rsid w:val="00A34DD7"/>
    <w:rsid w:val="00A4425C"/>
    <w:rsid w:val="00A45298"/>
    <w:rsid w:val="00A51523"/>
    <w:rsid w:val="00A521DD"/>
    <w:rsid w:val="00A5349C"/>
    <w:rsid w:val="00A53615"/>
    <w:rsid w:val="00A55898"/>
    <w:rsid w:val="00A562AE"/>
    <w:rsid w:val="00A56B05"/>
    <w:rsid w:val="00A5713B"/>
    <w:rsid w:val="00A6122A"/>
    <w:rsid w:val="00A65269"/>
    <w:rsid w:val="00A7352B"/>
    <w:rsid w:val="00A74718"/>
    <w:rsid w:val="00A7542B"/>
    <w:rsid w:val="00A75DF6"/>
    <w:rsid w:val="00A81841"/>
    <w:rsid w:val="00A82F4E"/>
    <w:rsid w:val="00A90E3A"/>
    <w:rsid w:val="00A92470"/>
    <w:rsid w:val="00A9261C"/>
    <w:rsid w:val="00A96EAE"/>
    <w:rsid w:val="00AA095D"/>
    <w:rsid w:val="00AA399D"/>
    <w:rsid w:val="00AA40BA"/>
    <w:rsid w:val="00AA4CF4"/>
    <w:rsid w:val="00AB1C68"/>
    <w:rsid w:val="00AB59FE"/>
    <w:rsid w:val="00AC264F"/>
    <w:rsid w:val="00AC3476"/>
    <w:rsid w:val="00AC440A"/>
    <w:rsid w:val="00AD4FF2"/>
    <w:rsid w:val="00AD5050"/>
    <w:rsid w:val="00AD6855"/>
    <w:rsid w:val="00AE433B"/>
    <w:rsid w:val="00AE5798"/>
    <w:rsid w:val="00AF4149"/>
    <w:rsid w:val="00AF5602"/>
    <w:rsid w:val="00AF58E9"/>
    <w:rsid w:val="00B0057B"/>
    <w:rsid w:val="00B0423F"/>
    <w:rsid w:val="00B04922"/>
    <w:rsid w:val="00B04E28"/>
    <w:rsid w:val="00B073EC"/>
    <w:rsid w:val="00B11ACD"/>
    <w:rsid w:val="00B159BE"/>
    <w:rsid w:val="00B169D6"/>
    <w:rsid w:val="00B172E1"/>
    <w:rsid w:val="00B1754D"/>
    <w:rsid w:val="00B22D88"/>
    <w:rsid w:val="00B23609"/>
    <w:rsid w:val="00B24E04"/>
    <w:rsid w:val="00B270AB"/>
    <w:rsid w:val="00B34BF5"/>
    <w:rsid w:val="00B34C99"/>
    <w:rsid w:val="00B357E0"/>
    <w:rsid w:val="00B408E2"/>
    <w:rsid w:val="00B456AF"/>
    <w:rsid w:val="00B53605"/>
    <w:rsid w:val="00B55D93"/>
    <w:rsid w:val="00B56CD6"/>
    <w:rsid w:val="00B57112"/>
    <w:rsid w:val="00B61F21"/>
    <w:rsid w:val="00B61F70"/>
    <w:rsid w:val="00B62AC1"/>
    <w:rsid w:val="00B6362A"/>
    <w:rsid w:val="00B66B8B"/>
    <w:rsid w:val="00B704B9"/>
    <w:rsid w:val="00B70CDB"/>
    <w:rsid w:val="00B76FDD"/>
    <w:rsid w:val="00B80EB1"/>
    <w:rsid w:val="00B818B1"/>
    <w:rsid w:val="00B853BA"/>
    <w:rsid w:val="00B86E61"/>
    <w:rsid w:val="00B87110"/>
    <w:rsid w:val="00B87173"/>
    <w:rsid w:val="00B92621"/>
    <w:rsid w:val="00B93D1E"/>
    <w:rsid w:val="00B971D7"/>
    <w:rsid w:val="00BA41E4"/>
    <w:rsid w:val="00BA4496"/>
    <w:rsid w:val="00BB3DAF"/>
    <w:rsid w:val="00BB4F95"/>
    <w:rsid w:val="00BB7012"/>
    <w:rsid w:val="00BB7576"/>
    <w:rsid w:val="00BB7B39"/>
    <w:rsid w:val="00BC03F2"/>
    <w:rsid w:val="00BC5E31"/>
    <w:rsid w:val="00BC6497"/>
    <w:rsid w:val="00BD0535"/>
    <w:rsid w:val="00BD0B81"/>
    <w:rsid w:val="00BD271A"/>
    <w:rsid w:val="00BD79D3"/>
    <w:rsid w:val="00BE1AE6"/>
    <w:rsid w:val="00BE2EEA"/>
    <w:rsid w:val="00BE61B1"/>
    <w:rsid w:val="00BF56F1"/>
    <w:rsid w:val="00BF72C9"/>
    <w:rsid w:val="00C0196F"/>
    <w:rsid w:val="00C07052"/>
    <w:rsid w:val="00C10B2A"/>
    <w:rsid w:val="00C10F80"/>
    <w:rsid w:val="00C12A94"/>
    <w:rsid w:val="00C17B4A"/>
    <w:rsid w:val="00C252A7"/>
    <w:rsid w:val="00C264E6"/>
    <w:rsid w:val="00C266DC"/>
    <w:rsid w:val="00C2743D"/>
    <w:rsid w:val="00C30597"/>
    <w:rsid w:val="00C305BC"/>
    <w:rsid w:val="00C305C7"/>
    <w:rsid w:val="00C30D4E"/>
    <w:rsid w:val="00C31B09"/>
    <w:rsid w:val="00C36FB5"/>
    <w:rsid w:val="00C37409"/>
    <w:rsid w:val="00C37C2B"/>
    <w:rsid w:val="00C416F0"/>
    <w:rsid w:val="00C41BF4"/>
    <w:rsid w:val="00C41DF5"/>
    <w:rsid w:val="00C44B83"/>
    <w:rsid w:val="00C51D44"/>
    <w:rsid w:val="00C54230"/>
    <w:rsid w:val="00C555BD"/>
    <w:rsid w:val="00C57103"/>
    <w:rsid w:val="00C57D8A"/>
    <w:rsid w:val="00C61355"/>
    <w:rsid w:val="00C6142D"/>
    <w:rsid w:val="00C61DE2"/>
    <w:rsid w:val="00C62B0B"/>
    <w:rsid w:val="00C62EFA"/>
    <w:rsid w:val="00C63BE5"/>
    <w:rsid w:val="00C63D82"/>
    <w:rsid w:val="00C7043F"/>
    <w:rsid w:val="00C7169E"/>
    <w:rsid w:val="00C74AF4"/>
    <w:rsid w:val="00C82FBA"/>
    <w:rsid w:val="00C85F24"/>
    <w:rsid w:val="00C85F97"/>
    <w:rsid w:val="00C86AFE"/>
    <w:rsid w:val="00C91FD2"/>
    <w:rsid w:val="00C9691D"/>
    <w:rsid w:val="00CA153A"/>
    <w:rsid w:val="00CA1BEA"/>
    <w:rsid w:val="00CA479D"/>
    <w:rsid w:val="00CA51B3"/>
    <w:rsid w:val="00CA56DB"/>
    <w:rsid w:val="00CB203E"/>
    <w:rsid w:val="00CB5553"/>
    <w:rsid w:val="00CC71BF"/>
    <w:rsid w:val="00CC71FD"/>
    <w:rsid w:val="00CD1CCA"/>
    <w:rsid w:val="00CD37BC"/>
    <w:rsid w:val="00CD557C"/>
    <w:rsid w:val="00CE1E2E"/>
    <w:rsid w:val="00CE2902"/>
    <w:rsid w:val="00CE6677"/>
    <w:rsid w:val="00CE6EFB"/>
    <w:rsid w:val="00CF160D"/>
    <w:rsid w:val="00CF2907"/>
    <w:rsid w:val="00CF3644"/>
    <w:rsid w:val="00D02617"/>
    <w:rsid w:val="00D03F06"/>
    <w:rsid w:val="00D07539"/>
    <w:rsid w:val="00D10523"/>
    <w:rsid w:val="00D13E11"/>
    <w:rsid w:val="00D14505"/>
    <w:rsid w:val="00D14FA2"/>
    <w:rsid w:val="00D1588B"/>
    <w:rsid w:val="00D16A11"/>
    <w:rsid w:val="00D23F51"/>
    <w:rsid w:val="00D23F77"/>
    <w:rsid w:val="00D26719"/>
    <w:rsid w:val="00D274FD"/>
    <w:rsid w:val="00D27621"/>
    <w:rsid w:val="00D27D56"/>
    <w:rsid w:val="00D30F07"/>
    <w:rsid w:val="00D33997"/>
    <w:rsid w:val="00D33C8F"/>
    <w:rsid w:val="00D37ADA"/>
    <w:rsid w:val="00D40063"/>
    <w:rsid w:val="00D410DE"/>
    <w:rsid w:val="00D45367"/>
    <w:rsid w:val="00D47EC7"/>
    <w:rsid w:val="00D5548B"/>
    <w:rsid w:val="00D56D7C"/>
    <w:rsid w:val="00D57147"/>
    <w:rsid w:val="00D60464"/>
    <w:rsid w:val="00D643BF"/>
    <w:rsid w:val="00D652F7"/>
    <w:rsid w:val="00D66C68"/>
    <w:rsid w:val="00D7277B"/>
    <w:rsid w:val="00D74FF7"/>
    <w:rsid w:val="00D75578"/>
    <w:rsid w:val="00D755EA"/>
    <w:rsid w:val="00D76591"/>
    <w:rsid w:val="00D77F8B"/>
    <w:rsid w:val="00D84EB2"/>
    <w:rsid w:val="00D8613B"/>
    <w:rsid w:val="00D864F9"/>
    <w:rsid w:val="00D8729A"/>
    <w:rsid w:val="00D919AC"/>
    <w:rsid w:val="00D9604A"/>
    <w:rsid w:val="00D96D25"/>
    <w:rsid w:val="00DA0183"/>
    <w:rsid w:val="00DA06AB"/>
    <w:rsid w:val="00DA3CAD"/>
    <w:rsid w:val="00DA45ED"/>
    <w:rsid w:val="00DA5E9D"/>
    <w:rsid w:val="00DA75AB"/>
    <w:rsid w:val="00DA7727"/>
    <w:rsid w:val="00DB2C65"/>
    <w:rsid w:val="00DB331F"/>
    <w:rsid w:val="00DB4CD4"/>
    <w:rsid w:val="00DB5B06"/>
    <w:rsid w:val="00DC267A"/>
    <w:rsid w:val="00DC3DB0"/>
    <w:rsid w:val="00DC4886"/>
    <w:rsid w:val="00DD41A3"/>
    <w:rsid w:val="00DD46EF"/>
    <w:rsid w:val="00DE1572"/>
    <w:rsid w:val="00DE1768"/>
    <w:rsid w:val="00DE36C2"/>
    <w:rsid w:val="00DE4F03"/>
    <w:rsid w:val="00DE61B6"/>
    <w:rsid w:val="00DE6204"/>
    <w:rsid w:val="00DF1065"/>
    <w:rsid w:val="00DF1560"/>
    <w:rsid w:val="00DF2DA7"/>
    <w:rsid w:val="00DF6D36"/>
    <w:rsid w:val="00DF72F6"/>
    <w:rsid w:val="00E00979"/>
    <w:rsid w:val="00E02FC9"/>
    <w:rsid w:val="00E042E1"/>
    <w:rsid w:val="00E048E1"/>
    <w:rsid w:val="00E06B00"/>
    <w:rsid w:val="00E10D70"/>
    <w:rsid w:val="00E200D9"/>
    <w:rsid w:val="00E225DA"/>
    <w:rsid w:val="00E26292"/>
    <w:rsid w:val="00E26709"/>
    <w:rsid w:val="00E311C6"/>
    <w:rsid w:val="00E32774"/>
    <w:rsid w:val="00E3462E"/>
    <w:rsid w:val="00E45A1A"/>
    <w:rsid w:val="00E46691"/>
    <w:rsid w:val="00E56EA7"/>
    <w:rsid w:val="00E604FA"/>
    <w:rsid w:val="00E6179F"/>
    <w:rsid w:val="00E61CFD"/>
    <w:rsid w:val="00E62F46"/>
    <w:rsid w:val="00E64164"/>
    <w:rsid w:val="00E71229"/>
    <w:rsid w:val="00E72317"/>
    <w:rsid w:val="00E73D88"/>
    <w:rsid w:val="00E76A43"/>
    <w:rsid w:val="00E85131"/>
    <w:rsid w:val="00E8556C"/>
    <w:rsid w:val="00E85ED3"/>
    <w:rsid w:val="00E930AA"/>
    <w:rsid w:val="00E936E7"/>
    <w:rsid w:val="00E9743E"/>
    <w:rsid w:val="00EA0361"/>
    <w:rsid w:val="00EA3426"/>
    <w:rsid w:val="00EA55CA"/>
    <w:rsid w:val="00EA5946"/>
    <w:rsid w:val="00EB049C"/>
    <w:rsid w:val="00EB10C5"/>
    <w:rsid w:val="00EB1FE9"/>
    <w:rsid w:val="00EB2BC8"/>
    <w:rsid w:val="00EB395D"/>
    <w:rsid w:val="00EB3AEA"/>
    <w:rsid w:val="00EB3FEE"/>
    <w:rsid w:val="00EB47AF"/>
    <w:rsid w:val="00ED1AAA"/>
    <w:rsid w:val="00ED3BF8"/>
    <w:rsid w:val="00ED500E"/>
    <w:rsid w:val="00ED5F3B"/>
    <w:rsid w:val="00ED6BE3"/>
    <w:rsid w:val="00EE11F5"/>
    <w:rsid w:val="00EE2392"/>
    <w:rsid w:val="00EE288A"/>
    <w:rsid w:val="00EE5003"/>
    <w:rsid w:val="00EE739D"/>
    <w:rsid w:val="00EF0963"/>
    <w:rsid w:val="00EF4075"/>
    <w:rsid w:val="00EF6748"/>
    <w:rsid w:val="00EF69A3"/>
    <w:rsid w:val="00EF7C45"/>
    <w:rsid w:val="00F01222"/>
    <w:rsid w:val="00F0135C"/>
    <w:rsid w:val="00F044D8"/>
    <w:rsid w:val="00F04C5F"/>
    <w:rsid w:val="00F04FFA"/>
    <w:rsid w:val="00F060DC"/>
    <w:rsid w:val="00F0657D"/>
    <w:rsid w:val="00F12FE3"/>
    <w:rsid w:val="00F1332F"/>
    <w:rsid w:val="00F14B2D"/>
    <w:rsid w:val="00F21203"/>
    <w:rsid w:val="00F22911"/>
    <w:rsid w:val="00F31929"/>
    <w:rsid w:val="00F32998"/>
    <w:rsid w:val="00F333F2"/>
    <w:rsid w:val="00F371BF"/>
    <w:rsid w:val="00F432A7"/>
    <w:rsid w:val="00F450E9"/>
    <w:rsid w:val="00F52112"/>
    <w:rsid w:val="00F54C5A"/>
    <w:rsid w:val="00F55CAE"/>
    <w:rsid w:val="00F61FE5"/>
    <w:rsid w:val="00F62D96"/>
    <w:rsid w:val="00F630A7"/>
    <w:rsid w:val="00F63DB3"/>
    <w:rsid w:val="00F64E12"/>
    <w:rsid w:val="00F7525D"/>
    <w:rsid w:val="00F9624F"/>
    <w:rsid w:val="00FA275C"/>
    <w:rsid w:val="00FA5A60"/>
    <w:rsid w:val="00FA6B11"/>
    <w:rsid w:val="00FB05C2"/>
    <w:rsid w:val="00FB0B39"/>
    <w:rsid w:val="00FB1940"/>
    <w:rsid w:val="00FC1111"/>
    <w:rsid w:val="00FC3CB1"/>
    <w:rsid w:val="00FC46C4"/>
    <w:rsid w:val="00FC4769"/>
    <w:rsid w:val="00FC6453"/>
    <w:rsid w:val="00FD24EE"/>
    <w:rsid w:val="00FD5AD4"/>
    <w:rsid w:val="00FD68E6"/>
    <w:rsid w:val="00FD6B9A"/>
    <w:rsid w:val="00FE1B06"/>
    <w:rsid w:val="00FE3D33"/>
    <w:rsid w:val="00FE5D8F"/>
    <w:rsid w:val="00FF61B2"/>
    <w:rsid w:val="094FE3B1"/>
    <w:rsid w:val="0C543D6B"/>
    <w:rsid w:val="1493D9CA"/>
    <w:rsid w:val="1686A509"/>
    <w:rsid w:val="17E95035"/>
    <w:rsid w:val="1841B368"/>
    <w:rsid w:val="1A0BCA69"/>
    <w:rsid w:val="36EBF0AB"/>
    <w:rsid w:val="3D829EC6"/>
    <w:rsid w:val="3E4C1853"/>
    <w:rsid w:val="3EEB66F7"/>
    <w:rsid w:val="46213318"/>
    <w:rsid w:val="46C97168"/>
    <w:rsid w:val="472A9B44"/>
    <w:rsid w:val="4880442B"/>
    <w:rsid w:val="4ADF3F16"/>
    <w:rsid w:val="50BC8697"/>
    <w:rsid w:val="523D5048"/>
    <w:rsid w:val="5BE41F39"/>
    <w:rsid w:val="5E77A04A"/>
    <w:rsid w:val="5EB895B0"/>
    <w:rsid w:val="6326820A"/>
    <w:rsid w:val="635AFA42"/>
    <w:rsid w:val="650B074C"/>
    <w:rsid w:val="6BB577ED"/>
    <w:rsid w:val="765F20D1"/>
    <w:rsid w:val="79ABBD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484EF"/>
  <w15:chartTrackingRefBased/>
  <w15:docId w15:val="{0F0330E3-B022-4FA1-9817-AB4FCCE4B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A72"/>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13A72"/>
    <w:pPr>
      <w:keepNext/>
      <w:keepLines/>
      <w:numPr>
        <w:numId w:val="10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3A72"/>
    <w:pPr>
      <w:keepNext/>
      <w:keepLines/>
      <w:numPr>
        <w:ilvl w:val="1"/>
        <w:numId w:val="10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3A72"/>
    <w:pPr>
      <w:keepNext/>
      <w:keepLines/>
      <w:numPr>
        <w:ilvl w:val="2"/>
        <w:numId w:val="10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3A72"/>
    <w:pPr>
      <w:keepNext/>
      <w:numPr>
        <w:ilvl w:val="3"/>
        <w:numId w:val="10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3A72"/>
    <w:pPr>
      <w:keepNext/>
      <w:numPr>
        <w:ilvl w:val="4"/>
        <w:numId w:val="106"/>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3A72"/>
    <w:pPr>
      <w:keepNext/>
      <w:keepLines/>
      <w:numPr>
        <w:ilvl w:val="5"/>
        <w:numId w:val="6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3A72"/>
    <w:pPr>
      <w:keepNext/>
      <w:keepLines/>
      <w:widowControl w:val="0"/>
      <w:numPr>
        <w:ilvl w:val="6"/>
        <w:numId w:val="6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3A72"/>
    <w:pPr>
      <w:keepNext/>
      <w:keepLines/>
      <w:widowControl w:val="0"/>
      <w:numPr>
        <w:ilvl w:val="7"/>
        <w:numId w:val="6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3A72"/>
    <w:pPr>
      <w:keepNext/>
      <w:widowControl w:val="0"/>
      <w:numPr>
        <w:ilvl w:val="8"/>
        <w:numId w:val="6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A72"/>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13A72"/>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13A72"/>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13A72"/>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13A72"/>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13A72"/>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13A72"/>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13A72"/>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13A72"/>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A82F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F4E"/>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A82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F4E"/>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A82F4E"/>
    <w:pPr>
      <w:spacing w:before="160"/>
      <w:jc w:val="center"/>
    </w:pPr>
    <w:rPr>
      <w:i/>
      <w:iCs/>
      <w:color w:val="404040" w:themeColor="text1" w:themeTint="BF"/>
    </w:rPr>
  </w:style>
  <w:style w:type="character" w:customStyle="1" w:styleId="QuoteChar">
    <w:name w:val="Quote Char"/>
    <w:basedOn w:val="DefaultParagraphFont"/>
    <w:link w:val="Quote"/>
    <w:uiPriority w:val="29"/>
    <w:rsid w:val="00A82F4E"/>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313A72"/>
    <w:pPr>
      <w:ind w:left="720"/>
      <w:contextualSpacing/>
    </w:pPr>
  </w:style>
  <w:style w:type="character" w:styleId="IntenseEmphasis">
    <w:name w:val="Intense Emphasis"/>
    <w:basedOn w:val="DefaultParagraphFont"/>
    <w:uiPriority w:val="21"/>
    <w:qFormat/>
    <w:rsid w:val="00A82F4E"/>
    <w:rPr>
      <w:i/>
      <w:iCs/>
      <w:color w:val="0F4761" w:themeColor="accent1" w:themeShade="BF"/>
      <w:lang w:val="en-GB"/>
    </w:rPr>
  </w:style>
  <w:style w:type="paragraph" w:styleId="IntenseQuote">
    <w:name w:val="Intense Quote"/>
    <w:basedOn w:val="Normal"/>
    <w:next w:val="Normal"/>
    <w:link w:val="IntenseQuoteChar"/>
    <w:uiPriority w:val="30"/>
    <w:qFormat/>
    <w:rsid w:val="00A82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F4E"/>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A82F4E"/>
    <w:rPr>
      <w:b/>
      <w:bCs/>
      <w:smallCaps/>
      <w:color w:val="0F4761" w:themeColor="accent1" w:themeShade="BF"/>
      <w:spacing w:val="5"/>
      <w:lang w:val="en-GB"/>
    </w:rPr>
  </w:style>
  <w:style w:type="character" w:styleId="Hyperlink">
    <w:name w:val="Hyperlink"/>
    <w:basedOn w:val="DefaultParagraphFont"/>
    <w:uiPriority w:val="99"/>
    <w:unhideWhenUsed/>
    <w:rsid w:val="00313A72"/>
    <w:rPr>
      <w:rFonts w:ascii="Times New Roman" w:hAnsi="Times New Roman"/>
      <w:color w:val="467886" w:themeColor="hyperlink"/>
      <w:u w:val="single"/>
      <w:lang w:val="en-GB"/>
    </w:rPr>
  </w:style>
  <w:style w:type="paragraph" w:styleId="FootnoteText">
    <w:name w:val="footnote text"/>
    <w:aliases w:val="single space,Footnote Text Char Char Char Char,Footnote Text Char Char,Footnote Text Char2,Footnote Text Char1 Char1,Footnote Text Char Char Char,Footnote Text Char2 Char Char Char,Footnote Text Char1,Geneva 9,Font: Geneva 9"/>
    <w:basedOn w:val="Normal"/>
    <w:link w:val="FootnoteTextChar"/>
    <w:uiPriority w:val="99"/>
    <w:unhideWhenUsed/>
    <w:rsid w:val="00313A72"/>
    <w:pPr>
      <w:jc w:val="left"/>
    </w:pPr>
    <w:rPr>
      <w:sz w:val="18"/>
      <w:szCs w:val="20"/>
    </w:rPr>
  </w:style>
  <w:style w:type="character" w:customStyle="1" w:styleId="FootnoteTextChar">
    <w:name w:val="Footnote Text Char"/>
    <w:aliases w:val="single space Char,Footnote Text Char Char Char Char Char,Footnote Text Char Char Char1,Footnote Text Char2 Char,Footnote Text Char1 Char1 Char,Footnote Text Char Char Char Char1,Footnote Text Char2 Char Char Char Char,Geneva 9 Char"/>
    <w:basedOn w:val="DefaultParagraphFont"/>
    <w:link w:val="FootnoteText"/>
    <w:uiPriority w:val="99"/>
    <w:rsid w:val="00313A72"/>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ftref,Fußnotenzeichen DISS,Ref,de nota al pie,referencia nota al pie,Footnote Reference1,Footnote Reference Number,Footnote Reference_LVL6,Footnote Reference_LVL61,Footnote Reference_LVL62,Times 10 Point"/>
    <w:basedOn w:val="DefaultParagraphFont"/>
    <w:uiPriority w:val="99"/>
    <w:unhideWhenUsed/>
    <w:rsid w:val="00313A72"/>
    <w:rPr>
      <w:vertAlign w:val="superscript"/>
      <w:lang w:val="en-GB"/>
    </w:rPr>
  </w:style>
  <w:style w:type="character" w:styleId="CommentReference">
    <w:name w:val="annotation reference"/>
    <w:basedOn w:val="DefaultParagraphFont"/>
    <w:uiPriority w:val="99"/>
    <w:semiHidden/>
    <w:unhideWhenUsed/>
    <w:rsid w:val="00313A72"/>
    <w:rPr>
      <w:sz w:val="16"/>
      <w:szCs w:val="16"/>
      <w:lang w:val="en-GB"/>
    </w:rPr>
  </w:style>
  <w:style w:type="paragraph" w:styleId="CommentText">
    <w:name w:val="annotation text"/>
    <w:basedOn w:val="Normal"/>
    <w:link w:val="CommentTextChar"/>
    <w:uiPriority w:val="99"/>
    <w:rsid w:val="00313A72"/>
    <w:rPr>
      <w:sz w:val="20"/>
      <w:szCs w:val="20"/>
    </w:rPr>
  </w:style>
  <w:style w:type="character" w:customStyle="1" w:styleId="CommentTextChar">
    <w:name w:val="Comment Text Char"/>
    <w:basedOn w:val="DefaultParagraphFont"/>
    <w:link w:val="CommentText"/>
    <w:uiPriority w:val="99"/>
    <w:rsid w:val="00313A7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13A72"/>
    <w:rPr>
      <w:b/>
      <w:bCs/>
    </w:rPr>
  </w:style>
  <w:style w:type="character" w:customStyle="1" w:styleId="CommentSubjectChar">
    <w:name w:val="Comment Subject Char"/>
    <w:basedOn w:val="CommentTextChar"/>
    <w:link w:val="CommentSubject"/>
    <w:uiPriority w:val="99"/>
    <w:semiHidden/>
    <w:rsid w:val="00313A72"/>
    <w:rPr>
      <w:rFonts w:ascii="Times New Roman" w:eastAsia="SimSun" w:hAnsi="Times New Roman" w:cs="Times New Roman"/>
      <w:b/>
      <w:bCs/>
      <w:kern w:val="0"/>
      <w:sz w:val="20"/>
      <w:szCs w:val="20"/>
      <w:lang w:val="en-GB"/>
      <w14:ligatures w14:val="none"/>
    </w:rPr>
  </w:style>
  <w:style w:type="paragraph" w:styleId="NormalWeb">
    <w:name w:val="Normal (Web)"/>
    <w:basedOn w:val="Normal"/>
    <w:uiPriority w:val="99"/>
    <w:semiHidden/>
    <w:unhideWhenUsed/>
    <w:rsid w:val="00D23F77"/>
    <w:pPr>
      <w:spacing w:before="100" w:beforeAutospacing="1" w:after="100" w:afterAutospacing="1"/>
    </w:pPr>
    <w:rPr>
      <w:rFonts w:eastAsia="Times New Roman"/>
    </w:rPr>
  </w:style>
  <w:style w:type="character" w:styleId="Emphasis">
    <w:name w:val="Emphasis"/>
    <w:basedOn w:val="DefaultParagraphFont"/>
    <w:uiPriority w:val="20"/>
    <w:qFormat/>
    <w:rsid w:val="00D23F77"/>
    <w:rPr>
      <w:i/>
      <w:iCs/>
      <w:lang w:val="en-GB"/>
    </w:rPr>
  </w:style>
  <w:style w:type="paragraph" w:styleId="Header">
    <w:name w:val="header"/>
    <w:basedOn w:val="Normal"/>
    <w:link w:val="HeaderChar"/>
    <w:rsid w:val="00313A7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3A72"/>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313A72"/>
    <w:pPr>
      <w:tabs>
        <w:tab w:val="center" w:pos="4680"/>
        <w:tab w:val="right" w:pos="9360"/>
      </w:tabs>
    </w:pPr>
    <w:rPr>
      <w:sz w:val="20"/>
    </w:rPr>
  </w:style>
  <w:style w:type="character" w:customStyle="1" w:styleId="FooterChar">
    <w:name w:val="Footer Char"/>
    <w:basedOn w:val="DefaultParagraphFont"/>
    <w:link w:val="Footer"/>
    <w:uiPriority w:val="99"/>
    <w:rsid w:val="00313A72"/>
    <w:rPr>
      <w:rFonts w:ascii="Times New Roman" w:eastAsia="SimSun" w:hAnsi="Times New Roman" w:cs="Times New Roman"/>
      <w:kern w:val="0"/>
      <w:sz w:val="20"/>
      <w:szCs w:val="22"/>
      <w:lang w:val="en-GB"/>
      <w14:ligatures w14:val="none"/>
    </w:rPr>
  </w:style>
  <w:style w:type="paragraph" w:styleId="Revision">
    <w:name w:val="Revision"/>
    <w:hidden/>
    <w:uiPriority w:val="99"/>
    <w:semiHidden/>
    <w:rsid w:val="00313A72"/>
    <w:pPr>
      <w:spacing w:after="0" w:line="240" w:lineRule="auto"/>
    </w:pPr>
    <w:rPr>
      <w:rFonts w:ascii="Simplified Arabic" w:eastAsia="Times New Roman" w:hAnsi="Simplified Arabic" w:cs="Simplified Arabic"/>
      <w:noProof/>
      <w:kern w:val="0"/>
      <w14:ligatures w14:val="none"/>
    </w:rPr>
  </w:style>
  <w:style w:type="table" w:styleId="TableGrid">
    <w:name w:val="Table Grid"/>
    <w:basedOn w:val="TableNormal"/>
    <w:uiPriority w:val="39"/>
    <w:rsid w:val="00E93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701A3"/>
    <w:rPr>
      <w:rFonts w:ascii="Times New Roman" w:eastAsia="SimSun" w:hAnsi="Times New Roman" w:cs="Times New Roman"/>
      <w:kern w:val="0"/>
      <w:sz w:val="22"/>
      <w:szCs w:val="22"/>
      <w:lang w:val="en-GB"/>
      <w14:ligatures w14:val="none"/>
    </w:rPr>
  </w:style>
  <w:style w:type="character" w:styleId="UnresolvedMention">
    <w:name w:val="Unresolved Mention"/>
    <w:basedOn w:val="DefaultParagraphFont"/>
    <w:uiPriority w:val="99"/>
    <w:semiHidden/>
    <w:unhideWhenUsed/>
    <w:rsid w:val="0001531B"/>
    <w:rPr>
      <w:color w:val="605E5C"/>
      <w:shd w:val="clear" w:color="auto" w:fill="E1DFDD"/>
      <w:lang w:val="en-GB"/>
    </w:rPr>
  </w:style>
  <w:style w:type="character" w:styleId="FollowedHyperlink">
    <w:name w:val="FollowedHyperlink"/>
    <w:basedOn w:val="DefaultParagraphFont"/>
    <w:uiPriority w:val="99"/>
    <w:semiHidden/>
    <w:unhideWhenUsed/>
    <w:rsid w:val="008F059A"/>
    <w:rPr>
      <w:color w:val="96607D" w:themeColor="followedHyperlink"/>
      <w:u w:val="single"/>
      <w:lang w:val="en-GB"/>
    </w:rPr>
  </w:style>
  <w:style w:type="paragraph" w:customStyle="1" w:styleId="CBDNormalNumber">
    <w:name w:val="CBD_Normal_Number"/>
    <w:basedOn w:val="CBDNormal"/>
    <w:qFormat/>
    <w:rsid w:val="00313A72"/>
    <w:pPr>
      <w:numPr>
        <w:numId w:val="26"/>
      </w:numPr>
      <w:tabs>
        <w:tab w:val="left" w:pos="3969"/>
      </w:tabs>
      <w:spacing w:before="120" w:after="120"/>
    </w:pPr>
  </w:style>
  <w:style w:type="paragraph" w:customStyle="1" w:styleId="AFCorNNormal">
    <w:name w:val="AF_CorNNormal"/>
    <w:basedOn w:val="Normal"/>
    <w:unhideWhenUsed/>
    <w:rsid w:val="00313A72"/>
    <w:pPr>
      <w:jc w:val="left"/>
    </w:pPr>
  </w:style>
  <w:style w:type="paragraph" w:customStyle="1" w:styleId="AEDistrNormal">
    <w:name w:val="AE_DistrNormal"/>
    <w:basedOn w:val="Normal"/>
    <w:unhideWhenUsed/>
    <w:rsid w:val="00313A72"/>
    <w:pPr>
      <w:jc w:val="left"/>
    </w:pPr>
  </w:style>
  <w:style w:type="paragraph" w:customStyle="1" w:styleId="AASmallLogo">
    <w:name w:val="AA_SmallLogo"/>
    <w:basedOn w:val="AEDistrNormal"/>
    <w:unhideWhenUsed/>
    <w:rsid w:val="00313A72"/>
    <w:pPr>
      <w:spacing w:before="40"/>
    </w:pPr>
    <w:rPr>
      <w:sz w:val="4"/>
    </w:rPr>
  </w:style>
  <w:style w:type="paragraph" w:customStyle="1" w:styleId="ACLargeLogo">
    <w:name w:val="AC_LargeLogo"/>
    <w:basedOn w:val="AFCorNNormal"/>
    <w:next w:val="AISpacer"/>
    <w:unhideWhenUsed/>
    <w:rsid w:val="00313A72"/>
    <w:pPr>
      <w:spacing w:before="120"/>
      <w:contextualSpacing/>
    </w:pPr>
    <w:rPr>
      <w:sz w:val="8"/>
    </w:rPr>
  </w:style>
  <w:style w:type="paragraph" w:customStyle="1" w:styleId="CBDNormal">
    <w:name w:val="CBD_Normal"/>
    <w:unhideWhenUsed/>
    <w:qFormat/>
    <w:rsid w:val="00313A7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numbering" w:customStyle="1" w:styleId="ListCBD">
    <w:name w:val="ListCBD"/>
    <w:basedOn w:val="NoList"/>
    <w:uiPriority w:val="99"/>
    <w:rsid w:val="00313A72"/>
    <w:pPr>
      <w:numPr>
        <w:numId w:val="25"/>
      </w:numPr>
    </w:pPr>
  </w:style>
  <w:style w:type="paragraph" w:customStyle="1" w:styleId="AISpacer">
    <w:name w:val="AI_Spacer"/>
    <w:next w:val="Normal"/>
    <w:unhideWhenUsed/>
    <w:qFormat/>
    <w:rsid w:val="00313A72"/>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13A72"/>
    <w:pPr>
      <w:spacing w:before="120"/>
    </w:pPr>
  </w:style>
  <w:style w:type="paragraph" w:customStyle="1" w:styleId="AFCorNBold">
    <w:name w:val="AF_CorNBold"/>
    <w:basedOn w:val="AFCorNNormal"/>
    <w:next w:val="AFCorNNormal"/>
    <w:unhideWhenUsed/>
    <w:qFormat/>
    <w:rsid w:val="00313A72"/>
    <w:rPr>
      <w:b/>
    </w:rPr>
  </w:style>
  <w:style w:type="paragraph" w:customStyle="1" w:styleId="AFCorN12Bold">
    <w:name w:val="AF_CorN12Bold"/>
    <w:basedOn w:val="AFCorNNormal"/>
    <w:next w:val="AFCorNNormal"/>
    <w:unhideWhenUsed/>
    <w:qFormat/>
    <w:rsid w:val="00313A72"/>
    <w:rPr>
      <w:b/>
      <w:sz w:val="24"/>
    </w:rPr>
  </w:style>
  <w:style w:type="paragraph" w:customStyle="1" w:styleId="CBDDesicionText">
    <w:name w:val="CBD_DesicionText"/>
    <w:basedOn w:val="CBDNormal"/>
    <w:qFormat/>
    <w:rsid w:val="00313A72"/>
    <w:pPr>
      <w:spacing w:after="120"/>
      <w:ind w:left="1134" w:firstLine="567"/>
    </w:pPr>
  </w:style>
  <w:style w:type="paragraph" w:customStyle="1" w:styleId="CBDTitle">
    <w:name w:val="CBD_Title"/>
    <w:basedOn w:val="CBDNormal"/>
    <w:next w:val="CBDSubTitle"/>
    <w:qFormat/>
    <w:rsid w:val="00313A72"/>
    <w:pPr>
      <w:keepNext/>
      <w:keepLines/>
      <w:spacing w:before="240" w:after="240"/>
      <w:ind w:left="567"/>
      <w:jc w:val="left"/>
    </w:pPr>
    <w:rPr>
      <w:b/>
      <w:sz w:val="28"/>
    </w:rPr>
  </w:style>
  <w:style w:type="paragraph" w:customStyle="1" w:styleId="Cornernotation-Item">
    <w:name w:val="Corner notation - Item"/>
    <w:basedOn w:val="Normal"/>
    <w:qFormat/>
    <w:rsid w:val="00A179A4"/>
    <w:pPr>
      <w:ind w:right="3119"/>
    </w:pPr>
    <w:rPr>
      <w:b/>
      <w:bCs/>
    </w:rPr>
  </w:style>
  <w:style w:type="character" w:styleId="PlaceholderText">
    <w:name w:val="Placeholder Text"/>
    <w:basedOn w:val="DefaultParagraphFont"/>
    <w:uiPriority w:val="99"/>
    <w:semiHidden/>
    <w:rsid w:val="00A179A4"/>
    <w:rPr>
      <w:color w:val="666666"/>
      <w:lang w:val="en-GB"/>
    </w:rPr>
  </w:style>
  <w:style w:type="paragraph" w:customStyle="1" w:styleId="paragraph">
    <w:name w:val="paragraph"/>
    <w:basedOn w:val="Normal"/>
    <w:rsid w:val="00677510"/>
    <w:pPr>
      <w:spacing w:before="100" w:beforeAutospacing="1" w:after="100" w:afterAutospacing="1"/>
    </w:pPr>
    <w:rPr>
      <w:rFonts w:eastAsia="Times New Roman"/>
      <w:lang w:eastAsia="zh-CN"/>
    </w:rPr>
  </w:style>
  <w:style w:type="character" w:customStyle="1" w:styleId="normaltextrun">
    <w:name w:val="normaltextrun"/>
    <w:basedOn w:val="DefaultParagraphFont"/>
    <w:rsid w:val="00677510"/>
    <w:rPr>
      <w:lang w:val="en-GB"/>
    </w:rPr>
  </w:style>
  <w:style w:type="character" w:customStyle="1" w:styleId="eop">
    <w:name w:val="eop"/>
    <w:basedOn w:val="DefaultParagraphFont"/>
    <w:rsid w:val="00677510"/>
    <w:rPr>
      <w:lang w:val="en-GB"/>
    </w:rPr>
  </w:style>
  <w:style w:type="paragraph" w:customStyle="1" w:styleId="DarkList-Accent31">
    <w:name w:val="Dark List - Accent 31"/>
    <w:hidden/>
    <w:uiPriority w:val="99"/>
    <w:semiHidden/>
    <w:rsid w:val="00313A72"/>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13A72"/>
    <w:pPr>
      <w:spacing w:after="120"/>
      <w:ind w:left="567"/>
    </w:pPr>
  </w:style>
  <w:style w:type="paragraph" w:customStyle="1" w:styleId="Footnote">
    <w:name w:val="Footnote"/>
    <w:basedOn w:val="FootnoteText"/>
    <w:semiHidden/>
    <w:qFormat/>
    <w:rsid w:val="00313A72"/>
    <w:rPr>
      <w:szCs w:val="18"/>
    </w:rPr>
  </w:style>
  <w:style w:type="paragraph" w:customStyle="1" w:styleId="Annex">
    <w:name w:val="Annex"/>
    <w:basedOn w:val="Normal"/>
    <w:semiHidden/>
    <w:qFormat/>
    <w:rsid w:val="00313A72"/>
    <w:pPr>
      <w:spacing w:after="240"/>
    </w:pPr>
    <w:rPr>
      <w:b/>
      <w:sz w:val="28"/>
    </w:rPr>
  </w:style>
  <w:style w:type="paragraph" w:customStyle="1" w:styleId="ABSymbol">
    <w:name w:val="AB_Symbol"/>
    <w:basedOn w:val="Normal"/>
    <w:qFormat/>
    <w:rsid w:val="00313A7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BodyText">
    <w:name w:val="Body Text"/>
    <w:basedOn w:val="Normal"/>
    <w:link w:val="BodyTextChar"/>
    <w:uiPriority w:val="99"/>
    <w:semiHidden/>
    <w:unhideWhenUsed/>
    <w:rsid w:val="00313A7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3A72"/>
    <w:rPr>
      <w:rFonts w:eastAsiaTheme="minorHAnsi"/>
      <w:sz w:val="22"/>
      <w:szCs w:val="22"/>
      <w:lang w:val="en-GB"/>
    </w:rPr>
  </w:style>
  <w:style w:type="paragraph" w:customStyle="1" w:styleId="Item">
    <w:name w:val="Item"/>
    <w:basedOn w:val="Normal"/>
    <w:semiHidden/>
    <w:qFormat/>
    <w:rsid w:val="00313A72"/>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313A72"/>
    <w:pPr>
      <w:contextualSpacing/>
    </w:pPr>
  </w:style>
  <w:style w:type="numbering" w:customStyle="1" w:styleId="CBDHeadings">
    <w:name w:val="CBD_Headings"/>
    <w:basedOn w:val="ListCBD"/>
    <w:uiPriority w:val="99"/>
    <w:rsid w:val="00313A72"/>
    <w:pPr>
      <w:numPr>
        <w:numId w:val="106"/>
      </w:numPr>
    </w:pPr>
  </w:style>
  <w:style w:type="paragraph" w:customStyle="1" w:styleId="CBDAgendaItemReport">
    <w:name w:val="CBD_AgendaItem_Report"/>
    <w:basedOn w:val="Normal"/>
    <w:qFormat/>
    <w:rsid w:val="00313A72"/>
    <w:pPr>
      <w:keepNext/>
      <w:keepLines/>
      <w:spacing w:before="240" w:after="120"/>
      <w:jc w:val="left"/>
    </w:pPr>
    <w:rPr>
      <w:b/>
      <w:sz w:val="24"/>
    </w:rPr>
  </w:style>
  <w:style w:type="paragraph" w:customStyle="1" w:styleId="CBDDesicionAnnex">
    <w:name w:val="CBD_DesicionAnnex"/>
    <w:basedOn w:val="CBDNormal"/>
    <w:next w:val="CBDDesicionText"/>
    <w:qFormat/>
    <w:rsid w:val="00313A7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13A72"/>
    <w:pPr>
      <w:keepNext/>
      <w:keepLines/>
      <w:spacing w:after="240"/>
      <w:jc w:val="left"/>
    </w:pPr>
    <w:rPr>
      <w:b/>
      <w:sz w:val="28"/>
      <w:lang w:bidi="ar-SY"/>
    </w:rPr>
  </w:style>
  <w:style w:type="paragraph" w:customStyle="1" w:styleId="CBDSubTitle">
    <w:name w:val="CBD_SubTitle"/>
    <w:basedOn w:val="CBDNormal"/>
    <w:qFormat/>
    <w:rsid w:val="00313A72"/>
    <w:pPr>
      <w:keepNext/>
      <w:keepLines/>
      <w:spacing w:before="240" w:after="240"/>
      <w:ind w:left="567"/>
      <w:jc w:val="left"/>
    </w:pPr>
    <w:rPr>
      <w:b/>
    </w:rPr>
  </w:style>
  <w:style w:type="paragraph" w:customStyle="1" w:styleId="AENormal">
    <w:name w:val="AE_Normal"/>
    <w:basedOn w:val="Normal"/>
    <w:rsid w:val="00313A72"/>
  </w:style>
  <w:style w:type="paragraph" w:customStyle="1" w:styleId="CBDH1">
    <w:name w:val="CBD_H1"/>
    <w:basedOn w:val="CBDNormal"/>
    <w:qFormat/>
    <w:rsid w:val="00313A72"/>
    <w:pPr>
      <w:keepNext/>
      <w:keepLines/>
      <w:spacing w:before="240" w:after="120"/>
      <w:ind w:left="567" w:hanging="567"/>
      <w:jc w:val="left"/>
      <w:outlineLvl w:val="0"/>
    </w:pPr>
    <w:rPr>
      <w:b/>
      <w:sz w:val="28"/>
    </w:rPr>
  </w:style>
  <w:style w:type="paragraph" w:customStyle="1" w:styleId="CBDH2">
    <w:name w:val="CBD_H2"/>
    <w:basedOn w:val="CBDNormal"/>
    <w:qFormat/>
    <w:rsid w:val="00313A72"/>
    <w:pPr>
      <w:keepNext/>
      <w:keepLines/>
      <w:ind w:left="567" w:hanging="567"/>
    </w:pPr>
    <w:rPr>
      <w:b/>
      <w:sz w:val="24"/>
    </w:rPr>
  </w:style>
  <w:style w:type="paragraph" w:customStyle="1" w:styleId="CBDFootnoteText">
    <w:name w:val="CBD_Footnote_Text"/>
    <w:basedOn w:val="CBDNormal"/>
    <w:qFormat/>
    <w:rsid w:val="00313A72"/>
    <w:pPr>
      <w:jc w:val="left"/>
    </w:pPr>
    <w:rPr>
      <w:sz w:val="18"/>
    </w:rPr>
  </w:style>
  <w:style w:type="paragraph" w:customStyle="1" w:styleId="CBDFooter">
    <w:name w:val="CBD_Footer"/>
    <w:basedOn w:val="CBDNormal"/>
    <w:qFormat/>
    <w:rsid w:val="00313A72"/>
    <w:rPr>
      <w:sz w:val="20"/>
    </w:rPr>
  </w:style>
  <w:style w:type="paragraph" w:customStyle="1" w:styleId="CBDHeader">
    <w:name w:val="CBD_Header"/>
    <w:basedOn w:val="CBDNormal"/>
    <w:next w:val="CBDFooter"/>
    <w:qFormat/>
    <w:rsid w:val="00313A7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13A72"/>
    <w:pPr>
      <w:keepNext/>
      <w:keepLines/>
      <w:spacing w:before="120" w:after="120"/>
      <w:ind w:left="567" w:hanging="567"/>
      <w:jc w:val="left"/>
    </w:pPr>
    <w:rPr>
      <w:b/>
    </w:rPr>
  </w:style>
  <w:style w:type="paragraph" w:customStyle="1" w:styleId="CBDH4">
    <w:name w:val="CBD_H4"/>
    <w:basedOn w:val="CBDNormal"/>
    <w:rsid w:val="00313A72"/>
    <w:pPr>
      <w:keepNext/>
      <w:keepLines/>
      <w:spacing w:before="120" w:after="120"/>
      <w:ind w:left="567" w:hanging="567"/>
      <w:jc w:val="left"/>
    </w:pPr>
    <w:rPr>
      <w:b/>
    </w:rPr>
  </w:style>
  <w:style w:type="paragraph" w:customStyle="1" w:styleId="CBDH5">
    <w:name w:val="CBD_H5"/>
    <w:basedOn w:val="CBDNormal"/>
    <w:qFormat/>
    <w:rsid w:val="00313A72"/>
    <w:pPr>
      <w:keepNext/>
      <w:keepLines/>
      <w:spacing w:before="120" w:after="120"/>
      <w:ind w:left="567" w:hanging="567"/>
      <w:jc w:val="left"/>
    </w:pPr>
    <w:rPr>
      <w:i/>
    </w:rPr>
  </w:style>
  <w:style w:type="paragraph" w:customStyle="1" w:styleId="CBDTableNormal">
    <w:name w:val="CBD_TableNormal"/>
    <w:basedOn w:val="CBDNormal"/>
    <w:qFormat/>
    <w:rsid w:val="00313A72"/>
    <w:pPr>
      <w:spacing w:before="40" w:after="80"/>
      <w:jc w:val="left"/>
    </w:pPr>
    <w:rPr>
      <w:sz w:val="20"/>
    </w:rPr>
  </w:style>
  <w:style w:type="paragraph" w:customStyle="1" w:styleId="CBDTableTitle">
    <w:name w:val="CBD_TableTitle"/>
    <w:basedOn w:val="CBDNormal"/>
    <w:qFormat/>
    <w:rsid w:val="00313A72"/>
    <w:pPr>
      <w:keepNext/>
      <w:keepLines/>
      <w:spacing w:before="120" w:after="60"/>
      <w:ind w:left="567"/>
      <w:jc w:val="left"/>
    </w:pPr>
    <w:rPr>
      <w:b/>
    </w:rPr>
  </w:style>
  <w:style w:type="paragraph" w:customStyle="1" w:styleId="CBDFigureTitle">
    <w:name w:val="CBD_FigureTitle"/>
    <w:basedOn w:val="CBDNormal"/>
    <w:next w:val="CBDNormalNoNumber"/>
    <w:qFormat/>
    <w:rsid w:val="00313A72"/>
    <w:pPr>
      <w:keepNext/>
      <w:keepLines/>
      <w:spacing w:before="120" w:after="60"/>
      <w:ind w:left="567"/>
      <w:jc w:val="left"/>
    </w:pPr>
    <w:rPr>
      <w:b/>
    </w:rPr>
  </w:style>
  <w:style w:type="paragraph" w:styleId="TOC1">
    <w:name w:val="toc 1"/>
    <w:basedOn w:val="CBDNormal"/>
    <w:next w:val="Normal"/>
    <w:autoRedefine/>
    <w:uiPriority w:val="39"/>
    <w:unhideWhenUsed/>
    <w:rsid w:val="00313A7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3A7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3A7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3A7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3A7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3A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3A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3A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3A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13A72"/>
  </w:style>
  <w:style w:type="paragraph" w:customStyle="1" w:styleId="CBDpara-item">
    <w:name w:val="CBD_para-item"/>
    <w:basedOn w:val="Normal"/>
    <w:qFormat/>
    <w:rsid w:val="00313A72"/>
    <w:pPr>
      <w:tabs>
        <w:tab w:val="clear" w:pos="567"/>
      </w:tabs>
      <w:spacing w:before="120" w:after="120"/>
      <w:ind w:left="1134" w:hanging="567"/>
      <w:jc w:val="left"/>
    </w:pPr>
  </w:style>
  <w:style w:type="paragraph" w:customStyle="1" w:styleId="CBDsubpara-item">
    <w:name w:val="CBD_subpara-item"/>
    <w:basedOn w:val="CBDpara-item"/>
    <w:qFormat/>
    <w:rsid w:val="00313A72"/>
    <w:pPr>
      <w:tabs>
        <w:tab w:val="clear" w:pos="1134"/>
      </w:tabs>
      <w:ind w:left="1701"/>
    </w:pPr>
  </w:style>
  <w:style w:type="paragraph" w:customStyle="1" w:styleId="CBDRecommendText">
    <w:name w:val="CBD_RecommendText"/>
    <w:basedOn w:val="Normal"/>
    <w:qFormat/>
    <w:rsid w:val="00313A72"/>
    <w:pPr>
      <w:spacing w:after="120"/>
      <w:ind w:left="567"/>
    </w:pPr>
  </w:style>
  <w:style w:type="paragraph" w:customStyle="1" w:styleId="CBDAgendaItem0">
    <w:name w:val="CBD_AgendaItem"/>
    <w:basedOn w:val="Normal"/>
    <w:qFormat/>
    <w:rsid w:val="00313A72"/>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13A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A7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13A72"/>
  </w:style>
  <w:style w:type="paragraph" w:styleId="BlockText">
    <w:name w:val="Block Text"/>
    <w:basedOn w:val="Normal"/>
    <w:uiPriority w:val="99"/>
    <w:semiHidden/>
    <w:unhideWhenUsed/>
    <w:rsid w:val="00313A72"/>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13A72"/>
    <w:pPr>
      <w:spacing w:after="120" w:line="480" w:lineRule="auto"/>
    </w:pPr>
  </w:style>
  <w:style w:type="character" w:customStyle="1" w:styleId="BodyText2Char">
    <w:name w:val="Body Text 2 Char"/>
    <w:basedOn w:val="DefaultParagraphFont"/>
    <w:link w:val="BodyText2"/>
    <w:uiPriority w:val="99"/>
    <w:semiHidden/>
    <w:rsid w:val="00313A72"/>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313A72"/>
    <w:pPr>
      <w:spacing w:after="120"/>
    </w:pPr>
    <w:rPr>
      <w:sz w:val="16"/>
      <w:szCs w:val="16"/>
    </w:rPr>
  </w:style>
  <w:style w:type="character" w:customStyle="1" w:styleId="BodyText3Char">
    <w:name w:val="Body Text 3 Char"/>
    <w:basedOn w:val="DefaultParagraphFont"/>
    <w:link w:val="BodyText3"/>
    <w:uiPriority w:val="99"/>
    <w:semiHidden/>
    <w:rsid w:val="00313A7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13A7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3A72"/>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313A72"/>
    <w:pPr>
      <w:spacing w:after="120"/>
      <w:ind w:left="360"/>
    </w:pPr>
  </w:style>
  <w:style w:type="character" w:customStyle="1" w:styleId="BodyTextIndentChar">
    <w:name w:val="Body Text Indent Char"/>
    <w:basedOn w:val="DefaultParagraphFont"/>
    <w:link w:val="BodyTextIndent"/>
    <w:uiPriority w:val="99"/>
    <w:semiHidden/>
    <w:rsid w:val="00313A72"/>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313A72"/>
    <w:pPr>
      <w:spacing w:after="0"/>
      <w:ind w:firstLine="360"/>
    </w:pPr>
  </w:style>
  <w:style w:type="character" w:customStyle="1" w:styleId="BodyTextFirstIndent2Char">
    <w:name w:val="Body Text First Indent 2 Char"/>
    <w:basedOn w:val="BodyTextIndentChar"/>
    <w:link w:val="BodyTextFirstIndent2"/>
    <w:uiPriority w:val="99"/>
    <w:semiHidden/>
    <w:rsid w:val="00313A72"/>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313A72"/>
    <w:pPr>
      <w:spacing w:after="120" w:line="480" w:lineRule="auto"/>
      <w:ind w:left="360"/>
    </w:pPr>
  </w:style>
  <w:style w:type="character" w:customStyle="1" w:styleId="BodyTextIndent2Char">
    <w:name w:val="Body Text Indent 2 Char"/>
    <w:basedOn w:val="DefaultParagraphFont"/>
    <w:link w:val="BodyTextIndent2"/>
    <w:uiPriority w:val="99"/>
    <w:semiHidden/>
    <w:rsid w:val="00313A72"/>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313A7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13A7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13A72"/>
    <w:rPr>
      <w:b/>
      <w:bCs/>
      <w:i/>
      <w:iCs/>
      <w:spacing w:val="5"/>
      <w:lang w:val="en-GB"/>
    </w:rPr>
  </w:style>
  <w:style w:type="paragraph" w:styleId="Caption">
    <w:name w:val="caption"/>
    <w:basedOn w:val="Normal"/>
    <w:next w:val="Normal"/>
    <w:uiPriority w:val="35"/>
    <w:semiHidden/>
    <w:unhideWhenUsed/>
    <w:qFormat/>
    <w:rsid w:val="00313A72"/>
    <w:pPr>
      <w:spacing w:after="200"/>
    </w:pPr>
    <w:rPr>
      <w:i/>
      <w:iCs/>
      <w:color w:val="0E2841" w:themeColor="text2"/>
      <w:sz w:val="18"/>
      <w:szCs w:val="18"/>
    </w:rPr>
  </w:style>
  <w:style w:type="paragraph" w:styleId="Closing">
    <w:name w:val="Closing"/>
    <w:basedOn w:val="Normal"/>
    <w:link w:val="ClosingChar"/>
    <w:uiPriority w:val="99"/>
    <w:semiHidden/>
    <w:unhideWhenUsed/>
    <w:rsid w:val="00313A72"/>
    <w:pPr>
      <w:ind w:left="4320"/>
    </w:pPr>
  </w:style>
  <w:style w:type="character" w:customStyle="1" w:styleId="ClosingChar">
    <w:name w:val="Closing Char"/>
    <w:basedOn w:val="DefaultParagraphFont"/>
    <w:link w:val="Closing"/>
    <w:uiPriority w:val="99"/>
    <w:semiHidden/>
    <w:rsid w:val="00313A72"/>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13A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13A72"/>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3A72"/>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13A72"/>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13A72"/>
  </w:style>
  <w:style w:type="character" w:customStyle="1" w:styleId="DateChar">
    <w:name w:val="Date Char"/>
    <w:basedOn w:val="DefaultParagraphFont"/>
    <w:link w:val="Date"/>
    <w:uiPriority w:val="99"/>
    <w:semiHidden/>
    <w:rsid w:val="00313A72"/>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313A7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3A7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13A72"/>
  </w:style>
  <w:style w:type="character" w:customStyle="1" w:styleId="E-mailSignatureChar">
    <w:name w:val="E-mail Signature Char"/>
    <w:basedOn w:val="DefaultParagraphFont"/>
    <w:link w:val="E-mailSignature"/>
    <w:uiPriority w:val="99"/>
    <w:semiHidden/>
    <w:rsid w:val="00313A72"/>
    <w:rPr>
      <w:rFonts w:ascii="Times New Roman" w:eastAsia="SimSun" w:hAnsi="Times New Roman" w:cs="Times New Roman"/>
      <w:kern w:val="0"/>
      <w:sz w:val="22"/>
      <w:szCs w:val="22"/>
      <w:lang w:val="en-GB"/>
      <w14:ligatures w14:val="none"/>
    </w:rPr>
  </w:style>
  <w:style w:type="character" w:styleId="EndnoteReference">
    <w:name w:val="endnote reference"/>
    <w:basedOn w:val="DefaultParagraphFont"/>
    <w:uiPriority w:val="99"/>
    <w:semiHidden/>
    <w:unhideWhenUsed/>
    <w:rsid w:val="00313A72"/>
    <w:rPr>
      <w:vertAlign w:val="superscript"/>
      <w:lang w:val="en-GB"/>
    </w:rPr>
  </w:style>
  <w:style w:type="paragraph" w:styleId="EndnoteText">
    <w:name w:val="endnote text"/>
    <w:basedOn w:val="Normal"/>
    <w:link w:val="EndnoteTextChar"/>
    <w:uiPriority w:val="99"/>
    <w:semiHidden/>
    <w:unhideWhenUsed/>
    <w:rsid w:val="00313A72"/>
    <w:rPr>
      <w:sz w:val="20"/>
      <w:szCs w:val="20"/>
    </w:rPr>
  </w:style>
  <w:style w:type="character" w:customStyle="1" w:styleId="EndnoteTextChar">
    <w:name w:val="Endnote Text Char"/>
    <w:basedOn w:val="DefaultParagraphFont"/>
    <w:link w:val="EndnoteText"/>
    <w:uiPriority w:val="99"/>
    <w:semiHidden/>
    <w:rsid w:val="00313A7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13A7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3A72"/>
    <w:rPr>
      <w:rFonts w:asciiTheme="majorHAnsi" w:eastAsiaTheme="majorEastAsia" w:hAnsiTheme="majorHAnsi" w:cstheme="majorBidi"/>
      <w:sz w:val="20"/>
      <w:szCs w:val="20"/>
    </w:rPr>
  </w:style>
  <w:style w:type="table" w:styleId="GridTable1Light">
    <w:name w:val="Grid Table 1 Light"/>
    <w:basedOn w:val="TableNormal"/>
    <w:uiPriority w:val="46"/>
    <w:rsid w:val="00313A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3A7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3A72"/>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3A72"/>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3A72"/>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3A72"/>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3A72"/>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3A7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3A72"/>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13A72"/>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13A72"/>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13A72"/>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13A72"/>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13A72"/>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13A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3A7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13A7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13A72"/>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13A7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13A72"/>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13A72"/>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13A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3A7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13A7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13A72"/>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13A7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13A72"/>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13A72"/>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13A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13A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13A7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13A72"/>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13A72"/>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13A72"/>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13A72"/>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13A72"/>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13A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13A7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13A72"/>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13A72"/>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13A72"/>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13A72"/>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13A72"/>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13A72"/>
    <w:rPr>
      <w:color w:val="2B579A"/>
      <w:shd w:val="clear" w:color="auto" w:fill="E1DFDD"/>
      <w:lang w:val="en-GB"/>
    </w:rPr>
  </w:style>
  <w:style w:type="character" w:styleId="HTMLAcronym">
    <w:name w:val="HTML Acronym"/>
    <w:basedOn w:val="DefaultParagraphFont"/>
    <w:uiPriority w:val="99"/>
    <w:semiHidden/>
    <w:unhideWhenUsed/>
    <w:rsid w:val="00313A72"/>
    <w:rPr>
      <w:lang w:val="en-GB"/>
    </w:rPr>
  </w:style>
  <w:style w:type="paragraph" w:styleId="HTMLAddress">
    <w:name w:val="HTML Address"/>
    <w:basedOn w:val="Normal"/>
    <w:link w:val="HTMLAddressChar"/>
    <w:uiPriority w:val="99"/>
    <w:semiHidden/>
    <w:unhideWhenUsed/>
    <w:rsid w:val="00313A72"/>
    <w:rPr>
      <w:i/>
      <w:iCs/>
    </w:rPr>
  </w:style>
  <w:style w:type="character" w:customStyle="1" w:styleId="HTMLAddressChar">
    <w:name w:val="HTML Address Char"/>
    <w:basedOn w:val="DefaultParagraphFont"/>
    <w:link w:val="HTMLAddress"/>
    <w:uiPriority w:val="99"/>
    <w:semiHidden/>
    <w:rsid w:val="00313A72"/>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313A72"/>
    <w:rPr>
      <w:i/>
      <w:iCs/>
      <w:lang w:val="en-GB"/>
    </w:rPr>
  </w:style>
  <w:style w:type="character" w:styleId="HTMLCode">
    <w:name w:val="HTML Code"/>
    <w:basedOn w:val="DefaultParagraphFont"/>
    <w:uiPriority w:val="99"/>
    <w:semiHidden/>
    <w:unhideWhenUsed/>
    <w:rsid w:val="00313A72"/>
    <w:rPr>
      <w:rFonts w:ascii="Consolas" w:hAnsi="Consolas"/>
      <w:sz w:val="20"/>
      <w:szCs w:val="20"/>
      <w:lang w:val="en-GB"/>
    </w:rPr>
  </w:style>
  <w:style w:type="character" w:styleId="HTMLDefinition">
    <w:name w:val="HTML Definition"/>
    <w:basedOn w:val="DefaultParagraphFont"/>
    <w:uiPriority w:val="99"/>
    <w:semiHidden/>
    <w:unhideWhenUsed/>
    <w:rsid w:val="00313A72"/>
    <w:rPr>
      <w:i/>
      <w:iCs/>
      <w:lang w:val="en-GB"/>
    </w:rPr>
  </w:style>
  <w:style w:type="character" w:styleId="HTMLKeyboard">
    <w:name w:val="HTML Keyboard"/>
    <w:basedOn w:val="DefaultParagraphFont"/>
    <w:uiPriority w:val="99"/>
    <w:semiHidden/>
    <w:unhideWhenUsed/>
    <w:rsid w:val="00313A7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13A7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3A7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13A72"/>
    <w:rPr>
      <w:rFonts w:ascii="Consolas" w:hAnsi="Consolas"/>
      <w:sz w:val="24"/>
      <w:szCs w:val="24"/>
      <w:lang w:val="en-GB"/>
    </w:rPr>
  </w:style>
  <w:style w:type="character" w:styleId="HTMLTypewriter">
    <w:name w:val="HTML Typewriter"/>
    <w:basedOn w:val="DefaultParagraphFont"/>
    <w:uiPriority w:val="99"/>
    <w:semiHidden/>
    <w:unhideWhenUsed/>
    <w:rsid w:val="00313A72"/>
    <w:rPr>
      <w:rFonts w:ascii="Consolas" w:hAnsi="Consolas"/>
      <w:sz w:val="20"/>
      <w:szCs w:val="20"/>
      <w:lang w:val="en-GB"/>
    </w:rPr>
  </w:style>
  <w:style w:type="character" w:styleId="HTMLVariable">
    <w:name w:val="HTML Variable"/>
    <w:basedOn w:val="DefaultParagraphFont"/>
    <w:uiPriority w:val="99"/>
    <w:semiHidden/>
    <w:unhideWhenUsed/>
    <w:rsid w:val="00313A72"/>
    <w:rPr>
      <w:i/>
      <w:iCs/>
      <w:lang w:val="en-GB"/>
    </w:rPr>
  </w:style>
  <w:style w:type="paragraph" w:styleId="Index1">
    <w:name w:val="index 1"/>
    <w:basedOn w:val="Normal"/>
    <w:next w:val="Normal"/>
    <w:autoRedefine/>
    <w:uiPriority w:val="99"/>
    <w:semiHidden/>
    <w:unhideWhenUsed/>
    <w:rsid w:val="00313A7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3A7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3A7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3A7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3A7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3A7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3A7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3A7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3A7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3A72"/>
    <w:rPr>
      <w:rFonts w:asciiTheme="majorHAnsi" w:eastAsiaTheme="majorEastAsia" w:hAnsiTheme="majorHAnsi" w:cstheme="majorBidi"/>
      <w:b/>
      <w:bCs/>
    </w:rPr>
  </w:style>
  <w:style w:type="table" w:styleId="LightGrid">
    <w:name w:val="Light Grid"/>
    <w:basedOn w:val="TableNormal"/>
    <w:uiPriority w:val="62"/>
    <w:semiHidden/>
    <w:unhideWhenUsed/>
    <w:rsid w:val="00313A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3A72"/>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13A72"/>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13A72"/>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13A72"/>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13A72"/>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13A72"/>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13A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3A72"/>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13A72"/>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13A72"/>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13A72"/>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13A72"/>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13A72"/>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13A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3A72"/>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13A72"/>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13A72"/>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13A72"/>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13A72"/>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13A72"/>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13A72"/>
    <w:rPr>
      <w:lang w:val="en-GB"/>
    </w:rPr>
  </w:style>
  <w:style w:type="paragraph" w:styleId="List2">
    <w:name w:val="List 2"/>
    <w:basedOn w:val="Normal"/>
    <w:uiPriority w:val="99"/>
    <w:semiHidden/>
    <w:unhideWhenUsed/>
    <w:rsid w:val="00313A72"/>
    <w:pPr>
      <w:ind w:left="720" w:hanging="360"/>
      <w:contextualSpacing/>
    </w:pPr>
  </w:style>
  <w:style w:type="paragraph" w:styleId="List3">
    <w:name w:val="List 3"/>
    <w:basedOn w:val="Normal"/>
    <w:uiPriority w:val="99"/>
    <w:semiHidden/>
    <w:unhideWhenUsed/>
    <w:rsid w:val="00313A72"/>
    <w:pPr>
      <w:ind w:left="1080" w:hanging="360"/>
      <w:contextualSpacing/>
    </w:pPr>
  </w:style>
  <w:style w:type="paragraph" w:styleId="List4">
    <w:name w:val="List 4"/>
    <w:basedOn w:val="Normal"/>
    <w:uiPriority w:val="99"/>
    <w:semiHidden/>
    <w:unhideWhenUsed/>
    <w:rsid w:val="00313A72"/>
    <w:pPr>
      <w:ind w:left="1440" w:hanging="360"/>
      <w:contextualSpacing/>
    </w:pPr>
  </w:style>
  <w:style w:type="paragraph" w:styleId="List5">
    <w:name w:val="List 5"/>
    <w:basedOn w:val="Normal"/>
    <w:uiPriority w:val="99"/>
    <w:semiHidden/>
    <w:unhideWhenUsed/>
    <w:rsid w:val="00313A72"/>
    <w:pPr>
      <w:ind w:left="1800" w:hanging="360"/>
      <w:contextualSpacing/>
    </w:pPr>
  </w:style>
  <w:style w:type="paragraph" w:styleId="ListBullet">
    <w:name w:val="List Bullet"/>
    <w:basedOn w:val="Normal"/>
    <w:uiPriority w:val="99"/>
    <w:semiHidden/>
    <w:unhideWhenUsed/>
    <w:rsid w:val="00313A72"/>
    <w:pPr>
      <w:numPr>
        <w:numId w:val="69"/>
      </w:numPr>
      <w:contextualSpacing/>
    </w:pPr>
  </w:style>
  <w:style w:type="paragraph" w:styleId="ListBullet2">
    <w:name w:val="List Bullet 2"/>
    <w:basedOn w:val="Normal"/>
    <w:uiPriority w:val="99"/>
    <w:semiHidden/>
    <w:unhideWhenUsed/>
    <w:rsid w:val="00313A72"/>
    <w:pPr>
      <w:numPr>
        <w:numId w:val="70"/>
      </w:numPr>
      <w:contextualSpacing/>
    </w:pPr>
  </w:style>
  <w:style w:type="paragraph" w:styleId="ListBullet3">
    <w:name w:val="List Bullet 3"/>
    <w:basedOn w:val="Normal"/>
    <w:uiPriority w:val="99"/>
    <w:semiHidden/>
    <w:unhideWhenUsed/>
    <w:rsid w:val="00313A72"/>
    <w:pPr>
      <w:numPr>
        <w:numId w:val="71"/>
      </w:numPr>
      <w:contextualSpacing/>
    </w:pPr>
  </w:style>
  <w:style w:type="paragraph" w:styleId="ListBullet4">
    <w:name w:val="List Bullet 4"/>
    <w:basedOn w:val="Normal"/>
    <w:uiPriority w:val="99"/>
    <w:semiHidden/>
    <w:unhideWhenUsed/>
    <w:rsid w:val="00313A72"/>
    <w:pPr>
      <w:numPr>
        <w:numId w:val="72"/>
      </w:numPr>
      <w:contextualSpacing/>
    </w:pPr>
  </w:style>
  <w:style w:type="paragraph" w:styleId="ListBullet5">
    <w:name w:val="List Bullet 5"/>
    <w:basedOn w:val="Normal"/>
    <w:uiPriority w:val="99"/>
    <w:semiHidden/>
    <w:unhideWhenUsed/>
    <w:rsid w:val="00313A72"/>
    <w:pPr>
      <w:numPr>
        <w:numId w:val="73"/>
      </w:numPr>
      <w:contextualSpacing/>
    </w:pPr>
  </w:style>
  <w:style w:type="paragraph" w:styleId="ListContinue">
    <w:name w:val="List Continue"/>
    <w:basedOn w:val="Normal"/>
    <w:uiPriority w:val="99"/>
    <w:semiHidden/>
    <w:unhideWhenUsed/>
    <w:rsid w:val="00313A72"/>
    <w:pPr>
      <w:spacing w:after="120"/>
      <w:ind w:left="360"/>
      <w:contextualSpacing/>
    </w:pPr>
  </w:style>
  <w:style w:type="paragraph" w:styleId="ListContinue2">
    <w:name w:val="List Continue 2"/>
    <w:basedOn w:val="Normal"/>
    <w:uiPriority w:val="99"/>
    <w:semiHidden/>
    <w:unhideWhenUsed/>
    <w:rsid w:val="00313A72"/>
    <w:pPr>
      <w:spacing w:after="120"/>
      <w:ind w:left="720"/>
      <w:contextualSpacing/>
    </w:pPr>
  </w:style>
  <w:style w:type="paragraph" w:styleId="ListContinue3">
    <w:name w:val="List Continue 3"/>
    <w:basedOn w:val="Normal"/>
    <w:uiPriority w:val="99"/>
    <w:semiHidden/>
    <w:unhideWhenUsed/>
    <w:rsid w:val="00313A72"/>
    <w:pPr>
      <w:spacing w:after="120"/>
      <w:ind w:left="1080"/>
      <w:contextualSpacing/>
    </w:pPr>
  </w:style>
  <w:style w:type="paragraph" w:styleId="ListContinue4">
    <w:name w:val="List Continue 4"/>
    <w:basedOn w:val="Normal"/>
    <w:uiPriority w:val="99"/>
    <w:semiHidden/>
    <w:unhideWhenUsed/>
    <w:rsid w:val="00313A72"/>
    <w:pPr>
      <w:spacing w:after="120"/>
      <w:ind w:left="1440"/>
      <w:contextualSpacing/>
    </w:pPr>
  </w:style>
  <w:style w:type="paragraph" w:styleId="ListContinue5">
    <w:name w:val="List Continue 5"/>
    <w:basedOn w:val="Normal"/>
    <w:uiPriority w:val="99"/>
    <w:semiHidden/>
    <w:unhideWhenUsed/>
    <w:rsid w:val="00313A72"/>
    <w:pPr>
      <w:spacing w:after="120"/>
      <w:ind w:left="1800"/>
      <w:contextualSpacing/>
    </w:pPr>
  </w:style>
  <w:style w:type="paragraph" w:styleId="ListNumber">
    <w:name w:val="List Number"/>
    <w:basedOn w:val="Normal"/>
    <w:uiPriority w:val="99"/>
    <w:semiHidden/>
    <w:unhideWhenUsed/>
    <w:rsid w:val="00313A72"/>
    <w:pPr>
      <w:numPr>
        <w:numId w:val="115"/>
      </w:numPr>
      <w:contextualSpacing/>
    </w:pPr>
  </w:style>
  <w:style w:type="paragraph" w:styleId="ListNumber2">
    <w:name w:val="List Number 2"/>
    <w:basedOn w:val="Normal"/>
    <w:uiPriority w:val="99"/>
    <w:semiHidden/>
    <w:unhideWhenUsed/>
    <w:rsid w:val="00313A72"/>
    <w:pPr>
      <w:numPr>
        <w:numId w:val="116"/>
      </w:numPr>
      <w:contextualSpacing/>
    </w:pPr>
  </w:style>
  <w:style w:type="paragraph" w:styleId="ListNumber3">
    <w:name w:val="List Number 3"/>
    <w:basedOn w:val="Normal"/>
    <w:uiPriority w:val="99"/>
    <w:semiHidden/>
    <w:unhideWhenUsed/>
    <w:rsid w:val="00313A72"/>
    <w:pPr>
      <w:numPr>
        <w:numId w:val="117"/>
      </w:numPr>
      <w:contextualSpacing/>
    </w:pPr>
  </w:style>
  <w:style w:type="paragraph" w:styleId="ListNumber4">
    <w:name w:val="List Number 4"/>
    <w:basedOn w:val="Normal"/>
    <w:uiPriority w:val="99"/>
    <w:semiHidden/>
    <w:unhideWhenUsed/>
    <w:rsid w:val="00313A72"/>
    <w:pPr>
      <w:numPr>
        <w:numId w:val="118"/>
      </w:numPr>
      <w:contextualSpacing/>
    </w:pPr>
  </w:style>
  <w:style w:type="paragraph" w:styleId="ListNumber5">
    <w:name w:val="List Number 5"/>
    <w:basedOn w:val="Normal"/>
    <w:uiPriority w:val="99"/>
    <w:semiHidden/>
    <w:unhideWhenUsed/>
    <w:rsid w:val="00313A72"/>
    <w:pPr>
      <w:numPr>
        <w:numId w:val="119"/>
      </w:numPr>
      <w:contextualSpacing/>
    </w:pPr>
  </w:style>
  <w:style w:type="table" w:styleId="ListTable1Light">
    <w:name w:val="List Table 1 Light"/>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13A72"/>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13A7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3A72"/>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13A72"/>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13A72"/>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13A72"/>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13A72"/>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13A72"/>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13A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3A7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13A72"/>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13A72"/>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13A72"/>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13A72"/>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13A72"/>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13A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3A7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13A7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13A72"/>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13A7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13A72"/>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13A72"/>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13A7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3A72"/>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3A72"/>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3A72"/>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3A72"/>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3A72"/>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3A72"/>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13A7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13A72"/>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13A72"/>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13A72"/>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13A72"/>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13A72"/>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13A72"/>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13A7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13A72"/>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13A72"/>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13A72"/>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13A72"/>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13A72"/>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13A72"/>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3A7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13A7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13A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3A72"/>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13A72"/>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13A72"/>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13A72"/>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13A72"/>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13A72"/>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13A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13A72"/>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3A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3A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3A72"/>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3A72"/>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3A72"/>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3A72"/>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3A72"/>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3A72"/>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3A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13A72"/>
    <w:rPr>
      <w:color w:val="2B579A"/>
      <w:shd w:val="clear" w:color="auto" w:fill="E1DFDD"/>
      <w:lang w:val="en-GB"/>
    </w:rPr>
  </w:style>
  <w:style w:type="paragraph" w:styleId="MessageHeader">
    <w:name w:val="Message Header"/>
    <w:basedOn w:val="Normal"/>
    <w:link w:val="MessageHeaderChar"/>
    <w:uiPriority w:val="99"/>
    <w:semiHidden/>
    <w:unhideWhenUsed/>
    <w:rsid w:val="00313A7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3A72"/>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313A72"/>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Indent">
    <w:name w:val="Normal Indent"/>
    <w:basedOn w:val="Normal"/>
    <w:uiPriority w:val="99"/>
    <w:semiHidden/>
    <w:unhideWhenUsed/>
    <w:rsid w:val="00313A72"/>
    <w:pPr>
      <w:ind w:left="720"/>
    </w:pPr>
  </w:style>
  <w:style w:type="paragraph" w:styleId="NoteHeading">
    <w:name w:val="Note Heading"/>
    <w:basedOn w:val="Normal"/>
    <w:next w:val="Normal"/>
    <w:link w:val="NoteHeadingChar"/>
    <w:uiPriority w:val="99"/>
    <w:semiHidden/>
    <w:unhideWhenUsed/>
    <w:rsid w:val="00313A72"/>
  </w:style>
  <w:style w:type="character" w:customStyle="1" w:styleId="NoteHeadingChar">
    <w:name w:val="Note Heading Char"/>
    <w:basedOn w:val="DefaultParagraphFont"/>
    <w:link w:val="NoteHeading"/>
    <w:uiPriority w:val="99"/>
    <w:semiHidden/>
    <w:rsid w:val="00313A72"/>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313A72"/>
    <w:rPr>
      <w:lang w:val="en-GB"/>
    </w:rPr>
  </w:style>
  <w:style w:type="table" w:styleId="PlainTable1">
    <w:name w:val="Plain Table 1"/>
    <w:basedOn w:val="TableNormal"/>
    <w:uiPriority w:val="41"/>
    <w:rsid w:val="00313A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3A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3A7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3A7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3A7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3A72"/>
    <w:rPr>
      <w:rFonts w:ascii="Consolas" w:hAnsi="Consolas"/>
      <w:sz w:val="21"/>
      <w:szCs w:val="21"/>
    </w:rPr>
  </w:style>
  <w:style w:type="character" w:customStyle="1" w:styleId="PlainTextChar">
    <w:name w:val="Plain Text Char"/>
    <w:basedOn w:val="DefaultParagraphFont"/>
    <w:link w:val="PlainText"/>
    <w:uiPriority w:val="99"/>
    <w:semiHidden/>
    <w:rsid w:val="00313A72"/>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313A72"/>
  </w:style>
  <w:style w:type="character" w:customStyle="1" w:styleId="SalutationChar">
    <w:name w:val="Salutation Char"/>
    <w:basedOn w:val="DefaultParagraphFont"/>
    <w:link w:val="Salutation"/>
    <w:uiPriority w:val="99"/>
    <w:semiHidden/>
    <w:rsid w:val="00313A72"/>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313A72"/>
    <w:pPr>
      <w:ind w:left="4320"/>
    </w:pPr>
  </w:style>
  <w:style w:type="character" w:customStyle="1" w:styleId="SignatureChar">
    <w:name w:val="Signature Char"/>
    <w:basedOn w:val="DefaultParagraphFont"/>
    <w:link w:val="Signature"/>
    <w:uiPriority w:val="99"/>
    <w:semiHidden/>
    <w:rsid w:val="00313A72"/>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313A72"/>
    <w:rPr>
      <w:u w:val="dotted"/>
      <w:lang w:val="en-GB"/>
    </w:rPr>
  </w:style>
  <w:style w:type="character" w:styleId="SmartLink">
    <w:name w:val="Smart Link"/>
    <w:basedOn w:val="DefaultParagraphFont"/>
    <w:uiPriority w:val="99"/>
    <w:semiHidden/>
    <w:unhideWhenUsed/>
    <w:rsid w:val="00313A72"/>
    <w:rPr>
      <w:color w:val="0000FF"/>
      <w:u w:val="single"/>
      <w:shd w:val="clear" w:color="auto" w:fill="F3F2F1"/>
      <w:lang w:val="en-GB"/>
    </w:rPr>
  </w:style>
  <w:style w:type="character" w:styleId="Strong">
    <w:name w:val="Strong"/>
    <w:basedOn w:val="DefaultParagraphFont"/>
    <w:uiPriority w:val="22"/>
    <w:qFormat/>
    <w:rsid w:val="00313A72"/>
    <w:rPr>
      <w:b/>
      <w:bCs/>
      <w:lang w:val="en-GB"/>
    </w:rPr>
  </w:style>
  <w:style w:type="character" w:styleId="SubtleEmphasis">
    <w:name w:val="Subtle Emphasis"/>
    <w:basedOn w:val="DefaultParagraphFont"/>
    <w:uiPriority w:val="19"/>
    <w:qFormat/>
    <w:rsid w:val="00313A72"/>
    <w:rPr>
      <w:i/>
      <w:iCs/>
      <w:color w:val="404040" w:themeColor="text1" w:themeTint="BF"/>
      <w:lang w:val="en-GB"/>
    </w:rPr>
  </w:style>
  <w:style w:type="character" w:styleId="SubtleReference">
    <w:name w:val="Subtle Reference"/>
    <w:basedOn w:val="DefaultParagraphFont"/>
    <w:uiPriority w:val="31"/>
    <w:qFormat/>
    <w:rsid w:val="00313A72"/>
    <w:rPr>
      <w:smallCaps/>
      <w:color w:val="5A5A5A" w:themeColor="text1" w:themeTint="A5"/>
      <w:lang w:val="en-GB"/>
    </w:rPr>
  </w:style>
  <w:style w:type="table" w:styleId="Table3Deffects1">
    <w:name w:val="Table 3D effects 1"/>
    <w:basedOn w:val="TableNormal"/>
    <w:uiPriority w:val="99"/>
    <w:semiHidden/>
    <w:unhideWhenUsed/>
    <w:rsid w:val="00313A7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3A7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3A7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3A7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3A7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3A7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3A7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3A7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3A7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3A7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3A7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3A7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3A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3A7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3A7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3A7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3A7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3A7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3A7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3A7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3A7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3A7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3A7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13A72"/>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95224">
      <w:bodyDiv w:val="1"/>
      <w:marLeft w:val="0"/>
      <w:marRight w:val="0"/>
      <w:marTop w:val="0"/>
      <w:marBottom w:val="0"/>
      <w:divBdr>
        <w:top w:val="none" w:sz="0" w:space="0" w:color="auto"/>
        <w:left w:val="none" w:sz="0" w:space="0" w:color="auto"/>
        <w:bottom w:val="none" w:sz="0" w:space="0" w:color="auto"/>
        <w:right w:val="none" w:sz="0" w:space="0" w:color="auto"/>
      </w:divBdr>
    </w:div>
    <w:div w:id="180318913">
      <w:bodyDiv w:val="1"/>
      <w:marLeft w:val="0"/>
      <w:marRight w:val="0"/>
      <w:marTop w:val="0"/>
      <w:marBottom w:val="0"/>
      <w:divBdr>
        <w:top w:val="none" w:sz="0" w:space="0" w:color="auto"/>
        <w:left w:val="none" w:sz="0" w:space="0" w:color="auto"/>
        <w:bottom w:val="none" w:sz="0" w:space="0" w:color="auto"/>
        <w:right w:val="none" w:sz="0" w:space="0" w:color="auto"/>
      </w:divBdr>
      <w:divsChild>
        <w:div w:id="929391692">
          <w:marLeft w:val="0"/>
          <w:marRight w:val="0"/>
          <w:marTop w:val="0"/>
          <w:marBottom w:val="0"/>
          <w:divBdr>
            <w:top w:val="none" w:sz="0" w:space="0" w:color="auto"/>
            <w:left w:val="none" w:sz="0" w:space="0" w:color="auto"/>
            <w:bottom w:val="none" w:sz="0" w:space="0" w:color="auto"/>
            <w:right w:val="none" w:sz="0" w:space="0" w:color="auto"/>
          </w:divBdr>
          <w:divsChild>
            <w:div w:id="1046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88969">
      <w:bodyDiv w:val="1"/>
      <w:marLeft w:val="0"/>
      <w:marRight w:val="0"/>
      <w:marTop w:val="0"/>
      <w:marBottom w:val="0"/>
      <w:divBdr>
        <w:top w:val="none" w:sz="0" w:space="0" w:color="auto"/>
        <w:left w:val="none" w:sz="0" w:space="0" w:color="auto"/>
        <w:bottom w:val="none" w:sz="0" w:space="0" w:color="auto"/>
        <w:right w:val="none" w:sz="0" w:space="0" w:color="auto"/>
      </w:divBdr>
    </w:div>
    <w:div w:id="400642163">
      <w:bodyDiv w:val="1"/>
      <w:marLeft w:val="0"/>
      <w:marRight w:val="0"/>
      <w:marTop w:val="0"/>
      <w:marBottom w:val="0"/>
      <w:divBdr>
        <w:top w:val="none" w:sz="0" w:space="0" w:color="auto"/>
        <w:left w:val="none" w:sz="0" w:space="0" w:color="auto"/>
        <w:bottom w:val="none" w:sz="0" w:space="0" w:color="auto"/>
        <w:right w:val="none" w:sz="0" w:space="0" w:color="auto"/>
      </w:divBdr>
    </w:div>
    <w:div w:id="606694700">
      <w:bodyDiv w:val="1"/>
      <w:marLeft w:val="0"/>
      <w:marRight w:val="0"/>
      <w:marTop w:val="0"/>
      <w:marBottom w:val="0"/>
      <w:divBdr>
        <w:top w:val="none" w:sz="0" w:space="0" w:color="auto"/>
        <w:left w:val="none" w:sz="0" w:space="0" w:color="auto"/>
        <w:bottom w:val="none" w:sz="0" w:space="0" w:color="auto"/>
        <w:right w:val="none" w:sz="0" w:space="0" w:color="auto"/>
      </w:divBdr>
    </w:div>
    <w:div w:id="666254824">
      <w:bodyDiv w:val="1"/>
      <w:marLeft w:val="0"/>
      <w:marRight w:val="0"/>
      <w:marTop w:val="0"/>
      <w:marBottom w:val="0"/>
      <w:divBdr>
        <w:top w:val="none" w:sz="0" w:space="0" w:color="auto"/>
        <w:left w:val="none" w:sz="0" w:space="0" w:color="auto"/>
        <w:bottom w:val="none" w:sz="0" w:space="0" w:color="auto"/>
        <w:right w:val="none" w:sz="0" w:space="0" w:color="auto"/>
      </w:divBdr>
    </w:div>
    <w:div w:id="701396342">
      <w:bodyDiv w:val="1"/>
      <w:marLeft w:val="0"/>
      <w:marRight w:val="0"/>
      <w:marTop w:val="0"/>
      <w:marBottom w:val="0"/>
      <w:divBdr>
        <w:top w:val="none" w:sz="0" w:space="0" w:color="auto"/>
        <w:left w:val="none" w:sz="0" w:space="0" w:color="auto"/>
        <w:bottom w:val="none" w:sz="0" w:space="0" w:color="auto"/>
        <w:right w:val="none" w:sz="0" w:space="0" w:color="auto"/>
      </w:divBdr>
    </w:div>
    <w:div w:id="709693785">
      <w:bodyDiv w:val="1"/>
      <w:marLeft w:val="0"/>
      <w:marRight w:val="0"/>
      <w:marTop w:val="0"/>
      <w:marBottom w:val="0"/>
      <w:divBdr>
        <w:top w:val="none" w:sz="0" w:space="0" w:color="auto"/>
        <w:left w:val="none" w:sz="0" w:space="0" w:color="auto"/>
        <w:bottom w:val="none" w:sz="0" w:space="0" w:color="auto"/>
        <w:right w:val="none" w:sz="0" w:space="0" w:color="auto"/>
      </w:divBdr>
    </w:div>
    <w:div w:id="836533035">
      <w:bodyDiv w:val="1"/>
      <w:marLeft w:val="0"/>
      <w:marRight w:val="0"/>
      <w:marTop w:val="0"/>
      <w:marBottom w:val="0"/>
      <w:divBdr>
        <w:top w:val="none" w:sz="0" w:space="0" w:color="auto"/>
        <w:left w:val="none" w:sz="0" w:space="0" w:color="auto"/>
        <w:bottom w:val="none" w:sz="0" w:space="0" w:color="auto"/>
        <w:right w:val="none" w:sz="0" w:space="0" w:color="auto"/>
      </w:divBdr>
    </w:div>
    <w:div w:id="860972184">
      <w:bodyDiv w:val="1"/>
      <w:marLeft w:val="0"/>
      <w:marRight w:val="0"/>
      <w:marTop w:val="0"/>
      <w:marBottom w:val="0"/>
      <w:divBdr>
        <w:top w:val="none" w:sz="0" w:space="0" w:color="auto"/>
        <w:left w:val="none" w:sz="0" w:space="0" w:color="auto"/>
        <w:bottom w:val="none" w:sz="0" w:space="0" w:color="auto"/>
        <w:right w:val="none" w:sz="0" w:space="0" w:color="auto"/>
      </w:divBdr>
    </w:div>
    <w:div w:id="881021344">
      <w:bodyDiv w:val="1"/>
      <w:marLeft w:val="0"/>
      <w:marRight w:val="0"/>
      <w:marTop w:val="0"/>
      <w:marBottom w:val="0"/>
      <w:divBdr>
        <w:top w:val="none" w:sz="0" w:space="0" w:color="auto"/>
        <w:left w:val="none" w:sz="0" w:space="0" w:color="auto"/>
        <w:bottom w:val="none" w:sz="0" w:space="0" w:color="auto"/>
        <w:right w:val="none" w:sz="0" w:space="0" w:color="auto"/>
      </w:divBdr>
    </w:div>
    <w:div w:id="962809692">
      <w:bodyDiv w:val="1"/>
      <w:marLeft w:val="0"/>
      <w:marRight w:val="0"/>
      <w:marTop w:val="0"/>
      <w:marBottom w:val="0"/>
      <w:divBdr>
        <w:top w:val="none" w:sz="0" w:space="0" w:color="auto"/>
        <w:left w:val="none" w:sz="0" w:space="0" w:color="auto"/>
        <w:bottom w:val="none" w:sz="0" w:space="0" w:color="auto"/>
        <w:right w:val="none" w:sz="0" w:space="0" w:color="auto"/>
      </w:divBdr>
    </w:div>
    <w:div w:id="970869320">
      <w:bodyDiv w:val="1"/>
      <w:marLeft w:val="0"/>
      <w:marRight w:val="0"/>
      <w:marTop w:val="0"/>
      <w:marBottom w:val="0"/>
      <w:divBdr>
        <w:top w:val="none" w:sz="0" w:space="0" w:color="auto"/>
        <w:left w:val="none" w:sz="0" w:space="0" w:color="auto"/>
        <w:bottom w:val="none" w:sz="0" w:space="0" w:color="auto"/>
        <w:right w:val="none" w:sz="0" w:space="0" w:color="auto"/>
      </w:divBdr>
    </w:div>
    <w:div w:id="1034428897">
      <w:bodyDiv w:val="1"/>
      <w:marLeft w:val="0"/>
      <w:marRight w:val="0"/>
      <w:marTop w:val="0"/>
      <w:marBottom w:val="0"/>
      <w:divBdr>
        <w:top w:val="none" w:sz="0" w:space="0" w:color="auto"/>
        <w:left w:val="none" w:sz="0" w:space="0" w:color="auto"/>
        <w:bottom w:val="none" w:sz="0" w:space="0" w:color="auto"/>
        <w:right w:val="none" w:sz="0" w:space="0" w:color="auto"/>
      </w:divBdr>
      <w:divsChild>
        <w:div w:id="58410173">
          <w:marLeft w:val="0"/>
          <w:marRight w:val="0"/>
          <w:marTop w:val="0"/>
          <w:marBottom w:val="0"/>
          <w:divBdr>
            <w:top w:val="none" w:sz="0" w:space="0" w:color="auto"/>
            <w:left w:val="none" w:sz="0" w:space="0" w:color="auto"/>
            <w:bottom w:val="none" w:sz="0" w:space="0" w:color="auto"/>
            <w:right w:val="none" w:sz="0" w:space="0" w:color="auto"/>
          </w:divBdr>
          <w:divsChild>
            <w:div w:id="110187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5862">
      <w:bodyDiv w:val="1"/>
      <w:marLeft w:val="0"/>
      <w:marRight w:val="0"/>
      <w:marTop w:val="0"/>
      <w:marBottom w:val="0"/>
      <w:divBdr>
        <w:top w:val="none" w:sz="0" w:space="0" w:color="auto"/>
        <w:left w:val="none" w:sz="0" w:space="0" w:color="auto"/>
        <w:bottom w:val="none" w:sz="0" w:space="0" w:color="auto"/>
        <w:right w:val="none" w:sz="0" w:space="0" w:color="auto"/>
      </w:divBdr>
    </w:div>
    <w:div w:id="1152792898">
      <w:bodyDiv w:val="1"/>
      <w:marLeft w:val="0"/>
      <w:marRight w:val="0"/>
      <w:marTop w:val="0"/>
      <w:marBottom w:val="0"/>
      <w:divBdr>
        <w:top w:val="none" w:sz="0" w:space="0" w:color="auto"/>
        <w:left w:val="none" w:sz="0" w:space="0" w:color="auto"/>
        <w:bottom w:val="none" w:sz="0" w:space="0" w:color="auto"/>
        <w:right w:val="none" w:sz="0" w:space="0" w:color="auto"/>
      </w:divBdr>
      <w:divsChild>
        <w:div w:id="414983994">
          <w:marLeft w:val="0"/>
          <w:marRight w:val="0"/>
          <w:marTop w:val="0"/>
          <w:marBottom w:val="0"/>
          <w:divBdr>
            <w:top w:val="none" w:sz="0" w:space="0" w:color="auto"/>
            <w:left w:val="none" w:sz="0" w:space="0" w:color="auto"/>
            <w:bottom w:val="none" w:sz="0" w:space="0" w:color="auto"/>
            <w:right w:val="none" w:sz="0" w:space="0" w:color="auto"/>
          </w:divBdr>
          <w:divsChild>
            <w:div w:id="40429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82642">
      <w:bodyDiv w:val="1"/>
      <w:marLeft w:val="0"/>
      <w:marRight w:val="0"/>
      <w:marTop w:val="0"/>
      <w:marBottom w:val="0"/>
      <w:divBdr>
        <w:top w:val="none" w:sz="0" w:space="0" w:color="auto"/>
        <w:left w:val="none" w:sz="0" w:space="0" w:color="auto"/>
        <w:bottom w:val="none" w:sz="0" w:space="0" w:color="auto"/>
        <w:right w:val="none" w:sz="0" w:space="0" w:color="auto"/>
      </w:divBdr>
    </w:div>
    <w:div w:id="1284923794">
      <w:bodyDiv w:val="1"/>
      <w:marLeft w:val="0"/>
      <w:marRight w:val="0"/>
      <w:marTop w:val="0"/>
      <w:marBottom w:val="0"/>
      <w:divBdr>
        <w:top w:val="none" w:sz="0" w:space="0" w:color="auto"/>
        <w:left w:val="none" w:sz="0" w:space="0" w:color="auto"/>
        <w:bottom w:val="none" w:sz="0" w:space="0" w:color="auto"/>
        <w:right w:val="none" w:sz="0" w:space="0" w:color="auto"/>
      </w:divBdr>
    </w:div>
    <w:div w:id="1344935501">
      <w:bodyDiv w:val="1"/>
      <w:marLeft w:val="0"/>
      <w:marRight w:val="0"/>
      <w:marTop w:val="0"/>
      <w:marBottom w:val="0"/>
      <w:divBdr>
        <w:top w:val="none" w:sz="0" w:space="0" w:color="auto"/>
        <w:left w:val="none" w:sz="0" w:space="0" w:color="auto"/>
        <w:bottom w:val="none" w:sz="0" w:space="0" w:color="auto"/>
        <w:right w:val="none" w:sz="0" w:space="0" w:color="auto"/>
      </w:divBdr>
    </w:div>
    <w:div w:id="1537549065">
      <w:bodyDiv w:val="1"/>
      <w:marLeft w:val="0"/>
      <w:marRight w:val="0"/>
      <w:marTop w:val="0"/>
      <w:marBottom w:val="0"/>
      <w:divBdr>
        <w:top w:val="none" w:sz="0" w:space="0" w:color="auto"/>
        <w:left w:val="none" w:sz="0" w:space="0" w:color="auto"/>
        <w:bottom w:val="none" w:sz="0" w:space="0" w:color="auto"/>
        <w:right w:val="none" w:sz="0" w:space="0" w:color="auto"/>
      </w:divBdr>
      <w:divsChild>
        <w:div w:id="1645159116">
          <w:marLeft w:val="0"/>
          <w:marRight w:val="0"/>
          <w:marTop w:val="0"/>
          <w:marBottom w:val="0"/>
          <w:divBdr>
            <w:top w:val="none" w:sz="0" w:space="0" w:color="auto"/>
            <w:left w:val="none" w:sz="0" w:space="0" w:color="auto"/>
            <w:bottom w:val="none" w:sz="0" w:space="0" w:color="auto"/>
            <w:right w:val="none" w:sz="0" w:space="0" w:color="auto"/>
          </w:divBdr>
          <w:divsChild>
            <w:div w:id="51219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4235">
      <w:bodyDiv w:val="1"/>
      <w:marLeft w:val="0"/>
      <w:marRight w:val="0"/>
      <w:marTop w:val="0"/>
      <w:marBottom w:val="0"/>
      <w:divBdr>
        <w:top w:val="none" w:sz="0" w:space="0" w:color="auto"/>
        <w:left w:val="none" w:sz="0" w:space="0" w:color="auto"/>
        <w:bottom w:val="none" w:sz="0" w:space="0" w:color="auto"/>
        <w:right w:val="none" w:sz="0" w:space="0" w:color="auto"/>
      </w:divBdr>
    </w:div>
    <w:div w:id="1759135159">
      <w:bodyDiv w:val="1"/>
      <w:marLeft w:val="0"/>
      <w:marRight w:val="0"/>
      <w:marTop w:val="0"/>
      <w:marBottom w:val="0"/>
      <w:divBdr>
        <w:top w:val="none" w:sz="0" w:space="0" w:color="auto"/>
        <w:left w:val="none" w:sz="0" w:space="0" w:color="auto"/>
        <w:bottom w:val="none" w:sz="0" w:space="0" w:color="auto"/>
        <w:right w:val="none" w:sz="0" w:space="0" w:color="auto"/>
      </w:divBdr>
    </w:div>
    <w:div w:id="1806509121">
      <w:bodyDiv w:val="1"/>
      <w:marLeft w:val="0"/>
      <w:marRight w:val="0"/>
      <w:marTop w:val="0"/>
      <w:marBottom w:val="0"/>
      <w:divBdr>
        <w:top w:val="none" w:sz="0" w:space="0" w:color="auto"/>
        <w:left w:val="none" w:sz="0" w:space="0" w:color="auto"/>
        <w:bottom w:val="none" w:sz="0" w:space="0" w:color="auto"/>
        <w:right w:val="none" w:sz="0" w:space="0" w:color="auto"/>
      </w:divBdr>
    </w:div>
    <w:div w:id="1820730759">
      <w:bodyDiv w:val="1"/>
      <w:marLeft w:val="0"/>
      <w:marRight w:val="0"/>
      <w:marTop w:val="0"/>
      <w:marBottom w:val="0"/>
      <w:divBdr>
        <w:top w:val="none" w:sz="0" w:space="0" w:color="auto"/>
        <w:left w:val="none" w:sz="0" w:space="0" w:color="auto"/>
        <w:bottom w:val="none" w:sz="0" w:space="0" w:color="auto"/>
        <w:right w:val="none" w:sz="0" w:space="0" w:color="auto"/>
      </w:divBdr>
    </w:div>
    <w:div w:id="1952738708">
      <w:bodyDiv w:val="1"/>
      <w:marLeft w:val="0"/>
      <w:marRight w:val="0"/>
      <w:marTop w:val="0"/>
      <w:marBottom w:val="0"/>
      <w:divBdr>
        <w:top w:val="none" w:sz="0" w:space="0" w:color="auto"/>
        <w:left w:val="none" w:sz="0" w:space="0" w:color="auto"/>
        <w:bottom w:val="none" w:sz="0" w:space="0" w:color="auto"/>
        <w:right w:val="none" w:sz="0" w:space="0" w:color="auto"/>
      </w:divBdr>
    </w:div>
    <w:div w:id="1984701914">
      <w:bodyDiv w:val="1"/>
      <w:marLeft w:val="0"/>
      <w:marRight w:val="0"/>
      <w:marTop w:val="0"/>
      <w:marBottom w:val="0"/>
      <w:divBdr>
        <w:top w:val="none" w:sz="0" w:space="0" w:color="auto"/>
        <w:left w:val="none" w:sz="0" w:space="0" w:color="auto"/>
        <w:bottom w:val="none" w:sz="0" w:space="0" w:color="auto"/>
        <w:right w:val="none" w:sz="0" w:space="0" w:color="auto"/>
      </w:divBdr>
    </w:div>
    <w:div w:id="2000498690">
      <w:bodyDiv w:val="1"/>
      <w:marLeft w:val="0"/>
      <w:marRight w:val="0"/>
      <w:marTop w:val="0"/>
      <w:marBottom w:val="0"/>
      <w:divBdr>
        <w:top w:val="none" w:sz="0" w:space="0" w:color="auto"/>
        <w:left w:val="none" w:sz="0" w:space="0" w:color="auto"/>
        <w:bottom w:val="none" w:sz="0" w:space="0" w:color="auto"/>
        <w:right w:val="none" w:sz="0" w:space="0" w:color="auto"/>
      </w:divBdr>
      <w:divsChild>
        <w:div w:id="991637217">
          <w:marLeft w:val="0"/>
          <w:marRight w:val="0"/>
          <w:marTop w:val="0"/>
          <w:marBottom w:val="0"/>
          <w:divBdr>
            <w:top w:val="none" w:sz="0" w:space="0" w:color="auto"/>
            <w:left w:val="none" w:sz="0" w:space="0" w:color="auto"/>
            <w:bottom w:val="none" w:sz="0" w:space="0" w:color="auto"/>
            <w:right w:val="none" w:sz="0" w:space="0" w:color="auto"/>
          </w:divBdr>
        </w:div>
        <w:div w:id="1545630926">
          <w:marLeft w:val="0"/>
          <w:marRight w:val="0"/>
          <w:marTop w:val="0"/>
          <w:marBottom w:val="0"/>
          <w:divBdr>
            <w:top w:val="none" w:sz="0" w:space="0" w:color="auto"/>
            <w:left w:val="none" w:sz="0" w:space="0" w:color="auto"/>
            <w:bottom w:val="none" w:sz="0" w:space="0" w:color="auto"/>
            <w:right w:val="none" w:sz="0" w:space="0" w:color="auto"/>
          </w:divBdr>
        </w:div>
      </w:divsChild>
    </w:div>
    <w:div w:id="2010253097">
      <w:bodyDiv w:val="1"/>
      <w:marLeft w:val="0"/>
      <w:marRight w:val="0"/>
      <w:marTop w:val="0"/>
      <w:marBottom w:val="0"/>
      <w:divBdr>
        <w:top w:val="none" w:sz="0" w:space="0" w:color="auto"/>
        <w:left w:val="none" w:sz="0" w:space="0" w:color="auto"/>
        <w:bottom w:val="none" w:sz="0" w:space="0" w:color="auto"/>
        <w:right w:val="none" w:sz="0" w:space="0" w:color="auto"/>
      </w:divBdr>
    </w:div>
    <w:div w:id="2011565766">
      <w:bodyDiv w:val="1"/>
      <w:marLeft w:val="0"/>
      <w:marRight w:val="0"/>
      <w:marTop w:val="0"/>
      <w:marBottom w:val="0"/>
      <w:divBdr>
        <w:top w:val="none" w:sz="0" w:space="0" w:color="auto"/>
        <w:left w:val="none" w:sz="0" w:space="0" w:color="auto"/>
        <w:bottom w:val="none" w:sz="0" w:space="0" w:color="auto"/>
        <w:right w:val="none" w:sz="0" w:space="0" w:color="auto"/>
      </w:divBdr>
    </w:div>
    <w:div w:id="212901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forest/doc/forest-factor-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STTA/27/5/ADD2"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5-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forest/doc/forest-factor-en.pdf" TargetMode="External"/><Relationship Id="rId18" Type="http://schemas.openxmlformats.org/officeDocument/2006/relationships/hyperlink" Target="https://openknowledge.fao.org/items/250eccd3-d5e8-464a-81cd-a4dbde50a561" TargetMode="External"/><Relationship Id="rId26" Type="http://schemas.openxmlformats.org/officeDocument/2006/relationships/hyperlink" Target="https://doi.org/10.4060/ca9825en" TargetMode="External"/><Relationship Id="rId39" Type="http://schemas.openxmlformats.org/officeDocument/2006/relationships/hyperlink" Target="https://www.fao.org/collaborative-partnership-on-forests/initiatives/en" TargetMode="External"/><Relationship Id="rId21" Type="http://schemas.openxmlformats.org/officeDocument/2006/relationships/hyperlink" Target="https://doi.org/10.4060/ca9825en" TargetMode="External"/><Relationship Id="rId34" Type="http://schemas.openxmlformats.org/officeDocument/2006/relationships/hyperlink" Target="https://www.un.org/esa/forests/outreach/the-forest-pavilion-at-climate-cop29/index.html" TargetMode="External"/><Relationship Id="rId42" Type="http://schemas.openxmlformats.org/officeDocument/2006/relationships/hyperlink" Target="https://www.fao.org/collaborative-partnership-on-forests/initiatives/strengthening-the-conservation-of-primary-forests-through-enhanced-partnerships-and-coordination-of-support/en" TargetMode="External"/><Relationship Id="rId47" Type="http://schemas.openxmlformats.org/officeDocument/2006/relationships/hyperlink" Target="https://www.fao.org/collaborative-partnership-on-forests/initiatives/communicators'-network/en" TargetMode="External"/><Relationship Id="rId50" Type="http://schemas.openxmlformats.org/officeDocument/2006/relationships/hyperlink" Target="https://www.fao.org/collaborative-partnership-on-forests/initiatives/integrated-fire-management-in-tropical-forests/en" TargetMode="External"/><Relationship Id="rId7" Type="http://schemas.openxmlformats.org/officeDocument/2006/relationships/hyperlink" Target="https://www.cbd.int/doc/decisions/cop-12/cop-12-dec-06-en.pdf" TargetMode="External"/><Relationship Id="rId2" Type="http://schemas.openxmlformats.org/officeDocument/2006/relationships/hyperlink" Target="https://www.un.org/esa/forests/wp-content/uploads/2013/09/2000_35_E.pdf" TargetMode="External"/><Relationship Id="rId16" Type="http://schemas.openxmlformats.org/officeDocument/2006/relationships/hyperlink" Target="https://doi.org/10.4060/cc2886en" TargetMode="External"/><Relationship Id="rId29" Type="http://schemas.openxmlformats.org/officeDocument/2006/relationships/hyperlink" Target="https://www.cbd.int/forest/doc/forest-factor-en.pdf" TargetMode="External"/><Relationship Id="rId11" Type="http://schemas.openxmlformats.org/officeDocument/2006/relationships/hyperlink" Target="https://www.cbd.int/decision/cop/default.shtml?id=11033" TargetMode="External"/><Relationship Id="rId24" Type="http://schemas.openxmlformats.org/officeDocument/2006/relationships/hyperlink" Target="https://doi.org/10.4060/ca9825en" TargetMode="External"/><Relationship Id="rId32" Type="http://schemas.openxmlformats.org/officeDocument/2006/relationships/hyperlink" Target="https://docs.un.org/en/E/CN.18/2025/3" TargetMode="External"/><Relationship Id="rId37" Type="http://schemas.openxmlformats.org/officeDocument/2006/relationships/hyperlink" Target="https://www.un.org/esa/forests/wp-content/uploads/2024/12/Concept-Note_Side-Event-on-Dryland-Forests_UNCCD-COP16.pdf" TargetMode="External"/><Relationship Id="rId40" Type="http://schemas.openxmlformats.org/officeDocument/2006/relationships/hyperlink" Target="https://www.fao.org/collaborative-partnership-on-forests/initiatives/biodiversity-mainstreaming-in-forestry/en" TargetMode="External"/><Relationship Id="rId45" Type="http://schemas.openxmlformats.org/officeDocument/2006/relationships/hyperlink" Target="https://www.fao.org/collaborative-partnership-on-forests/global-forest-expert-panels/en" TargetMode="External"/><Relationship Id="rId53" Type="http://schemas.openxmlformats.org/officeDocument/2006/relationships/hyperlink" Target="https://docs.un.org/en/E/2024/42" TargetMode="External"/><Relationship Id="rId5" Type="http://schemas.openxmlformats.org/officeDocument/2006/relationships/hyperlink" Target="https://www.cbd.int/decision/cop/default.shtml?id=7196" TargetMode="External"/><Relationship Id="rId10" Type="http://schemas.openxmlformats.org/officeDocument/2006/relationships/hyperlink" Target="https://www.cbd.int/decision/cop/default.shtml?id=11659" TargetMode="External"/><Relationship Id="rId19" Type="http://schemas.openxmlformats.org/officeDocument/2006/relationships/hyperlink" Target="https://doi.org/10.4060/cb9360en" TargetMode="External"/><Relationship Id="rId31" Type="http://schemas.openxmlformats.org/officeDocument/2006/relationships/hyperlink" Target="https://openknowledge.fao.org/server/api/core/bitstreams/170a3a50-7118-4f32-aae4-06dd7a74a731/content" TargetMode="External"/><Relationship Id="rId44" Type="http://schemas.openxmlformats.org/officeDocument/2006/relationships/hyperlink" Target="https://www.fao.org/collaborative-partnership-on-forests/initiatives/forest-education/en" TargetMode="External"/><Relationship Id="rId52" Type="http://schemas.openxmlformats.org/officeDocument/2006/relationships/hyperlink" Target="https://openknowledge.fao.org/server/api/core/bitstreams/170a3a50-7118-4f32-aae4-06dd7a74a731/content" TargetMode="External"/><Relationship Id="rId4" Type="http://schemas.openxmlformats.org/officeDocument/2006/relationships/hyperlink" Target="https://documents.un.org/doc/undoc/gen/n17/184/62/pdf/n1718462.pdf" TargetMode="External"/><Relationship Id="rId9" Type="http://schemas.openxmlformats.org/officeDocument/2006/relationships/hyperlink" Target="https://www.cbd.int/decision/cop?id=12302" TargetMode="External"/><Relationship Id="rId14" Type="http://schemas.openxmlformats.org/officeDocument/2006/relationships/hyperlink" Target="https://openknowledge.fao.org/server/api/core/bitstreams/35c6a002-98c7-497e-9248-c238118e1cae/content" TargetMode="External"/><Relationship Id="rId22" Type="http://schemas.openxmlformats.org/officeDocument/2006/relationships/hyperlink" Target="https://doi.org/10.1016/j.foreco.2015.06.010" TargetMode="External"/><Relationship Id="rId27" Type="http://schemas.openxmlformats.org/officeDocument/2006/relationships/hyperlink" Target="https://www.un.org/esa/forests/wp-content/uploads/2013/09/E-2007-42-UNFF7Report.pdf" TargetMode="External"/><Relationship Id="rId30" Type="http://schemas.openxmlformats.org/officeDocument/2006/relationships/hyperlink" Target="https://www.cbd.int/forest/doc/forest-factor-en.pdf" TargetMode="External"/><Relationship Id="rId35" Type="http://schemas.openxmlformats.org/officeDocument/2006/relationships/hyperlink" Target="https://www.un.org/esa/forests/wp-content/uploads/2024/12/Communique_Forest-Pavilion_UNFCCC-COP29.pdf" TargetMode="External"/><Relationship Id="rId43" Type="http://schemas.openxmlformats.org/officeDocument/2006/relationships/hyperlink" Target="https://www.fao.org/collaborative-partnership-on-forests/initiatives/forest-finance-facilitation/en" TargetMode="External"/><Relationship Id="rId48" Type="http://schemas.openxmlformats.org/officeDocument/2006/relationships/hyperlink" Target="https://www.fao.org/collaborative-partnership-on-forests/initiatives/sustainable-wood-for-a-sustainable-world/en" TargetMode="External"/><Relationship Id="rId8" Type="http://schemas.openxmlformats.org/officeDocument/2006/relationships/hyperlink" Target="https://www.cbd.int/decision/cop/default.shtml?id=11648" TargetMode="External"/><Relationship Id="rId51" Type="http://schemas.openxmlformats.org/officeDocument/2006/relationships/hyperlink" Target="https://www.fao.org/collaborative-partnership-on-forests/initiatives/forests-for-food-security-and-nutrition/en" TargetMode="External"/><Relationship Id="rId3" Type="http://schemas.openxmlformats.org/officeDocument/2006/relationships/hyperlink" Target="https://docs.un.org/en/E/RES/2015/33" TargetMode="External"/><Relationship Id="rId12" Type="http://schemas.openxmlformats.org/officeDocument/2006/relationships/hyperlink" Target="https://www.cbd.int/doc/decisions/cop-16/cop-16-dec-35-en.pdf" TargetMode="External"/><Relationship Id="rId17" Type="http://schemas.openxmlformats.org/officeDocument/2006/relationships/hyperlink" Target="https://doi.org/10.4060/cb9360en" TargetMode="External"/><Relationship Id="rId25" Type="http://schemas.openxmlformats.org/officeDocument/2006/relationships/hyperlink" Target="https://www.cbd.int/forest/doc/forest-factor-en.pdf" TargetMode="External"/><Relationship Id="rId33" Type="http://schemas.openxmlformats.org/officeDocument/2006/relationships/hyperlink" Target="https://www.cbd.int/conferences/2024/parallel-meetings/kmgbf-pavilion" TargetMode="External"/><Relationship Id="rId38" Type="http://schemas.openxmlformats.org/officeDocument/2006/relationships/hyperlink" Target="https://openknowledge.fao.org/items/c0b7b79a-4b1e-426e-b54b-93b2338a1375" TargetMode="External"/><Relationship Id="rId46" Type="http://schemas.openxmlformats.org/officeDocument/2006/relationships/hyperlink" Target="https://www.fao.org/collaborative-partnership-on-forests/initiatives/wangari-maathai-forest-champions-award/en" TargetMode="External"/><Relationship Id="rId20" Type="http://schemas.openxmlformats.org/officeDocument/2006/relationships/hyperlink" Target="https://doi.org/10.4060/ca9825en" TargetMode="External"/><Relationship Id="rId41" Type="http://schemas.openxmlformats.org/officeDocument/2006/relationships/hyperlink" Target="https://www.un.org/esa/forests/wp-content/uploads/2024/10/Towards-a-coherent-forest-agenda_final.pdf" TargetMode="External"/><Relationship Id="rId54" Type="http://schemas.openxmlformats.org/officeDocument/2006/relationships/hyperlink" Target="https://forest-finance.un.org/" TargetMode="External"/><Relationship Id="rId1" Type="http://schemas.openxmlformats.org/officeDocument/2006/relationships/hyperlink" Target="http://www.fao.org/collaborative-partnership-on-forests" TargetMode="External"/><Relationship Id="rId6" Type="http://schemas.openxmlformats.org/officeDocument/2006/relationships/hyperlink" Target="https://www.cbd.int/doc/decisions/cop-13/cop-13-dec-07-en.pdf" TargetMode="External"/><Relationship Id="rId15" Type="http://schemas.openxmlformats.org/officeDocument/2006/relationships/hyperlink" Target="https://doi.org/10.1016/j.gloenvcha.2017.01.002" TargetMode="External"/><Relationship Id="rId23" Type="http://schemas.openxmlformats.org/officeDocument/2006/relationships/hyperlink" Target="https://doi.org/10.4060/cc2229en" TargetMode="External"/><Relationship Id="rId28" Type="http://schemas.openxmlformats.org/officeDocument/2006/relationships/hyperlink" Target="https://doi.org/10.4060/ca9825en" TargetMode="External"/><Relationship Id="rId36" Type="http://schemas.openxmlformats.org/officeDocument/2006/relationships/hyperlink" Target="https://www.fao.org/collaborative-partnership-on-forests/events/scaling-up-agroecology-for-restoration-and-conservation-in-mosaic-landscapes/en" TargetMode="External"/><Relationship Id="rId49" Type="http://schemas.openxmlformats.org/officeDocument/2006/relationships/hyperlink" Target="https://www.fao.org/collaborative-partnership-on-forests/initiatives/turning-the-tide-on-deforestation/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398343D0864F78AAC9EA77E434EF4F"/>
        <w:category>
          <w:name w:val="General"/>
          <w:gallery w:val="placeholder"/>
        </w:category>
        <w:types>
          <w:type w:val="bbPlcHdr"/>
        </w:types>
        <w:behaviors>
          <w:behavior w:val="content"/>
        </w:behaviors>
        <w:guid w:val="{80C14922-A732-4E10-AFE2-B91D17797CB5}"/>
      </w:docPartPr>
      <w:docPartBody>
        <w:p w:rsidR="00F84FEA" w:rsidRDefault="006E2BB2" w:rsidP="006E2BB2">
          <w:pPr>
            <w:pStyle w:val="98398343D0864F78AAC9EA77E434EF4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B2"/>
    <w:rsid w:val="000018D8"/>
    <w:rsid w:val="000402DA"/>
    <w:rsid w:val="00042B0C"/>
    <w:rsid w:val="0015509A"/>
    <w:rsid w:val="00192F39"/>
    <w:rsid w:val="001F6144"/>
    <w:rsid w:val="00212462"/>
    <w:rsid w:val="002824D3"/>
    <w:rsid w:val="003C2361"/>
    <w:rsid w:val="003C5255"/>
    <w:rsid w:val="003D230D"/>
    <w:rsid w:val="003E5A0C"/>
    <w:rsid w:val="00445562"/>
    <w:rsid w:val="00454764"/>
    <w:rsid w:val="004F5D18"/>
    <w:rsid w:val="005317C2"/>
    <w:rsid w:val="0054611C"/>
    <w:rsid w:val="005E62D4"/>
    <w:rsid w:val="0062107C"/>
    <w:rsid w:val="00634D94"/>
    <w:rsid w:val="006E2BB2"/>
    <w:rsid w:val="006F3A57"/>
    <w:rsid w:val="00701776"/>
    <w:rsid w:val="00732A5C"/>
    <w:rsid w:val="007669E8"/>
    <w:rsid w:val="00790ABB"/>
    <w:rsid w:val="00807FE1"/>
    <w:rsid w:val="008A5C3C"/>
    <w:rsid w:val="008E3F5B"/>
    <w:rsid w:val="008E7851"/>
    <w:rsid w:val="00944575"/>
    <w:rsid w:val="00952322"/>
    <w:rsid w:val="00961B42"/>
    <w:rsid w:val="00962428"/>
    <w:rsid w:val="009710ED"/>
    <w:rsid w:val="00997296"/>
    <w:rsid w:val="009A2D73"/>
    <w:rsid w:val="009D5748"/>
    <w:rsid w:val="00A35EBA"/>
    <w:rsid w:val="00A652E4"/>
    <w:rsid w:val="00AC2FE7"/>
    <w:rsid w:val="00AD4FF2"/>
    <w:rsid w:val="00AF494F"/>
    <w:rsid w:val="00B55D93"/>
    <w:rsid w:val="00BC5E31"/>
    <w:rsid w:val="00BD7194"/>
    <w:rsid w:val="00C0212E"/>
    <w:rsid w:val="00C31EB9"/>
    <w:rsid w:val="00C35E37"/>
    <w:rsid w:val="00CB203E"/>
    <w:rsid w:val="00CC6E75"/>
    <w:rsid w:val="00CD3AF5"/>
    <w:rsid w:val="00D14505"/>
    <w:rsid w:val="00DF26AA"/>
    <w:rsid w:val="00E55FC1"/>
    <w:rsid w:val="00E71229"/>
    <w:rsid w:val="00E933C9"/>
    <w:rsid w:val="00F371BF"/>
    <w:rsid w:val="00F54C5A"/>
    <w:rsid w:val="00F84FEA"/>
    <w:rsid w:val="00FA5C74"/>
    <w:rsid w:val="00FC34D5"/>
    <w:rsid w:val="00FE1B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748"/>
    <w:rPr>
      <w:color w:val="666666"/>
      <w:lang w:val="en-GB"/>
    </w:rPr>
  </w:style>
  <w:style w:type="paragraph" w:customStyle="1" w:styleId="98398343D0864F78AAC9EA77E434EF4F">
    <w:name w:val="98398343D0864F78AAC9EA77E434EF4F"/>
    <w:rsid w:val="006E2B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E7B6F-9A68-4E00-97BF-01529A65015A}">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0895D8F6-62DA-4145-8223-9E5353A2DA41}">
  <ds:schemaRefs>
    <ds:schemaRef ds:uri="http://schemas.microsoft.com/sharepoint/v3/contenttype/forms"/>
  </ds:schemaRefs>
</ds:datastoreItem>
</file>

<file path=customXml/itemProps3.xml><?xml version="1.0" encoding="utf-8"?>
<ds:datastoreItem xmlns:ds="http://schemas.openxmlformats.org/officeDocument/2006/customXml" ds:itemID="{FC0E75B5-A2B5-4CC1-A765-FEA400BAF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7F4527-0985-40E2-8B30-17DAD45C5AC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5528</Words>
  <Characters>31512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Conserving, restoring and sustainably managing forests for the Kunming-Montreal Global Biodiversity Framework - Contributions of the Collaborative Partnership on Forests**</vt:lpstr>
    </vt:vector>
  </TitlesOfParts>
  <Company/>
  <LinksUpToDate>false</LinksUpToDate>
  <CharactersWithSpaces>36967</CharactersWithSpaces>
  <SharedDoc>false</SharedDoc>
  <HLinks>
    <vt:vector size="342" baseType="variant">
      <vt:variant>
        <vt:i4>4063349</vt:i4>
      </vt:variant>
      <vt:variant>
        <vt:i4>3</vt:i4>
      </vt:variant>
      <vt:variant>
        <vt:i4>0</vt:i4>
      </vt:variant>
      <vt:variant>
        <vt:i4>5</vt:i4>
      </vt:variant>
      <vt:variant>
        <vt:lpwstr>https://www.cbd.int/forest/doc/forest-factor-en.pdf</vt:lpwstr>
      </vt:variant>
      <vt:variant>
        <vt:lpwstr/>
      </vt:variant>
      <vt:variant>
        <vt:i4>524363</vt:i4>
      </vt:variant>
      <vt:variant>
        <vt:i4>0</vt:i4>
      </vt:variant>
      <vt:variant>
        <vt:i4>0</vt:i4>
      </vt:variant>
      <vt:variant>
        <vt:i4>5</vt:i4>
      </vt:variant>
      <vt:variant>
        <vt:lpwstr>https://www.cbd.int/doc/decisions/cop-16/cop-16-dec-35-en.pdf</vt:lpwstr>
      </vt:variant>
      <vt:variant>
        <vt:lpwstr/>
      </vt:variant>
      <vt:variant>
        <vt:i4>6946857</vt:i4>
      </vt:variant>
      <vt:variant>
        <vt:i4>159</vt:i4>
      </vt:variant>
      <vt:variant>
        <vt:i4>0</vt:i4>
      </vt:variant>
      <vt:variant>
        <vt:i4>5</vt:i4>
      </vt:variant>
      <vt:variant>
        <vt:lpwstr>https://forest-finance.un.org/</vt:lpwstr>
      </vt:variant>
      <vt:variant>
        <vt:lpwstr/>
      </vt:variant>
      <vt:variant>
        <vt:i4>1900634</vt:i4>
      </vt:variant>
      <vt:variant>
        <vt:i4>156</vt:i4>
      </vt:variant>
      <vt:variant>
        <vt:i4>0</vt:i4>
      </vt:variant>
      <vt:variant>
        <vt:i4>5</vt:i4>
      </vt:variant>
      <vt:variant>
        <vt:lpwstr>https://docs.un.org/en/E/2024/42</vt:lpwstr>
      </vt:variant>
      <vt:variant>
        <vt:lpwstr/>
      </vt:variant>
      <vt:variant>
        <vt:i4>327745</vt:i4>
      </vt:variant>
      <vt:variant>
        <vt:i4>153</vt:i4>
      </vt:variant>
      <vt:variant>
        <vt:i4>0</vt:i4>
      </vt:variant>
      <vt:variant>
        <vt:i4>5</vt:i4>
      </vt:variant>
      <vt:variant>
        <vt:lpwstr>https://openknowledge.fao.org/server/api/core/bitstreams/170a3a50-7118-4f32-aae4-06dd7a74a731/content</vt:lpwstr>
      </vt:variant>
      <vt:variant>
        <vt:lpwstr/>
      </vt:variant>
      <vt:variant>
        <vt:i4>7536689</vt:i4>
      </vt:variant>
      <vt:variant>
        <vt:i4>150</vt:i4>
      </vt:variant>
      <vt:variant>
        <vt:i4>0</vt:i4>
      </vt:variant>
      <vt:variant>
        <vt:i4>5</vt:i4>
      </vt:variant>
      <vt:variant>
        <vt:lpwstr>https://www.fao.org/collaborative-partnership-on-forests/initiatives/forests-for-food-security-and-nutrition/en</vt:lpwstr>
      </vt:variant>
      <vt:variant>
        <vt:lpwstr/>
      </vt:variant>
      <vt:variant>
        <vt:i4>3735676</vt:i4>
      </vt:variant>
      <vt:variant>
        <vt:i4>147</vt:i4>
      </vt:variant>
      <vt:variant>
        <vt:i4>0</vt:i4>
      </vt:variant>
      <vt:variant>
        <vt:i4>5</vt:i4>
      </vt:variant>
      <vt:variant>
        <vt:lpwstr>https://www.fao.org/collaborative-partnership-on-forests/initiatives/integrated-fire-management-in-tropical-forests/en</vt:lpwstr>
      </vt:variant>
      <vt:variant>
        <vt:lpwstr/>
      </vt:variant>
      <vt:variant>
        <vt:i4>589852</vt:i4>
      </vt:variant>
      <vt:variant>
        <vt:i4>144</vt:i4>
      </vt:variant>
      <vt:variant>
        <vt:i4>0</vt:i4>
      </vt:variant>
      <vt:variant>
        <vt:i4>5</vt:i4>
      </vt:variant>
      <vt:variant>
        <vt:lpwstr>https://www.fao.org/collaborative-partnership-on-forests/initiatives/turning-the-tide-on-deforestation/en</vt:lpwstr>
      </vt:variant>
      <vt:variant>
        <vt:lpwstr/>
      </vt:variant>
      <vt:variant>
        <vt:i4>1769562</vt:i4>
      </vt:variant>
      <vt:variant>
        <vt:i4>141</vt:i4>
      </vt:variant>
      <vt:variant>
        <vt:i4>0</vt:i4>
      </vt:variant>
      <vt:variant>
        <vt:i4>5</vt:i4>
      </vt:variant>
      <vt:variant>
        <vt:lpwstr>https://www.fao.org/collaborative-partnership-on-forests/initiatives/sustainable-wood-for-a-sustainable-world/en</vt:lpwstr>
      </vt:variant>
      <vt:variant>
        <vt:lpwstr/>
      </vt:variant>
      <vt:variant>
        <vt:i4>2097205</vt:i4>
      </vt:variant>
      <vt:variant>
        <vt:i4>138</vt:i4>
      </vt:variant>
      <vt:variant>
        <vt:i4>0</vt:i4>
      </vt:variant>
      <vt:variant>
        <vt:i4>5</vt:i4>
      </vt:variant>
      <vt:variant>
        <vt:lpwstr>https://www.fao.org/collaborative-partnership-on-forests/initiatives/communicators'-network/en</vt:lpwstr>
      </vt:variant>
      <vt:variant>
        <vt:lpwstr/>
      </vt:variant>
      <vt:variant>
        <vt:i4>8257649</vt:i4>
      </vt:variant>
      <vt:variant>
        <vt:i4>135</vt:i4>
      </vt:variant>
      <vt:variant>
        <vt:i4>0</vt:i4>
      </vt:variant>
      <vt:variant>
        <vt:i4>5</vt:i4>
      </vt:variant>
      <vt:variant>
        <vt:lpwstr>https://www.fao.org/collaborative-partnership-on-forests/initiatives/wangari-maathai-forest-champions-award/en</vt:lpwstr>
      </vt:variant>
      <vt:variant>
        <vt:lpwstr/>
      </vt:variant>
      <vt:variant>
        <vt:i4>3735588</vt:i4>
      </vt:variant>
      <vt:variant>
        <vt:i4>132</vt:i4>
      </vt:variant>
      <vt:variant>
        <vt:i4>0</vt:i4>
      </vt:variant>
      <vt:variant>
        <vt:i4>5</vt:i4>
      </vt:variant>
      <vt:variant>
        <vt:lpwstr>https://www.fao.org/collaborative-partnership-on-forests/global-forest-expert-panels/en</vt:lpwstr>
      </vt:variant>
      <vt:variant>
        <vt:lpwstr/>
      </vt:variant>
      <vt:variant>
        <vt:i4>5505037</vt:i4>
      </vt:variant>
      <vt:variant>
        <vt:i4>129</vt:i4>
      </vt:variant>
      <vt:variant>
        <vt:i4>0</vt:i4>
      </vt:variant>
      <vt:variant>
        <vt:i4>5</vt:i4>
      </vt:variant>
      <vt:variant>
        <vt:lpwstr>https://www.fao.org/collaborative-partnership-on-forests/initiatives/forest-education/en</vt:lpwstr>
      </vt:variant>
      <vt:variant>
        <vt:lpwstr/>
      </vt:variant>
      <vt:variant>
        <vt:i4>2949172</vt:i4>
      </vt:variant>
      <vt:variant>
        <vt:i4>126</vt:i4>
      </vt:variant>
      <vt:variant>
        <vt:i4>0</vt:i4>
      </vt:variant>
      <vt:variant>
        <vt:i4>5</vt:i4>
      </vt:variant>
      <vt:variant>
        <vt:lpwstr>https://www.fao.org/collaborative-partnership-on-forests/initiatives/forest-finance-facilitation/en</vt:lpwstr>
      </vt:variant>
      <vt:variant>
        <vt:lpwstr/>
      </vt:variant>
      <vt:variant>
        <vt:i4>8257642</vt:i4>
      </vt:variant>
      <vt:variant>
        <vt:i4>123</vt:i4>
      </vt:variant>
      <vt:variant>
        <vt:i4>0</vt:i4>
      </vt:variant>
      <vt:variant>
        <vt:i4>5</vt:i4>
      </vt:variant>
      <vt:variant>
        <vt:lpwstr>https://www.fao.org/collaborative-partnership-on-forests/initiatives/strengthening-the-conservation-of-primary-forests-through-enhanced-partnerships-and-coordination-of-support/en</vt:lpwstr>
      </vt:variant>
      <vt:variant>
        <vt:lpwstr/>
      </vt:variant>
      <vt:variant>
        <vt:i4>5308521</vt:i4>
      </vt:variant>
      <vt:variant>
        <vt:i4>120</vt:i4>
      </vt:variant>
      <vt:variant>
        <vt:i4>0</vt:i4>
      </vt:variant>
      <vt:variant>
        <vt:i4>5</vt:i4>
      </vt:variant>
      <vt:variant>
        <vt:lpwstr>https://www.un.org/esa/forests/wp-content/uploads/2024/10/Towards-a-coherent-forest-agenda_final.pdf</vt:lpwstr>
      </vt:variant>
      <vt:variant>
        <vt:lpwstr/>
      </vt:variant>
      <vt:variant>
        <vt:i4>6422581</vt:i4>
      </vt:variant>
      <vt:variant>
        <vt:i4>117</vt:i4>
      </vt:variant>
      <vt:variant>
        <vt:i4>0</vt:i4>
      </vt:variant>
      <vt:variant>
        <vt:i4>5</vt:i4>
      </vt:variant>
      <vt:variant>
        <vt:lpwstr>https://www.fao.org/collaborative-partnership-on-forests/initiatives/biodiversity-mainstreaming-in-forestry/en</vt:lpwstr>
      </vt:variant>
      <vt:variant>
        <vt:lpwstr/>
      </vt:variant>
      <vt:variant>
        <vt:i4>2490464</vt:i4>
      </vt:variant>
      <vt:variant>
        <vt:i4>114</vt:i4>
      </vt:variant>
      <vt:variant>
        <vt:i4>0</vt:i4>
      </vt:variant>
      <vt:variant>
        <vt:i4>5</vt:i4>
      </vt:variant>
      <vt:variant>
        <vt:lpwstr>https://www.fao.org/collaborative-partnership-on-forests/initiatives/en</vt:lpwstr>
      </vt:variant>
      <vt:variant>
        <vt:lpwstr/>
      </vt:variant>
      <vt:variant>
        <vt:i4>1966083</vt:i4>
      </vt:variant>
      <vt:variant>
        <vt:i4>111</vt:i4>
      </vt:variant>
      <vt:variant>
        <vt:i4>0</vt:i4>
      </vt:variant>
      <vt:variant>
        <vt:i4>5</vt:i4>
      </vt:variant>
      <vt:variant>
        <vt:lpwstr>https://openknowledge.fao.org/items/c0b7b79a-4b1e-426e-b54b-93b2338a1375</vt:lpwstr>
      </vt:variant>
      <vt:variant>
        <vt:lpwstr/>
      </vt:variant>
      <vt:variant>
        <vt:i4>458778</vt:i4>
      </vt:variant>
      <vt:variant>
        <vt:i4>108</vt:i4>
      </vt:variant>
      <vt:variant>
        <vt:i4>0</vt:i4>
      </vt:variant>
      <vt:variant>
        <vt:i4>5</vt:i4>
      </vt:variant>
      <vt:variant>
        <vt:lpwstr>https://www.un.org/esa/forests/wp-content/uploads/2024/12/Concept-Note_Side-Event-on-Dryland-Forests_UNCCD-COP16.pdf</vt:lpwstr>
      </vt:variant>
      <vt:variant>
        <vt:lpwstr/>
      </vt:variant>
      <vt:variant>
        <vt:i4>3539061</vt:i4>
      </vt:variant>
      <vt:variant>
        <vt:i4>105</vt:i4>
      </vt:variant>
      <vt:variant>
        <vt:i4>0</vt:i4>
      </vt:variant>
      <vt:variant>
        <vt:i4>5</vt:i4>
      </vt:variant>
      <vt:variant>
        <vt:lpwstr>https://www.fao.org/collaborative-partnership-on-forests/events/scaling-up-agroecology-for-restoration-and-conservation-in-mosaic-landscapes/en</vt:lpwstr>
      </vt:variant>
      <vt:variant>
        <vt:lpwstr/>
      </vt:variant>
      <vt:variant>
        <vt:i4>458777</vt:i4>
      </vt:variant>
      <vt:variant>
        <vt:i4>102</vt:i4>
      </vt:variant>
      <vt:variant>
        <vt:i4>0</vt:i4>
      </vt:variant>
      <vt:variant>
        <vt:i4>5</vt:i4>
      </vt:variant>
      <vt:variant>
        <vt:lpwstr>https://www.un.org/esa/forests/wp-content/uploads/2024/12/Communique_Forest-Pavilion_UNFCCC-COP29.pdf</vt:lpwstr>
      </vt:variant>
      <vt:variant>
        <vt:lpwstr/>
      </vt:variant>
      <vt:variant>
        <vt:i4>4128806</vt:i4>
      </vt:variant>
      <vt:variant>
        <vt:i4>99</vt:i4>
      </vt:variant>
      <vt:variant>
        <vt:i4>0</vt:i4>
      </vt:variant>
      <vt:variant>
        <vt:i4>5</vt:i4>
      </vt:variant>
      <vt:variant>
        <vt:lpwstr>https://www.un.org/esa/forests/outreach/the-forest-pavilion-at-climate-cop29/index.html</vt:lpwstr>
      </vt:variant>
      <vt:variant>
        <vt:lpwstr/>
      </vt:variant>
      <vt:variant>
        <vt:i4>5963778</vt:i4>
      </vt:variant>
      <vt:variant>
        <vt:i4>96</vt:i4>
      </vt:variant>
      <vt:variant>
        <vt:i4>0</vt:i4>
      </vt:variant>
      <vt:variant>
        <vt:i4>5</vt:i4>
      </vt:variant>
      <vt:variant>
        <vt:lpwstr>https://www.cbd.int/conferences/2024/parallel-meetings/kmgbf-pavilion</vt:lpwstr>
      </vt:variant>
      <vt:variant>
        <vt:lpwstr/>
      </vt:variant>
      <vt:variant>
        <vt:i4>5898271</vt:i4>
      </vt:variant>
      <vt:variant>
        <vt:i4>93</vt:i4>
      </vt:variant>
      <vt:variant>
        <vt:i4>0</vt:i4>
      </vt:variant>
      <vt:variant>
        <vt:i4>5</vt:i4>
      </vt:variant>
      <vt:variant>
        <vt:lpwstr>https://docs.un.org/en/E/CN.18/2025/3</vt:lpwstr>
      </vt:variant>
      <vt:variant>
        <vt:lpwstr/>
      </vt:variant>
      <vt:variant>
        <vt:i4>327745</vt:i4>
      </vt:variant>
      <vt:variant>
        <vt:i4>90</vt:i4>
      </vt:variant>
      <vt:variant>
        <vt:i4>0</vt:i4>
      </vt:variant>
      <vt:variant>
        <vt:i4>5</vt:i4>
      </vt:variant>
      <vt:variant>
        <vt:lpwstr>https://openknowledge.fao.org/server/api/core/bitstreams/170a3a50-7118-4f32-aae4-06dd7a74a731/content</vt:lpwstr>
      </vt:variant>
      <vt:variant>
        <vt:lpwstr/>
      </vt:variant>
      <vt:variant>
        <vt:i4>4063349</vt:i4>
      </vt:variant>
      <vt:variant>
        <vt:i4>87</vt:i4>
      </vt:variant>
      <vt:variant>
        <vt:i4>0</vt:i4>
      </vt:variant>
      <vt:variant>
        <vt:i4>5</vt:i4>
      </vt:variant>
      <vt:variant>
        <vt:lpwstr>https://www.cbd.int/forest/doc/forest-factor-en.pdf</vt:lpwstr>
      </vt:variant>
      <vt:variant>
        <vt:lpwstr/>
      </vt:variant>
      <vt:variant>
        <vt:i4>4063349</vt:i4>
      </vt:variant>
      <vt:variant>
        <vt:i4>84</vt:i4>
      </vt:variant>
      <vt:variant>
        <vt:i4>0</vt:i4>
      </vt:variant>
      <vt:variant>
        <vt:i4>5</vt:i4>
      </vt:variant>
      <vt:variant>
        <vt:lpwstr>https://www.cbd.int/forest/doc/forest-factor-en.pdf</vt:lpwstr>
      </vt:variant>
      <vt:variant>
        <vt:lpwstr/>
      </vt:variant>
      <vt:variant>
        <vt:i4>1179735</vt:i4>
      </vt:variant>
      <vt:variant>
        <vt:i4>81</vt:i4>
      </vt:variant>
      <vt:variant>
        <vt:i4>0</vt:i4>
      </vt:variant>
      <vt:variant>
        <vt:i4>5</vt:i4>
      </vt:variant>
      <vt:variant>
        <vt:lpwstr>https://doi.org/10.4060/ca9825en</vt:lpwstr>
      </vt:variant>
      <vt:variant>
        <vt:lpwstr/>
      </vt:variant>
      <vt:variant>
        <vt:i4>7798891</vt:i4>
      </vt:variant>
      <vt:variant>
        <vt:i4>78</vt:i4>
      </vt:variant>
      <vt:variant>
        <vt:i4>0</vt:i4>
      </vt:variant>
      <vt:variant>
        <vt:i4>5</vt:i4>
      </vt:variant>
      <vt:variant>
        <vt:lpwstr>https://www.un.org/esa/forests/wp-content/uploads/2013/09/E-2007-42-UNFF7Report.pdf</vt:lpwstr>
      </vt:variant>
      <vt:variant>
        <vt:lpwstr/>
      </vt:variant>
      <vt:variant>
        <vt:i4>1179735</vt:i4>
      </vt:variant>
      <vt:variant>
        <vt:i4>75</vt:i4>
      </vt:variant>
      <vt:variant>
        <vt:i4>0</vt:i4>
      </vt:variant>
      <vt:variant>
        <vt:i4>5</vt:i4>
      </vt:variant>
      <vt:variant>
        <vt:lpwstr>https://doi.org/10.4060/ca9825en</vt:lpwstr>
      </vt:variant>
      <vt:variant>
        <vt:lpwstr/>
      </vt:variant>
      <vt:variant>
        <vt:i4>4063349</vt:i4>
      </vt:variant>
      <vt:variant>
        <vt:i4>72</vt:i4>
      </vt:variant>
      <vt:variant>
        <vt:i4>0</vt:i4>
      </vt:variant>
      <vt:variant>
        <vt:i4>5</vt:i4>
      </vt:variant>
      <vt:variant>
        <vt:lpwstr>https://www.cbd.int/forest/doc/forest-factor-en.pdf</vt:lpwstr>
      </vt:variant>
      <vt:variant>
        <vt:lpwstr/>
      </vt:variant>
      <vt:variant>
        <vt:i4>1179735</vt:i4>
      </vt:variant>
      <vt:variant>
        <vt:i4>69</vt:i4>
      </vt:variant>
      <vt:variant>
        <vt:i4>0</vt:i4>
      </vt:variant>
      <vt:variant>
        <vt:i4>5</vt:i4>
      </vt:variant>
      <vt:variant>
        <vt:lpwstr>https://doi.org/10.4060/ca9825en</vt:lpwstr>
      </vt:variant>
      <vt:variant>
        <vt:lpwstr/>
      </vt:variant>
      <vt:variant>
        <vt:i4>1441884</vt:i4>
      </vt:variant>
      <vt:variant>
        <vt:i4>66</vt:i4>
      </vt:variant>
      <vt:variant>
        <vt:i4>0</vt:i4>
      </vt:variant>
      <vt:variant>
        <vt:i4>5</vt:i4>
      </vt:variant>
      <vt:variant>
        <vt:lpwstr>https://doi.org/10.4060/cc2229en</vt:lpwstr>
      </vt:variant>
      <vt:variant>
        <vt:lpwstr/>
      </vt:variant>
      <vt:variant>
        <vt:i4>4325445</vt:i4>
      </vt:variant>
      <vt:variant>
        <vt:i4>63</vt:i4>
      </vt:variant>
      <vt:variant>
        <vt:i4>0</vt:i4>
      </vt:variant>
      <vt:variant>
        <vt:i4>5</vt:i4>
      </vt:variant>
      <vt:variant>
        <vt:lpwstr>https://doi.org/10.1016/j.foreco.2015.06.010</vt:lpwstr>
      </vt:variant>
      <vt:variant>
        <vt:lpwstr/>
      </vt:variant>
      <vt:variant>
        <vt:i4>1179735</vt:i4>
      </vt:variant>
      <vt:variant>
        <vt:i4>60</vt:i4>
      </vt:variant>
      <vt:variant>
        <vt:i4>0</vt:i4>
      </vt:variant>
      <vt:variant>
        <vt:i4>5</vt:i4>
      </vt:variant>
      <vt:variant>
        <vt:lpwstr>https://doi.org/10.4060/ca9825en</vt:lpwstr>
      </vt:variant>
      <vt:variant>
        <vt:lpwstr/>
      </vt:variant>
      <vt:variant>
        <vt:i4>1179735</vt:i4>
      </vt:variant>
      <vt:variant>
        <vt:i4>57</vt:i4>
      </vt:variant>
      <vt:variant>
        <vt:i4>0</vt:i4>
      </vt:variant>
      <vt:variant>
        <vt:i4>5</vt:i4>
      </vt:variant>
      <vt:variant>
        <vt:lpwstr>https://doi.org/10.4060/ca9825en</vt:lpwstr>
      </vt:variant>
      <vt:variant>
        <vt:lpwstr/>
      </vt:variant>
      <vt:variant>
        <vt:i4>2031699</vt:i4>
      </vt:variant>
      <vt:variant>
        <vt:i4>54</vt:i4>
      </vt:variant>
      <vt:variant>
        <vt:i4>0</vt:i4>
      </vt:variant>
      <vt:variant>
        <vt:i4>5</vt:i4>
      </vt:variant>
      <vt:variant>
        <vt:lpwstr>https://doi.org/10.4060/cb9360en</vt:lpwstr>
      </vt:variant>
      <vt:variant>
        <vt:lpwstr/>
      </vt:variant>
      <vt:variant>
        <vt:i4>1310723</vt:i4>
      </vt:variant>
      <vt:variant>
        <vt:i4>51</vt:i4>
      </vt:variant>
      <vt:variant>
        <vt:i4>0</vt:i4>
      </vt:variant>
      <vt:variant>
        <vt:i4>5</vt:i4>
      </vt:variant>
      <vt:variant>
        <vt:lpwstr>https://openknowledge.fao.org/items/250eccd3-d5e8-464a-81cd-a4dbde50a561</vt:lpwstr>
      </vt:variant>
      <vt:variant>
        <vt:lpwstr/>
      </vt:variant>
      <vt:variant>
        <vt:i4>2031699</vt:i4>
      </vt:variant>
      <vt:variant>
        <vt:i4>48</vt:i4>
      </vt:variant>
      <vt:variant>
        <vt:i4>0</vt:i4>
      </vt:variant>
      <vt:variant>
        <vt:i4>5</vt:i4>
      </vt:variant>
      <vt:variant>
        <vt:lpwstr>https://doi.org/10.4060/cb9360en</vt:lpwstr>
      </vt:variant>
      <vt:variant>
        <vt:lpwstr/>
      </vt:variant>
      <vt:variant>
        <vt:i4>1245270</vt:i4>
      </vt:variant>
      <vt:variant>
        <vt:i4>45</vt:i4>
      </vt:variant>
      <vt:variant>
        <vt:i4>0</vt:i4>
      </vt:variant>
      <vt:variant>
        <vt:i4>5</vt:i4>
      </vt:variant>
      <vt:variant>
        <vt:lpwstr>https://doi.org/10.4060/cc2886en</vt:lpwstr>
      </vt:variant>
      <vt:variant>
        <vt:lpwstr/>
      </vt:variant>
      <vt:variant>
        <vt:i4>2883710</vt:i4>
      </vt:variant>
      <vt:variant>
        <vt:i4>42</vt:i4>
      </vt:variant>
      <vt:variant>
        <vt:i4>0</vt:i4>
      </vt:variant>
      <vt:variant>
        <vt:i4>5</vt:i4>
      </vt:variant>
      <vt:variant>
        <vt:lpwstr>https://doi.org/10.1016/j.gloenvcha.2017.01.002</vt:lpwstr>
      </vt:variant>
      <vt:variant>
        <vt:lpwstr/>
      </vt:variant>
      <vt:variant>
        <vt:i4>5308483</vt:i4>
      </vt:variant>
      <vt:variant>
        <vt:i4>39</vt:i4>
      </vt:variant>
      <vt:variant>
        <vt:i4>0</vt:i4>
      </vt:variant>
      <vt:variant>
        <vt:i4>5</vt:i4>
      </vt:variant>
      <vt:variant>
        <vt:lpwstr>https://openknowledge.fao.org/server/api/core/bitstreams/35c6a002-98c7-497e-9248-c238118e1cae/content</vt:lpwstr>
      </vt:variant>
      <vt:variant>
        <vt:lpwstr/>
      </vt:variant>
      <vt:variant>
        <vt:i4>4063349</vt:i4>
      </vt:variant>
      <vt:variant>
        <vt:i4>36</vt:i4>
      </vt:variant>
      <vt:variant>
        <vt:i4>0</vt:i4>
      </vt:variant>
      <vt:variant>
        <vt:i4>5</vt:i4>
      </vt:variant>
      <vt:variant>
        <vt:lpwstr>https://www.cbd.int/forest/doc/forest-factor-en.pdf</vt:lpwstr>
      </vt:variant>
      <vt:variant>
        <vt:lpwstr/>
      </vt:variant>
      <vt:variant>
        <vt:i4>524363</vt:i4>
      </vt:variant>
      <vt:variant>
        <vt:i4>33</vt:i4>
      </vt:variant>
      <vt:variant>
        <vt:i4>0</vt:i4>
      </vt:variant>
      <vt:variant>
        <vt:i4>5</vt:i4>
      </vt:variant>
      <vt:variant>
        <vt:lpwstr>https://www.cbd.int/doc/decisions/cop-16/cop-16-dec-35-en.pdf</vt:lpwstr>
      </vt:variant>
      <vt:variant>
        <vt:lpwstr/>
      </vt:variant>
      <vt:variant>
        <vt:i4>6488119</vt:i4>
      </vt:variant>
      <vt:variant>
        <vt:i4>30</vt:i4>
      </vt:variant>
      <vt:variant>
        <vt:i4>0</vt:i4>
      </vt:variant>
      <vt:variant>
        <vt:i4>5</vt:i4>
      </vt:variant>
      <vt:variant>
        <vt:lpwstr>https://www.cbd.int/decision/cop/default.shtml?id=11033</vt:lpwstr>
      </vt:variant>
      <vt:variant>
        <vt:lpwstr/>
      </vt:variant>
      <vt:variant>
        <vt:i4>6619185</vt:i4>
      </vt:variant>
      <vt:variant>
        <vt:i4>27</vt:i4>
      </vt:variant>
      <vt:variant>
        <vt:i4>0</vt:i4>
      </vt:variant>
      <vt:variant>
        <vt:i4>5</vt:i4>
      </vt:variant>
      <vt:variant>
        <vt:lpwstr>https://www.cbd.int/decision/cop/default.shtml?id=11659</vt:lpwstr>
      </vt:variant>
      <vt:variant>
        <vt:lpwstr/>
      </vt:variant>
      <vt:variant>
        <vt:i4>720984</vt:i4>
      </vt:variant>
      <vt:variant>
        <vt:i4>24</vt:i4>
      </vt:variant>
      <vt:variant>
        <vt:i4>0</vt:i4>
      </vt:variant>
      <vt:variant>
        <vt:i4>5</vt:i4>
      </vt:variant>
      <vt:variant>
        <vt:lpwstr>https://www.cbd.int/decision/cop?id=12302</vt:lpwstr>
      </vt:variant>
      <vt:variant>
        <vt:lpwstr/>
      </vt:variant>
      <vt:variant>
        <vt:i4>6553649</vt:i4>
      </vt:variant>
      <vt:variant>
        <vt:i4>21</vt:i4>
      </vt:variant>
      <vt:variant>
        <vt:i4>0</vt:i4>
      </vt:variant>
      <vt:variant>
        <vt:i4>5</vt:i4>
      </vt:variant>
      <vt:variant>
        <vt:lpwstr>https://www.cbd.int/decision/cop/default.shtml?id=11648</vt:lpwstr>
      </vt:variant>
      <vt:variant>
        <vt:lpwstr/>
      </vt:variant>
      <vt:variant>
        <vt:i4>983116</vt:i4>
      </vt:variant>
      <vt:variant>
        <vt:i4>18</vt:i4>
      </vt:variant>
      <vt:variant>
        <vt:i4>0</vt:i4>
      </vt:variant>
      <vt:variant>
        <vt:i4>5</vt:i4>
      </vt:variant>
      <vt:variant>
        <vt:lpwstr>https://www.cbd.int/doc/decisions/cop-12/cop-12-dec-06-en.pdf</vt:lpwstr>
      </vt:variant>
      <vt:variant>
        <vt:lpwstr/>
      </vt:variant>
      <vt:variant>
        <vt:i4>983117</vt:i4>
      </vt:variant>
      <vt:variant>
        <vt:i4>15</vt:i4>
      </vt:variant>
      <vt:variant>
        <vt:i4>0</vt:i4>
      </vt:variant>
      <vt:variant>
        <vt:i4>5</vt:i4>
      </vt:variant>
      <vt:variant>
        <vt:lpwstr>https://www.cbd.int/doc/decisions/cop-13/cop-13-dec-07-en.pdf</vt:lpwstr>
      </vt:variant>
      <vt:variant>
        <vt:lpwstr/>
      </vt:variant>
      <vt:variant>
        <vt:i4>6684728</vt:i4>
      </vt:variant>
      <vt:variant>
        <vt:i4>12</vt:i4>
      </vt:variant>
      <vt:variant>
        <vt:i4>0</vt:i4>
      </vt:variant>
      <vt:variant>
        <vt:i4>5</vt:i4>
      </vt:variant>
      <vt:variant>
        <vt:lpwstr>https://www.cbd.int/decision/cop/default.shtml?id=7196</vt:lpwstr>
      </vt:variant>
      <vt:variant>
        <vt:lpwstr/>
      </vt:variant>
      <vt:variant>
        <vt:i4>3145765</vt:i4>
      </vt:variant>
      <vt:variant>
        <vt:i4>9</vt:i4>
      </vt:variant>
      <vt:variant>
        <vt:i4>0</vt:i4>
      </vt:variant>
      <vt:variant>
        <vt:i4>5</vt:i4>
      </vt:variant>
      <vt:variant>
        <vt:lpwstr>https://documents.un.org/doc/undoc/gen/n17/184/62/pdf/n1718462.pdf</vt:lpwstr>
      </vt:variant>
      <vt:variant>
        <vt:lpwstr/>
      </vt:variant>
      <vt:variant>
        <vt:i4>1966102</vt:i4>
      </vt:variant>
      <vt:variant>
        <vt:i4>6</vt:i4>
      </vt:variant>
      <vt:variant>
        <vt:i4>0</vt:i4>
      </vt:variant>
      <vt:variant>
        <vt:i4>5</vt:i4>
      </vt:variant>
      <vt:variant>
        <vt:lpwstr>https://docs.un.org/en/E/RES/2015/33</vt:lpwstr>
      </vt:variant>
      <vt:variant>
        <vt:lpwstr/>
      </vt:variant>
      <vt:variant>
        <vt:i4>5242948</vt:i4>
      </vt:variant>
      <vt:variant>
        <vt:i4>3</vt:i4>
      </vt:variant>
      <vt:variant>
        <vt:i4>0</vt:i4>
      </vt:variant>
      <vt:variant>
        <vt:i4>5</vt:i4>
      </vt:variant>
      <vt:variant>
        <vt:lpwstr>https://www.un.org/esa/forests/wp-content/uploads/2013/09/2000_35_E.pdf</vt:lpwstr>
      </vt:variant>
      <vt:variant>
        <vt:lpwstr/>
      </vt:variant>
      <vt:variant>
        <vt:i4>8126512</vt:i4>
      </vt:variant>
      <vt:variant>
        <vt:i4>0</vt:i4>
      </vt:variant>
      <vt:variant>
        <vt:i4>0</vt:i4>
      </vt:variant>
      <vt:variant>
        <vt:i4>5</vt:i4>
      </vt:variant>
      <vt:variant>
        <vt:lpwstr>http://www.fao.org/collaborative-partnership-on-forests</vt:lpwstr>
      </vt:variant>
      <vt:variant>
        <vt:lpwstr/>
      </vt:variant>
      <vt:variant>
        <vt:i4>4456491</vt:i4>
      </vt:variant>
      <vt:variant>
        <vt:i4>0</vt:i4>
      </vt:variant>
      <vt:variant>
        <vt:i4>0</vt:i4>
      </vt:variant>
      <vt:variant>
        <vt:i4>5</vt:i4>
      </vt:variant>
      <vt:variant>
        <vt:lpwstr>mailto:Federica.DiCagno@fao.org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Conserving, restoring and sustainably managing forests for the Kunming-Montreal Global Biodiversity Framework: contributions of the Collaborative Partnership on Forests</dc:title>
  <dc:subject/>
  <dc:creator>Secretariat of the Convention on Biological Diversity</dc:creator>
  <cp:keywords/>
  <dc:description/>
  <cp:lastModifiedBy>Veronique Lefebvre</cp:lastModifiedBy>
  <cp:revision>3</cp:revision>
  <cp:lastPrinted>2025-10-09T21:25:00Z</cp:lastPrinted>
  <dcterms:created xsi:type="dcterms:W3CDTF">2025-10-19T01:28:00Z</dcterms:created>
  <dcterms:modified xsi:type="dcterms:W3CDTF">2025-10-19T01:29:00Z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5b0573b8-c812-47b4-88f1-c798b77379ee</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