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16B9" w14:textId="406A9885" w:rsidR="00ED2289" w:rsidRPr="00DF7B98" w:rsidRDefault="00967031" w:rsidP="00993D92">
      <w:pPr>
        <w:spacing w:before="100" w:after="100"/>
        <w:jc w:val="center"/>
        <w:rPr>
          <w:rFonts w:ascii="Times New Roman" w:hAnsi="Times New Roman"/>
          <w:b/>
          <w:lang w:val="en-GB"/>
        </w:rPr>
      </w:pPr>
      <w:r w:rsidRPr="00DF7B98">
        <w:rPr>
          <w:rFonts w:ascii="Times New Roman" w:hAnsi="Times New Roman"/>
          <w:b/>
          <w:lang w:val="en-GB"/>
        </w:rPr>
        <w:t xml:space="preserve">United Nations </w:t>
      </w:r>
      <w:r w:rsidR="00ED2289" w:rsidRPr="00DF7B98">
        <w:rPr>
          <w:rFonts w:ascii="Times New Roman" w:hAnsi="Times New Roman"/>
          <w:b/>
          <w:lang w:val="en-GB"/>
        </w:rPr>
        <w:t>Biodiversity Conference</w:t>
      </w:r>
    </w:p>
    <w:p w14:paraId="23CDA85A" w14:textId="5469FCB5" w:rsidR="00ED2289" w:rsidRPr="00DF7B98" w:rsidRDefault="00ED2289" w:rsidP="00993D92">
      <w:pPr>
        <w:spacing w:before="100" w:after="100"/>
        <w:jc w:val="center"/>
        <w:rPr>
          <w:rFonts w:ascii="Times New Roman" w:hAnsi="Times New Roman"/>
          <w:b/>
          <w:lang w:val="en-GB"/>
        </w:rPr>
      </w:pPr>
      <w:r w:rsidRPr="00DF7B98">
        <w:rPr>
          <w:rFonts w:ascii="Times New Roman" w:hAnsi="Times New Roman"/>
          <w:b/>
          <w:lang w:val="en-GB"/>
        </w:rPr>
        <w:t>High</w:t>
      </w:r>
      <w:r w:rsidR="00967031" w:rsidRPr="00DF7B98">
        <w:rPr>
          <w:rFonts w:ascii="Times New Roman" w:hAnsi="Times New Roman"/>
          <w:b/>
          <w:lang w:val="en-GB"/>
        </w:rPr>
        <w:t>-l</w:t>
      </w:r>
      <w:r w:rsidRPr="00DF7B98">
        <w:rPr>
          <w:rFonts w:ascii="Times New Roman" w:hAnsi="Times New Roman"/>
          <w:b/>
          <w:lang w:val="en-GB"/>
        </w:rPr>
        <w:t xml:space="preserve">evel Segment </w:t>
      </w:r>
    </w:p>
    <w:p w14:paraId="23C042F6" w14:textId="77777777" w:rsidR="00ED2289" w:rsidRPr="00DF7B98" w:rsidRDefault="00ED2289" w:rsidP="00993D92">
      <w:pPr>
        <w:spacing w:before="100" w:after="100"/>
        <w:jc w:val="center"/>
        <w:rPr>
          <w:rFonts w:ascii="Times New Roman" w:hAnsi="Times New Roman"/>
          <w:lang w:val="en-GB"/>
        </w:rPr>
      </w:pPr>
      <w:r w:rsidRPr="00DF7B98">
        <w:rPr>
          <w:rFonts w:ascii="Times New Roman" w:hAnsi="Times New Roman"/>
          <w:b/>
          <w:lang w:val="en-GB"/>
        </w:rPr>
        <w:t>“Investing in Biodiversity for People and Planet”</w:t>
      </w:r>
      <w:r w:rsidRPr="00DF7B98">
        <w:rPr>
          <w:rFonts w:ascii="Times New Roman" w:hAnsi="Times New Roman"/>
          <w:lang w:val="en-GB"/>
        </w:rPr>
        <w:t xml:space="preserve"> </w:t>
      </w:r>
    </w:p>
    <w:p w14:paraId="21D5AF09" w14:textId="43A50DCE" w:rsidR="00ED2289" w:rsidRPr="00DF7B98" w:rsidRDefault="00ED2289" w:rsidP="00993D92">
      <w:pPr>
        <w:spacing w:before="100" w:after="100"/>
        <w:jc w:val="center"/>
        <w:rPr>
          <w:rFonts w:ascii="Times New Roman" w:hAnsi="Times New Roman"/>
          <w:lang w:val="en-GB"/>
        </w:rPr>
      </w:pPr>
      <w:r w:rsidRPr="00DF7B98">
        <w:rPr>
          <w:rFonts w:ascii="Times New Roman" w:hAnsi="Times New Roman"/>
          <w:lang w:val="en-GB"/>
        </w:rPr>
        <w:t>Sharm El-Sheikh</w:t>
      </w:r>
      <w:r w:rsidR="00967031" w:rsidRPr="00DF7B98">
        <w:rPr>
          <w:rFonts w:ascii="Times New Roman" w:hAnsi="Times New Roman"/>
          <w:lang w:val="en-GB"/>
        </w:rPr>
        <w:t>, Egypt</w:t>
      </w:r>
      <w:r w:rsidRPr="00DF7B98">
        <w:rPr>
          <w:rFonts w:ascii="Times New Roman" w:hAnsi="Times New Roman"/>
          <w:lang w:val="en-GB"/>
        </w:rPr>
        <w:t>, 14-15 November 2018</w:t>
      </w:r>
    </w:p>
    <w:p w14:paraId="1DA8B3AE" w14:textId="35A0130E" w:rsidR="00ED2289" w:rsidRPr="00DF7B98" w:rsidRDefault="00375EDD" w:rsidP="00DF7B98">
      <w:pPr>
        <w:spacing w:before="240" w:after="100"/>
        <w:rPr>
          <w:rFonts w:ascii="Times New Roman" w:hAnsi="Times New Roman" w:cs="Times New Roman"/>
          <w:b/>
          <w:sz w:val="22"/>
          <w:szCs w:val="22"/>
          <w:lang w:val="en-GB"/>
        </w:rPr>
      </w:pPr>
      <w:r w:rsidRPr="00DF7B98">
        <w:rPr>
          <w:rFonts w:ascii="Times New Roman" w:hAnsi="Times New Roman" w:cs="Times New Roman"/>
          <w:b/>
          <w:sz w:val="22"/>
          <w:szCs w:val="22"/>
          <w:lang w:val="en-GB"/>
        </w:rPr>
        <w:t xml:space="preserve">Mainstreaming in the </w:t>
      </w:r>
      <w:r w:rsidR="00967031">
        <w:rPr>
          <w:rFonts w:ascii="Times New Roman" w:hAnsi="Times New Roman" w:cs="Times New Roman"/>
          <w:b/>
          <w:sz w:val="22"/>
          <w:szCs w:val="22"/>
          <w:lang w:val="en-GB"/>
        </w:rPr>
        <w:t>e</w:t>
      </w:r>
      <w:r w:rsidR="00956221" w:rsidRPr="00DF7B98">
        <w:rPr>
          <w:rFonts w:ascii="Times New Roman" w:hAnsi="Times New Roman" w:cs="Times New Roman"/>
          <w:b/>
          <w:sz w:val="22"/>
          <w:szCs w:val="22"/>
          <w:lang w:val="en-GB"/>
        </w:rPr>
        <w:t xml:space="preserve">nergy and </w:t>
      </w:r>
      <w:r w:rsidR="00967031">
        <w:rPr>
          <w:rFonts w:ascii="Times New Roman" w:hAnsi="Times New Roman" w:cs="Times New Roman"/>
          <w:b/>
          <w:sz w:val="22"/>
          <w:szCs w:val="22"/>
          <w:lang w:val="en-GB"/>
        </w:rPr>
        <w:t>m</w:t>
      </w:r>
      <w:r w:rsidR="00956221" w:rsidRPr="00DF7B98">
        <w:rPr>
          <w:rFonts w:ascii="Times New Roman" w:hAnsi="Times New Roman" w:cs="Times New Roman"/>
          <w:b/>
          <w:sz w:val="22"/>
          <w:szCs w:val="22"/>
          <w:lang w:val="en-GB"/>
        </w:rPr>
        <w:t>ining</w:t>
      </w:r>
      <w:r w:rsidRPr="00DF7B98">
        <w:rPr>
          <w:rFonts w:ascii="Times New Roman" w:hAnsi="Times New Roman" w:cs="Times New Roman"/>
          <w:b/>
          <w:sz w:val="22"/>
          <w:szCs w:val="22"/>
          <w:lang w:val="en-GB"/>
        </w:rPr>
        <w:t xml:space="preserve"> </w:t>
      </w:r>
      <w:r w:rsidR="00967031">
        <w:rPr>
          <w:rFonts w:ascii="Times New Roman" w:hAnsi="Times New Roman" w:cs="Times New Roman"/>
          <w:b/>
          <w:sz w:val="22"/>
          <w:szCs w:val="22"/>
          <w:lang w:val="en-GB"/>
        </w:rPr>
        <w:t>s</w:t>
      </w:r>
      <w:r w:rsidRPr="00DF7B98">
        <w:rPr>
          <w:rFonts w:ascii="Times New Roman" w:hAnsi="Times New Roman" w:cs="Times New Roman"/>
          <w:b/>
          <w:sz w:val="22"/>
          <w:szCs w:val="22"/>
          <w:lang w:val="en-GB"/>
        </w:rPr>
        <w:t>ector</w:t>
      </w:r>
    </w:p>
    <w:p w14:paraId="6C01D1A8" w14:textId="5907DFEB"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 xml:space="preserve">Energy and mining encompass a range of activities and economic sectors involved in the exploration, extraction, processing and distribution of oil, gas, coal, materials such as sand and rock, minerals and metals; the generation, production, distribution and delivery of energy from fossil and non-fossil sources; and the disposal of </w:t>
      </w:r>
      <w:r w:rsidR="00BD10E4" w:rsidRPr="00DF7B98">
        <w:rPr>
          <w:rFonts w:ascii="Times New Roman" w:hAnsi="Times New Roman" w:cs="Times New Roman"/>
          <w:sz w:val="22"/>
          <w:szCs w:val="22"/>
          <w:lang w:val="en-GB"/>
        </w:rPr>
        <w:t xml:space="preserve">associated </w:t>
      </w:r>
      <w:r w:rsidRPr="00DF7B98">
        <w:rPr>
          <w:rFonts w:ascii="Times New Roman" w:hAnsi="Times New Roman" w:cs="Times New Roman"/>
          <w:sz w:val="22"/>
          <w:szCs w:val="22"/>
          <w:lang w:val="en-GB"/>
        </w:rPr>
        <w:t xml:space="preserve">waste products. The energy sector </w:t>
      </w:r>
      <w:r w:rsidR="00CA0600" w:rsidRPr="00DF7B98">
        <w:rPr>
          <w:rFonts w:ascii="Times New Roman" w:hAnsi="Times New Roman" w:cs="Times New Roman"/>
          <w:sz w:val="22"/>
          <w:szCs w:val="22"/>
          <w:lang w:val="en-GB"/>
        </w:rPr>
        <w:t>comprises</w:t>
      </w:r>
      <w:r w:rsidRPr="00DF7B98">
        <w:rPr>
          <w:rFonts w:ascii="Times New Roman" w:hAnsi="Times New Roman" w:cs="Times New Roman"/>
          <w:sz w:val="22"/>
          <w:szCs w:val="22"/>
          <w:lang w:val="en-GB"/>
        </w:rPr>
        <w:t xml:space="preserve"> oil and gas</w:t>
      </w:r>
      <w:r w:rsidR="00CA0600" w:rsidRPr="00DF7B98">
        <w:rPr>
          <w:rFonts w:ascii="Times New Roman" w:hAnsi="Times New Roman" w:cs="Times New Roman"/>
          <w:sz w:val="22"/>
          <w:szCs w:val="22"/>
          <w:lang w:val="en-GB"/>
        </w:rPr>
        <w:t xml:space="preserve"> (including </w:t>
      </w:r>
      <w:r w:rsidRPr="00DF7B98">
        <w:rPr>
          <w:rFonts w:ascii="Times New Roman" w:hAnsi="Times New Roman" w:cs="Times New Roman"/>
          <w:sz w:val="22"/>
          <w:szCs w:val="22"/>
          <w:lang w:val="en-GB"/>
        </w:rPr>
        <w:t>unconventional oil and gas</w:t>
      </w:r>
      <w:r w:rsidR="00CA0600" w:rsidRPr="00DF7B98">
        <w:rPr>
          <w:rFonts w:ascii="Times New Roman" w:hAnsi="Times New Roman" w:cs="Times New Roman"/>
          <w:sz w:val="22"/>
          <w:szCs w:val="22"/>
          <w:lang w:val="en-GB"/>
        </w:rPr>
        <w:t>)</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coal</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geothermal energy</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solar energy</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wind power</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hydropower</w:t>
      </w:r>
      <w:r w:rsidR="003100A0" w:rsidRPr="00DF7B98">
        <w:rPr>
          <w:rFonts w:ascii="Times New Roman" w:hAnsi="Times New Roman" w:cs="Times New Roman"/>
          <w:sz w:val="22"/>
          <w:szCs w:val="22"/>
          <w:lang w:val="en-GB"/>
        </w:rPr>
        <w:t xml:space="preserve">, </w:t>
      </w:r>
      <w:r w:rsidR="00CA0600" w:rsidRPr="00DF7B98">
        <w:rPr>
          <w:rFonts w:ascii="Times New Roman" w:hAnsi="Times New Roman" w:cs="Times New Roman"/>
          <w:sz w:val="22"/>
          <w:szCs w:val="22"/>
          <w:lang w:val="en-GB"/>
        </w:rPr>
        <w:t>wave power, bioenergy</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and nuclear energy.</w:t>
      </w:r>
    </w:p>
    <w:p w14:paraId="1CD503C2" w14:textId="77C5B573"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The mining sector includes mining for minerals and metals</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sand and aggregate quarrying</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gemstones</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seabed mining</w:t>
      </w:r>
      <w:r w:rsidR="003100A0"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and artisanal and small</w:t>
      </w:r>
      <w:r w:rsidR="00967031">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scale mining. Energy and mining also often involve a </w:t>
      </w:r>
      <w:r w:rsidR="00743542">
        <w:rPr>
          <w:rFonts w:ascii="Times New Roman" w:hAnsi="Times New Roman" w:cs="Times New Roman"/>
          <w:sz w:val="22"/>
          <w:szCs w:val="22"/>
          <w:lang w:val="en-GB"/>
        </w:rPr>
        <w:t>great deal</w:t>
      </w:r>
      <w:r w:rsidR="00743542"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of associated infrastructure, such as pipelines and access routes.</w:t>
      </w:r>
    </w:p>
    <w:p w14:paraId="32FDE858" w14:textId="76CEE1B4"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With a rising population, an expanding global economy</w:t>
      </w:r>
      <w:r w:rsidR="00F72998" w:rsidRPr="00DF7B98">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 and a trend towards urbanization, the demand for materials and energy is increasing, particularly in </w:t>
      </w:r>
      <w:r w:rsidR="00CB1B8F" w:rsidRPr="00DF7B98">
        <w:rPr>
          <w:rFonts w:ascii="Times New Roman" w:hAnsi="Times New Roman" w:cs="Times New Roman"/>
          <w:sz w:val="22"/>
          <w:szCs w:val="22"/>
          <w:lang w:val="en-GB"/>
        </w:rPr>
        <w:t>Asia, Africa and Latin America</w:t>
      </w:r>
      <w:r w:rsidRPr="00DF7B98">
        <w:rPr>
          <w:rFonts w:ascii="Times New Roman" w:hAnsi="Times New Roman" w:cs="Times New Roman"/>
          <w:sz w:val="22"/>
          <w:szCs w:val="22"/>
          <w:lang w:val="en-GB"/>
        </w:rPr>
        <w:t>. Mining plays a vital role in the economic development of many countries and can be an important contributor to employment and income generation, particularly in low-income countries.</w:t>
      </w:r>
    </w:p>
    <w:p w14:paraId="51C73AA7" w14:textId="79B5AA00"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 xml:space="preserve">Impacts within these sectors arise from the exploration and production of oil and gas, generation of renewable energy, and mining of coal, minerals and metals, as well as the transportation, processing and marketing of </w:t>
      </w:r>
      <w:r w:rsidR="00F72998" w:rsidRPr="00DF7B98">
        <w:rPr>
          <w:rFonts w:ascii="Times New Roman" w:hAnsi="Times New Roman" w:cs="Times New Roman"/>
          <w:sz w:val="22"/>
          <w:szCs w:val="22"/>
          <w:lang w:val="en-GB"/>
        </w:rPr>
        <w:t xml:space="preserve">the </w:t>
      </w:r>
      <w:r w:rsidRPr="00DF7B98">
        <w:rPr>
          <w:rFonts w:ascii="Times New Roman" w:hAnsi="Times New Roman" w:cs="Times New Roman"/>
          <w:sz w:val="22"/>
          <w:szCs w:val="22"/>
          <w:lang w:val="en-GB"/>
        </w:rPr>
        <w:t>extracted materials. It is important to consider direct, indirect, induced and cumulative impacts on biodiversity and ecosystem services throughout the life</w:t>
      </w:r>
      <w:r w:rsidR="00F84E37">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cycle of a project, including exploration, construction, operation, closure and post closure (legacy).</w:t>
      </w:r>
    </w:p>
    <w:p w14:paraId="63220BD5" w14:textId="4947CCB1"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 xml:space="preserve">The supply chain from mine to market and consumer should also be considered. Many </w:t>
      </w:r>
      <w:proofErr w:type="gramStart"/>
      <w:r w:rsidRPr="00DF7B98">
        <w:rPr>
          <w:rFonts w:ascii="Times New Roman" w:hAnsi="Times New Roman" w:cs="Times New Roman"/>
          <w:sz w:val="22"/>
          <w:szCs w:val="22"/>
          <w:lang w:val="en-GB"/>
        </w:rPr>
        <w:t>mining</w:t>
      </w:r>
      <w:proofErr w:type="gramEnd"/>
      <w:r w:rsidRPr="00DF7B98">
        <w:rPr>
          <w:rFonts w:ascii="Times New Roman" w:hAnsi="Times New Roman" w:cs="Times New Roman"/>
          <w:sz w:val="22"/>
          <w:szCs w:val="22"/>
          <w:lang w:val="en-GB"/>
        </w:rPr>
        <w:t xml:space="preserve"> and energy projects can have relatively long lifespans and impacts can occur over time periods that exceed the lifetime and geographical limits of a mine or energy project. Legacy waste issues related to closed projects remain a challenge.</w:t>
      </w:r>
    </w:p>
    <w:p w14:paraId="2C2CCB30" w14:textId="77777777" w:rsidR="00956221" w:rsidRPr="00DF7B98" w:rsidRDefault="00956221" w:rsidP="00DF7B98">
      <w:pPr>
        <w:spacing w:before="100" w:after="100"/>
        <w:rPr>
          <w:rFonts w:ascii="Times New Roman" w:hAnsi="Times New Roman" w:cs="Times New Roman"/>
          <w:b/>
          <w:sz w:val="22"/>
          <w:szCs w:val="22"/>
          <w:lang w:val="en-GB"/>
        </w:rPr>
      </w:pPr>
      <w:r w:rsidRPr="00DF7B98">
        <w:rPr>
          <w:rFonts w:ascii="Times New Roman" w:hAnsi="Times New Roman" w:cs="Times New Roman"/>
          <w:b/>
          <w:sz w:val="22"/>
          <w:szCs w:val="22"/>
          <w:lang w:val="en-GB"/>
        </w:rPr>
        <w:t>Impacts on biodiversity and ecosystems</w:t>
      </w:r>
    </w:p>
    <w:p w14:paraId="4D7BBDFD" w14:textId="62848488"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Direct impacts on biodiversity from these sectors include habitat loss, damage and fragmentation, disturbance, displacement or mortality of species, disruption of breeding and migration events for certain species, changes in water quality and flow, pollution of soil, air and water (including thermal pollution</w:t>
      </w:r>
      <w:r w:rsidR="00CB1B8F" w:rsidRPr="00DF7B98">
        <w:rPr>
          <w:rFonts w:ascii="Times New Roman" w:hAnsi="Times New Roman" w:cs="Times New Roman"/>
          <w:sz w:val="22"/>
          <w:szCs w:val="22"/>
          <w:lang w:val="en-GB"/>
        </w:rPr>
        <w:t xml:space="preserve"> and noise</w:t>
      </w:r>
      <w:r w:rsidRPr="00DF7B98">
        <w:rPr>
          <w:rFonts w:ascii="Times New Roman" w:hAnsi="Times New Roman" w:cs="Times New Roman"/>
          <w:sz w:val="22"/>
          <w:szCs w:val="22"/>
          <w:lang w:val="en-GB"/>
        </w:rPr>
        <w:t>)</w:t>
      </w:r>
      <w:r w:rsidR="00CA0600" w:rsidRPr="00DF7B98">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 and the introduction of invasive species.</w:t>
      </w:r>
    </w:p>
    <w:p w14:paraId="1F346CAD" w14:textId="36CEDF04" w:rsidR="00956221" w:rsidRPr="00DF7B98" w:rsidRDefault="00CA0600"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Indirect impacts from hydrocarbon</w:t>
      </w:r>
      <w:r w:rsidR="001E6F90">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based energy include climate change resulting from greenhouse gas emissions. </w:t>
      </w:r>
      <w:r w:rsidR="00956221" w:rsidRPr="00DF7B98">
        <w:rPr>
          <w:rFonts w:ascii="Times New Roman" w:hAnsi="Times New Roman" w:cs="Times New Roman"/>
          <w:sz w:val="22"/>
          <w:szCs w:val="22"/>
          <w:lang w:val="en-GB"/>
        </w:rPr>
        <w:t>Renewable energy generation also has biodiversity impacts, including significant habitat conversion impacts associated with certain biofuels, impacts on migratory bird species from wind power</w:t>
      </w:r>
      <w:r w:rsidR="002537F5" w:rsidRPr="00DF7B98">
        <w:rPr>
          <w:rFonts w:ascii="Times New Roman" w:hAnsi="Times New Roman" w:cs="Times New Roman"/>
          <w:sz w:val="22"/>
          <w:szCs w:val="22"/>
          <w:lang w:val="en-GB"/>
        </w:rPr>
        <w:t>,</w:t>
      </w:r>
      <w:r w:rsidR="00956221" w:rsidRPr="00DF7B98">
        <w:rPr>
          <w:rFonts w:ascii="Times New Roman" w:hAnsi="Times New Roman" w:cs="Times New Roman"/>
          <w:sz w:val="22"/>
          <w:szCs w:val="22"/>
          <w:lang w:val="en-GB"/>
        </w:rPr>
        <w:t xml:space="preserve"> as well as the supply chain impacts associated with solar technology and energy storage. Nuclear energy has large impacts in terms of mining and </w:t>
      </w:r>
      <w:r w:rsidRPr="00DF7B98">
        <w:rPr>
          <w:rFonts w:ascii="Times New Roman" w:hAnsi="Times New Roman" w:cs="Times New Roman"/>
          <w:sz w:val="22"/>
          <w:szCs w:val="22"/>
          <w:lang w:val="en-GB"/>
        </w:rPr>
        <w:t>disposal of hazardous materials</w:t>
      </w:r>
      <w:r w:rsidR="00956221" w:rsidRPr="00DF7B98">
        <w:rPr>
          <w:rFonts w:ascii="Times New Roman" w:hAnsi="Times New Roman" w:cs="Times New Roman"/>
          <w:sz w:val="22"/>
          <w:szCs w:val="22"/>
          <w:lang w:val="en-GB"/>
        </w:rPr>
        <w:t>.</w:t>
      </w:r>
    </w:p>
    <w:p w14:paraId="3939F38D" w14:textId="0E6297DC"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Impacts can vary between the large-scale mining</w:t>
      </w:r>
      <w:r w:rsidR="00360FDE" w:rsidRPr="00DF7B98">
        <w:rPr>
          <w:rFonts w:ascii="Times New Roman" w:hAnsi="Times New Roman" w:cs="Times New Roman"/>
          <w:sz w:val="22"/>
          <w:szCs w:val="22"/>
          <w:lang w:val="en-GB"/>
        </w:rPr>
        <w:t xml:space="preserve"> sector and artisanal and small-</w:t>
      </w:r>
      <w:r w:rsidRPr="00DF7B98">
        <w:rPr>
          <w:rFonts w:ascii="Times New Roman" w:hAnsi="Times New Roman" w:cs="Times New Roman"/>
          <w:sz w:val="22"/>
          <w:szCs w:val="22"/>
          <w:lang w:val="en-GB"/>
        </w:rPr>
        <w:t xml:space="preserve">scale mining. However, larger-scale mining tends to be better regulated, which can lead to </w:t>
      </w:r>
      <w:r w:rsidR="00F74C03">
        <w:rPr>
          <w:rFonts w:ascii="Times New Roman" w:hAnsi="Times New Roman" w:cs="Times New Roman"/>
          <w:sz w:val="22"/>
          <w:szCs w:val="22"/>
          <w:lang w:val="en-GB"/>
        </w:rPr>
        <w:t>avoidance or reduction of</w:t>
      </w:r>
      <w:r w:rsidRPr="00DF7B98">
        <w:rPr>
          <w:rFonts w:ascii="Times New Roman" w:hAnsi="Times New Roman" w:cs="Times New Roman"/>
          <w:sz w:val="22"/>
          <w:szCs w:val="22"/>
          <w:lang w:val="en-GB"/>
        </w:rPr>
        <w:t xml:space="preserve"> impacts on biodiversity and ecosystem services. </w:t>
      </w:r>
      <w:r w:rsidR="00CA0600" w:rsidRPr="00DF7B98">
        <w:rPr>
          <w:rFonts w:ascii="Times New Roman" w:hAnsi="Times New Roman" w:cs="Times New Roman"/>
          <w:sz w:val="22"/>
          <w:szCs w:val="22"/>
          <w:lang w:val="en-GB"/>
        </w:rPr>
        <w:t>T</w:t>
      </w:r>
      <w:r w:rsidRPr="00DF7B98">
        <w:rPr>
          <w:rFonts w:ascii="Times New Roman" w:hAnsi="Times New Roman" w:cs="Times New Roman"/>
          <w:sz w:val="22"/>
          <w:szCs w:val="22"/>
          <w:lang w:val="en-GB"/>
        </w:rPr>
        <w:t>he use of</w:t>
      </w:r>
      <w:r w:rsidR="00360FDE" w:rsidRPr="00DF7B98">
        <w:rPr>
          <w:rFonts w:ascii="Times New Roman" w:hAnsi="Times New Roman" w:cs="Times New Roman"/>
          <w:sz w:val="22"/>
          <w:szCs w:val="22"/>
          <w:lang w:val="en-GB"/>
        </w:rPr>
        <w:t xml:space="preserve"> mercury in artisanal and small-</w:t>
      </w:r>
      <w:r w:rsidRPr="00DF7B98">
        <w:rPr>
          <w:rFonts w:ascii="Times New Roman" w:hAnsi="Times New Roman" w:cs="Times New Roman"/>
          <w:sz w:val="22"/>
          <w:szCs w:val="22"/>
          <w:lang w:val="en-GB"/>
        </w:rPr>
        <w:t>scale mining processes for gold is globally the largest single source of mercury pollution. This can lead to severe impacts on human health, biodiversity and ecosystem services</w:t>
      </w:r>
      <w:r w:rsidR="009839D3" w:rsidRPr="00DF7B98">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 such as water and food provision.</w:t>
      </w:r>
    </w:p>
    <w:p w14:paraId="7F4145BB" w14:textId="7DF91FBE"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The physical footprint of energy and mining operations can be relatively small compared to some other sectors (such as agriculture</w:t>
      </w:r>
      <w:r w:rsidR="009839D3" w:rsidRPr="00DF7B98">
        <w:rPr>
          <w:rFonts w:ascii="Times New Roman" w:hAnsi="Times New Roman" w:cs="Times New Roman"/>
          <w:sz w:val="22"/>
          <w:szCs w:val="22"/>
          <w:lang w:val="en-GB"/>
        </w:rPr>
        <w:t xml:space="preserve">, </w:t>
      </w:r>
      <w:r w:rsidRPr="00DF7B98">
        <w:rPr>
          <w:rFonts w:ascii="Times New Roman" w:hAnsi="Times New Roman" w:cs="Times New Roman"/>
          <w:sz w:val="22"/>
          <w:szCs w:val="22"/>
          <w:lang w:val="en-GB"/>
        </w:rPr>
        <w:t xml:space="preserve">forestry or urbanization). However, biodiversity impacts linked to the in-migration of </w:t>
      </w:r>
      <w:r w:rsidRPr="00DF7B98">
        <w:rPr>
          <w:rFonts w:ascii="Times New Roman" w:hAnsi="Times New Roman" w:cs="Times New Roman"/>
          <w:sz w:val="22"/>
          <w:szCs w:val="22"/>
          <w:lang w:val="en-GB"/>
        </w:rPr>
        <w:lastRenderedPageBreak/>
        <w:t xml:space="preserve">people to an area </w:t>
      </w:r>
      <w:proofErr w:type="gramStart"/>
      <w:r w:rsidRPr="00DF7B98">
        <w:rPr>
          <w:rFonts w:ascii="Times New Roman" w:hAnsi="Times New Roman" w:cs="Times New Roman"/>
          <w:sz w:val="22"/>
          <w:szCs w:val="22"/>
          <w:lang w:val="en-GB"/>
        </w:rPr>
        <w:t>as a result of</w:t>
      </w:r>
      <w:proofErr w:type="gramEnd"/>
      <w:r w:rsidRPr="00DF7B98">
        <w:rPr>
          <w:rFonts w:ascii="Times New Roman" w:hAnsi="Times New Roman" w:cs="Times New Roman"/>
          <w:sz w:val="22"/>
          <w:szCs w:val="22"/>
          <w:lang w:val="en-GB"/>
        </w:rPr>
        <w:t xml:space="preserve"> energy and mining operations can be very significant, leading to further encroachment of natural habitats.</w:t>
      </w:r>
    </w:p>
    <w:p w14:paraId="061D0B27" w14:textId="50492BCE" w:rsidR="00956221" w:rsidRPr="00DF7B98" w:rsidRDefault="00956221"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 xml:space="preserve">These sectors also have </w:t>
      </w:r>
      <w:proofErr w:type="gramStart"/>
      <w:r w:rsidRPr="00DF7B98">
        <w:rPr>
          <w:rFonts w:ascii="Times New Roman" w:hAnsi="Times New Roman" w:cs="Times New Roman"/>
          <w:sz w:val="22"/>
          <w:szCs w:val="22"/>
          <w:lang w:val="en-GB"/>
        </w:rPr>
        <w:t>a number of</w:t>
      </w:r>
      <w:proofErr w:type="gramEnd"/>
      <w:r w:rsidRPr="00DF7B98">
        <w:rPr>
          <w:rFonts w:ascii="Times New Roman" w:hAnsi="Times New Roman" w:cs="Times New Roman"/>
          <w:sz w:val="22"/>
          <w:szCs w:val="22"/>
          <w:lang w:val="en-GB"/>
        </w:rPr>
        <w:t xml:space="preserve"> dependencies on biodiversity and ecosystem services, such as supply of water, as well as protection of infrastructure (e.g. roads, pipelines, dams, operational structures) from erosion effects, landslides, and natural disasters</w:t>
      </w:r>
      <w:r w:rsidR="0031137D">
        <w:rPr>
          <w:rFonts w:ascii="Times New Roman" w:hAnsi="Times New Roman" w:cs="Times New Roman"/>
          <w:sz w:val="22"/>
          <w:szCs w:val="22"/>
          <w:lang w:val="en-GB"/>
        </w:rPr>
        <w:t>,</w:t>
      </w:r>
      <w:r w:rsidRPr="00DF7B98">
        <w:rPr>
          <w:rFonts w:ascii="Times New Roman" w:hAnsi="Times New Roman" w:cs="Times New Roman"/>
          <w:sz w:val="22"/>
          <w:szCs w:val="22"/>
          <w:lang w:val="en-GB"/>
        </w:rPr>
        <w:t xml:space="preserve"> such as flooding and storm surges.</w:t>
      </w:r>
    </w:p>
    <w:p w14:paraId="23418028" w14:textId="4C17BCEA" w:rsidR="00CC66E3" w:rsidRPr="00DF7B98" w:rsidRDefault="00CC66E3" w:rsidP="00DF7B98">
      <w:pPr>
        <w:spacing w:before="100" w:after="100"/>
        <w:rPr>
          <w:rFonts w:ascii="Times New Roman" w:hAnsi="Times New Roman" w:cs="Times New Roman"/>
          <w:b/>
          <w:sz w:val="22"/>
          <w:szCs w:val="22"/>
          <w:lang w:val="en-GB"/>
        </w:rPr>
      </w:pPr>
      <w:r w:rsidRPr="00DF7B98">
        <w:rPr>
          <w:rFonts w:ascii="Times New Roman" w:hAnsi="Times New Roman" w:cs="Times New Roman"/>
          <w:b/>
          <w:sz w:val="22"/>
          <w:szCs w:val="22"/>
          <w:lang w:val="en-GB"/>
        </w:rPr>
        <w:t xml:space="preserve">Approaches to </w:t>
      </w:r>
      <w:r w:rsidR="00E55E6D" w:rsidRPr="00DF7B98">
        <w:rPr>
          <w:rFonts w:ascii="Times New Roman" w:hAnsi="Times New Roman" w:cs="Times New Roman"/>
          <w:b/>
          <w:sz w:val="22"/>
          <w:szCs w:val="22"/>
          <w:lang w:val="en-GB"/>
        </w:rPr>
        <w:t>m</w:t>
      </w:r>
      <w:r w:rsidRPr="00DF7B98">
        <w:rPr>
          <w:rFonts w:ascii="Times New Roman" w:hAnsi="Times New Roman" w:cs="Times New Roman"/>
          <w:b/>
          <w:sz w:val="22"/>
          <w:szCs w:val="22"/>
          <w:lang w:val="en-GB"/>
        </w:rPr>
        <w:t>ainstreaming</w:t>
      </w:r>
      <w:r w:rsidR="001702B8" w:rsidRPr="00DF7B98">
        <w:rPr>
          <w:rFonts w:ascii="Times New Roman" w:hAnsi="Times New Roman" w:cs="Times New Roman"/>
          <w:b/>
          <w:sz w:val="22"/>
          <w:szCs w:val="22"/>
          <w:lang w:val="en-GB"/>
        </w:rPr>
        <w:t xml:space="preserve"> </w:t>
      </w:r>
      <w:r w:rsidR="00E55E6D" w:rsidRPr="00DF7B98">
        <w:rPr>
          <w:rFonts w:ascii="Times New Roman" w:hAnsi="Times New Roman" w:cs="Times New Roman"/>
          <w:b/>
          <w:sz w:val="22"/>
          <w:szCs w:val="22"/>
          <w:lang w:val="en-GB"/>
        </w:rPr>
        <w:t>b</w:t>
      </w:r>
      <w:r w:rsidR="001702B8" w:rsidRPr="00DF7B98">
        <w:rPr>
          <w:rFonts w:ascii="Times New Roman" w:hAnsi="Times New Roman" w:cs="Times New Roman"/>
          <w:b/>
          <w:sz w:val="22"/>
          <w:szCs w:val="22"/>
          <w:lang w:val="en-GB"/>
        </w:rPr>
        <w:t>iodiversity</w:t>
      </w:r>
      <w:r w:rsidRPr="00DF7B98">
        <w:rPr>
          <w:rFonts w:ascii="Times New Roman" w:hAnsi="Times New Roman" w:cs="Times New Roman"/>
          <w:b/>
          <w:sz w:val="22"/>
          <w:szCs w:val="22"/>
          <w:lang w:val="en-GB"/>
        </w:rPr>
        <w:t xml:space="preserve"> </w:t>
      </w:r>
      <w:r w:rsidR="001702B8" w:rsidRPr="00DF7B98">
        <w:rPr>
          <w:rFonts w:ascii="Times New Roman" w:hAnsi="Times New Roman" w:cs="Times New Roman"/>
          <w:b/>
          <w:sz w:val="22"/>
          <w:szCs w:val="22"/>
          <w:lang w:val="en-GB"/>
        </w:rPr>
        <w:t xml:space="preserve">in the </w:t>
      </w:r>
      <w:r w:rsidR="00E55E6D" w:rsidRPr="00DF7B98">
        <w:rPr>
          <w:rFonts w:ascii="Times New Roman" w:hAnsi="Times New Roman" w:cs="Times New Roman"/>
          <w:b/>
          <w:sz w:val="22"/>
          <w:szCs w:val="22"/>
          <w:lang w:val="en-GB"/>
        </w:rPr>
        <w:t>e</w:t>
      </w:r>
      <w:r w:rsidR="001702B8" w:rsidRPr="00DF7B98">
        <w:rPr>
          <w:rFonts w:ascii="Times New Roman" w:hAnsi="Times New Roman" w:cs="Times New Roman"/>
          <w:b/>
          <w:sz w:val="22"/>
          <w:szCs w:val="22"/>
          <w:lang w:val="en-GB"/>
        </w:rPr>
        <w:t xml:space="preserve">nergy and </w:t>
      </w:r>
      <w:r w:rsidR="00E55E6D" w:rsidRPr="00DF7B98">
        <w:rPr>
          <w:rFonts w:ascii="Times New Roman" w:hAnsi="Times New Roman" w:cs="Times New Roman"/>
          <w:b/>
          <w:sz w:val="22"/>
          <w:szCs w:val="22"/>
          <w:lang w:val="en-GB"/>
        </w:rPr>
        <w:t>m</w:t>
      </w:r>
      <w:r w:rsidR="001702B8" w:rsidRPr="00DF7B98">
        <w:rPr>
          <w:rFonts w:ascii="Times New Roman" w:hAnsi="Times New Roman" w:cs="Times New Roman"/>
          <w:b/>
          <w:sz w:val="22"/>
          <w:szCs w:val="22"/>
          <w:lang w:val="en-GB"/>
        </w:rPr>
        <w:t xml:space="preserve">ining </w:t>
      </w:r>
      <w:r w:rsidR="00E55E6D" w:rsidRPr="00DF7B98">
        <w:rPr>
          <w:rFonts w:ascii="Times New Roman" w:hAnsi="Times New Roman" w:cs="Times New Roman"/>
          <w:b/>
          <w:sz w:val="22"/>
          <w:szCs w:val="22"/>
          <w:lang w:val="en-GB"/>
        </w:rPr>
        <w:t>s</w:t>
      </w:r>
      <w:r w:rsidR="001702B8" w:rsidRPr="00DF7B98">
        <w:rPr>
          <w:rFonts w:ascii="Times New Roman" w:hAnsi="Times New Roman" w:cs="Times New Roman"/>
          <w:b/>
          <w:sz w:val="22"/>
          <w:szCs w:val="22"/>
          <w:lang w:val="en-GB"/>
        </w:rPr>
        <w:t>ector</w:t>
      </w:r>
    </w:p>
    <w:p w14:paraId="32BF9B8C" w14:textId="45B748D5" w:rsidR="00993D92" w:rsidRPr="00DF7B98" w:rsidRDefault="001702B8" w:rsidP="00DF7B98">
      <w:pPr>
        <w:pStyle w:val="Para1"/>
        <w:numPr>
          <w:ilvl w:val="0"/>
          <w:numId w:val="0"/>
        </w:numPr>
        <w:tabs>
          <w:tab w:val="clear" w:pos="720"/>
        </w:tabs>
        <w:spacing w:before="100" w:after="100"/>
        <w:ind w:firstLine="709"/>
        <w:rPr>
          <w:szCs w:val="22"/>
        </w:rPr>
      </w:pPr>
      <w:r w:rsidRPr="00DF7B98">
        <w:rPr>
          <w:szCs w:val="22"/>
        </w:rPr>
        <w:t xml:space="preserve">There are </w:t>
      </w:r>
      <w:proofErr w:type="gramStart"/>
      <w:r w:rsidRPr="00DF7B98">
        <w:rPr>
          <w:szCs w:val="22"/>
        </w:rPr>
        <w:t>a number of</w:t>
      </w:r>
      <w:proofErr w:type="gramEnd"/>
      <w:r w:rsidRPr="00DF7B98">
        <w:rPr>
          <w:szCs w:val="22"/>
        </w:rPr>
        <w:t xml:space="preserve"> points of intervention for improving biodiversity management and reducing impacts by the energy and mining sector, from addressing patterns of demand, to improving planning and regulation across all project value chain stages, including decommissioning.</w:t>
      </w:r>
    </w:p>
    <w:p w14:paraId="3DE4064D" w14:textId="0C7202F0" w:rsidR="00993D92" w:rsidRPr="003E767F" w:rsidRDefault="00993D92" w:rsidP="00DF7B98">
      <w:pPr>
        <w:pStyle w:val="Para1"/>
        <w:numPr>
          <w:ilvl w:val="0"/>
          <w:numId w:val="0"/>
        </w:numPr>
        <w:tabs>
          <w:tab w:val="clear" w:pos="720"/>
        </w:tabs>
        <w:spacing w:before="100" w:after="100"/>
        <w:ind w:firstLine="709"/>
        <w:rPr>
          <w:kern w:val="22"/>
          <w:szCs w:val="22"/>
        </w:rPr>
      </w:pPr>
      <w:r w:rsidRPr="00967031">
        <w:rPr>
          <w:kern w:val="22"/>
          <w:szCs w:val="22"/>
        </w:rPr>
        <w:t xml:space="preserve">Full implementation of the Paris Agreement on Climate Change would imply the urgent phase out of coal production and declining oil and gas production later this century, with remaining production combined </w:t>
      </w:r>
      <w:r w:rsidRPr="00F27CE6">
        <w:rPr>
          <w:kern w:val="22"/>
          <w:szCs w:val="22"/>
        </w:rPr>
        <w:t>with carbon capture and storage. Shorter</w:t>
      </w:r>
      <w:r w:rsidR="00E55E6D" w:rsidRPr="00F27CE6">
        <w:rPr>
          <w:kern w:val="22"/>
          <w:szCs w:val="22"/>
        </w:rPr>
        <w:t>-</w:t>
      </w:r>
      <w:r w:rsidRPr="00E611F8">
        <w:rPr>
          <w:kern w:val="22"/>
          <w:szCs w:val="22"/>
        </w:rPr>
        <w:t>term methods for reducing the effects of this sector on biodiversity include siting restrictions and conditions, and spatial planning techniques to ensure that oil and gas activities do not negatively impact pro</w:t>
      </w:r>
      <w:r w:rsidRPr="00566B4A">
        <w:rPr>
          <w:kern w:val="22"/>
          <w:szCs w:val="22"/>
        </w:rPr>
        <w:t>tected areas or biodiversity hotspots. Appropriate requirements to ensure the restoration of extraction sites also helps to reduce the long-term negative impacts on biodiversity. Requirements for the management of pollution resulting from extractive ac</w:t>
      </w:r>
      <w:r w:rsidRPr="003E767F">
        <w:rPr>
          <w:kern w:val="22"/>
          <w:szCs w:val="22"/>
        </w:rPr>
        <w:t>tivities can also help to reduce the impacts on biodiversity.</w:t>
      </w:r>
    </w:p>
    <w:p w14:paraId="22DE3FB9" w14:textId="278017BA" w:rsidR="001702B8" w:rsidRPr="00DF7B98" w:rsidRDefault="001702B8"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There are good examples of work being done by large</w:t>
      </w:r>
      <w:r w:rsidR="00E55E6D" w:rsidRPr="00DF7B98">
        <w:rPr>
          <w:rFonts w:ascii="Times New Roman" w:hAnsi="Times New Roman" w:cs="Times New Roman"/>
          <w:sz w:val="22"/>
          <w:szCs w:val="22"/>
          <w:lang w:val="en-GB"/>
        </w:rPr>
        <w:t>-</w:t>
      </w:r>
      <w:r w:rsidRPr="00DF7B98">
        <w:rPr>
          <w:rFonts w:ascii="Times New Roman" w:hAnsi="Times New Roman" w:cs="Times New Roman"/>
          <w:sz w:val="22"/>
          <w:szCs w:val="22"/>
          <w:lang w:val="en-GB"/>
        </w:rPr>
        <w:t>scale mining and energy companies to encourage the protection of biodiversity and ecosystem services (for example, guidance and tools dev</w:t>
      </w:r>
      <w:r w:rsidR="002E3DB2" w:rsidRPr="00DF7B98">
        <w:rPr>
          <w:rFonts w:ascii="Times New Roman" w:hAnsi="Times New Roman" w:cs="Times New Roman"/>
          <w:sz w:val="22"/>
          <w:szCs w:val="22"/>
          <w:lang w:val="en-GB"/>
        </w:rPr>
        <w:t>eloped by ICMM, IPIECA and CSBI</w:t>
      </w:r>
      <w:r w:rsidRPr="00DF7B98">
        <w:rPr>
          <w:rFonts w:ascii="Times New Roman" w:hAnsi="Times New Roman" w:cs="Times New Roman"/>
          <w:sz w:val="22"/>
          <w:szCs w:val="22"/>
          <w:lang w:val="en-GB"/>
        </w:rPr>
        <w:t xml:space="preserve">), as well as through strengthened regulation and enforcement. The challenge is how to scale these approaches up beyond </w:t>
      </w:r>
      <w:r w:rsidR="000C2DCB">
        <w:rPr>
          <w:rFonts w:ascii="Times New Roman" w:hAnsi="Times New Roman" w:cs="Times New Roman"/>
          <w:sz w:val="22"/>
          <w:szCs w:val="22"/>
          <w:lang w:val="en-GB"/>
        </w:rPr>
        <w:t xml:space="preserve">the </w:t>
      </w:r>
      <w:r w:rsidRPr="00DF7B98">
        <w:rPr>
          <w:rFonts w:ascii="Times New Roman" w:hAnsi="Times New Roman" w:cs="Times New Roman"/>
          <w:sz w:val="22"/>
          <w:szCs w:val="22"/>
          <w:lang w:val="en-GB"/>
        </w:rPr>
        <w:t>project level in all relevant countries and across the energy and mining sector. There are also some issues that are generally poorly addressed, including artisanal and small-scale mining, and challenges around engaging certain actors.</w:t>
      </w:r>
    </w:p>
    <w:p w14:paraId="3DED3C67" w14:textId="781B14C8" w:rsidR="00993D92" w:rsidRPr="00DF7B98" w:rsidRDefault="002D3C8B" w:rsidP="00DF7B98">
      <w:pPr>
        <w:spacing w:before="100" w:after="10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Several key themes and approaches to mainstream biodiversity into the energy and mining sector have been identified, including through</w:t>
      </w:r>
      <w:r w:rsidR="00967031" w:rsidRPr="00DF7B98">
        <w:rPr>
          <w:rFonts w:ascii="Times New Roman" w:hAnsi="Times New Roman" w:cs="Times New Roman"/>
          <w:sz w:val="22"/>
          <w:szCs w:val="22"/>
          <w:lang w:val="en-GB"/>
        </w:rPr>
        <w:t>:</w:t>
      </w:r>
    </w:p>
    <w:p w14:paraId="6C793657" w14:textId="3CB0D628"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2D3C8B" w:rsidRPr="00DF7B98">
        <w:rPr>
          <w:rFonts w:ascii="Times New Roman" w:hAnsi="Times New Roman" w:cs="Times New Roman"/>
          <w:sz w:val="22"/>
          <w:szCs w:val="22"/>
          <w:lang w:val="en-GB"/>
        </w:rPr>
        <w:t xml:space="preserve">a) </w:t>
      </w:r>
      <w:r w:rsidRPr="00DF7B98">
        <w:rPr>
          <w:rFonts w:ascii="Times New Roman" w:hAnsi="Times New Roman" w:cs="Times New Roman"/>
          <w:sz w:val="22"/>
          <w:szCs w:val="22"/>
          <w:lang w:val="en-GB"/>
        </w:rPr>
        <w:t>N</w:t>
      </w:r>
      <w:r w:rsidR="002D3C8B" w:rsidRPr="00DF7B98">
        <w:rPr>
          <w:rFonts w:ascii="Times New Roman" w:hAnsi="Times New Roman" w:cs="Times New Roman"/>
          <w:sz w:val="22"/>
          <w:szCs w:val="22"/>
          <w:lang w:val="en-GB"/>
        </w:rPr>
        <w:t>ational laws and policies: incentives and penalties</w:t>
      </w:r>
      <w:r w:rsidRPr="00DF7B98">
        <w:rPr>
          <w:rFonts w:ascii="Times New Roman" w:hAnsi="Times New Roman" w:cs="Times New Roman"/>
          <w:sz w:val="22"/>
          <w:szCs w:val="22"/>
          <w:lang w:val="en-GB"/>
        </w:rPr>
        <w:t>;</w:t>
      </w:r>
    </w:p>
    <w:p w14:paraId="093B5293" w14:textId="14B16F9B"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2D3C8B" w:rsidRPr="00DF7B98">
        <w:rPr>
          <w:rFonts w:ascii="Times New Roman" w:hAnsi="Times New Roman" w:cs="Times New Roman"/>
          <w:sz w:val="22"/>
          <w:szCs w:val="22"/>
          <w:lang w:val="en-GB"/>
        </w:rPr>
        <w:t xml:space="preserve">b) </w:t>
      </w:r>
      <w:r w:rsidRPr="00DF7B98">
        <w:rPr>
          <w:rFonts w:ascii="Times New Roman" w:hAnsi="Times New Roman" w:cs="Times New Roman"/>
          <w:sz w:val="22"/>
          <w:szCs w:val="22"/>
          <w:lang w:val="en-GB"/>
        </w:rPr>
        <w:t>P</w:t>
      </w:r>
      <w:r w:rsidR="002D3C8B" w:rsidRPr="00DF7B98">
        <w:rPr>
          <w:rFonts w:ascii="Times New Roman" w:hAnsi="Times New Roman" w:cs="Times New Roman"/>
          <w:sz w:val="22"/>
          <w:szCs w:val="22"/>
          <w:lang w:val="en-GB"/>
        </w:rPr>
        <w:t>lanning and assessment at the policy level: spatial planning and strategic environmental assessments</w:t>
      </w:r>
      <w:r w:rsidRPr="00DF7B98">
        <w:rPr>
          <w:rFonts w:ascii="Times New Roman" w:hAnsi="Times New Roman" w:cs="Times New Roman"/>
          <w:sz w:val="22"/>
          <w:szCs w:val="22"/>
          <w:lang w:val="en-GB"/>
        </w:rPr>
        <w:t>;</w:t>
      </w:r>
    </w:p>
    <w:p w14:paraId="2E2E1459" w14:textId="7D60DE87"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2D3C8B" w:rsidRPr="00DF7B98">
        <w:rPr>
          <w:rFonts w:ascii="Times New Roman" w:hAnsi="Times New Roman" w:cs="Times New Roman"/>
          <w:sz w:val="22"/>
          <w:szCs w:val="22"/>
          <w:lang w:val="en-GB"/>
        </w:rPr>
        <w:t xml:space="preserve">c) </w:t>
      </w:r>
      <w:r w:rsidRPr="00DF7B98">
        <w:rPr>
          <w:rFonts w:ascii="Times New Roman" w:hAnsi="Times New Roman" w:cs="Times New Roman"/>
          <w:sz w:val="22"/>
          <w:szCs w:val="22"/>
          <w:lang w:val="en-GB"/>
        </w:rPr>
        <w:t>P</w:t>
      </w:r>
      <w:r w:rsidR="002D3C8B" w:rsidRPr="00DF7B98">
        <w:rPr>
          <w:rFonts w:ascii="Times New Roman" w:hAnsi="Times New Roman" w:cs="Times New Roman"/>
          <w:sz w:val="22"/>
          <w:szCs w:val="22"/>
          <w:lang w:val="en-GB"/>
        </w:rPr>
        <w:t>lanning and assessment at the project level: environmental and social impact assessment</w:t>
      </w:r>
      <w:r w:rsidRPr="00DF7B98">
        <w:rPr>
          <w:rFonts w:ascii="Times New Roman" w:hAnsi="Times New Roman" w:cs="Times New Roman"/>
          <w:sz w:val="22"/>
          <w:szCs w:val="22"/>
          <w:lang w:val="en-GB"/>
        </w:rPr>
        <w:t>;</w:t>
      </w:r>
    </w:p>
    <w:p w14:paraId="57ECF8C1" w14:textId="5D808FD9"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2D3C8B" w:rsidRPr="00DF7B98">
        <w:rPr>
          <w:rFonts w:ascii="Times New Roman" w:hAnsi="Times New Roman" w:cs="Times New Roman"/>
          <w:sz w:val="22"/>
          <w:szCs w:val="22"/>
          <w:lang w:val="en-GB"/>
        </w:rPr>
        <w:t xml:space="preserve">d) </w:t>
      </w:r>
      <w:r w:rsidRPr="00DF7B98">
        <w:rPr>
          <w:rFonts w:ascii="Times New Roman" w:hAnsi="Times New Roman" w:cs="Times New Roman"/>
          <w:sz w:val="22"/>
          <w:szCs w:val="22"/>
          <w:lang w:val="en-GB"/>
        </w:rPr>
        <w:t>I</w:t>
      </w:r>
      <w:r w:rsidR="002D3C8B" w:rsidRPr="00DF7B98">
        <w:rPr>
          <w:rFonts w:ascii="Times New Roman" w:hAnsi="Times New Roman" w:cs="Times New Roman"/>
          <w:sz w:val="22"/>
          <w:szCs w:val="22"/>
          <w:lang w:val="en-GB"/>
        </w:rPr>
        <w:t>nstitutions: enforcement, transparency, accountability, inclusion, coordination and consultation</w:t>
      </w:r>
      <w:r w:rsidRPr="00DF7B98">
        <w:rPr>
          <w:rFonts w:ascii="Times New Roman" w:hAnsi="Times New Roman" w:cs="Times New Roman"/>
          <w:sz w:val="22"/>
          <w:szCs w:val="22"/>
          <w:lang w:val="en-GB"/>
        </w:rPr>
        <w:t>;</w:t>
      </w:r>
    </w:p>
    <w:p w14:paraId="3174E34C" w14:textId="110EF678"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2D3C8B" w:rsidRPr="00DF7B98">
        <w:rPr>
          <w:rFonts w:ascii="Times New Roman" w:hAnsi="Times New Roman" w:cs="Times New Roman"/>
          <w:sz w:val="22"/>
          <w:szCs w:val="22"/>
          <w:lang w:val="en-GB"/>
        </w:rPr>
        <w:t>e)</w:t>
      </w:r>
      <w:r w:rsidR="002D3C8B" w:rsidRPr="00DF7B98">
        <w:rPr>
          <w:sz w:val="22"/>
          <w:szCs w:val="22"/>
          <w:lang w:val="en-GB"/>
        </w:rPr>
        <w:t xml:space="preserve"> </w:t>
      </w:r>
      <w:r w:rsidRPr="00DF7B98">
        <w:rPr>
          <w:rFonts w:ascii="Times New Roman" w:hAnsi="Times New Roman" w:cs="Times New Roman"/>
          <w:sz w:val="22"/>
          <w:szCs w:val="22"/>
          <w:lang w:val="en-GB"/>
        </w:rPr>
        <w:t>F</w:t>
      </w:r>
      <w:r w:rsidR="002D3C8B" w:rsidRPr="00DF7B98">
        <w:rPr>
          <w:rFonts w:ascii="Times New Roman" w:hAnsi="Times New Roman" w:cs="Times New Roman"/>
          <w:sz w:val="22"/>
          <w:szCs w:val="22"/>
          <w:lang w:val="en-GB"/>
        </w:rPr>
        <w:t>unding and environmental and social safeguards: innovative solutions to finance and investment</w:t>
      </w:r>
      <w:r w:rsidRPr="00DF7B98">
        <w:rPr>
          <w:rFonts w:ascii="Times New Roman" w:hAnsi="Times New Roman" w:cs="Times New Roman"/>
          <w:sz w:val="22"/>
          <w:szCs w:val="22"/>
          <w:lang w:val="en-GB"/>
        </w:rPr>
        <w:t>;</w:t>
      </w:r>
    </w:p>
    <w:p w14:paraId="057A9DF1" w14:textId="2077834C" w:rsidR="00993D92"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5D5543" w:rsidRPr="00DF7B98">
        <w:rPr>
          <w:rFonts w:ascii="Times New Roman" w:hAnsi="Times New Roman" w:cs="Times New Roman"/>
          <w:sz w:val="22"/>
          <w:szCs w:val="22"/>
          <w:lang w:val="en-GB"/>
        </w:rPr>
        <w:t xml:space="preserve">f) </w:t>
      </w:r>
      <w:r w:rsidRPr="00DF7B98">
        <w:rPr>
          <w:rFonts w:ascii="Times New Roman" w:hAnsi="Times New Roman" w:cs="Times New Roman"/>
          <w:sz w:val="22"/>
          <w:szCs w:val="22"/>
          <w:lang w:val="en-GB"/>
        </w:rPr>
        <w:t>D</w:t>
      </w:r>
      <w:r w:rsidR="005D5543" w:rsidRPr="00DF7B98">
        <w:rPr>
          <w:rFonts w:ascii="Times New Roman" w:hAnsi="Times New Roman" w:cs="Times New Roman"/>
          <w:sz w:val="22"/>
          <w:szCs w:val="22"/>
          <w:lang w:val="en-GB"/>
        </w:rPr>
        <w:t>ata and information</w:t>
      </w:r>
      <w:r w:rsidRPr="00DF7B98">
        <w:rPr>
          <w:rFonts w:ascii="Times New Roman" w:hAnsi="Times New Roman" w:cs="Times New Roman"/>
          <w:sz w:val="22"/>
          <w:szCs w:val="22"/>
          <w:lang w:val="en-GB"/>
        </w:rPr>
        <w:t>;</w:t>
      </w:r>
    </w:p>
    <w:p w14:paraId="433F50BB" w14:textId="40A3CB8F" w:rsidR="001702B8" w:rsidRPr="00DF7B98" w:rsidRDefault="00E55E6D" w:rsidP="00DF7B98">
      <w:pPr>
        <w:spacing w:before="60" w:after="60"/>
        <w:ind w:firstLine="709"/>
        <w:jc w:val="both"/>
        <w:rPr>
          <w:rFonts w:ascii="Times New Roman" w:hAnsi="Times New Roman" w:cs="Times New Roman"/>
          <w:sz w:val="22"/>
          <w:szCs w:val="22"/>
          <w:lang w:val="en-GB"/>
        </w:rPr>
      </w:pPr>
      <w:r w:rsidRPr="00DF7B98">
        <w:rPr>
          <w:rFonts w:ascii="Times New Roman" w:hAnsi="Times New Roman" w:cs="Times New Roman"/>
          <w:sz w:val="22"/>
          <w:szCs w:val="22"/>
          <w:lang w:val="en-GB"/>
        </w:rPr>
        <w:t>(</w:t>
      </w:r>
      <w:r w:rsidR="005D5543" w:rsidRPr="00DF7B98">
        <w:rPr>
          <w:rFonts w:ascii="Times New Roman" w:hAnsi="Times New Roman" w:cs="Times New Roman"/>
          <w:sz w:val="22"/>
          <w:szCs w:val="22"/>
          <w:lang w:val="en-GB"/>
        </w:rPr>
        <w:t xml:space="preserve">g) </w:t>
      </w:r>
      <w:r w:rsidRPr="00DF7B98">
        <w:rPr>
          <w:rFonts w:ascii="Times New Roman" w:hAnsi="Times New Roman" w:cs="Times New Roman"/>
          <w:sz w:val="22"/>
          <w:szCs w:val="22"/>
          <w:lang w:val="en-GB"/>
        </w:rPr>
        <w:t>I</w:t>
      </w:r>
      <w:r w:rsidR="005D5543" w:rsidRPr="00DF7B98">
        <w:rPr>
          <w:rFonts w:ascii="Times New Roman" w:hAnsi="Times New Roman" w:cs="Times New Roman"/>
          <w:sz w:val="22"/>
          <w:szCs w:val="22"/>
          <w:lang w:val="en-GB"/>
        </w:rPr>
        <w:t>nnovation: reducing demand, increasing efficiency and considering alternatives.</w:t>
      </w:r>
    </w:p>
    <w:p w14:paraId="46C91ABF" w14:textId="3C1E4948" w:rsidR="00197488" w:rsidRDefault="00197488" w:rsidP="00993D92">
      <w:pPr>
        <w:spacing w:before="100" w:after="100"/>
        <w:rPr>
          <w:rStyle w:val="apple-converted-space"/>
          <w:rFonts w:ascii="Times New Roman" w:hAnsi="Times New Roman" w:cs="Times New Roman"/>
          <w:b/>
          <w:bCs/>
          <w:sz w:val="22"/>
          <w:szCs w:val="22"/>
          <w:lang w:val="en-GB"/>
        </w:rPr>
      </w:pPr>
      <w:r w:rsidRPr="00DF7B98">
        <w:rPr>
          <w:rStyle w:val="apple-converted-space"/>
          <w:rFonts w:ascii="Times New Roman" w:hAnsi="Times New Roman" w:cs="Times New Roman"/>
          <w:b/>
          <w:bCs/>
          <w:sz w:val="22"/>
          <w:szCs w:val="22"/>
          <w:lang w:val="en-GB"/>
        </w:rPr>
        <w:t>Questions to guide the discussions</w:t>
      </w:r>
    </w:p>
    <w:p w14:paraId="31A46DFD" w14:textId="77777777" w:rsidR="00C34551" w:rsidRPr="00084380" w:rsidRDefault="00C34551" w:rsidP="00C34551">
      <w:pPr>
        <w:pStyle w:val="ListParagraph"/>
        <w:numPr>
          <w:ilvl w:val="0"/>
          <w:numId w:val="47"/>
        </w:numPr>
        <w:spacing w:after="120"/>
        <w:contextualSpacing w:val="0"/>
        <w:rPr>
          <w:rStyle w:val="apple-converted-space"/>
          <w:rFonts w:eastAsia="Times New Roman"/>
          <w:color w:val="000000" w:themeColor="text1"/>
        </w:rPr>
      </w:pPr>
      <w:r w:rsidRPr="00084380">
        <w:rPr>
          <w:rFonts w:ascii="Times New Roman" w:eastAsia="Times New Roman" w:hAnsi="Times New Roman"/>
          <w:bCs/>
          <w:color w:val="000000" w:themeColor="text1"/>
        </w:rPr>
        <w:t>What are the main actions for an enabling environment to mainstream biodiversity in this sector?</w:t>
      </w:r>
    </w:p>
    <w:p w14:paraId="2C13E4EF" w14:textId="77777777" w:rsidR="00197488" w:rsidRPr="00DF7B98" w:rsidRDefault="00197488" w:rsidP="00C34551">
      <w:pPr>
        <w:numPr>
          <w:ilvl w:val="0"/>
          <w:numId w:val="47"/>
        </w:numPr>
        <w:spacing w:after="120"/>
        <w:jc w:val="both"/>
        <w:rPr>
          <w:rStyle w:val="apple-converted-space"/>
          <w:rFonts w:ascii="Times New Roman" w:hAnsi="Times New Roman" w:cs="Times New Roman"/>
          <w:sz w:val="22"/>
          <w:szCs w:val="22"/>
          <w:lang w:val="en-GB"/>
        </w:rPr>
      </w:pPr>
      <w:r w:rsidRPr="00DF7B98">
        <w:rPr>
          <w:rStyle w:val="apple-converted-space"/>
          <w:rFonts w:ascii="Times New Roman" w:hAnsi="Times New Roman" w:cs="Times New Roman"/>
          <w:sz w:val="22"/>
          <w:szCs w:val="22"/>
          <w:lang w:val="en-GB"/>
        </w:rPr>
        <w:t>What are some specific positive examples of biodiversity mainstreaming in the energy and mining sectors?</w:t>
      </w:r>
    </w:p>
    <w:p w14:paraId="38A421A6" w14:textId="77777777" w:rsidR="00E22169" w:rsidRPr="00DF7B98" w:rsidRDefault="00E22169" w:rsidP="00C34551">
      <w:pPr>
        <w:numPr>
          <w:ilvl w:val="0"/>
          <w:numId w:val="45"/>
        </w:numPr>
        <w:spacing w:after="120"/>
        <w:jc w:val="both"/>
        <w:rPr>
          <w:rStyle w:val="apple-converted-space"/>
          <w:rFonts w:ascii="Times New Roman" w:hAnsi="Times New Roman" w:cs="Times New Roman"/>
          <w:sz w:val="22"/>
          <w:szCs w:val="22"/>
          <w:lang w:val="en-GB"/>
        </w:rPr>
      </w:pPr>
      <w:r w:rsidRPr="00DF7B98">
        <w:rPr>
          <w:rStyle w:val="apple-converted-space"/>
          <w:rFonts w:ascii="Times New Roman" w:hAnsi="Times New Roman" w:cs="Times New Roman"/>
          <w:sz w:val="22"/>
          <w:szCs w:val="22"/>
          <w:lang w:val="en-GB"/>
        </w:rPr>
        <w:t>What are the biggest challenges and barriers to mainstreaming biodiversity into the energy and mining sectors? What are the biggest opportunities we have now?</w:t>
      </w:r>
    </w:p>
    <w:p w14:paraId="12426C9C" w14:textId="31B32D43" w:rsidR="00197488" w:rsidRPr="00DF7B98" w:rsidRDefault="00197488" w:rsidP="00C34551">
      <w:pPr>
        <w:numPr>
          <w:ilvl w:val="0"/>
          <w:numId w:val="45"/>
        </w:numPr>
        <w:spacing w:after="120"/>
        <w:jc w:val="both"/>
        <w:rPr>
          <w:rStyle w:val="apple-converted-space"/>
          <w:rFonts w:ascii="Times New Roman" w:hAnsi="Times New Roman" w:cs="Times New Roman"/>
          <w:b/>
          <w:bCs/>
          <w:sz w:val="22"/>
          <w:szCs w:val="22"/>
          <w:lang w:val="en-GB"/>
        </w:rPr>
      </w:pPr>
      <w:r w:rsidRPr="00DF7B98">
        <w:rPr>
          <w:rStyle w:val="apple-converted-space"/>
          <w:rFonts w:ascii="Times New Roman" w:hAnsi="Times New Roman" w:cs="Times New Roman"/>
          <w:sz w:val="22"/>
          <w:szCs w:val="22"/>
          <w:lang w:val="en-GB"/>
        </w:rPr>
        <w:t xml:space="preserve">What additional actions are needed to enable and support biodiversity mainstreaming in these sectors? </w:t>
      </w:r>
      <w:r w:rsidR="00E22169" w:rsidRPr="00DF7B98">
        <w:rPr>
          <w:rStyle w:val="apple-converted-space"/>
          <w:rFonts w:ascii="Times New Roman" w:hAnsi="Times New Roman" w:cs="Times New Roman"/>
          <w:sz w:val="22"/>
          <w:szCs w:val="22"/>
          <w:lang w:val="en-GB"/>
        </w:rPr>
        <w:t>B</w:t>
      </w:r>
      <w:r w:rsidRPr="00DF7B98">
        <w:rPr>
          <w:rStyle w:val="apple-converted-space"/>
          <w:rFonts w:ascii="Times New Roman" w:hAnsi="Times New Roman" w:cs="Times New Roman"/>
          <w:sz w:val="22"/>
          <w:szCs w:val="22"/>
          <w:lang w:val="en-GB"/>
        </w:rPr>
        <w:t>udgeta</w:t>
      </w:r>
      <w:bookmarkStart w:id="0" w:name="_GoBack"/>
      <w:bookmarkEnd w:id="0"/>
      <w:r w:rsidRPr="00DF7B98">
        <w:rPr>
          <w:rStyle w:val="apple-converted-space"/>
          <w:rFonts w:ascii="Times New Roman" w:hAnsi="Times New Roman" w:cs="Times New Roman"/>
          <w:sz w:val="22"/>
          <w:szCs w:val="22"/>
          <w:lang w:val="en-GB"/>
        </w:rPr>
        <w:t>ry</w:t>
      </w:r>
      <w:r w:rsidR="00E22169" w:rsidRPr="00DF7B98">
        <w:rPr>
          <w:rStyle w:val="apple-converted-space"/>
          <w:rFonts w:ascii="Times New Roman" w:hAnsi="Times New Roman" w:cs="Times New Roman"/>
          <w:sz w:val="22"/>
          <w:szCs w:val="22"/>
          <w:lang w:val="en-GB"/>
        </w:rPr>
        <w:t xml:space="preserve"> measures</w:t>
      </w:r>
      <w:r w:rsidRPr="00DF7B98">
        <w:rPr>
          <w:rStyle w:val="apple-converted-space"/>
          <w:rFonts w:ascii="Times New Roman" w:hAnsi="Times New Roman" w:cs="Times New Roman"/>
          <w:sz w:val="22"/>
          <w:szCs w:val="22"/>
          <w:lang w:val="en-GB"/>
        </w:rPr>
        <w:t xml:space="preserve">, </w:t>
      </w:r>
      <w:r w:rsidR="00E22169" w:rsidRPr="00DF7B98">
        <w:rPr>
          <w:rStyle w:val="apple-converted-space"/>
          <w:rFonts w:ascii="Times New Roman" w:hAnsi="Times New Roman" w:cs="Times New Roman"/>
          <w:sz w:val="22"/>
          <w:szCs w:val="22"/>
          <w:lang w:val="en-GB"/>
        </w:rPr>
        <w:t xml:space="preserve">institutional frameworks and </w:t>
      </w:r>
      <w:r w:rsidRPr="00DF7B98">
        <w:rPr>
          <w:rStyle w:val="apple-converted-space"/>
          <w:rFonts w:ascii="Times New Roman" w:hAnsi="Times New Roman" w:cs="Times New Roman"/>
          <w:sz w:val="22"/>
          <w:szCs w:val="22"/>
          <w:lang w:val="en-GB"/>
        </w:rPr>
        <w:t>pro</w:t>
      </w:r>
      <w:r w:rsidR="00E22169" w:rsidRPr="00DF7B98">
        <w:rPr>
          <w:rStyle w:val="apple-converted-space"/>
          <w:rFonts w:ascii="Times New Roman" w:hAnsi="Times New Roman" w:cs="Times New Roman"/>
          <w:sz w:val="22"/>
          <w:szCs w:val="22"/>
          <w:lang w:val="en-GB"/>
        </w:rPr>
        <w:t xml:space="preserve">cesses, legislation and policy </w:t>
      </w:r>
      <w:r w:rsidRPr="00DF7B98">
        <w:rPr>
          <w:rStyle w:val="apple-converted-space"/>
          <w:rFonts w:ascii="Times New Roman" w:hAnsi="Times New Roman" w:cs="Times New Roman"/>
          <w:sz w:val="22"/>
          <w:szCs w:val="22"/>
          <w:lang w:val="en-GB"/>
        </w:rPr>
        <w:t>actions?</w:t>
      </w:r>
    </w:p>
    <w:p w14:paraId="67B5040D" w14:textId="41DC1F5C" w:rsidR="00197488" w:rsidRPr="00DF7B98" w:rsidRDefault="00197488" w:rsidP="00C34551">
      <w:pPr>
        <w:numPr>
          <w:ilvl w:val="0"/>
          <w:numId w:val="45"/>
        </w:numPr>
        <w:spacing w:after="120"/>
        <w:jc w:val="both"/>
        <w:rPr>
          <w:rFonts w:ascii="Times New Roman" w:hAnsi="Times New Roman" w:cs="Times New Roman"/>
          <w:spacing w:val="-2"/>
          <w:sz w:val="22"/>
          <w:szCs w:val="22"/>
          <w:lang w:val="en-GB"/>
        </w:rPr>
      </w:pPr>
      <w:r w:rsidRPr="00DF7B98">
        <w:rPr>
          <w:rStyle w:val="apple-converted-space"/>
          <w:rFonts w:ascii="Times New Roman" w:hAnsi="Times New Roman" w:cs="Times New Roman"/>
          <w:spacing w:val="-2"/>
          <w:sz w:val="22"/>
          <w:szCs w:val="22"/>
          <w:lang w:val="en-GB"/>
        </w:rPr>
        <w:t>Who are the main actors that have a key role to play in achieving biodiversity mainstreaming in these sectors?</w:t>
      </w:r>
    </w:p>
    <w:sectPr w:rsidR="00197488" w:rsidRPr="00DF7B98"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62AB" w14:textId="77777777" w:rsidR="0084288B" w:rsidRDefault="0084288B" w:rsidP="00F94790">
      <w:r>
        <w:separator/>
      </w:r>
    </w:p>
  </w:endnote>
  <w:endnote w:type="continuationSeparator" w:id="0">
    <w:p w14:paraId="396DF539" w14:textId="77777777" w:rsidR="0084288B" w:rsidRDefault="0084288B"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6F8585F2"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2E3DB2" w:rsidRPr="002E3DB2">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752B" w14:textId="77777777" w:rsidR="0084288B" w:rsidRDefault="0084288B" w:rsidP="00F94790">
      <w:r>
        <w:separator/>
      </w:r>
    </w:p>
  </w:footnote>
  <w:footnote w:type="continuationSeparator" w:id="0">
    <w:p w14:paraId="745EB447" w14:textId="77777777" w:rsidR="0084288B" w:rsidRDefault="0084288B"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42C0" w14:textId="77777777" w:rsidR="00AA509E" w:rsidRDefault="008F0F49">
    <w:pPr>
      <w:pStyle w:val="Header"/>
      <w:tabs>
        <w:tab w:val="clear" w:pos="4419"/>
        <w:tab w:val="clear" w:pos="8838"/>
        <w:tab w:val="left" w:pos="3930"/>
      </w:tabs>
      <w:jc w:val="right"/>
    </w:pPr>
    <w:r w:rsidRPr="008F0F49">
      <w:rPr>
        <w:noProof/>
        <w:lang w:val="en-US"/>
      </w:rPr>
      <w:drawing>
        <wp:anchor distT="0" distB="0" distL="114300" distR="114300" simplePos="0" relativeHeight="251661312" behindDoc="0" locked="0" layoutInCell="1" allowOverlap="1" wp14:anchorId="77BD28BA" wp14:editId="2ED0618E">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US"/>
      </w:rPr>
      <w:drawing>
        <wp:anchor distT="0" distB="0" distL="114300" distR="114300" simplePos="0" relativeHeight="251662336" behindDoc="0" locked="0" layoutInCell="1" allowOverlap="1" wp14:anchorId="0B3B5357" wp14:editId="7DF8E068">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654E76F8" w14:textId="77777777" w:rsidR="00AA509E" w:rsidRDefault="00AA509E"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C7A7" w14:textId="77777777" w:rsidR="00AA509E" w:rsidRDefault="008F0F49" w:rsidP="00E837B6">
    <w:pPr>
      <w:pStyle w:val="Header"/>
      <w:tabs>
        <w:tab w:val="clear" w:pos="4419"/>
        <w:tab w:val="clear" w:pos="8838"/>
        <w:tab w:val="right" w:pos="9639"/>
      </w:tabs>
    </w:pPr>
    <w:r>
      <w:rPr>
        <w:noProof/>
        <w:lang w:val="en-US"/>
      </w:rPr>
      <w:drawing>
        <wp:anchor distT="0" distB="0" distL="114300" distR="114300" simplePos="0" relativeHeight="251659264" behindDoc="0" locked="0" layoutInCell="1" allowOverlap="1" wp14:anchorId="4FC5F1A3" wp14:editId="77D3DDCB">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5F09DF3" wp14:editId="4AE827A7">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73060AD6" w14:textId="77777777" w:rsidR="00AA509E" w:rsidRDefault="00AA509E">
    <w:pPr>
      <w:pStyle w:val="Header"/>
      <w:ind w:left="-1276"/>
      <w:jc w:val="right"/>
    </w:pPr>
  </w:p>
  <w:p w14:paraId="49DAA449" w14:textId="77777777" w:rsidR="00AA509E" w:rsidRDefault="00AA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20921"/>
    <w:rsid w:val="0002324B"/>
    <w:rsid w:val="0003393A"/>
    <w:rsid w:val="00033A35"/>
    <w:rsid w:val="0003643F"/>
    <w:rsid w:val="000434D8"/>
    <w:rsid w:val="00047B23"/>
    <w:rsid w:val="00061208"/>
    <w:rsid w:val="000675C2"/>
    <w:rsid w:val="000778AA"/>
    <w:rsid w:val="00077A34"/>
    <w:rsid w:val="00084380"/>
    <w:rsid w:val="000933FE"/>
    <w:rsid w:val="00095E07"/>
    <w:rsid w:val="000A1832"/>
    <w:rsid w:val="000A25B5"/>
    <w:rsid w:val="000C2DCB"/>
    <w:rsid w:val="000C7D25"/>
    <w:rsid w:val="000D76E9"/>
    <w:rsid w:val="000D7793"/>
    <w:rsid w:val="000E4431"/>
    <w:rsid w:val="00100309"/>
    <w:rsid w:val="00100D04"/>
    <w:rsid w:val="00110B05"/>
    <w:rsid w:val="00116806"/>
    <w:rsid w:val="001661F4"/>
    <w:rsid w:val="001702B8"/>
    <w:rsid w:val="001752B7"/>
    <w:rsid w:val="00177ABA"/>
    <w:rsid w:val="0018499D"/>
    <w:rsid w:val="00192863"/>
    <w:rsid w:val="00194313"/>
    <w:rsid w:val="00197488"/>
    <w:rsid w:val="00197F0C"/>
    <w:rsid w:val="001A4F81"/>
    <w:rsid w:val="001B7909"/>
    <w:rsid w:val="001C2CB2"/>
    <w:rsid w:val="001C3F10"/>
    <w:rsid w:val="001C603A"/>
    <w:rsid w:val="001E6F90"/>
    <w:rsid w:val="001E73AB"/>
    <w:rsid w:val="00240B44"/>
    <w:rsid w:val="00245CB5"/>
    <w:rsid w:val="00247D1E"/>
    <w:rsid w:val="00250F88"/>
    <w:rsid w:val="002537F5"/>
    <w:rsid w:val="0027654C"/>
    <w:rsid w:val="00282C37"/>
    <w:rsid w:val="002B1499"/>
    <w:rsid w:val="002B786F"/>
    <w:rsid w:val="002C13E0"/>
    <w:rsid w:val="002C2D20"/>
    <w:rsid w:val="002D3C8B"/>
    <w:rsid w:val="002E24DA"/>
    <w:rsid w:val="002E3DB2"/>
    <w:rsid w:val="002E42B3"/>
    <w:rsid w:val="002F6CD0"/>
    <w:rsid w:val="003006B6"/>
    <w:rsid w:val="003100A0"/>
    <w:rsid w:val="0031137D"/>
    <w:rsid w:val="00317492"/>
    <w:rsid w:val="003246F9"/>
    <w:rsid w:val="00326760"/>
    <w:rsid w:val="00330BD5"/>
    <w:rsid w:val="003344C3"/>
    <w:rsid w:val="00342A4F"/>
    <w:rsid w:val="00344CD6"/>
    <w:rsid w:val="0034624E"/>
    <w:rsid w:val="00360FDE"/>
    <w:rsid w:val="00370F60"/>
    <w:rsid w:val="00371F0A"/>
    <w:rsid w:val="00375EDD"/>
    <w:rsid w:val="00377A02"/>
    <w:rsid w:val="00386271"/>
    <w:rsid w:val="0039160E"/>
    <w:rsid w:val="0039174C"/>
    <w:rsid w:val="00391CA4"/>
    <w:rsid w:val="00397944"/>
    <w:rsid w:val="003A699B"/>
    <w:rsid w:val="003B0EC2"/>
    <w:rsid w:val="003C7F5F"/>
    <w:rsid w:val="003D0384"/>
    <w:rsid w:val="003D539B"/>
    <w:rsid w:val="003E767F"/>
    <w:rsid w:val="003F29B5"/>
    <w:rsid w:val="00412BCD"/>
    <w:rsid w:val="00414632"/>
    <w:rsid w:val="004167C8"/>
    <w:rsid w:val="00416BF5"/>
    <w:rsid w:val="004269DC"/>
    <w:rsid w:val="00445160"/>
    <w:rsid w:val="00446C35"/>
    <w:rsid w:val="00466718"/>
    <w:rsid w:val="0047764B"/>
    <w:rsid w:val="0048296C"/>
    <w:rsid w:val="00487559"/>
    <w:rsid w:val="004B6C74"/>
    <w:rsid w:val="004D7530"/>
    <w:rsid w:val="004E0F4B"/>
    <w:rsid w:val="004E2576"/>
    <w:rsid w:val="005046B5"/>
    <w:rsid w:val="00504DD1"/>
    <w:rsid w:val="0050554C"/>
    <w:rsid w:val="0050636A"/>
    <w:rsid w:val="0051018C"/>
    <w:rsid w:val="0051348F"/>
    <w:rsid w:val="00525C97"/>
    <w:rsid w:val="00542E4C"/>
    <w:rsid w:val="00561BAD"/>
    <w:rsid w:val="00563B42"/>
    <w:rsid w:val="005651D9"/>
    <w:rsid w:val="00565971"/>
    <w:rsid w:val="00565C4D"/>
    <w:rsid w:val="00566B4A"/>
    <w:rsid w:val="005704EA"/>
    <w:rsid w:val="00573061"/>
    <w:rsid w:val="00581A81"/>
    <w:rsid w:val="00586AC8"/>
    <w:rsid w:val="005909E1"/>
    <w:rsid w:val="0059685C"/>
    <w:rsid w:val="005A76D0"/>
    <w:rsid w:val="005B2994"/>
    <w:rsid w:val="005B7C13"/>
    <w:rsid w:val="005C0DD8"/>
    <w:rsid w:val="005D5543"/>
    <w:rsid w:val="005E15D5"/>
    <w:rsid w:val="005E79DB"/>
    <w:rsid w:val="0060058E"/>
    <w:rsid w:val="006007A8"/>
    <w:rsid w:val="006027C8"/>
    <w:rsid w:val="00612075"/>
    <w:rsid w:val="00613264"/>
    <w:rsid w:val="00616140"/>
    <w:rsid w:val="00624394"/>
    <w:rsid w:val="006276B7"/>
    <w:rsid w:val="00640B07"/>
    <w:rsid w:val="00642E14"/>
    <w:rsid w:val="006433AC"/>
    <w:rsid w:val="00656810"/>
    <w:rsid w:val="00657B52"/>
    <w:rsid w:val="00660A5A"/>
    <w:rsid w:val="00683D4D"/>
    <w:rsid w:val="006848E5"/>
    <w:rsid w:val="0069277B"/>
    <w:rsid w:val="006C1343"/>
    <w:rsid w:val="006C2A8B"/>
    <w:rsid w:val="006D389F"/>
    <w:rsid w:val="006E5037"/>
    <w:rsid w:val="006F123F"/>
    <w:rsid w:val="006F38C9"/>
    <w:rsid w:val="006F5D8C"/>
    <w:rsid w:val="00702E09"/>
    <w:rsid w:val="00706879"/>
    <w:rsid w:val="00714EB4"/>
    <w:rsid w:val="00715E7A"/>
    <w:rsid w:val="0072480D"/>
    <w:rsid w:val="0072634A"/>
    <w:rsid w:val="00740165"/>
    <w:rsid w:val="007429B9"/>
    <w:rsid w:val="00743542"/>
    <w:rsid w:val="00775496"/>
    <w:rsid w:val="007762C7"/>
    <w:rsid w:val="007772F5"/>
    <w:rsid w:val="00777BB5"/>
    <w:rsid w:val="00786750"/>
    <w:rsid w:val="0078729F"/>
    <w:rsid w:val="00791F16"/>
    <w:rsid w:val="00795FC6"/>
    <w:rsid w:val="007C1923"/>
    <w:rsid w:val="007C3D28"/>
    <w:rsid w:val="007D4E43"/>
    <w:rsid w:val="007D5724"/>
    <w:rsid w:val="007F402C"/>
    <w:rsid w:val="007F461B"/>
    <w:rsid w:val="0081196A"/>
    <w:rsid w:val="0082098C"/>
    <w:rsid w:val="00822CED"/>
    <w:rsid w:val="00827389"/>
    <w:rsid w:val="0084187F"/>
    <w:rsid w:val="0084288B"/>
    <w:rsid w:val="00845715"/>
    <w:rsid w:val="00854314"/>
    <w:rsid w:val="00862F87"/>
    <w:rsid w:val="008641DE"/>
    <w:rsid w:val="00866FFB"/>
    <w:rsid w:val="0087470B"/>
    <w:rsid w:val="00883947"/>
    <w:rsid w:val="0088410F"/>
    <w:rsid w:val="00886204"/>
    <w:rsid w:val="00895004"/>
    <w:rsid w:val="008A55A9"/>
    <w:rsid w:val="008C7824"/>
    <w:rsid w:val="008D1127"/>
    <w:rsid w:val="008D6BFE"/>
    <w:rsid w:val="008F0A47"/>
    <w:rsid w:val="008F0F49"/>
    <w:rsid w:val="008F3997"/>
    <w:rsid w:val="00902050"/>
    <w:rsid w:val="00903160"/>
    <w:rsid w:val="0093041E"/>
    <w:rsid w:val="00934C2F"/>
    <w:rsid w:val="009541EF"/>
    <w:rsid w:val="00956221"/>
    <w:rsid w:val="00967031"/>
    <w:rsid w:val="00971571"/>
    <w:rsid w:val="009719FE"/>
    <w:rsid w:val="00972641"/>
    <w:rsid w:val="009760F8"/>
    <w:rsid w:val="009839D3"/>
    <w:rsid w:val="00993D92"/>
    <w:rsid w:val="009962E7"/>
    <w:rsid w:val="009A169E"/>
    <w:rsid w:val="009A332E"/>
    <w:rsid w:val="009A34B6"/>
    <w:rsid w:val="009A46E3"/>
    <w:rsid w:val="009A6427"/>
    <w:rsid w:val="009B1640"/>
    <w:rsid w:val="009B4003"/>
    <w:rsid w:val="009C4E38"/>
    <w:rsid w:val="009D1DBC"/>
    <w:rsid w:val="009E3529"/>
    <w:rsid w:val="009F02CE"/>
    <w:rsid w:val="009F3397"/>
    <w:rsid w:val="009F60F9"/>
    <w:rsid w:val="009F6961"/>
    <w:rsid w:val="009F71C8"/>
    <w:rsid w:val="00A03EF0"/>
    <w:rsid w:val="00A10064"/>
    <w:rsid w:val="00A241F3"/>
    <w:rsid w:val="00A2676E"/>
    <w:rsid w:val="00A42F8D"/>
    <w:rsid w:val="00A47E51"/>
    <w:rsid w:val="00A817AA"/>
    <w:rsid w:val="00A93B80"/>
    <w:rsid w:val="00AA03E7"/>
    <w:rsid w:val="00AA1ADE"/>
    <w:rsid w:val="00AA3B67"/>
    <w:rsid w:val="00AA509E"/>
    <w:rsid w:val="00AD7D21"/>
    <w:rsid w:val="00AE1260"/>
    <w:rsid w:val="00AE451E"/>
    <w:rsid w:val="00AE5A57"/>
    <w:rsid w:val="00B03F4A"/>
    <w:rsid w:val="00B0405D"/>
    <w:rsid w:val="00B11F0C"/>
    <w:rsid w:val="00B162FD"/>
    <w:rsid w:val="00B209B4"/>
    <w:rsid w:val="00B267A7"/>
    <w:rsid w:val="00B35EB1"/>
    <w:rsid w:val="00B43C4E"/>
    <w:rsid w:val="00B55551"/>
    <w:rsid w:val="00B615C8"/>
    <w:rsid w:val="00B64CA3"/>
    <w:rsid w:val="00B708AA"/>
    <w:rsid w:val="00B75C01"/>
    <w:rsid w:val="00B76F04"/>
    <w:rsid w:val="00B93767"/>
    <w:rsid w:val="00B977DD"/>
    <w:rsid w:val="00B9793E"/>
    <w:rsid w:val="00BA010A"/>
    <w:rsid w:val="00BB40B9"/>
    <w:rsid w:val="00BC22B1"/>
    <w:rsid w:val="00BD10E4"/>
    <w:rsid w:val="00BD7B0B"/>
    <w:rsid w:val="00C01524"/>
    <w:rsid w:val="00C02631"/>
    <w:rsid w:val="00C0603D"/>
    <w:rsid w:val="00C11210"/>
    <w:rsid w:val="00C24B66"/>
    <w:rsid w:val="00C34551"/>
    <w:rsid w:val="00C40CED"/>
    <w:rsid w:val="00C5519A"/>
    <w:rsid w:val="00C66CC5"/>
    <w:rsid w:val="00C74CB9"/>
    <w:rsid w:val="00C770F9"/>
    <w:rsid w:val="00C7799A"/>
    <w:rsid w:val="00C8028E"/>
    <w:rsid w:val="00C84016"/>
    <w:rsid w:val="00C927F7"/>
    <w:rsid w:val="00C94CDA"/>
    <w:rsid w:val="00CA0600"/>
    <w:rsid w:val="00CA1186"/>
    <w:rsid w:val="00CB1B8F"/>
    <w:rsid w:val="00CB2C0C"/>
    <w:rsid w:val="00CB2E1A"/>
    <w:rsid w:val="00CC23A3"/>
    <w:rsid w:val="00CC66E3"/>
    <w:rsid w:val="00CC7482"/>
    <w:rsid w:val="00CD5ACD"/>
    <w:rsid w:val="00CE4582"/>
    <w:rsid w:val="00CF4CAB"/>
    <w:rsid w:val="00D23E1D"/>
    <w:rsid w:val="00D26B3A"/>
    <w:rsid w:val="00D35F72"/>
    <w:rsid w:val="00D4221F"/>
    <w:rsid w:val="00D4651A"/>
    <w:rsid w:val="00D477DF"/>
    <w:rsid w:val="00D561D8"/>
    <w:rsid w:val="00D5648F"/>
    <w:rsid w:val="00D63950"/>
    <w:rsid w:val="00D75717"/>
    <w:rsid w:val="00D85A13"/>
    <w:rsid w:val="00D92B39"/>
    <w:rsid w:val="00DA0F4B"/>
    <w:rsid w:val="00DA505E"/>
    <w:rsid w:val="00DB4F81"/>
    <w:rsid w:val="00DC584C"/>
    <w:rsid w:val="00DD1F4A"/>
    <w:rsid w:val="00DE7F41"/>
    <w:rsid w:val="00DF108A"/>
    <w:rsid w:val="00DF3BE4"/>
    <w:rsid w:val="00DF7B98"/>
    <w:rsid w:val="00E06663"/>
    <w:rsid w:val="00E06BFB"/>
    <w:rsid w:val="00E13805"/>
    <w:rsid w:val="00E22169"/>
    <w:rsid w:val="00E2335C"/>
    <w:rsid w:val="00E2565C"/>
    <w:rsid w:val="00E30A24"/>
    <w:rsid w:val="00E35D4A"/>
    <w:rsid w:val="00E4432A"/>
    <w:rsid w:val="00E55E6D"/>
    <w:rsid w:val="00E611F8"/>
    <w:rsid w:val="00E705E6"/>
    <w:rsid w:val="00E7286C"/>
    <w:rsid w:val="00E837B6"/>
    <w:rsid w:val="00E95571"/>
    <w:rsid w:val="00EB4CE4"/>
    <w:rsid w:val="00EC1933"/>
    <w:rsid w:val="00ED0F8A"/>
    <w:rsid w:val="00ED1018"/>
    <w:rsid w:val="00ED1353"/>
    <w:rsid w:val="00ED185B"/>
    <w:rsid w:val="00ED1EE2"/>
    <w:rsid w:val="00ED2289"/>
    <w:rsid w:val="00EE4D5E"/>
    <w:rsid w:val="00EE77F3"/>
    <w:rsid w:val="00EF6706"/>
    <w:rsid w:val="00EF7509"/>
    <w:rsid w:val="00F0646D"/>
    <w:rsid w:val="00F27CE6"/>
    <w:rsid w:val="00F33FFD"/>
    <w:rsid w:val="00F36BAB"/>
    <w:rsid w:val="00F51AD2"/>
    <w:rsid w:val="00F53B83"/>
    <w:rsid w:val="00F53C73"/>
    <w:rsid w:val="00F66929"/>
    <w:rsid w:val="00F72998"/>
    <w:rsid w:val="00F74B30"/>
    <w:rsid w:val="00F74C03"/>
    <w:rsid w:val="00F84E37"/>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036E18"/>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D9A7-52D0-4CFB-A69E-D1AF0A46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in the energy and mining sector</vt:lpstr>
      <vt:lpstr/>
    </vt:vector>
  </TitlesOfParts>
  <Company>SCBD</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energy and mining sector</dc:title>
  <dc:creator>Paola Guadalupe  Lino Torres</dc:creator>
  <cp:lastModifiedBy>Veronique Lefebvre</cp:lastModifiedBy>
  <cp:revision>3</cp:revision>
  <cp:lastPrinted>2016-10-24T15:05:00Z</cp:lastPrinted>
  <dcterms:created xsi:type="dcterms:W3CDTF">2018-10-22T19:11:00Z</dcterms:created>
  <dcterms:modified xsi:type="dcterms:W3CDTF">2018-10-22T19:11:00Z</dcterms:modified>
</cp:coreProperties>
</file>