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5774C" w14:paraId="5FD772FB" w14:textId="77777777" w:rsidTr="008A1499">
        <w:trPr>
          <w:trHeight w:val="850"/>
        </w:trPr>
        <w:tc>
          <w:tcPr>
            <w:tcW w:w="975" w:type="dxa"/>
            <w:vAlign w:val="bottom"/>
          </w:tcPr>
          <w:p w14:paraId="608239FE" w14:textId="77777777" w:rsidR="009C6797" w:rsidRDefault="00D0321D">
            <w:pPr>
              <w:pStyle w:val="AASmallLogo"/>
            </w:pPr>
            <w:r>
              <w:t xml:space="preserve"> </w:t>
            </w:r>
            <w:r w:rsidRPr="0065774C">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FA60B5F" w14:textId="77777777" w:rsidR="008A1499" w:rsidRPr="0065774C" w:rsidRDefault="008A1499" w:rsidP="008A1499">
            <w:pPr>
              <w:pStyle w:val="AASmallLogo"/>
            </w:pPr>
          </w:p>
        </w:tc>
        <w:tc>
          <w:tcPr>
            <w:tcW w:w="1434" w:type="dxa"/>
            <w:noWrap/>
            <w:vAlign w:val="bottom"/>
          </w:tcPr>
          <w:p w14:paraId="7EF7B1EA" w14:textId="669C474A" w:rsidR="009C6797" w:rsidRDefault="00D0321D">
            <w:pPr>
              <w:pStyle w:val="AASmallLogo"/>
            </w:pPr>
            <w:r>
              <w:t xml:space="preserve"> </w:t>
            </w:r>
            <w:r w:rsidR="000276B5" w:rsidRPr="00296F19">
              <w:rPr>
                <w:rFonts w:eastAsia="DengXian"/>
                <w:noProof/>
                <w:lang w:val="fr-CA" w:eastAsia="fr-CA"/>
              </w:rPr>
              <w:drawing>
                <wp:inline distT="0" distB="0" distL="0" distR="0" wp14:anchorId="1467D367" wp14:editId="6E25D102">
                  <wp:extent cx="593725" cy="340995"/>
                  <wp:effectExtent l="0" t="0" r="0" b="190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p w14:paraId="5DA49003" w14:textId="77777777" w:rsidR="008A1499" w:rsidRPr="0065774C" w:rsidRDefault="008A1499" w:rsidP="008A1499">
            <w:pPr>
              <w:pStyle w:val="AASmallLogo"/>
            </w:pPr>
          </w:p>
        </w:tc>
        <w:tc>
          <w:tcPr>
            <w:tcW w:w="8073" w:type="dxa"/>
            <w:vAlign w:val="bottom"/>
          </w:tcPr>
          <w:p w14:paraId="7F716CBE" w14:textId="77777777" w:rsidR="009C6797" w:rsidRDefault="00D0321D">
            <w:pPr>
              <w:pStyle w:val="ABSymbol"/>
            </w:pPr>
            <w:r>
              <w:rPr>
                <w:sz w:val="40"/>
              </w:rPr>
              <w:t>CBD</w:t>
            </w:r>
            <w:r>
              <w:t>/COP/17/5</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774C" w14:paraId="6534970E" w14:textId="77777777" w:rsidTr="008A1499">
        <w:trPr>
          <w:trHeight w:val="1814"/>
        </w:trPr>
        <w:tc>
          <w:tcPr>
            <w:tcW w:w="7370" w:type="dxa"/>
          </w:tcPr>
          <w:p w14:paraId="3D65B646" w14:textId="738138D5" w:rsidR="009C6797" w:rsidRDefault="00D0321D">
            <w:pPr>
              <w:pStyle w:val="ACLargeLogo"/>
            </w:pPr>
            <w:r>
              <w:t xml:space="preserve"> </w:t>
            </w:r>
          </w:p>
          <w:p w14:paraId="2F40822B" w14:textId="37355E2D" w:rsidR="008A1499" w:rsidRPr="0065774C" w:rsidRDefault="00F52A3E" w:rsidP="008A1499">
            <w:pPr>
              <w:pStyle w:val="ACLargeLogo"/>
            </w:pPr>
            <w:r w:rsidRPr="00296F19">
              <w:rPr>
                <w:b/>
                <w:bCs/>
                <w:noProof/>
                <w:lang w:val="fr-CA" w:eastAsia="fr-CA"/>
              </w:rPr>
              <w:drawing>
                <wp:inline distT="0" distB="0" distL="0" distR="0" wp14:anchorId="156ABBCB" wp14:editId="3AB30D40">
                  <wp:extent cx="2857500" cy="1076325"/>
                  <wp:effectExtent l="0" t="0" r="0" b="9525"/>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020E8203" w14:textId="220725A8" w:rsidR="009C6797" w:rsidRDefault="00D0321D">
            <w:pPr>
              <w:pStyle w:val="AEDistrNormal"/>
            </w:pPr>
            <w:r>
              <w:t xml:space="preserve">Distr. : </w:t>
            </w:r>
            <w:r w:rsidR="008C3E2E">
              <w:t>G</w:t>
            </w:r>
            <w:r>
              <w:t>énéral</w:t>
            </w:r>
            <w:r w:rsidR="005C3AE9">
              <w:t>e</w:t>
            </w:r>
            <w:r>
              <w:t xml:space="preserve"> </w:t>
            </w:r>
          </w:p>
          <w:p w14:paraId="019E53C2" w14:textId="77777777" w:rsidR="009C6797" w:rsidRDefault="00D0321D">
            <w:pPr>
              <w:pStyle w:val="AEDistrNormal"/>
            </w:pPr>
            <w:r>
              <w:t xml:space="preserve">4 septembre 2026 </w:t>
            </w:r>
          </w:p>
          <w:p w14:paraId="7098DF7C" w14:textId="49665620" w:rsidR="005C3AE9" w:rsidRDefault="005C3AE9" w:rsidP="005C3AE9">
            <w:pPr>
              <w:pStyle w:val="AEDistrNormal6pt"/>
              <w:spacing w:before="0"/>
            </w:pPr>
            <w:r>
              <w:t>Français</w:t>
            </w:r>
          </w:p>
          <w:p w14:paraId="31FFE277" w14:textId="6E7B8083" w:rsidR="009C6797" w:rsidRDefault="00D0321D" w:rsidP="005C3AE9">
            <w:pPr>
              <w:pStyle w:val="AEDistrNormal6pt"/>
              <w:spacing w:before="0"/>
            </w:pPr>
            <w:r>
              <w:t xml:space="preserve">Original : </w:t>
            </w:r>
            <w:r w:rsidR="0065112D">
              <w:t>a</w:t>
            </w:r>
            <w:r>
              <w:t xml:space="preserve">nglais </w:t>
            </w:r>
          </w:p>
        </w:tc>
      </w:tr>
    </w:tbl>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409FC76A" w14:textId="13C6E5D2" w:rsidR="009C6797" w:rsidRDefault="00D0321D">
            <w:pPr>
              <w:pStyle w:val="AFCorN12Bold"/>
            </w:pPr>
            <w:r>
              <w:t xml:space="preserve">Conférence des Parties à la Convention </w:t>
            </w:r>
            <w:r>
              <w:br/>
              <w:t xml:space="preserve">sur la diversité biologique </w:t>
            </w:r>
          </w:p>
          <w:p w14:paraId="4CB2128C" w14:textId="0DFA3618" w:rsidR="009C6797" w:rsidRDefault="00D0321D">
            <w:pPr>
              <w:pStyle w:val="AFCorNBold"/>
            </w:pPr>
            <w:r>
              <w:t xml:space="preserve">Dix-septième </w:t>
            </w:r>
            <w:r w:rsidR="00232943">
              <w:t>réunion</w:t>
            </w:r>
            <w:r>
              <w:t xml:space="preserve"> </w:t>
            </w:r>
          </w:p>
          <w:p w14:paraId="667E6FB5" w14:textId="77777777" w:rsidR="009C6797" w:rsidRDefault="00D0321D">
            <w:pPr>
              <w:pStyle w:val="AFCorNNormal"/>
            </w:pPr>
            <w:r>
              <w:t xml:space="preserve">Erevan, </w:t>
            </w:r>
            <w:r>
              <w:rPr>
                <w:snapToGrid w:val="0"/>
                <w:kern w:val="22"/>
              </w:rPr>
              <w:t>19-30 octobre 2026</w:t>
            </w:r>
          </w:p>
          <w:p w14:paraId="1B904D58" w14:textId="66C5FEBD" w:rsidR="009C6797" w:rsidRDefault="00D0321D">
            <w:pPr>
              <w:pStyle w:val="AFCorNNormal"/>
            </w:pPr>
            <w:r>
              <w:t>Point 8 de l</w:t>
            </w:r>
            <w:r w:rsidR="00087107">
              <w:t>’</w:t>
            </w:r>
            <w:r>
              <w:t>ordre du jour</w:t>
            </w:r>
            <w:r w:rsidR="00232943">
              <w:t xml:space="preserve"> </w:t>
            </w:r>
            <w:r>
              <w:footnoteReference w:customMarkFollows="1" w:id="1"/>
              <w:t>provisoire</w:t>
            </w:r>
            <w:r>
              <w:rPr>
                <w:rStyle w:val="FootnoteReference"/>
              </w:rPr>
              <w:t>*</w:t>
            </w:r>
            <w:r>
              <w:t xml:space="preserve"> </w:t>
            </w:r>
          </w:p>
          <w:p w14:paraId="6ED50B1F" w14:textId="6FA44641" w:rsidR="009C6797" w:rsidRDefault="00D0321D" w:rsidP="000276B5">
            <w:pPr>
              <w:pStyle w:val="AFCorNBold"/>
              <w:tabs>
                <w:tab w:val="left" w:pos="3828"/>
              </w:tabs>
              <w:spacing w:after="120"/>
              <w:ind w:right="1739"/>
            </w:pPr>
            <w:r>
              <w:t xml:space="preserve">Mobilisation des ressources et </w:t>
            </w:r>
            <w:r w:rsidR="00232943">
              <w:t xml:space="preserve">mécanisme de </w:t>
            </w:r>
            <w:r>
              <w:t xml:space="preserve">financement </w:t>
            </w:r>
            <w:r>
              <w:br/>
            </w:r>
          </w:p>
        </w:tc>
        <w:tc>
          <w:tcPr>
            <w:tcW w:w="4388" w:type="dxa"/>
          </w:tcPr>
          <w:p w14:paraId="13BA7841" w14:textId="77777777" w:rsidR="008A1499" w:rsidRPr="0065774C" w:rsidRDefault="008A1499" w:rsidP="008A1499">
            <w:pPr>
              <w:pStyle w:val="CBDNormal"/>
              <w:jc w:val="left"/>
            </w:pPr>
          </w:p>
        </w:tc>
      </w:tr>
    </w:tbl>
    <w:p w14:paraId="7E189C98" w14:textId="03E6E3BA" w:rsidR="009C6797" w:rsidRDefault="00D0321D">
      <w:pPr>
        <w:pStyle w:val="CBDTitle"/>
        <w:rPr>
          <w:caps/>
        </w:rPr>
      </w:pPr>
      <w:r>
        <w:t xml:space="preserve">Mobilisation des ressources et mécanisme </w:t>
      </w:r>
      <w:r w:rsidR="00232943">
        <w:t xml:space="preserve">de </w:t>
      </w:r>
      <w:r>
        <w:t>financ</w:t>
      </w:r>
      <w:r w:rsidR="00232943">
        <w:t>ement</w:t>
      </w:r>
    </w:p>
    <w:p w14:paraId="113C68A2" w14:textId="77777777" w:rsidR="009C6797" w:rsidRDefault="00D0321D">
      <w:pPr>
        <w:pStyle w:val="CBDSubTitle"/>
      </w:pPr>
      <w:r>
        <w:t>Note du Secrétariat</w:t>
      </w:r>
    </w:p>
    <w:p w14:paraId="5586DA9A" w14:textId="77777777" w:rsidR="009C6797" w:rsidRDefault="00D0321D">
      <w:pPr>
        <w:pStyle w:val="CBDH1"/>
      </w:pPr>
      <w:r>
        <w:t>I.</w:t>
      </w:r>
      <w:r>
        <w:tab/>
        <w:t>Introduction</w:t>
      </w:r>
    </w:p>
    <w:p w14:paraId="317D3849" w14:textId="1C571C0A" w:rsidR="009C6797" w:rsidRDefault="00D0321D">
      <w:pPr>
        <w:pStyle w:val="CBDNormalNumber"/>
        <w:rPr>
          <w:rFonts w:eastAsia="Times New Roman"/>
          <w:bCs/>
          <w:szCs w:val="24"/>
        </w:rPr>
      </w:pPr>
      <w:r>
        <w:rPr>
          <w:rFonts w:eastAsia="Times New Roman"/>
          <w:bCs/>
          <w:szCs w:val="24"/>
        </w:rPr>
        <w:t>La présente note rend compte des activités intersessions relatives à la mobilisation des ressources (</w:t>
      </w:r>
      <w:r w:rsidR="0065112D">
        <w:rPr>
          <w:rFonts w:eastAsia="Times New Roman"/>
          <w:bCs/>
          <w:szCs w:val="24"/>
        </w:rPr>
        <w:t>partie</w:t>
      </w:r>
      <w:r>
        <w:rPr>
          <w:rFonts w:eastAsia="Times New Roman"/>
          <w:bCs/>
          <w:szCs w:val="24"/>
        </w:rPr>
        <w:t xml:space="preserve"> II) et au mécanisme de financement (</w:t>
      </w:r>
      <w:r w:rsidR="0065112D">
        <w:rPr>
          <w:rFonts w:eastAsia="Times New Roman"/>
          <w:bCs/>
          <w:szCs w:val="24"/>
        </w:rPr>
        <w:t>parties</w:t>
      </w:r>
      <w:r>
        <w:rPr>
          <w:rFonts w:eastAsia="Times New Roman"/>
          <w:bCs/>
          <w:szCs w:val="24"/>
        </w:rPr>
        <w:t xml:space="preserve"> III) </w:t>
      </w:r>
      <w:r w:rsidR="0065112D">
        <w:rPr>
          <w:rFonts w:eastAsia="Times New Roman"/>
          <w:bCs/>
          <w:szCs w:val="24"/>
        </w:rPr>
        <w:t>menée</w:t>
      </w:r>
      <w:r>
        <w:rPr>
          <w:rFonts w:eastAsia="Times New Roman"/>
          <w:bCs/>
          <w:szCs w:val="24"/>
        </w:rPr>
        <w:t>s par l</w:t>
      </w:r>
      <w:r w:rsidR="00087107">
        <w:rPr>
          <w:rFonts w:eastAsia="Times New Roman"/>
          <w:bCs/>
          <w:szCs w:val="24"/>
        </w:rPr>
        <w:t>’</w:t>
      </w:r>
      <w:r>
        <w:rPr>
          <w:rFonts w:eastAsia="Times New Roman"/>
          <w:bCs/>
          <w:szCs w:val="24"/>
        </w:rPr>
        <w:t xml:space="preserve">Organe subsidiaire </w:t>
      </w:r>
      <w:r w:rsidR="009324E2">
        <w:rPr>
          <w:rFonts w:eastAsia="Times New Roman"/>
          <w:bCs/>
          <w:szCs w:val="24"/>
        </w:rPr>
        <w:t>chargé de l</w:t>
      </w:r>
      <w:r w:rsidR="00087107">
        <w:rPr>
          <w:rFonts w:eastAsia="Times New Roman"/>
          <w:bCs/>
          <w:szCs w:val="24"/>
        </w:rPr>
        <w:t>’</w:t>
      </w:r>
      <w:r w:rsidR="009324E2">
        <w:rPr>
          <w:rFonts w:eastAsia="Times New Roman"/>
          <w:bCs/>
          <w:szCs w:val="24"/>
        </w:rPr>
        <w:t>application</w:t>
      </w:r>
      <w:r>
        <w:rPr>
          <w:rFonts w:eastAsia="Times New Roman"/>
          <w:bCs/>
          <w:szCs w:val="24"/>
        </w:rPr>
        <w:t xml:space="preserve"> à ses sixième et septième réunions et par le Secrétariat.</w:t>
      </w:r>
    </w:p>
    <w:p w14:paraId="2BE52967" w14:textId="672B24CF" w:rsidR="009C6797" w:rsidRDefault="00D0321D">
      <w:pPr>
        <w:pStyle w:val="CBDNormalNumber"/>
        <w:rPr>
          <w:rFonts w:eastAsia="Times New Roman"/>
          <w:bCs/>
          <w:szCs w:val="24"/>
        </w:rPr>
      </w:pPr>
      <w:r>
        <w:rPr>
          <w:rFonts w:eastAsia="Times New Roman"/>
          <w:bCs/>
          <w:szCs w:val="24"/>
        </w:rPr>
        <w:t>À ces deux réunions, l</w:t>
      </w:r>
      <w:r w:rsidR="00087107">
        <w:rPr>
          <w:rFonts w:eastAsia="Times New Roman"/>
          <w:bCs/>
          <w:szCs w:val="24"/>
        </w:rPr>
        <w:t>’</w:t>
      </w:r>
      <w:r>
        <w:rPr>
          <w:rFonts w:eastAsia="Times New Roman"/>
          <w:bCs/>
          <w:szCs w:val="24"/>
        </w:rPr>
        <w:t xml:space="preserve">Organe subsidiaire a examiné la mobilisation des ressources et le mécanisme </w:t>
      </w:r>
      <w:r w:rsidR="009324E2">
        <w:rPr>
          <w:rFonts w:eastAsia="Times New Roman"/>
          <w:bCs/>
          <w:szCs w:val="24"/>
        </w:rPr>
        <w:t>de financement</w:t>
      </w:r>
      <w:r>
        <w:rPr>
          <w:rFonts w:eastAsia="Times New Roman"/>
          <w:bCs/>
          <w:szCs w:val="24"/>
        </w:rPr>
        <w:t xml:space="preserve"> en tant que points subsidiaires distincts de l</w:t>
      </w:r>
      <w:r w:rsidR="00087107">
        <w:rPr>
          <w:rFonts w:eastAsia="Times New Roman"/>
          <w:bCs/>
          <w:szCs w:val="24"/>
        </w:rPr>
        <w:t>’</w:t>
      </w:r>
      <w:r>
        <w:rPr>
          <w:rFonts w:eastAsia="Times New Roman"/>
          <w:bCs/>
          <w:szCs w:val="24"/>
        </w:rPr>
        <w:t xml:space="preserve">ordre du jour et a adopté les recommandations </w:t>
      </w:r>
      <w:hyperlink r:id="rId15" w:history="1">
        <w:r w:rsidR="009C6797">
          <w:rPr>
            <w:rStyle w:val="Hyperlink"/>
            <w:rFonts w:eastAsia="Times New Roman"/>
            <w:bCs/>
            <w:szCs w:val="24"/>
          </w:rPr>
          <w:t>6/1</w:t>
        </w:r>
      </w:hyperlink>
      <w:r>
        <w:rPr>
          <w:rFonts w:eastAsia="Times New Roman"/>
          <w:bCs/>
          <w:szCs w:val="24"/>
        </w:rPr>
        <w:t xml:space="preserve"> et 7/2 sur la mobilisation des ressources</w:t>
      </w:r>
      <w:r w:rsidR="00AB20A3">
        <w:rPr>
          <w:rFonts w:eastAsia="Times New Roman"/>
          <w:bCs/>
          <w:szCs w:val="24"/>
        </w:rPr>
        <w:t>,</w:t>
      </w:r>
      <w:r>
        <w:rPr>
          <w:rFonts w:eastAsia="Times New Roman"/>
          <w:bCs/>
          <w:szCs w:val="24"/>
        </w:rPr>
        <w:t xml:space="preserve"> et les recommandations </w:t>
      </w:r>
      <w:hyperlink r:id="rId16" w:history="1">
        <w:r w:rsidR="009C6797">
          <w:rPr>
            <w:rStyle w:val="Hyperlink"/>
            <w:rFonts w:eastAsia="Times New Roman"/>
            <w:bCs/>
            <w:szCs w:val="24"/>
          </w:rPr>
          <w:t>6/2</w:t>
        </w:r>
      </w:hyperlink>
      <w:r>
        <w:rPr>
          <w:rFonts w:eastAsia="Times New Roman"/>
          <w:bCs/>
          <w:szCs w:val="24"/>
        </w:rPr>
        <w:t xml:space="preserve"> et 7/3 sur le mécanisme </w:t>
      </w:r>
      <w:r w:rsidR="009324E2">
        <w:rPr>
          <w:rFonts w:eastAsia="Times New Roman"/>
          <w:bCs/>
          <w:szCs w:val="24"/>
        </w:rPr>
        <w:t>de financement</w:t>
      </w:r>
      <w:r>
        <w:rPr>
          <w:rFonts w:eastAsia="Times New Roman"/>
          <w:bCs/>
          <w:szCs w:val="24"/>
        </w:rPr>
        <w:t>. Les éléments d</w:t>
      </w:r>
      <w:r w:rsidR="00087107">
        <w:rPr>
          <w:rFonts w:eastAsia="Times New Roman"/>
          <w:bCs/>
          <w:szCs w:val="24"/>
        </w:rPr>
        <w:t>’</w:t>
      </w:r>
      <w:r>
        <w:rPr>
          <w:rFonts w:eastAsia="Times New Roman"/>
          <w:bCs/>
          <w:szCs w:val="24"/>
        </w:rPr>
        <w:t>un projet de décision figurant dans ces recommandations</w:t>
      </w:r>
      <w:r w:rsidR="009324E2">
        <w:rPr>
          <w:rFonts w:eastAsia="Times New Roman"/>
          <w:bCs/>
          <w:szCs w:val="24"/>
        </w:rPr>
        <w:t xml:space="preserve"> </w:t>
      </w:r>
      <w:r>
        <w:rPr>
          <w:rFonts w:eastAsia="Times New Roman"/>
          <w:bCs/>
          <w:szCs w:val="24"/>
        </w:rPr>
        <w:t>ont été regroupés en deux projets de décision distincts, un pour chacun des deux sous-points de l</w:t>
      </w:r>
      <w:r w:rsidR="00087107">
        <w:rPr>
          <w:rFonts w:eastAsia="Times New Roman"/>
          <w:bCs/>
          <w:szCs w:val="24"/>
        </w:rPr>
        <w:t>’</w:t>
      </w:r>
      <w:r>
        <w:rPr>
          <w:rFonts w:eastAsia="Times New Roman"/>
          <w:bCs/>
          <w:szCs w:val="24"/>
        </w:rPr>
        <w:t xml:space="preserve">ordre du jour, </w:t>
      </w:r>
      <w:r w:rsidR="000E651D">
        <w:rPr>
          <w:rFonts w:eastAsia="Times New Roman"/>
          <w:bCs/>
          <w:szCs w:val="24"/>
        </w:rPr>
        <w:t>aux fins d’</w:t>
      </w:r>
      <w:r>
        <w:rPr>
          <w:rFonts w:eastAsia="Times New Roman"/>
          <w:bCs/>
          <w:szCs w:val="24"/>
        </w:rPr>
        <w:t>examen ultérieur par la Conférence des Parties à sa dix-septième réunion. Les deux projets de décision consolidés seront inclus dans la compilation des projets de décision figurant dans le document CBD/COP/17/2.</w:t>
      </w:r>
    </w:p>
    <w:p w14:paraId="117228F1" w14:textId="23BE5BAE" w:rsidR="009C6797" w:rsidRDefault="00D0321D">
      <w:pPr>
        <w:pStyle w:val="CBDNormalNumber"/>
        <w:rPr>
          <w:rFonts w:eastAsia="Times New Roman"/>
          <w:bCs/>
          <w:szCs w:val="24"/>
        </w:rPr>
      </w:pPr>
      <w:r>
        <w:rPr>
          <w:rFonts w:eastAsia="Times New Roman"/>
          <w:bCs/>
          <w:szCs w:val="24"/>
        </w:rPr>
        <w:t>Comme on l</w:t>
      </w:r>
      <w:r w:rsidR="00087107">
        <w:rPr>
          <w:rFonts w:eastAsia="Times New Roman"/>
          <w:bCs/>
          <w:szCs w:val="24"/>
        </w:rPr>
        <w:t>’</w:t>
      </w:r>
      <w:r>
        <w:rPr>
          <w:rFonts w:eastAsia="Times New Roman"/>
          <w:bCs/>
          <w:szCs w:val="24"/>
        </w:rPr>
        <w:t xml:space="preserve">expliquera dans la </w:t>
      </w:r>
      <w:r w:rsidR="00426DE7">
        <w:rPr>
          <w:rFonts w:eastAsia="Times New Roman"/>
          <w:bCs/>
          <w:szCs w:val="24"/>
        </w:rPr>
        <w:t>partie</w:t>
      </w:r>
      <w:r>
        <w:rPr>
          <w:rFonts w:eastAsia="Times New Roman"/>
          <w:bCs/>
          <w:szCs w:val="24"/>
        </w:rPr>
        <w:t xml:space="preserve"> II.A ci-après, la recommandation </w:t>
      </w:r>
      <w:hyperlink r:id="rId17" w:history="1">
        <w:r w:rsidR="009C6797">
          <w:rPr>
            <w:rStyle w:val="Hyperlink"/>
            <w:rFonts w:eastAsia="Times New Roman"/>
            <w:bCs/>
            <w:szCs w:val="24"/>
          </w:rPr>
          <w:t>6/1</w:t>
        </w:r>
      </w:hyperlink>
      <w:r>
        <w:rPr>
          <w:rFonts w:eastAsia="Times New Roman"/>
          <w:bCs/>
          <w:szCs w:val="24"/>
        </w:rPr>
        <w:t xml:space="preserve"> sur la mobilisation de ressources contenait des demandes adressées au Secrétariat, qui ont abouti à un certain nombre de propositions d</w:t>
      </w:r>
      <w:r w:rsidR="00A31856">
        <w:rPr>
          <w:rFonts w:eastAsia="Times New Roman"/>
          <w:bCs/>
          <w:szCs w:val="24"/>
        </w:rPr>
        <w:t>e modification</w:t>
      </w:r>
      <w:r>
        <w:rPr>
          <w:rFonts w:eastAsia="Times New Roman"/>
          <w:bCs/>
          <w:szCs w:val="24"/>
        </w:rPr>
        <w:t xml:space="preserve"> </w:t>
      </w:r>
      <w:r w:rsidR="00FE39FF">
        <w:rPr>
          <w:rFonts w:eastAsia="Times New Roman"/>
          <w:bCs/>
          <w:szCs w:val="24"/>
        </w:rPr>
        <w:t>d’</w:t>
      </w:r>
      <w:r>
        <w:rPr>
          <w:rFonts w:eastAsia="Times New Roman"/>
          <w:bCs/>
          <w:szCs w:val="24"/>
        </w:rPr>
        <w:t>éléments d</w:t>
      </w:r>
      <w:r w:rsidR="00087107">
        <w:rPr>
          <w:rFonts w:eastAsia="Times New Roman"/>
          <w:bCs/>
          <w:szCs w:val="24"/>
        </w:rPr>
        <w:t>’</w:t>
      </w:r>
      <w:r>
        <w:rPr>
          <w:rFonts w:eastAsia="Times New Roman"/>
          <w:bCs/>
          <w:szCs w:val="24"/>
        </w:rPr>
        <w:t>un projet de décision figurant dans cette recommandation. Les</w:t>
      </w:r>
      <w:r w:rsidR="005E39E5">
        <w:rPr>
          <w:rFonts w:eastAsia="Times New Roman"/>
          <w:bCs/>
          <w:szCs w:val="24"/>
        </w:rPr>
        <w:t> modification</w:t>
      </w:r>
      <w:r>
        <w:rPr>
          <w:rFonts w:eastAsia="Times New Roman"/>
          <w:bCs/>
          <w:szCs w:val="24"/>
        </w:rPr>
        <w:t>s suggéré</w:t>
      </w:r>
      <w:r w:rsidR="005E39E5">
        <w:rPr>
          <w:rFonts w:eastAsia="Times New Roman"/>
          <w:bCs/>
          <w:szCs w:val="24"/>
        </w:rPr>
        <w:t>e</w:t>
      </w:r>
      <w:r>
        <w:rPr>
          <w:rFonts w:eastAsia="Times New Roman"/>
          <w:bCs/>
          <w:szCs w:val="24"/>
        </w:rPr>
        <w:t>s, qui sont détaillé</w:t>
      </w:r>
      <w:r w:rsidR="005E39E5">
        <w:rPr>
          <w:rFonts w:eastAsia="Times New Roman"/>
          <w:bCs/>
          <w:szCs w:val="24"/>
        </w:rPr>
        <w:t>e</w:t>
      </w:r>
      <w:r>
        <w:rPr>
          <w:rFonts w:eastAsia="Times New Roman"/>
          <w:bCs/>
          <w:szCs w:val="24"/>
        </w:rPr>
        <w:t xml:space="preserve">s dans la </w:t>
      </w:r>
      <w:r w:rsidR="00426DE7">
        <w:rPr>
          <w:rFonts w:eastAsia="Times New Roman"/>
          <w:bCs/>
          <w:szCs w:val="24"/>
        </w:rPr>
        <w:t>partie</w:t>
      </w:r>
      <w:r>
        <w:rPr>
          <w:rFonts w:eastAsia="Times New Roman"/>
          <w:bCs/>
          <w:szCs w:val="24"/>
        </w:rPr>
        <w:t xml:space="preserve"> IV ci-dessous, seront inclus</w:t>
      </w:r>
      <w:r w:rsidR="005E39E5">
        <w:rPr>
          <w:rFonts w:eastAsia="Times New Roman"/>
          <w:bCs/>
          <w:szCs w:val="24"/>
        </w:rPr>
        <w:t>es</w:t>
      </w:r>
      <w:r>
        <w:rPr>
          <w:rFonts w:eastAsia="Times New Roman"/>
          <w:bCs/>
          <w:szCs w:val="24"/>
        </w:rPr>
        <w:t xml:space="preserve"> dans la compilation susmentionnée des projets de décision.</w:t>
      </w:r>
    </w:p>
    <w:p w14:paraId="639954D4" w14:textId="77777777" w:rsidR="009C6797" w:rsidRDefault="00D0321D">
      <w:pPr>
        <w:pStyle w:val="CBDH1"/>
      </w:pPr>
      <w:r>
        <w:t>II.</w:t>
      </w:r>
      <w:r>
        <w:tab/>
        <w:t>Mobilisation des ressources</w:t>
      </w:r>
    </w:p>
    <w:p w14:paraId="0C583A76" w14:textId="24992920" w:rsidR="009C6797" w:rsidRDefault="00D0321D">
      <w:pPr>
        <w:pStyle w:val="CBDNormalNumber"/>
      </w:pPr>
      <w:r>
        <w:t xml:space="preserve">Dans sa décision </w:t>
      </w:r>
      <w:hyperlink r:id="rId18" w:history="1">
        <w:r w:rsidR="009C6797">
          <w:rPr>
            <w:rStyle w:val="Hyperlink"/>
          </w:rPr>
          <w:t>16/34</w:t>
        </w:r>
      </w:hyperlink>
      <w:r>
        <w:t xml:space="preserve"> (</w:t>
      </w:r>
      <w:r w:rsidR="00411901">
        <w:t>paragraphe</w:t>
      </w:r>
      <w:r>
        <w:t xml:space="preserve"> 7), la Conférence des Parties a adopté la stratégie de mobilisation de ressources pour la période 2025-2030 et a rappelé sa décision de maintenir l</w:t>
      </w:r>
      <w:r w:rsidR="00087107">
        <w:t>’</w:t>
      </w:r>
      <w:r>
        <w:t xml:space="preserve">examen de la mise en œuvre de la stratégie à chacune de ses réunions, à </w:t>
      </w:r>
      <w:r w:rsidR="004B48F2">
        <w:t>compter</w:t>
      </w:r>
      <w:r>
        <w:t xml:space="preserve"> de la</w:t>
      </w:r>
      <w:r w:rsidR="00371981">
        <w:t>dite</w:t>
      </w:r>
      <w:r>
        <w:t xml:space="preserve"> réunion, </w:t>
      </w:r>
      <w:r w:rsidR="004B46A1">
        <w:t>par le biais</w:t>
      </w:r>
      <w:r>
        <w:t xml:space="preserve"> du bilan mondial. Toujours dans sa décision 16/34 (</w:t>
      </w:r>
      <w:r w:rsidR="00411901">
        <w:t>paragraphe</w:t>
      </w:r>
      <w:r>
        <w:t xml:space="preserve"> 19), la Conférence des Parties a décidé d</w:t>
      </w:r>
      <w:r w:rsidR="00087107">
        <w:t>’</w:t>
      </w:r>
      <w:r>
        <w:t xml:space="preserve">appliquer les articles 21 et 39 de la Convention sur la diversité biologique et de combler </w:t>
      </w:r>
      <w:r>
        <w:lastRenderedPageBreak/>
        <w:t>le déficit mondial de financement de la biodiversité d</w:t>
      </w:r>
      <w:r w:rsidR="00087107">
        <w:t>’</w:t>
      </w:r>
      <w:r>
        <w:t xml:space="preserve">ici à 2030 : a) </w:t>
      </w:r>
      <w:r w:rsidR="00166527">
        <w:t xml:space="preserve">en </w:t>
      </w:r>
      <w:r w:rsidR="007711B9">
        <w:t>mettant en place</w:t>
      </w:r>
      <w:r w:rsidR="009B7F68">
        <w:t xml:space="preserve"> </w:t>
      </w:r>
      <w:r>
        <w:t>l</w:t>
      </w:r>
      <w:r w:rsidR="00087107">
        <w:t>’</w:t>
      </w:r>
      <w:r>
        <w:t xml:space="preserve">arrangement permanent pour le mécanisme de financement </w:t>
      </w:r>
      <w:r w:rsidR="007711B9">
        <w:t>envisagé</w:t>
      </w:r>
      <w:r>
        <w:t xml:space="preserve"> à l</w:t>
      </w:r>
      <w:r w:rsidR="00087107">
        <w:t>’</w:t>
      </w:r>
      <w:r>
        <w:t>article 2</w:t>
      </w:r>
      <w:r w:rsidR="00166527">
        <w:t>1</w:t>
      </w:r>
      <w:r>
        <w:t xml:space="preserve">; b) </w:t>
      </w:r>
      <w:r w:rsidR="00166527">
        <w:t xml:space="preserve">en </w:t>
      </w:r>
      <w:r>
        <w:t xml:space="preserve">évaluant et </w:t>
      </w:r>
      <w:r w:rsidR="00166527">
        <w:t xml:space="preserve">en </w:t>
      </w:r>
      <w:r>
        <w:t xml:space="preserve">améliorant la mobilisation de financements </w:t>
      </w:r>
      <w:r w:rsidR="00166527">
        <w:t>provenant</w:t>
      </w:r>
      <w:r>
        <w:t xml:space="preserve"> </w:t>
      </w:r>
      <w:r w:rsidR="00166527">
        <w:t xml:space="preserve">de </w:t>
      </w:r>
      <w:r>
        <w:t xml:space="preserve">toutes sources. </w:t>
      </w:r>
    </w:p>
    <w:p w14:paraId="2FC7747E" w14:textId="48BC5EC2" w:rsidR="009C6797" w:rsidRDefault="00D0321D">
      <w:pPr>
        <w:pStyle w:val="CBDNormalNumber"/>
      </w:pPr>
      <w:r>
        <w:t xml:space="preserve">Aux paragraphes 22 et 23 de la même décision, la Conférence des Parties a </w:t>
      </w:r>
      <w:r w:rsidR="00166527">
        <w:t>mis en place</w:t>
      </w:r>
      <w:r>
        <w:t xml:space="preserve"> des processus intersessions et des feuilles de route allant jusqu</w:t>
      </w:r>
      <w:r w:rsidR="00087107">
        <w:t>’</w:t>
      </w:r>
      <w:r>
        <w:t>à sa dix-neuvième réunion pour la mise en œuvre des deux volets susmentionnés. Plusieurs tâches, détaillées ci-après, devaient être examinées par l</w:t>
      </w:r>
      <w:r w:rsidR="00087107">
        <w:t>’</w:t>
      </w:r>
      <w:r>
        <w:t xml:space="preserve">Organe subsidiaire </w:t>
      </w:r>
      <w:r w:rsidR="00DF4C70">
        <w:t>chargé de l</w:t>
      </w:r>
      <w:r w:rsidR="00087107">
        <w:t>’</w:t>
      </w:r>
      <w:r w:rsidR="00DF4C70">
        <w:t>application</w:t>
      </w:r>
      <w:r>
        <w:t xml:space="preserve"> avant la dix-septième réunion de la Conférence des Parties et plusieurs demandes, également détaillées ci-après, ont été adressées </w:t>
      </w:r>
      <w:r w:rsidR="00D0201B">
        <w:t>à la</w:t>
      </w:r>
      <w:r>
        <w:t xml:space="preserve"> Secrétaire exécuti</w:t>
      </w:r>
      <w:r w:rsidR="00D0201B">
        <w:t>ve</w:t>
      </w:r>
      <w:r>
        <w:t>, notamment pour appuyer l</w:t>
      </w:r>
      <w:r w:rsidR="00087107">
        <w:t>’</w:t>
      </w:r>
      <w:r>
        <w:t>examen de ces tâches. Un rapport d</w:t>
      </w:r>
      <w:r w:rsidR="00087107">
        <w:t>’</w:t>
      </w:r>
      <w:r>
        <w:t xml:space="preserve">étape sur les tâches </w:t>
      </w:r>
      <w:r w:rsidR="00166527">
        <w:t xml:space="preserve">entreprises </w:t>
      </w:r>
      <w:r>
        <w:t xml:space="preserve">et les demandes </w:t>
      </w:r>
      <w:r w:rsidR="00166527">
        <w:t xml:space="preserve">faites </w:t>
      </w:r>
      <w:r>
        <w:t xml:space="preserve">est présenté dans le reste de la présente </w:t>
      </w:r>
      <w:r w:rsidR="007240D6">
        <w:t>partie</w:t>
      </w:r>
      <w:r>
        <w:t>.</w:t>
      </w:r>
    </w:p>
    <w:p w14:paraId="11CCE563" w14:textId="3C9228CA" w:rsidR="009C6797" w:rsidRDefault="00D0321D" w:rsidP="00DC0FD5">
      <w:pPr>
        <w:pStyle w:val="CBDH2"/>
        <w:jc w:val="left"/>
      </w:pPr>
      <w:r>
        <w:t>A.</w:t>
      </w:r>
      <w:r>
        <w:tab/>
        <w:t xml:space="preserve">Tâches </w:t>
      </w:r>
      <w:r w:rsidR="007A48AF">
        <w:t>mené</w:t>
      </w:r>
      <w:r>
        <w:t>es par l</w:t>
      </w:r>
      <w:r w:rsidR="00087107">
        <w:t>’</w:t>
      </w:r>
      <w:r>
        <w:t xml:space="preserve">Organe subsidiaire </w:t>
      </w:r>
      <w:r w:rsidR="00DF4C70">
        <w:t>chargé de l</w:t>
      </w:r>
      <w:r w:rsidR="00087107">
        <w:t>’</w:t>
      </w:r>
      <w:r w:rsidR="00DF4C70">
        <w:t>application</w:t>
      </w:r>
      <w:r>
        <w:t xml:space="preserve"> à sa sixième réunion</w:t>
      </w:r>
    </w:p>
    <w:p w14:paraId="7C88B1BF" w14:textId="582F968F" w:rsidR="009C6797" w:rsidRDefault="00D0321D">
      <w:pPr>
        <w:pStyle w:val="CBDNormalNumber"/>
        <w:numPr>
          <w:ilvl w:val="0"/>
          <w:numId w:val="51"/>
        </w:numPr>
        <w:rPr>
          <w:rFonts w:eastAsia="Times New Roman"/>
          <w:bCs/>
          <w:szCs w:val="24"/>
        </w:rPr>
      </w:pPr>
      <w:r>
        <w:rPr>
          <w:rFonts w:eastAsia="Times New Roman"/>
          <w:bCs/>
          <w:szCs w:val="24"/>
        </w:rPr>
        <w:t xml:space="preserve">Au paragraphe 26 b) de la décision </w:t>
      </w:r>
      <w:hyperlink r:id="rId19" w:history="1">
        <w:r w:rsidR="009C6797">
          <w:rPr>
            <w:rStyle w:val="Hyperlink"/>
          </w:rPr>
          <w:t>16/34</w:t>
        </w:r>
      </w:hyperlink>
      <w:r>
        <w:t xml:space="preserve">, la Conférence des Parties </w:t>
      </w:r>
      <w:r>
        <w:rPr>
          <w:rFonts w:eastAsia="Times New Roman"/>
          <w:bCs/>
          <w:szCs w:val="24"/>
        </w:rPr>
        <w:t>a prié l</w:t>
      </w:r>
      <w:r w:rsidR="0057087C">
        <w:rPr>
          <w:rFonts w:eastAsia="Times New Roman"/>
          <w:bCs/>
          <w:szCs w:val="24"/>
        </w:rPr>
        <w:t>a</w:t>
      </w:r>
      <w:r>
        <w:rPr>
          <w:rFonts w:eastAsia="Times New Roman"/>
          <w:bCs/>
          <w:szCs w:val="24"/>
        </w:rPr>
        <w:t xml:space="preserve"> Secrétaire exécuti</w:t>
      </w:r>
      <w:r w:rsidR="0057087C">
        <w:rPr>
          <w:rFonts w:eastAsia="Times New Roman"/>
          <w:bCs/>
          <w:szCs w:val="24"/>
        </w:rPr>
        <w:t>ve</w:t>
      </w:r>
      <w:r>
        <w:rPr>
          <w:rFonts w:eastAsia="Times New Roman"/>
          <w:bCs/>
          <w:szCs w:val="24"/>
        </w:rPr>
        <w:t xml:space="preserve"> de commander des études sur les sujets suivants : a) la relation entre la viabilité de la dette et l</w:t>
      </w:r>
      <w:r w:rsidR="0057087C">
        <w:rPr>
          <w:rFonts w:eastAsia="Times New Roman"/>
          <w:bCs/>
          <w:szCs w:val="24"/>
        </w:rPr>
        <w:t>’application</w:t>
      </w:r>
      <w:r>
        <w:rPr>
          <w:rFonts w:eastAsia="Times New Roman"/>
          <w:bCs/>
          <w:szCs w:val="24"/>
        </w:rPr>
        <w:t xml:space="preserve"> de la Convention</w:t>
      </w:r>
      <w:r w:rsidR="00DB2CDB">
        <w:rPr>
          <w:rFonts w:eastAsia="Times New Roman"/>
          <w:bCs/>
          <w:szCs w:val="24"/>
        </w:rPr>
        <w:t>;</w:t>
      </w:r>
      <w:r>
        <w:rPr>
          <w:rFonts w:eastAsia="Times New Roman"/>
          <w:bCs/>
          <w:szCs w:val="24"/>
        </w:rPr>
        <w:t xml:space="preserve"> b) la manière dont les orientations sur les garanties dans les mécanismes de financement de la biodiversité adoptées dans les décisions </w:t>
      </w:r>
      <w:hyperlink r:id="rId20" w:history="1">
        <w:r w:rsidR="009C6797">
          <w:rPr>
            <w:rStyle w:val="Hyperlink"/>
            <w:rFonts w:eastAsia="Times New Roman"/>
            <w:bCs/>
            <w:szCs w:val="24"/>
          </w:rPr>
          <w:t>XII/3</w:t>
        </w:r>
      </w:hyperlink>
      <w:r>
        <w:rPr>
          <w:rFonts w:eastAsia="Times New Roman"/>
          <w:bCs/>
          <w:szCs w:val="24"/>
        </w:rPr>
        <w:t xml:space="preserve"> et </w:t>
      </w:r>
      <w:hyperlink r:id="rId21" w:history="1">
        <w:r w:rsidR="009C6797">
          <w:rPr>
            <w:rStyle w:val="Hyperlink"/>
            <w:rFonts w:eastAsia="Times New Roman"/>
            <w:bCs/>
            <w:szCs w:val="24"/>
          </w:rPr>
          <w:t>14/15</w:t>
        </w:r>
      </w:hyperlink>
      <w:r>
        <w:rPr>
          <w:rFonts w:eastAsia="Times New Roman"/>
          <w:bCs/>
          <w:szCs w:val="24"/>
        </w:rPr>
        <w:t xml:space="preserve"> avaient été appliquées, en recensant les bonnes pratiques et les enseignements tirés, ainsi que les possibilités d</w:t>
      </w:r>
      <w:r w:rsidR="00087107">
        <w:rPr>
          <w:rFonts w:eastAsia="Times New Roman"/>
          <w:bCs/>
          <w:szCs w:val="24"/>
        </w:rPr>
        <w:t>’</w:t>
      </w:r>
      <w:r>
        <w:rPr>
          <w:rFonts w:eastAsia="Times New Roman"/>
          <w:bCs/>
          <w:szCs w:val="24"/>
        </w:rPr>
        <w:t>améliorer la mise en œuvre des orientations</w:t>
      </w:r>
      <w:r w:rsidR="00DB2CDB">
        <w:rPr>
          <w:rFonts w:eastAsia="Times New Roman"/>
          <w:bCs/>
          <w:szCs w:val="24"/>
        </w:rPr>
        <w:t>;</w:t>
      </w:r>
      <w:r>
        <w:rPr>
          <w:rFonts w:eastAsia="Times New Roman"/>
          <w:bCs/>
          <w:szCs w:val="24"/>
        </w:rPr>
        <w:t xml:space="preserve"> c) la relation entre la biodiversité et le financement de l</w:t>
      </w:r>
      <w:r w:rsidR="00087107">
        <w:rPr>
          <w:rFonts w:eastAsia="Times New Roman"/>
          <w:bCs/>
          <w:szCs w:val="24"/>
        </w:rPr>
        <w:t>’</w:t>
      </w:r>
      <w:r>
        <w:rPr>
          <w:rFonts w:eastAsia="Times New Roman"/>
          <w:bCs/>
          <w:szCs w:val="24"/>
        </w:rPr>
        <w:t>action climatique.</w:t>
      </w:r>
    </w:p>
    <w:p w14:paraId="2317E1BA" w14:textId="3191C1D7" w:rsidR="009C6797" w:rsidRDefault="00D0321D">
      <w:pPr>
        <w:pStyle w:val="CBDNormalNumber"/>
        <w:numPr>
          <w:ilvl w:val="0"/>
          <w:numId w:val="51"/>
        </w:numPr>
        <w:rPr>
          <w:rFonts w:eastAsia="Times New Roman"/>
          <w:bCs/>
          <w:szCs w:val="24"/>
        </w:rPr>
      </w:pPr>
      <w:r>
        <w:rPr>
          <w:rFonts w:eastAsia="Times New Roman"/>
          <w:bCs/>
          <w:szCs w:val="24"/>
        </w:rPr>
        <w:t>À sa sixième réunion, l</w:t>
      </w:r>
      <w:r w:rsidR="00087107">
        <w:rPr>
          <w:rFonts w:eastAsia="Times New Roman"/>
          <w:bCs/>
          <w:szCs w:val="24"/>
        </w:rPr>
        <w:t>’</w:t>
      </w:r>
      <w:r>
        <w:rPr>
          <w:rFonts w:eastAsia="Times New Roman"/>
          <w:bCs/>
          <w:szCs w:val="24"/>
        </w:rPr>
        <w:t xml:space="preserve">Organe subsidiaire </w:t>
      </w:r>
      <w:r w:rsidR="00245479">
        <w:t>chargé de l</w:t>
      </w:r>
      <w:r w:rsidR="00087107">
        <w:t>’</w:t>
      </w:r>
      <w:r w:rsidR="00245479">
        <w:t>application</w:t>
      </w:r>
      <w:r>
        <w:rPr>
          <w:rFonts w:eastAsia="Times New Roman"/>
          <w:bCs/>
          <w:szCs w:val="24"/>
        </w:rPr>
        <w:t xml:space="preserve"> a examiné les projets de</w:t>
      </w:r>
      <w:r w:rsidR="00B81F20">
        <w:rPr>
          <w:rFonts w:eastAsia="Times New Roman"/>
          <w:bCs/>
          <w:szCs w:val="24"/>
        </w:rPr>
        <w:t xml:space="preserve"> texte de</w:t>
      </w:r>
      <w:r>
        <w:rPr>
          <w:rFonts w:eastAsia="Times New Roman"/>
          <w:bCs/>
          <w:szCs w:val="24"/>
        </w:rPr>
        <w:t xml:space="preserve"> ces trois études et les conclusions préliminaires</w:t>
      </w:r>
      <w:r w:rsidR="00B81F20">
        <w:rPr>
          <w:rFonts w:eastAsia="Times New Roman"/>
          <w:bCs/>
          <w:szCs w:val="24"/>
        </w:rPr>
        <w:t>,</w:t>
      </w:r>
      <w:r>
        <w:rPr>
          <w:rFonts w:eastAsia="Times New Roman"/>
          <w:bCs/>
          <w:szCs w:val="24"/>
        </w:rPr>
        <w:t xml:space="preserve"> et </w:t>
      </w:r>
      <w:r w:rsidR="00B81F20">
        <w:rPr>
          <w:rFonts w:eastAsia="Times New Roman"/>
          <w:bCs/>
          <w:szCs w:val="24"/>
        </w:rPr>
        <w:t xml:space="preserve">a </w:t>
      </w:r>
      <w:r>
        <w:rPr>
          <w:rFonts w:eastAsia="Times New Roman"/>
          <w:bCs/>
          <w:szCs w:val="24"/>
        </w:rPr>
        <w:t xml:space="preserve">adopté la recommandation </w:t>
      </w:r>
      <w:hyperlink r:id="rId22" w:history="1">
        <w:r w:rsidR="009C6797">
          <w:rPr>
            <w:rStyle w:val="Hyperlink"/>
            <w:rFonts w:eastAsia="Times New Roman"/>
            <w:bCs/>
            <w:szCs w:val="24"/>
          </w:rPr>
          <w:t>6/1</w:t>
        </w:r>
      </w:hyperlink>
      <w:r>
        <w:rPr>
          <w:rFonts w:eastAsia="Times New Roman"/>
          <w:bCs/>
          <w:szCs w:val="24"/>
        </w:rPr>
        <w:t>, y compris les éléments d</w:t>
      </w:r>
      <w:r w:rsidR="00087107">
        <w:rPr>
          <w:rFonts w:eastAsia="Times New Roman"/>
          <w:bCs/>
          <w:szCs w:val="24"/>
        </w:rPr>
        <w:t>’</w:t>
      </w:r>
      <w:r>
        <w:rPr>
          <w:rFonts w:eastAsia="Times New Roman"/>
          <w:bCs/>
          <w:szCs w:val="24"/>
        </w:rPr>
        <w:t>un projet de décision</w:t>
      </w:r>
      <w:r w:rsidR="0057087C">
        <w:rPr>
          <w:rFonts w:eastAsia="Times New Roman"/>
          <w:bCs/>
          <w:szCs w:val="24"/>
        </w:rPr>
        <w:t>,</w:t>
      </w:r>
      <w:r>
        <w:rPr>
          <w:rFonts w:eastAsia="Times New Roman"/>
          <w:bCs/>
          <w:szCs w:val="24"/>
        </w:rPr>
        <w:t xml:space="preserve"> pour examen par la Conférence des Parties à sa dix-septième réunion. </w:t>
      </w:r>
    </w:p>
    <w:p w14:paraId="663B616D" w14:textId="5E86B412" w:rsidR="009C6797" w:rsidRDefault="00D0321D">
      <w:pPr>
        <w:pStyle w:val="CBDNormalNumber"/>
        <w:numPr>
          <w:ilvl w:val="0"/>
          <w:numId w:val="51"/>
        </w:numPr>
        <w:rPr>
          <w:rFonts w:eastAsia="Times New Roman"/>
          <w:bCs/>
          <w:szCs w:val="24"/>
        </w:rPr>
      </w:pPr>
      <w:r>
        <w:rPr>
          <w:rFonts w:eastAsia="Times New Roman"/>
          <w:bCs/>
          <w:szCs w:val="24"/>
        </w:rPr>
        <w:t>Au paragraphe 3 de cette recommandation, l</w:t>
      </w:r>
      <w:r w:rsidR="00087107">
        <w:rPr>
          <w:rFonts w:eastAsia="Times New Roman"/>
          <w:bCs/>
          <w:szCs w:val="24"/>
        </w:rPr>
        <w:t>’</w:t>
      </w:r>
      <w:r>
        <w:rPr>
          <w:rFonts w:eastAsia="Times New Roman"/>
          <w:bCs/>
          <w:szCs w:val="24"/>
        </w:rPr>
        <w:t>Organe subsidiaire a prié l</w:t>
      </w:r>
      <w:r w:rsidR="0057087C">
        <w:rPr>
          <w:rFonts w:eastAsia="Times New Roman"/>
          <w:bCs/>
          <w:szCs w:val="24"/>
        </w:rPr>
        <w:t>a</w:t>
      </w:r>
      <w:r>
        <w:rPr>
          <w:rFonts w:eastAsia="Times New Roman"/>
          <w:bCs/>
          <w:szCs w:val="24"/>
        </w:rPr>
        <w:t xml:space="preserve"> Secrétaire exécuti</w:t>
      </w:r>
      <w:r w:rsidR="0057087C">
        <w:rPr>
          <w:rFonts w:eastAsia="Times New Roman"/>
          <w:bCs/>
          <w:szCs w:val="24"/>
        </w:rPr>
        <w:t>ve</w:t>
      </w:r>
      <w:r w:rsidR="002F728A">
        <w:rPr>
          <w:rFonts w:eastAsia="Times New Roman"/>
          <w:bCs/>
          <w:szCs w:val="24"/>
        </w:rPr>
        <w:t> </w:t>
      </w:r>
      <w:r>
        <w:rPr>
          <w:rFonts w:eastAsia="Times New Roman"/>
          <w:bCs/>
          <w:szCs w:val="24"/>
        </w:rPr>
        <w:t xml:space="preserve">: </w:t>
      </w:r>
      <w:r w:rsidR="002F728A">
        <w:rPr>
          <w:rFonts w:eastAsia="Times New Roman"/>
          <w:bCs/>
          <w:szCs w:val="24"/>
        </w:rPr>
        <w:t xml:space="preserve">de </w:t>
      </w:r>
      <w:r>
        <w:rPr>
          <w:rFonts w:eastAsia="Times New Roman"/>
          <w:bCs/>
          <w:szCs w:val="24"/>
        </w:rPr>
        <w:t>reporter au 20 mai 2026 la date limite pour un examen par des pairs des projets d</w:t>
      </w:r>
      <w:r w:rsidR="00087107">
        <w:rPr>
          <w:rFonts w:eastAsia="Times New Roman"/>
          <w:bCs/>
          <w:szCs w:val="24"/>
        </w:rPr>
        <w:t>’</w:t>
      </w:r>
      <w:r>
        <w:rPr>
          <w:rFonts w:eastAsia="Times New Roman"/>
          <w:bCs/>
          <w:szCs w:val="24"/>
        </w:rPr>
        <w:t>études</w:t>
      </w:r>
      <w:r w:rsidR="00DB2CDB">
        <w:rPr>
          <w:rFonts w:eastAsia="Times New Roman"/>
          <w:bCs/>
          <w:szCs w:val="24"/>
        </w:rPr>
        <w:t>;</w:t>
      </w:r>
      <w:r>
        <w:rPr>
          <w:rFonts w:eastAsia="Times New Roman"/>
          <w:bCs/>
          <w:szCs w:val="24"/>
        </w:rPr>
        <w:t xml:space="preserve"> </w:t>
      </w:r>
      <w:r w:rsidR="002F728A">
        <w:rPr>
          <w:rFonts w:eastAsia="Times New Roman"/>
          <w:bCs/>
          <w:szCs w:val="24"/>
        </w:rPr>
        <w:t xml:space="preserve">de </w:t>
      </w:r>
      <w:r>
        <w:rPr>
          <w:rFonts w:eastAsia="Times New Roman"/>
          <w:bCs/>
          <w:szCs w:val="24"/>
        </w:rPr>
        <w:t>mettre la dernière main aux études et de les soumettre à la Conférence des Parties pour examen à sa dix-septième réunion</w:t>
      </w:r>
      <w:r w:rsidR="00DB2CDB">
        <w:rPr>
          <w:rFonts w:eastAsia="Times New Roman"/>
          <w:bCs/>
          <w:szCs w:val="24"/>
        </w:rPr>
        <w:t>;</w:t>
      </w:r>
      <w:r>
        <w:rPr>
          <w:rFonts w:eastAsia="Times New Roman"/>
          <w:bCs/>
          <w:szCs w:val="24"/>
        </w:rPr>
        <w:t xml:space="preserve"> et </w:t>
      </w:r>
      <w:r w:rsidR="002F728A">
        <w:rPr>
          <w:rFonts w:eastAsia="Times New Roman"/>
          <w:bCs/>
          <w:szCs w:val="24"/>
        </w:rPr>
        <w:t>d</w:t>
      </w:r>
      <w:r w:rsidR="002F728A" w:rsidRPr="002F728A">
        <w:rPr>
          <w:rFonts w:eastAsia="Times New Roman"/>
          <w:bCs/>
          <w:szCs w:val="24"/>
        </w:rPr>
        <w:t>’</w:t>
      </w:r>
      <w:r>
        <w:rPr>
          <w:rFonts w:eastAsia="Times New Roman"/>
          <w:bCs/>
          <w:szCs w:val="24"/>
        </w:rPr>
        <w:t>inclure dans son rapport d</w:t>
      </w:r>
      <w:r w:rsidR="00087107">
        <w:rPr>
          <w:rFonts w:eastAsia="Times New Roman"/>
          <w:bCs/>
          <w:szCs w:val="24"/>
        </w:rPr>
        <w:t>’</w:t>
      </w:r>
      <w:r>
        <w:rPr>
          <w:rFonts w:eastAsia="Times New Roman"/>
          <w:bCs/>
          <w:szCs w:val="24"/>
        </w:rPr>
        <w:t>activité pour la dix-septième réunion de la Conférence des Parties toute proposition d</w:t>
      </w:r>
      <w:r w:rsidR="006B3AA7">
        <w:rPr>
          <w:rFonts w:eastAsia="Times New Roman"/>
          <w:bCs/>
          <w:szCs w:val="24"/>
        </w:rPr>
        <w:t>e modification du</w:t>
      </w:r>
      <w:r>
        <w:rPr>
          <w:rFonts w:eastAsia="Times New Roman"/>
          <w:bCs/>
          <w:szCs w:val="24"/>
        </w:rPr>
        <w:t xml:space="preserve"> projet de décision qui résulterait des éclairages contenus dans les versions finales des études</w:t>
      </w:r>
      <w:r w:rsidR="00D84E3A">
        <w:rPr>
          <w:rStyle w:val="FootnoteReference"/>
          <w:rFonts w:eastAsia="Times New Roman"/>
          <w:bCs/>
          <w:szCs w:val="24"/>
        </w:rPr>
        <w:footnoteReference w:id="2"/>
      </w:r>
      <w:r w:rsidR="007C728C">
        <w:rPr>
          <w:rFonts w:eastAsia="Times New Roman"/>
          <w:bCs/>
          <w:szCs w:val="24"/>
        </w:rPr>
        <w:t>.</w:t>
      </w:r>
      <w:r>
        <w:rPr>
          <w:rFonts w:eastAsia="Times New Roman"/>
          <w:bCs/>
          <w:szCs w:val="24"/>
        </w:rPr>
        <w:t xml:space="preserve"> </w:t>
      </w:r>
    </w:p>
    <w:p w14:paraId="494338EE" w14:textId="4BE91FD6" w:rsidR="009C6797" w:rsidRDefault="00D0321D">
      <w:pPr>
        <w:pStyle w:val="CBDNormalNumber"/>
        <w:numPr>
          <w:ilvl w:val="0"/>
          <w:numId w:val="51"/>
        </w:numPr>
        <w:rPr>
          <w:rFonts w:eastAsia="Times New Roman"/>
          <w:bCs/>
          <w:szCs w:val="24"/>
        </w:rPr>
      </w:pPr>
      <w:r>
        <w:rPr>
          <w:rFonts w:eastAsia="Times New Roman"/>
          <w:bCs/>
          <w:szCs w:val="24"/>
        </w:rPr>
        <w:t>À la suite de ces demandes : le délai pour l</w:t>
      </w:r>
      <w:r w:rsidR="00087107">
        <w:rPr>
          <w:rFonts w:eastAsia="Times New Roman"/>
          <w:bCs/>
          <w:szCs w:val="24"/>
        </w:rPr>
        <w:t>’</w:t>
      </w:r>
      <w:r>
        <w:rPr>
          <w:rFonts w:eastAsia="Times New Roman"/>
          <w:bCs/>
          <w:szCs w:val="24"/>
        </w:rPr>
        <w:t xml:space="preserve">examen par les pairs a été prolongé par le biais des notifications </w:t>
      </w:r>
      <w:r w:rsidR="00842648">
        <w:rPr>
          <w:rFonts w:eastAsia="Times New Roman"/>
          <w:bCs/>
          <w:szCs w:val="24"/>
        </w:rPr>
        <w:t>n</w:t>
      </w:r>
      <w:r w:rsidR="00842648" w:rsidRPr="00842648">
        <w:rPr>
          <w:rFonts w:eastAsia="Times New Roman"/>
          <w:bCs/>
          <w:szCs w:val="24"/>
          <w:vertAlign w:val="superscript"/>
        </w:rPr>
        <w:t>o</w:t>
      </w:r>
      <w:r w:rsidR="00A74F42">
        <w:rPr>
          <w:rFonts w:eastAsia="Times New Roman"/>
          <w:bCs/>
          <w:szCs w:val="24"/>
          <w:vertAlign w:val="superscript"/>
        </w:rPr>
        <w:t xml:space="preserve"> </w:t>
      </w:r>
      <w:hyperlink r:id="rId23" w:history="1">
        <w:r w:rsidR="009C6797">
          <w:rPr>
            <w:rStyle w:val="Hyperlink"/>
            <w:rFonts w:eastAsia="Times New Roman"/>
            <w:bCs/>
            <w:szCs w:val="24"/>
          </w:rPr>
          <w:t>2026-025</w:t>
        </w:r>
      </w:hyperlink>
      <w:r>
        <w:rPr>
          <w:rFonts w:eastAsia="Times New Roman"/>
          <w:bCs/>
          <w:szCs w:val="24"/>
        </w:rPr>
        <w:t xml:space="preserve">, </w:t>
      </w:r>
      <w:hyperlink r:id="rId24" w:history="1">
        <w:r w:rsidR="009C6797">
          <w:rPr>
            <w:rStyle w:val="Hyperlink"/>
            <w:rFonts w:eastAsia="Times New Roman"/>
            <w:bCs/>
            <w:szCs w:val="24"/>
          </w:rPr>
          <w:t>2026-026</w:t>
        </w:r>
      </w:hyperlink>
      <w:r>
        <w:rPr>
          <w:rFonts w:eastAsia="Times New Roman"/>
          <w:bCs/>
          <w:szCs w:val="24"/>
        </w:rPr>
        <w:t xml:space="preserve"> et </w:t>
      </w:r>
      <w:hyperlink r:id="rId25" w:history="1">
        <w:r w:rsidR="009C6797">
          <w:rPr>
            <w:rStyle w:val="Hyperlink"/>
            <w:rFonts w:eastAsia="Times New Roman"/>
            <w:bCs/>
            <w:szCs w:val="24"/>
          </w:rPr>
          <w:t>2026-027</w:t>
        </w:r>
      </w:hyperlink>
      <w:r w:rsidR="00DB2CDB">
        <w:rPr>
          <w:rFonts w:eastAsia="Times New Roman"/>
          <w:bCs/>
          <w:szCs w:val="24"/>
        </w:rPr>
        <w:t>;</w:t>
      </w:r>
      <w:r>
        <w:rPr>
          <w:rFonts w:eastAsia="Times New Roman"/>
          <w:bCs/>
          <w:szCs w:val="24"/>
        </w:rPr>
        <w:t xml:space="preserve"> un total de 32 examens de l</w:t>
      </w:r>
      <w:r w:rsidR="00087107">
        <w:rPr>
          <w:rFonts w:eastAsia="Times New Roman"/>
          <w:bCs/>
          <w:szCs w:val="24"/>
        </w:rPr>
        <w:t>’</w:t>
      </w:r>
      <w:r>
        <w:rPr>
          <w:rFonts w:eastAsia="Times New Roman"/>
          <w:bCs/>
          <w:szCs w:val="24"/>
        </w:rPr>
        <w:t>étude liée au financement de la lutte contre les changements climatiques, 30 examens de l</w:t>
      </w:r>
      <w:r w:rsidR="00087107">
        <w:rPr>
          <w:rFonts w:eastAsia="Times New Roman"/>
          <w:bCs/>
          <w:szCs w:val="24"/>
        </w:rPr>
        <w:t>’</w:t>
      </w:r>
      <w:r>
        <w:rPr>
          <w:rFonts w:eastAsia="Times New Roman"/>
          <w:bCs/>
          <w:szCs w:val="24"/>
        </w:rPr>
        <w:t>étude liée à la viabilité de la dette et 26 examens de l</w:t>
      </w:r>
      <w:r w:rsidR="00087107">
        <w:rPr>
          <w:rFonts w:eastAsia="Times New Roman"/>
          <w:bCs/>
          <w:szCs w:val="24"/>
        </w:rPr>
        <w:t>’</w:t>
      </w:r>
      <w:r>
        <w:rPr>
          <w:rFonts w:eastAsia="Times New Roman"/>
          <w:bCs/>
          <w:szCs w:val="24"/>
        </w:rPr>
        <w:t xml:space="preserve">étude liée aux garanties ont été reçus avec </w:t>
      </w:r>
      <w:r w:rsidR="00A5546F">
        <w:rPr>
          <w:rFonts w:eastAsia="Times New Roman"/>
          <w:bCs/>
          <w:szCs w:val="24"/>
        </w:rPr>
        <w:t>satisf</w:t>
      </w:r>
      <w:r>
        <w:rPr>
          <w:rFonts w:eastAsia="Times New Roman"/>
          <w:bCs/>
          <w:szCs w:val="24"/>
        </w:rPr>
        <w:t>a</w:t>
      </w:r>
      <w:r w:rsidR="00A5546F">
        <w:rPr>
          <w:rFonts w:eastAsia="Times New Roman"/>
          <w:bCs/>
          <w:szCs w:val="24"/>
        </w:rPr>
        <w:t>c</w:t>
      </w:r>
      <w:r>
        <w:rPr>
          <w:rFonts w:eastAsia="Times New Roman"/>
          <w:bCs/>
          <w:szCs w:val="24"/>
        </w:rPr>
        <w:t>tion</w:t>
      </w:r>
      <w:r w:rsidR="00DB2CDB">
        <w:rPr>
          <w:rFonts w:eastAsia="Times New Roman"/>
          <w:bCs/>
          <w:szCs w:val="24"/>
        </w:rPr>
        <w:t>;</w:t>
      </w:r>
      <w:r>
        <w:rPr>
          <w:rFonts w:eastAsia="Times New Roman"/>
          <w:bCs/>
          <w:szCs w:val="24"/>
        </w:rPr>
        <w:t xml:space="preserve"> les trois études ont été révisées en conséquence et leurs versions finales seront mises à la disposition de la présente réunion sous forme de documents d</w:t>
      </w:r>
      <w:r w:rsidR="00087107">
        <w:rPr>
          <w:rFonts w:eastAsia="Times New Roman"/>
          <w:bCs/>
          <w:szCs w:val="24"/>
        </w:rPr>
        <w:t>’</w:t>
      </w:r>
      <w:r>
        <w:rPr>
          <w:rFonts w:eastAsia="Times New Roman"/>
          <w:bCs/>
          <w:szCs w:val="24"/>
        </w:rPr>
        <w:t>information</w:t>
      </w:r>
      <w:r w:rsidR="00DB2CDB">
        <w:rPr>
          <w:rFonts w:eastAsia="Times New Roman"/>
          <w:bCs/>
          <w:szCs w:val="24"/>
        </w:rPr>
        <w:t>;</w:t>
      </w:r>
      <w:r>
        <w:rPr>
          <w:rFonts w:eastAsia="Times New Roman"/>
          <w:bCs/>
          <w:szCs w:val="24"/>
        </w:rPr>
        <w:t xml:space="preserve"> </w:t>
      </w:r>
      <w:r w:rsidR="005B33AC">
        <w:rPr>
          <w:rFonts w:eastAsia="Times New Roman"/>
          <w:bCs/>
          <w:szCs w:val="24"/>
        </w:rPr>
        <w:t xml:space="preserve">et, </w:t>
      </w:r>
      <w:r>
        <w:t>sur la base d</w:t>
      </w:r>
      <w:r w:rsidR="00087107">
        <w:t>’</w:t>
      </w:r>
      <w:r>
        <w:t xml:space="preserve">un examen des versions finales des études, les propositions de </w:t>
      </w:r>
      <w:r>
        <w:rPr>
          <w:rFonts w:eastAsia="Times New Roman"/>
          <w:bCs/>
          <w:szCs w:val="24"/>
        </w:rPr>
        <w:t xml:space="preserve">modifications </w:t>
      </w:r>
      <w:r w:rsidR="005B33AC">
        <w:rPr>
          <w:rFonts w:eastAsia="Times New Roman"/>
          <w:bCs/>
          <w:szCs w:val="24"/>
        </w:rPr>
        <w:t>du</w:t>
      </w:r>
      <w:r>
        <w:rPr>
          <w:rFonts w:eastAsia="Times New Roman"/>
          <w:bCs/>
          <w:szCs w:val="24"/>
        </w:rPr>
        <w:t xml:space="preserve"> projet de décision contenues dans la recommandation</w:t>
      </w:r>
      <w:r w:rsidR="00A74F42">
        <w:rPr>
          <w:rFonts w:eastAsia="Times New Roman"/>
          <w:bCs/>
          <w:szCs w:val="24"/>
        </w:rPr>
        <w:t> </w:t>
      </w:r>
      <w:hyperlink r:id="rId26" w:history="1">
        <w:r w:rsidR="009C6797">
          <w:rPr>
            <w:rStyle w:val="Hyperlink"/>
            <w:rFonts w:eastAsia="Times New Roman"/>
            <w:bCs/>
            <w:szCs w:val="24"/>
          </w:rPr>
          <w:t>6/1</w:t>
        </w:r>
        <w:r w:rsidR="009C6797" w:rsidRPr="00DE54C1">
          <w:rPr>
            <w:rStyle w:val="Hyperlink"/>
            <w:rFonts w:eastAsia="Times New Roman"/>
            <w:bCs/>
            <w:szCs w:val="24"/>
            <w:u w:val="none"/>
          </w:rPr>
          <w:t xml:space="preserve"> </w:t>
        </w:r>
      </w:hyperlink>
      <w:r>
        <w:rPr>
          <w:rFonts w:eastAsia="Times New Roman"/>
          <w:bCs/>
          <w:szCs w:val="24"/>
        </w:rPr>
        <w:t xml:space="preserve">sont présentées dans la </w:t>
      </w:r>
      <w:r w:rsidR="00A74F42">
        <w:rPr>
          <w:rFonts w:eastAsia="Times New Roman"/>
          <w:bCs/>
          <w:szCs w:val="24"/>
        </w:rPr>
        <w:t>partie</w:t>
      </w:r>
      <w:r>
        <w:rPr>
          <w:rFonts w:eastAsia="Times New Roman"/>
          <w:bCs/>
          <w:szCs w:val="24"/>
        </w:rPr>
        <w:t xml:space="preserve"> IV ci-dessous et seront incluses dans la compilation susmentionnée des projets de décision.</w:t>
      </w:r>
    </w:p>
    <w:p w14:paraId="32EBDAE1" w14:textId="594A093C" w:rsidR="009C6797" w:rsidRDefault="00D0321D" w:rsidP="0083556A">
      <w:pPr>
        <w:pStyle w:val="CBDH2"/>
        <w:jc w:val="left"/>
      </w:pPr>
      <w:r>
        <w:t>B.</w:t>
      </w:r>
      <w:r>
        <w:tab/>
        <w:t xml:space="preserve">Tâches </w:t>
      </w:r>
      <w:r w:rsidR="007A48AF">
        <w:t>mené</w:t>
      </w:r>
      <w:r w:rsidR="00F238F6">
        <w:t>e</w:t>
      </w:r>
      <w:r>
        <w:t>s par l</w:t>
      </w:r>
      <w:r w:rsidR="00087107">
        <w:t>’</w:t>
      </w:r>
      <w:r>
        <w:t xml:space="preserve">Organe subsidiaire </w:t>
      </w:r>
      <w:r w:rsidR="0083556A">
        <w:t>chargé de l</w:t>
      </w:r>
      <w:r w:rsidR="00087107">
        <w:t>’</w:t>
      </w:r>
      <w:r w:rsidR="0083556A">
        <w:t>application</w:t>
      </w:r>
      <w:r>
        <w:t xml:space="preserve"> à sa septième réunion</w:t>
      </w:r>
    </w:p>
    <w:p w14:paraId="1D38AA1B" w14:textId="354294B1" w:rsidR="009C6797" w:rsidRDefault="00D0321D">
      <w:pPr>
        <w:pStyle w:val="CBDNormalNumber"/>
      </w:pPr>
      <w:r>
        <w:rPr>
          <w:rFonts w:eastAsia="Times New Roman"/>
          <w:bCs/>
          <w:szCs w:val="24"/>
        </w:rPr>
        <w:t xml:space="preserve">Au paragraphe 24 de la décision </w:t>
      </w:r>
      <w:hyperlink r:id="rId27" w:history="1">
        <w:r w:rsidR="009C6797">
          <w:rPr>
            <w:rStyle w:val="Hyperlink"/>
          </w:rPr>
          <w:t>16/34</w:t>
        </w:r>
      </w:hyperlink>
      <w:r>
        <w:rPr>
          <w:rFonts w:eastAsia="Times New Roman"/>
          <w:bCs/>
          <w:szCs w:val="24"/>
        </w:rPr>
        <w:t>, la Conférence des Parties a demandé à l</w:t>
      </w:r>
      <w:r w:rsidR="00087107">
        <w:rPr>
          <w:rFonts w:eastAsia="Times New Roman"/>
          <w:bCs/>
          <w:szCs w:val="24"/>
        </w:rPr>
        <w:t>’</w:t>
      </w:r>
      <w:r>
        <w:rPr>
          <w:rFonts w:eastAsia="Times New Roman"/>
          <w:bCs/>
          <w:szCs w:val="24"/>
        </w:rPr>
        <w:t xml:space="preserve">Organe subsidiaire </w:t>
      </w:r>
      <w:r w:rsidR="0083556A">
        <w:t>chargé de l</w:t>
      </w:r>
      <w:r w:rsidR="00087107">
        <w:t>’</w:t>
      </w:r>
      <w:r w:rsidR="0083556A">
        <w:t>application</w:t>
      </w:r>
      <w:r>
        <w:rPr>
          <w:rFonts w:eastAsia="Times New Roman"/>
          <w:bCs/>
          <w:szCs w:val="24"/>
        </w:rPr>
        <w:t xml:space="preserve"> d</w:t>
      </w:r>
      <w:r w:rsidR="00087107">
        <w:rPr>
          <w:rFonts w:eastAsia="Times New Roman"/>
          <w:bCs/>
          <w:szCs w:val="24"/>
        </w:rPr>
        <w:t>’</w:t>
      </w:r>
      <w:r>
        <w:rPr>
          <w:rFonts w:eastAsia="Times New Roman"/>
          <w:bCs/>
          <w:szCs w:val="24"/>
        </w:rPr>
        <w:t xml:space="preserve">examiner les éléments initiaux mentionnés dans les feuilles de route prévues </w:t>
      </w:r>
      <w:r w:rsidR="007616A4">
        <w:rPr>
          <w:rFonts w:eastAsia="Times New Roman"/>
          <w:bCs/>
          <w:szCs w:val="24"/>
        </w:rPr>
        <w:t>aux</w:t>
      </w:r>
      <w:r>
        <w:rPr>
          <w:rFonts w:eastAsia="Times New Roman"/>
          <w:bCs/>
          <w:szCs w:val="24"/>
        </w:rPr>
        <w:t xml:space="preserve"> paragraphe</w:t>
      </w:r>
      <w:r w:rsidR="007616A4">
        <w:rPr>
          <w:rFonts w:eastAsia="Times New Roman"/>
          <w:bCs/>
          <w:szCs w:val="24"/>
        </w:rPr>
        <w:t>s</w:t>
      </w:r>
      <w:r>
        <w:rPr>
          <w:rFonts w:eastAsia="Times New Roman"/>
          <w:bCs/>
          <w:szCs w:val="24"/>
        </w:rPr>
        <w:t xml:space="preserve"> 22 </w:t>
      </w:r>
      <w:r w:rsidR="007616A4">
        <w:rPr>
          <w:rFonts w:eastAsia="Times New Roman"/>
          <w:bCs/>
          <w:szCs w:val="24"/>
        </w:rPr>
        <w:t>a</w:t>
      </w:r>
      <w:r w:rsidR="007616A4" w:rsidRPr="007616A4">
        <w:rPr>
          <w:rFonts w:eastAsia="Times New Roman"/>
          <w:bCs/>
          <w:szCs w:val="24"/>
        </w:rPr>
        <w:t>)</w:t>
      </w:r>
      <w:r w:rsidR="007616A4">
        <w:rPr>
          <w:rFonts w:eastAsia="Times New Roman"/>
          <w:bCs/>
          <w:szCs w:val="24"/>
        </w:rPr>
        <w:t xml:space="preserve"> </w:t>
      </w:r>
      <w:r>
        <w:rPr>
          <w:rFonts w:eastAsia="Times New Roman"/>
          <w:bCs/>
          <w:szCs w:val="24"/>
        </w:rPr>
        <w:t>et 23</w:t>
      </w:r>
      <w:r w:rsidR="007616A4">
        <w:rPr>
          <w:rFonts w:eastAsia="Times New Roman"/>
          <w:bCs/>
          <w:szCs w:val="24"/>
        </w:rPr>
        <w:t xml:space="preserve"> a)</w:t>
      </w:r>
      <w:r>
        <w:rPr>
          <w:rFonts w:eastAsia="Times New Roman"/>
          <w:bCs/>
          <w:szCs w:val="24"/>
        </w:rPr>
        <w:t xml:space="preserve"> de la décision, d</w:t>
      </w:r>
      <w:r w:rsidR="00087107">
        <w:rPr>
          <w:rFonts w:eastAsia="Times New Roman"/>
          <w:bCs/>
          <w:szCs w:val="24"/>
        </w:rPr>
        <w:t>’</w:t>
      </w:r>
      <w:r>
        <w:rPr>
          <w:rFonts w:eastAsia="Times New Roman"/>
          <w:bCs/>
          <w:szCs w:val="24"/>
        </w:rPr>
        <w:t>examiner plus avant les possibilités d</w:t>
      </w:r>
      <w:r w:rsidR="00087107">
        <w:rPr>
          <w:rFonts w:eastAsia="Times New Roman"/>
          <w:bCs/>
          <w:szCs w:val="24"/>
        </w:rPr>
        <w:t>’</w:t>
      </w:r>
      <w:r>
        <w:rPr>
          <w:rFonts w:eastAsia="Times New Roman"/>
          <w:bCs/>
          <w:szCs w:val="24"/>
        </w:rPr>
        <w:t>élargir la base des contributeurs et d</w:t>
      </w:r>
      <w:r w:rsidR="00087107">
        <w:rPr>
          <w:rFonts w:eastAsia="Times New Roman"/>
          <w:bCs/>
          <w:szCs w:val="24"/>
        </w:rPr>
        <w:t>’</w:t>
      </w:r>
      <w:r>
        <w:rPr>
          <w:rFonts w:eastAsia="Times New Roman"/>
          <w:bCs/>
          <w:szCs w:val="24"/>
        </w:rPr>
        <w:t>élaborer un projet de décision</w:t>
      </w:r>
      <w:r w:rsidR="00393A20">
        <w:rPr>
          <w:rFonts w:eastAsia="Times New Roman"/>
          <w:bCs/>
          <w:szCs w:val="24"/>
        </w:rPr>
        <w:t>,</w:t>
      </w:r>
      <w:r>
        <w:rPr>
          <w:rFonts w:eastAsia="Times New Roman"/>
          <w:bCs/>
          <w:szCs w:val="24"/>
        </w:rPr>
        <w:t xml:space="preserve"> et de faire rapport sur les progrès accomplis à la dix-septième réunion</w:t>
      </w:r>
      <w:r w:rsidR="00393A20">
        <w:rPr>
          <w:rFonts w:eastAsia="Times New Roman"/>
          <w:bCs/>
          <w:szCs w:val="24"/>
        </w:rPr>
        <w:t xml:space="preserve"> de la Conférence des Parties</w:t>
      </w:r>
      <w:r>
        <w:rPr>
          <w:rFonts w:eastAsia="Times New Roman"/>
          <w:bCs/>
          <w:szCs w:val="24"/>
        </w:rPr>
        <w:t xml:space="preserve">. </w:t>
      </w:r>
      <w:r w:rsidR="00393A20">
        <w:rPr>
          <w:rFonts w:eastAsia="Times New Roman"/>
          <w:bCs/>
          <w:szCs w:val="24"/>
        </w:rPr>
        <w:t>Donnant suite</w:t>
      </w:r>
      <w:r>
        <w:rPr>
          <w:rFonts w:eastAsia="Times New Roman"/>
          <w:bCs/>
          <w:szCs w:val="24"/>
        </w:rPr>
        <w:t xml:space="preserve"> à ces demandes, </w:t>
      </w:r>
      <w:r>
        <w:t>l</w:t>
      </w:r>
      <w:r w:rsidR="00087107">
        <w:t>’</w:t>
      </w:r>
      <w:r>
        <w:t>Organe subsidiaire à sa septième réunion a examiné les notes du Secrétariat qui couvraient ces tâches</w:t>
      </w:r>
      <w:r w:rsidR="001573F5">
        <w:rPr>
          <w:rStyle w:val="FootnoteReference"/>
          <w:rFonts w:eastAsia="Times New Roman"/>
          <w:bCs/>
          <w:szCs w:val="24"/>
        </w:rPr>
        <w:footnoteReference w:id="3"/>
      </w:r>
      <w:r w:rsidR="00D32E49">
        <w:t>,</w:t>
      </w:r>
      <w:r>
        <w:t xml:space="preserve"> ainsi que les autres tâches restantes énumérées dans la décision </w:t>
      </w:r>
      <w:hyperlink r:id="rId28" w:history="1">
        <w:r w:rsidR="009C6797">
          <w:rPr>
            <w:rStyle w:val="Hyperlink"/>
          </w:rPr>
          <w:t>16/34</w:t>
        </w:r>
      </w:hyperlink>
      <w:r>
        <w:t xml:space="preserve"> concernant :</w:t>
      </w:r>
    </w:p>
    <w:p w14:paraId="09B1BD41" w14:textId="158E23E4" w:rsidR="009C6797" w:rsidRDefault="00D0321D" w:rsidP="00393A20">
      <w:pPr>
        <w:pStyle w:val="CBDNormalNumber"/>
        <w:numPr>
          <w:ilvl w:val="1"/>
          <w:numId w:val="7"/>
        </w:numPr>
      </w:pPr>
      <w:r>
        <w:lastRenderedPageBreak/>
        <w:t>Un résumé des principaux enseignements tirés de l</w:t>
      </w:r>
      <w:r w:rsidR="00087107">
        <w:t>’</w:t>
      </w:r>
      <w:r>
        <w:t>examen de la stratégie de mobilisation de ressources (</w:t>
      </w:r>
      <w:r w:rsidR="00393A20">
        <w:t xml:space="preserve">donnant </w:t>
      </w:r>
      <w:r>
        <w:t xml:space="preserve">suite au </w:t>
      </w:r>
      <w:r w:rsidR="00411901">
        <w:t>paragraphe</w:t>
      </w:r>
      <w:r>
        <w:t xml:space="preserve"> 7 et </w:t>
      </w:r>
      <w:r w:rsidR="00D57889">
        <w:t>au paragraphe</w:t>
      </w:r>
      <w:r>
        <w:t xml:space="preserve"> 25 a) de la décision</w:t>
      </w:r>
      <w:r w:rsidR="0092513B">
        <w:t> </w:t>
      </w:r>
      <w:hyperlink r:id="rId29" w:history="1">
        <w:r w:rsidR="009C6797">
          <w:rPr>
            <w:rStyle w:val="Hyperlink"/>
          </w:rPr>
          <w:t>16/34</w:t>
        </w:r>
      </w:hyperlink>
      <w:r>
        <w:t>);</w:t>
      </w:r>
    </w:p>
    <w:p w14:paraId="02B6288E" w14:textId="2D6C5825" w:rsidR="009C6797" w:rsidRDefault="008A1999">
      <w:pPr>
        <w:pStyle w:val="CBDNormalNumber"/>
        <w:numPr>
          <w:ilvl w:val="1"/>
          <w:numId w:val="7"/>
        </w:numPr>
      </w:pPr>
      <w:r>
        <w:rPr>
          <w:rFonts w:eastAsia="Times New Roman"/>
          <w:bCs/>
          <w:szCs w:val="24"/>
        </w:rPr>
        <w:t>Un p</w:t>
      </w:r>
      <w:r w:rsidR="00D0321D">
        <w:rPr>
          <w:rFonts w:eastAsia="Times New Roman"/>
          <w:bCs/>
          <w:szCs w:val="24"/>
        </w:rPr>
        <w:t>rojet d</w:t>
      </w:r>
      <w:r w:rsidR="00087107">
        <w:rPr>
          <w:rFonts w:eastAsia="Times New Roman"/>
          <w:bCs/>
          <w:szCs w:val="24"/>
        </w:rPr>
        <w:t>’</w:t>
      </w:r>
      <w:r w:rsidR="00D0321D">
        <w:rPr>
          <w:rFonts w:eastAsia="Times New Roman"/>
          <w:bCs/>
          <w:szCs w:val="24"/>
        </w:rPr>
        <w:t>éléments pour la poursuite de l</w:t>
      </w:r>
      <w:r w:rsidR="00087107">
        <w:rPr>
          <w:rFonts w:eastAsia="Times New Roman"/>
          <w:bCs/>
          <w:szCs w:val="24"/>
        </w:rPr>
        <w:t>’</w:t>
      </w:r>
      <w:r w:rsidR="00D0321D">
        <w:rPr>
          <w:rFonts w:eastAsia="Times New Roman"/>
          <w:bCs/>
          <w:szCs w:val="24"/>
        </w:rPr>
        <w:t>élaboration des critères régissant la structure institutionnelle chargée de gérer le mécanisme de financement, en tenant compte de la compilation des vues figurant à l</w:t>
      </w:r>
      <w:r w:rsidR="00087107">
        <w:rPr>
          <w:rFonts w:eastAsia="Times New Roman"/>
          <w:bCs/>
          <w:szCs w:val="24"/>
        </w:rPr>
        <w:t>’</w:t>
      </w:r>
      <w:r w:rsidR="00D0321D">
        <w:rPr>
          <w:rFonts w:eastAsia="Times New Roman"/>
          <w:bCs/>
          <w:szCs w:val="24"/>
        </w:rPr>
        <w:t xml:space="preserve">annexe II de la décision </w:t>
      </w:r>
      <w:hyperlink r:id="rId30" w:history="1">
        <w:r w:rsidR="009C6797">
          <w:rPr>
            <w:rStyle w:val="Hyperlink"/>
            <w:rFonts w:eastAsia="Times New Roman"/>
            <w:bCs/>
            <w:szCs w:val="24"/>
          </w:rPr>
          <w:t>16/34</w:t>
        </w:r>
      </w:hyperlink>
      <w:r w:rsidR="00D0321D">
        <w:rPr>
          <w:rFonts w:eastAsia="Times New Roman"/>
          <w:bCs/>
          <w:szCs w:val="24"/>
        </w:rPr>
        <w:t xml:space="preserve"> (</w:t>
      </w:r>
      <w:r>
        <w:rPr>
          <w:rFonts w:eastAsia="Times New Roman"/>
          <w:bCs/>
          <w:szCs w:val="24"/>
        </w:rPr>
        <w:t xml:space="preserve">donnant </w:t>
      </w:r>
      <w:r w:rsidR="00D0321D">
        <w:rPr>
          <w:rFonts w:eastAsia="Times New Roman"/>
          <w:bCs/>
          <w:szCs w:val="24"/>
        </w:rPr>
        <w:t xml:space="preserve">suite au </w:t>
      </w:r>
      <w:r w:rsidR="00411901">
        <w:rPr>
          <w:rFonts w:eastAsia="Times New Roman"/>
          <w:bCs/>
          <w:szCs w:val="24"/>
        </w:rPr>
        <w:t>paragraphe</w:t>
      </w:r>
      <w:r w:rsidR="00D0321D">
        <w:rPr>
          <w:rFonts w:eastAsia="Times New Roman"/>
          <w:bCs/>
          <w:szCs w:val="24"/>
        </w:rPr>
        <w:t xml:space="preserve"> 22 a) et </w:t>
      </w:r>
      <w:r>
        <w:rPr>
          <w:rFonts w:eastAsia="Times New Roman"/>
          <w:bCs/>
          <w:szCs w:val="24"/>
        </w:rPr>
        <w:t xml:space="preserve">au </w:t>
      </w:r>
      <w:r w:rsidR="00411901">
        <w:rPr>
          <w:rFonts w:eastAsia="Times New Roman"/>
          <w:bCs/>
          <w:szCs w:val="24"/>
        </w:rPr>
        <w:t>paragraphe</w:t>
      </w:r>
      <w:r>
        <w:rPr>
          <w:rFonts w:eastAsia="Times New Roman"/>
          <w:bCs/>
          <w:szCs w:val="24"/>
        </w:rPr>
        <w:t> </w:t>
      </w:r>
      <w:r w:rsidR="00D0321D">
        <w:rPr>
          <w:rFonts w:eastAsia="Times New Roman"/>
          <w:bCs/>
          <w:szCs w:val="24"/>
        </w:rPr>
        <w:t>24 de cette décision);</w:t>
      </w:r>
    </w:p>
    <w:p w14:paraId="213E7D12" w14:textId="54483C4E" w:rsidR="009C6797" w:rsidRDefault="008A1999" w:rsidP="00393A20">
      <w:pPr>
        <w:pStyle w:val="CBDNormalNumber"/>
        <w:numPr>
          <w:ilvl w:val="1"/>
          <w:numId w:val="7"/>
        </w:numPr>
      </w:pPr>
      <w:r>
        <w:rPr>
          <w:rFonts w:eastAsia="Times New Roman"/>
          <w:bCs/>
          <w:szCs w:val="24"/>
        </w:rPr>
        <w:t>Un recensement</w:t>
      </w:r>
      <w:r w:rsidR="00D0321D">
        <w:rPr>
          <w:rFonts w:eastAsia="Times New Roman"/>
          <w:bCs/>
          <w:szCs w:val="24"/>
        </w:rPr>
        <w:t xml:space="preserve"> des obstacles à l</w:t>
      </w:r>
      <w:r w:rsidR="00087107">
        <w:rPr>
          <w:rFonts w:eastAsia="Times New Roman"/>
          <w:bCs/>
          <w:szCs w:val="24"/>
        </w:rPr>
        <w:t>’</w:t>
      </w:r>
      <w:r w:rsidR="00D0321D">
        <w:rPr>
          <w:rFonts w:eastAsia="Times New Roman"/>
          <w:bCs/>
          <w:szCs w:val="24"/>
        </w:rPr>
        <w:t>efficacité du financement mondial de la biodiversité et des éléments pour son renforcement (</w:t>
      </w:r>
      <w:r w:rsidR="00477959">
        <w:rPr>
          <w:rFonts w:eastAsia="Times New Roman"/>
          <w:bCs/>
          <w:szCs w:val="24"/>
        </w:rPr>
        <w:t xml:space="preserve">donnant </w:t>
      </w:r>
      <w:r w:rsidR="00D0321D">
        <w:rPr>
          <w:rFonts w:eastAsia="Times New Roman"/>
          <w:bCs/>
          <w:szCs w:val="24"/>
        </w:rPr>
        <w:t xml:space="preserve">suite au </w:t>
      </w:r>
      <w:r w:rsidR="00411901">
        <w:rPr>
          <w:rFonts w:eastAsia="Times New Roman"/>
          <w:bCs/>
          <w:szCs w:val="24"/>
        </w:rPr>
        <w:t>paragraphe</w:t>
      </w:r>
      <w:r w:rsidR="00D0321D">
        <w:rPr>
          <w:rFonts w:eastAsia="Times New Roman"/>
          <w:bCs/>
          <w:szCs w:val="24"/>
        </w:rPr>
        <w:t xml:space="preserve"> 23 a) et </w:t>
      </w:r>
      <w:r w:rsidR="00477959">
        <w:rPr>
          <w:rFonts w:eastAsia="Times New Roman"/>
          <w:bCs/>
          <w:szCs w:val="24"/>
        </w:rPr>
        <w:t xml:space="preserve">au </w:t>
      </w:r>
      <w:r w:rsidR="00411901">
        <w:rPr>
          <w:rFonts w:eastAsia="Times New Roman"/>
          <w:bCs/>
          <w:szCs w:val="24"/>
        </w:rPr>
        <w:t>paragraphe</w:t>
      </w:r>
      <w:r w:rsidR="00D0321D">
        <w:rPr>
          <w:rFonts w:eastAsia="Times New Roman"/>
          <w:bCs/>
          <w:szCs w:val="24"/>
        </w:rPr>
        <w:t xml:space="preserve"> 24 de la décision </w:t>
      </w:r>
      <w:hyperlink r:id="rId31" w:history="1">
        <w:r w:rsidR="009C6797">
          <w:rPr>
            <w:rStyle w:val="Hyperlink"/>
          </w:rPr>
          <w:t>16/34</w:t>
        </w:r>
      </w:hyperlink>
      <w:r w:rsidR="00D0321D">
        <w:rPr>
          <w:rFonts w:eastAsia="Times New Roman"/>
          <w:bCs/>
          <w:szCs w:val="24"/>
        </w:rPr>
        <w:t>);</w:t>
      </w:r>
    </w:p>
    <w:p w14:paraId="7550D8D4" w14:textId="5A7A0519" w:rsidR="009C6797" w:rsidRDefault="00477959">
      <w:pPr>
        <w:pStyle w:val="CBDNormalNumber"/>
        <w:numPr>
          <w:ilvl w:val="1"/>
          <w:numId w:val="7"/>
        </w:numPr>
      </w:pPr>
      <w:r>
        <w:rPr>
          <w:rFonts w:eastAsia="Times New Roman"/>
          <w:bCs/>
          <w:szCs w:val="24"/>
        </w:rPr>
        <w:t>Des p</w:t>
      </w:r>
      <w:r w:rsidR="00D0321D">
        <w:rPr>
          <w:rFonts w:eastAsia="Times New Roman"/>
          <w:bCs/>
          <w:szCs w:val="24"/>
        </w:rPr>
        <w:t xml:space="preserve">ropositions concernant </w:t>
      </w:r>
      <w:r>
        <w:rPr>
          <w:rFonts w:eastAsia="Times New Roman"/>
          <w:bCs/>
          <w:szCs w:val="24"/>
        </w:rPr>
        <w:t>une</w:t>
      </w:r>
      <w:r w:rsidR="00D0321D">
        <w:rPr>
          <w:rFonts w:eastAsia="Times New Roman"/>
          <w:bCs/>
          <w:szCs w:val="24"/>
        </w:rPr>
        <w:t xml:space="preserve"> meilleure périodicité pour la publication des notifications de mise à jour de la liste des pays développés Parties et des autres Parties qui assument volontairement les obligations des pays développés Parties, conformément au paragraphe 2 de l</w:t>
      </w:r>
      <w:r w:rsidR="00087107">
        <w:rPr>
          <w:rFonts w:eastAsia="Times New Roman"/>
          <w:bCs/>
          <w:szCs w:val="24"/>
        </w:rPr>
        <w:t>’</w:t>
      </w:r>
      <w:r w:rsidR="00D0321D">
        <w:rPr>
          <w:rFonts w:eastAsia="Times New Roman"/>
          <w:bCs/>
          <w:szCs w:val="24"/>
        </w:rPr>
        <w:t>article 20 de la Convention, et les possibilités d</w:t>
      </w:r>
      <w:r w:rsidR="00087107">
        <w:rPr>
          <w:rFonts w:eastAsia="Times New Roman"/>
          <w:bCs/>
          <w:szCs w:val="24"/>
        </w:rPr>
        <w:t>’</w:t>
      </w:r>
      <w:r w:rsidR="00D0321D">
        <w:rPr>
          <w:rFonts w:eastAsia="Times New Roman"/>
          <w:bCs/>
          <w:szCs w:val="24"/>
        </w:rPr>
        <w:t xml:space="preserve">élargir la base des contributeurs (voir </w:t>
      </w:r>
      <w:r>
        <w:rPr>
          <w:rFonts w:eastAsia="Times New Roman"/>
          <w:bCs/>
          <w:szCs w:val="24"/>
        </w:rPr>
        <w:t xml:space="preserve">les </w:t>
      </w:r>
      <w:r w:rsidR="00411901">
        <w:rPr>
          <w:rFonts w:eastAsia="Times New Roman"/>
          <w:bCs/>
          <w:szCs w:val="24"/>
        </w:rPr>
        <w:t>paragraphe</w:t>
      </w:r>
      <w:r>
        <w:rPr>
          <w:rFonts w:eastAsia="Times New Roman"/>
          <w:bCs/>
          <w:szCs w:val="24"/>
        </w:rPr>
        <w:t xml:space="preserve">s </w:t>
      </w:r>
      <w:r w:rsidR="00D0321D">
        <w:rPr>
          <w:rFonts w:eastAsia="Times New Roman"/>
          <w:bCs/>
          <w:szCs w:val="24"/>
        </w:rPr>
        <w:t>18 et 24 de la décision 16/34).</w:t>
      </w:r>
    </w:p>
    <w:p w14:paraId="399B4430" w14:textId="49BCC2E0" w:rsidR="009C6797" w:rsidRDefault="00477959">
      <w:pPr>
        <w:pStyle w:val="CBDNormalNumber"/>
      </w:pPr>
      <w:r>
        <w:rPr>
          <w:rFonts w:eastAsia="Times New Roman"/>
          <w:bCs/>
          <w:szCs w:val="24"/>
        </w:rPr>
        <w:t>Donnant</w:t>
      </w:r>
      <w:r w:rsidR="00D0321D">
        <w:rPr>
          <w:rFonts w:eastAsia="Times New Roman"/>
          <w:bCs/>
          <w:szCs w:val="24"/>
        </w:rPr>
        <w:t xml:space="preserve"> suite </w:t>
      </w:r>
      <w:r w:rsidR="00815374">
        <w:rPr>
          <w:rFonts w:eastAsia="Times New Roman"/>
          <w:bCs/>
          <w:szCs w:val="24"/>
        </w:rPr>
        <w:t>au</w:t>
      </w:r>
      <w:r w:rsidR="00D0321D">
        <w:rPr>
          <w:rFonts w:eastAsia="Times New Roman"/>
          <w:bCs/>
          <w:szCs w:val="24"/>
        </w:rPr>
        <w:t xml:space="preserve"> paragraphe 25</w:t>
      </w:r>
      <w:r w:rsidR="00815374">
        <w:rPr>
          <w:rFonts w:eastAsia="Times New Roman"/>
          <w:bCs/>
          <w:szCs w:val="24"/>
        </w:rPr>
        <w:t xml:space="preserve"> b)</w:t>
      </w:r>
      <w:r w:rsidR="00D0321D">
        <w:rPr>
          <w:rFonts w:eastAsia="Times New Roman"/>
          <w:bCs/>
          <w:szCs w:val="24"/>
        </w:rPr>
        <w:t xml:space="preserve"> de la décision </w:t>
      </w:r>
      <w:hyperlink r:id="rId32" w:history="1">
        <w:r w:rsidR="009C6797">
          <w:rPr>
            <w:rStyle w:val="Hyperlink"/>
          </w:rPr>
          <w:t>16/34</w:t>
        </w:r>
      </w:hyperlink>
      <w:r w:rsidR="00D0321D">
        <w:rPr>
          <w:rFonts w:eastAsia="Times New Roman"/>
          <w:bCs/>
          <w:szCs w:val="24"/>
        </w:rPr>
        <w:t>, les résultats d</w:t>
      </w:r>
      <w:r w:rsidR="00087107">
        <w:rPr>
          <w:rFonts w:eastAsia="Times New Roman"/>
          <w:bCs/>
          <w:szCs w:val="24"/>
        </w:rPr>
        <w:t>’</w:t>
      </w:r>
      <w:r w:rsidR="00D0321D">
        <w:rPr>
          <w:rFonts w:eastAsia="Times New Roman"/>
          <w:bCs/>
          <w:szCs w:val="24"/>
        </w:rPr>
        <w:t>une étude sur les moyens de renforcer le suivi des di</w:t>
      </w:r>
      <w:r w:rsidR="00815374">
        <w:rPr>
          <w:rFonts w:eastAsia="Times New Roman"/>
          <w:bCs/>
          <w:szCs w:val="24"/>
        </w:rPr>
        <w:t>fférente</w:t>
      </w:r>
      <w:r w:rsidR="00D0321D">
        <w:rPr>
          <w:rFonts w:eastAsia="Times New Roman"/>
          <w:bCs/>
          <w:szCs w:val="24"/>
        </w:rPr>
        <w:t>s sources de financement de la biodiversité et l</w:t>
      </w:r>
      <w:r w:rsidR="00087107">
        <w:rPr>
          <w:rFonts w:eastAsia="Times New Roman"/>
          <w:bCs/>
          <w:szCs w:val="24"/>
        </w:rPr>
        <w:t>’</w:t>
      </w:r>
      <w:r w:rsidR="00D0321D">
        <w:rPr>
          <w:rFonts w:eastAsia="Times New Roman"/>
          <w:bCs/>
          <w:szCs w:val="24"/>
        </w:rPr>
        <w:t>établissement de rapports à leur sujet ont été communiqués dans un document d</w:t>
      </w:r>
      <w:r w:rsidR="00087107">
        <w:rPr>
          <w:rFonts w:eastAsia="Times New Roman"/>
          <w:bCs/>
          <w:szCs w:val="24"/>
        </w:rPr>
        <w:t>’</w:t>
      </w:r>
      <w:r w:rsidR="00D0321D">
        <w:rPr>
          <w:rFonts w:eastAsia="Times New Roman"/>
          <w:bCs/>
          <w:szCs w:val="24"/>
        </w:rPr>
        <w:t>information à la septième réunion de l</w:t>
      </w:r>
      <w:r w:rsidR="00087107">
        <w:rPr>
          <w:rFonts w:eastAsia="Times New Roman"/>
          <w:bCs/>
          <w:szCs w:val="24"/>
        </w:rPr>
        <w:t>’</w:t>
      </w:r>
      <w:r w:rsidR="00D0321D">
        <w:rPr>
          <w:rFonts w:eastAsia="Times New Roman"/>
          <w:bCs/>
          <w:szCs w:val="24"/>
        </w:rPr>
        <w:t>Organe subsidiaire</w:t>
      </w:r>
      <w:r w:rsidR="00DD199F">
        <w:rPr>
          <w:rStyle w:val="FootnoteReference"/>
          <w:rFonts w:eastAsia="Times New Roman"/>
          <w:bCs/>
          <w:szCs w:val="24"/>
        </w:rPr>
        <w:footnoteReference w:id="4"/>
      </w:r>
      <w:r w:rsidR="00BA2544">
        <w:rPr>
          <w:rFonts w:eastAsia="Times New Roman"/>
          <w:bCs/>
          <w:szCs w:val="24"/>
        </w:rPr>
        <w:t>.</w:t>
      </w:r>
      <w:r w:rsidR="00D0321D">
        <w:rPr>
          <w:rFonts w:eastAsia="Times New Roman"/>
          <w:bCs/>
          <w:szCs w:val="24"/>
        </w:rPr>
        <w:t xml:space="preserve"> Les conclusions pertinentes de l</w:t>
      </w:r>
      <w:r w:rsidR="00087107">
        <w:rPr>
          <w:rFonts w:eastAsia="Times New Roman"/>
          <w:bCs/>
          <w:szCs w:val="24"/>
        </w:rPr>
        <w:t>’</w:t>
      </w:r>
      <w:r w:rsidR="00D0321D">
        <w:rPr>
          <w:rFonts w:eastAsia="Times New Roman"/>
          <w:bCs/>
          <w:szCs w:val="24"/>
        </w:rPr>
        <w:t xml:space="preserve">étude ont été </w:t>
      </w:r>
      <w:r w:rsidR="00815374">
        <w:rPr>
          <w:rFonts w:eastAsia="Times New Roman"/>
          <w:bCs/>
          <w:szCs w:val="24"/>
        </w:rPr>
        <w:t>incorpor</w:t>
      </w:r>
      <w:r w:rsidR="00D0321D">
        <w:rPr>
          <w:rFonts w:eastAsia="Times New Roman"/>
          <w:bCs/>
          <w:szCs w:val="24"/>
        </w:rPr>
        <w:t xml:space="preserve">ées dans un document de pré-session sur les obstacles </w:t>
      </w:r>
      <w:r w:rsidR="00815374">
        <w:rPr>
          <w:rFonts w:eastAsia="Times New Roman"/>
          <w:bCs/>
          <w:szCs w:val="24"/>
        </w:rPr>
        <w:t>recensé</w:t>
      </w:r>
      <w:r w:rsidR="00D0321D">
        <w:rPr>
          <w:rFonts w:eastAsia="Times New Roman"/>
          <w:bCs/>
          <w:szCs w:val="24"/>
        </w:rPr>
        <w:t>s à l</w:t>
      </w:r>
      <w:r w:rsidR="00087107">
        <w:rPr>
          <w:rFonts w:eastAsia="Times New Roman"/>
          <w:bCs/>
          <w:szCs w:val="24"/>
        </w:rPr>
        <w:t>’</w:t>
      </w:r>
      <w:r w:rsidR="00D0321D">
        <w:rPr>
          <w:rFonts w:eastAsia="Times New Roman"/>
          <w:bCs/>
          <w:szCs w:val="24"/>
        </w:rPr>
        <w:t>efficacité du financement mondial de la biodiversité</w:t>
      </w:r>
      <w:r w:rsidR="007122DF">
        <w:rPr>
          <w:rStyle w:val="FootnoteReference"/>
          <w:rFonts w:eastAsia="Times New Roman"/>
          <w:bCs/>
          <w:szCs w:val="24"/>
        </w:rPr>
        <w:footnoteReference w:id="5"/>
      </w:r>
      <w:r w:rsidR="00BA2544">
        <w:rPr>
          <w:rFonts w:eastAsia="Times New Roman"/>
          <w:bCs/>
          <w:szCs w:val="24"/>
        </w:rPr>
        <w:t>.</w:t>
      </w:r>
      <w:r w:rsidR="00D0321D">
        <w:rPr>
          <w:rFonts w:eastAsia="Times New Roman"/>
          <w:bCs/>
          <w:szCs w:val="24"/>
          <w:vertAlign w:val="superscript"/>
        </w:rPr>
        <w:t xml:space="preserve"> </w:t>
      </w:r>
    </w:p>
    <w:p w14:paraId="05EA508E" w14:textId="77EDDD29" w:rsidR="009C6797" w:rsidRDefault="00D0321D">
      <w:pPr>
        <w:pStyle w:val="CBDNormalNumber"/>
      </w:pPr>
      <w:r>
        <w:t>Sur la base des considérations susmentionnées, l</w:t>
      </w:r>
      <w:r w:rsidR="00087107">
        <w:t>’</w:t>
      </w:r>
      <w:r>
        <w:t xml:space="preserve">Organe subsidiaire a adopté à sa septième réunion la recommandation </w:t>
      </w:r>
      <w:hyperlink r:id="rId33" w:history="1">
        <w:r w:rsidR="009C6797">
          <w:rPr>
            <w:rStyle w:val="Hyperlink"/>
          </w:rPr>
          <w:t>7/2</w:t>
        </w:r>
      </w:hyperlink>
      <w:r>
        <w:t>, y compris des éléments d</w:t>
      </w:r>
      <w:r w:rsidR="00087107">
        <w:t>’</w:t>
      </w:r>
      <w:r>
        <w:t>un projet de décision</w:t>
      </w:r>
      <w:r w:rsidR="00630C3B">
        <w:t>,</w:t>
      </w:r>
      <w:r>
        <w:t xml:space="preserve"> pour examen par la Conférence des Parties à sa dix-septième réunion.</w:t>
      </w:r>
    </w:p>
    <w:p w14:paraId="09210EBD" w14:textId="1E49FC4E" w:rsidR="009C6797" w:rsidRDefault="00D0321D">
      <w:pPr>
        <w:pStyle w:val="CBDNormalNumber"/>
      </w:pPr>
      <w:r>
        <w:t>Au paragraphe 3 de cette recommandation, l</w:t>
      </w:r>
      <w:r w:rsidR="00087107">
        <w:t>’</w:t>
      </w:r>
      <w:r>
        <w:t>Organe subsidiaire a prié le Secrétariat de mettre à la disposition de la Conférence des Parties, à sa dix-septième réunion, la liste non exhaustive des domaines de convergence et de divergence concernant les possibilités d</w:t>
      </w:r>
      <w:r w:rsidR="00087107">
        <w:t>’</w:t>
      </w:r>
      <w:r>
        <w:t>élargir la base des contributeurs, identifiée par les amis des coprésidents du groupe de contact sur la mobilisation des ressources à la septième réunion de l</w:t>
      </w:r>
      <w:r w:rsidR="00087107">
        <w:t>’</w:t>
      </w:r>
      <w:r>
        <w:t>Organe subsidiaire. Cette liste sera donc mise à la disposition de la Conférence des Parties à sa dix-septième réunion en tant que document d</w:t>
      </w:r>
      <w:r w:rsidR="00087107">
        <w:t>’</w:t>
      </w:r>
      <w:r>
        <w:t>information.</w:t>
      </w:r>
    </w:p>
    <w:p w14:paraId="543F1BA5" w14:textId="69A2C0C3" w:rsidR="009C6797" w:rsidRDefault="00D0321D">
      <w:pPr>
        <w:pStyle w:val="CBDNormalNumber"/>
      </w:pPr>
      <w:r>
        <w:t>Au paragraphe 2 de la recommandation 7/2, l</w:t>
      </w:r>
      <w:r w:rsidR="00087107">
        <w:t>’</w:t>
      </w:r>
      <w:r>
        <w:t>Organe subsidiaire a prié le Secrétariat de présenter un rapport d</w:t>
      </w:r>
      <w:r w:rsidR="00087107">
        <w:t>’</w:t>
      </w:r>
      <w:r>
        <w:t xml:space="preserve">étape actualisé sur les demandes formulées dans la décision </w:t>
      </w:r>
      <w:hyperlink r:id="rId34" w:history="1">
        <w:r w:rsidR="009C6797">
          <w:rPr>
            <w:rStyle w:val="Hyperlink"/>
          </w:rPr>
          <w:t>16/34</w:t>
        </w:r>
      </w:hyperlink>
      <w:r>
        <w:t xml:space="preserve">. La présente </w:t>
      </w:r>
      <w:r w:rsidR="007240D6">
        <w:t>partie</w:t>
      </w:r>
      <w:r>
        <w:t xml:space="preserve"> répond à cette demande.</w:t>
      </w:r>
    </w:p>
    <w:p w14:paraId="14145F3E" w14:textId="77777777" w:rsidR="009C6797" w:rsidRDefault="00D0321D">
      <w:pPr>
        <w:pStyle w:val="CBDH2"/>
      </w:pPr>
      <w:r>
        <w:t>C.</w:t>
      </w:r>
      <w:r>
        <w:tab/>
        <w:t>Autres demandes formulées dans la décision 16/34</w:t>
      </w:r>
    </w:p>
    <w:p w14:paraId="6C969274" w14:textId="29A9595D" w:rsidR="009C6797" w:rsidRDefault="00D0321D">
      <w:pPr>
        <w:pStyle w:val="CBDNormalNumber"/>
      </w:pPr>
      <w:r>
        <w:t xml:space="preserve">Au paragraphe 26 a) de la décision </w:t>
      </w:r>
      <w:hyperlink r:id="rId35" w:history="1">
        <w:r w:rsidR="009C6797">
          <w:rPr>
            <w:rStyle w:val="Hyperlink"/>
          </w:rPr>
          <w:t>16/34</w:t>
        </w:r>
      </w:hyperlink>
      <w:r>
        <w:t>, la Conférence des Parties a prié le Secrétariat, sous réserve que des ressources financières soient disponibles, de faciliter un dialogue international avec les ministres de l</w:t>
      </w:r>
      <w:r w:rsidR="00087107">
        <w:t>’</w:t>
      </w:r>
      <w:r>
        <w:t>environnement et des finances des pays développés et en développement</w:t>
      </w:r>
      <w:r w:rsidR="00BE1B34">
        <w:t>,</w:t>
      </w:r>
      <w:r>
        <w:t xml:space="preserve"> afin d</w:t>
      </w:r>
      <w:r w:rsidR="00087107">
        <w:t>’</w:t>
      </w:r>
      <w:r>
        <w:t>accélérer la réalisation de l</w:t>
      </w:r>
      <w:r w:rsidR="00032E5A">
        <w:t>a Cible</w:t>
      </w:r>
      <w:r>
        <w:t xml:space="preserve"> 19 du Cadre mondial </w:t>
      </w:r>
      <w:r w:rsidR="00374829">
        <w:t>de</w:t>
      </w:r>
      <w:r>
        <w:t xml:space="preserve"> la </w:t>
      </w:r>
      <w:r w:rsidR="00374829">
        <w:t>bio</w:t>
      </w:r>
      <w:r>
        <w:t>diversité de Kunming-Montréal.</w:t>
      </w:r>
    </w:p>
    <w:p w14:paraId="677D7089" w14:textId="15F0AFA9" w:rsidR="009C6797" w:rsidRDefault="00AB5A13">
      <w:pPr>
        <w:pStyle w:val="CBDNormalNumber"/>
      </w:pPr>
      <w:r>
        <w:t>Donnant suite</w:t>
      </w:r>
      <w:r w:rsidR="00D0321D">
        <w:t xml:space="preserve"> à cette demande et </w:t>
      </w:r>
      <w:r w:rsidR="001F0F66">
        <w:t>grâce au</w:t>
      </w:r>
      <w:r w:rsidR="00D0321D">
        <w:t xml:space="preserve"> généreux soutien financier et logistique du gouvernement arménien</w:t>
      </w:r>
      <w:r w:rsidR="00BE1B34">
        <w:t>,</w:t>
      </w:r>
      <w:r w:rsidR="00D0321D">
        <w:t xml:space="preserve"> en partenariat avec la Coalition des ministres des finances pour l</w:t>
      </w:r>
      <w:r w:rsidR="00087107">
        <w:t>’</w:t>
      </w:r>
      <w:r w:rsidR="00D0321D">
        <w:t>action climatique et le Partenariat pour l</w:t>
      </w:r>
      <w:r w:rsidR="00087107">
        <w:t>’</w:t>
      </w:r>
      <w:r w:rsidR="00D0321D">
        <w:t>action en faveur de l</w:t>
      </w:r>
      <w:r w:rsidR="00087107">
        <w:t>’</w:t>
      </w:r>
      <w:r w:rsidR="00D0321D">
        <w:t>économie verte (PAGE), un dialogue de haut niveau entre les ministres des finances et les ministres de l</w:t>
      </w:r>
      <w:r w:rsidR="00087107">
        <w:t>’</w:t>
      </w:r>
      <w:r w:rsidR="00D0321D">
        <w:t xml:space="preserve">environnement devrait avoir lieu à Erevan le 27 octobre 2026 dans le cadre du segment de haut niveau de la dix-septième réunion de la </w:t>
      </w:r>
      <w:r w:rsidR="00D0321D">
        <w:lastRenderedPageBreak/>
        <w:t xml:space="preserve">Conférence des Parties. La </w:t>
      </w:r>
      <w:r w:rsidR="005B6122">
        <w:t>sessi</w:t>
      </w:r>
      <w:r w:rsidR="00D0321D">
        <w:t xml:space="preserve">on, qui réunira les ministres des </w:t>
      </w:r>
      <w:r w:rsidR="005B6122">
        <w:t>f</w:t>
      </w:r>
      <w:r w:rsidR="00D0321D">
        <w:t>inances et les ministres de l</w:t>
      </w:r>
      <w:r w:rsidR="00087107">
        <w:t>’</w:t>
      </w:r>
      <w:r w:rsidR="005B6122">
        <w:t>e</w:t>
      </w:r>
      <w:r w:rsidR="00D0321D">
        <w:t>nvironnement afin de leur permettre de parvenir à une compréhension commune de la manière dont les finances publiques et la politique fiscale peuvent être alignées sur les objectifs nationaux et mondiaux en matière de biodiversité, fournira l</w:t>
      </w:r>
      <w:r w:rsidR="00087107">
        <w:t>’</w:t>
      </w:r>
      <w:r w:rsidR="00D0321D">
        <w:t xml:space="preserve">espace nécessaire pour une exploration franche de haut niveau sur les questions suivantes : comment les risques et les opportunités liés à la nature peuvent être </w:t>
      </w:r>
      <w:r w:rsidR="00A9482E">
        <w:t>intégr</w:t>
      </w:r>
      <w:r w:rsidR="00D0321D">
        <w:t>és dans la planification macrobudgétaire</w:t>
      </w:r>
      <w:r w:rsidR="00DB2CDB">
        <w:t>;</w:t>
      </w:r>
      <w:r w:rsidR="00D0321D">
        <w:t xml:space="preserve"> comment la budgétisation verte peut créer un espace budgétaire pour le développement socio-économique</w:t>
      </w:r>
      <w:r w:rsidR="00DB2CDB">
        <w:t>;</w:t>
      </w:r>
      <w:r w:rsidR="00D0321D">
        <w:t xml:space="preserve"> et comment les ministères des </w:t>
      </w:r>
      <w:r w:rsidR="00665B24">
        <w:t>f</w:t>
      </w:r>
      <w:r w:rsidR="00D0321D">
        <w:t>inances et les ministères de l</w:t>
      </w:r>
      <w:r w:rsidR="00087107">
        <w:t>’</w:t>
      </w:r>
      <w:r w:rsidR="00665B24">
        <w:t>e</w:t>
      </w:r>
      <w:r w:rsidR="00D0321D">
        <w:t>nvironnement peuvent travailler ensemble sur la mise en œuvre.</w:t>
      </w:r>
    </w:p>
    <w:p w14:paraId="52533679" w14:textId="661014DD" w:rsidR="009C6797" w:rsidRDefault="00D0321D">
      <w:pPr>
        <w:pStyle w:val="CBDNormalNumber"/>
      </w:pPr>
      <w:r>
        <w:t>Depuis l</w:t>
      </w:r>
      <w:r w:rsidR="00087107">
        <w:t>’</w:t>
      </w:r>
      <w:r>
        <w:t xml:space="preserve">adoption de la décision </w:t>
      </w:r>
      <w:hyperlink r:id="rId36" w:history="1">
        <w:r w:rsidR="009C6797">
          <w:rPr>
            <w:rStyle w:val="Hyperlink"/>
          </w:rPr>
          <w:t>16/34</w:t>
        </w:r>
      </w:hyperlink>
      <w:r>
        <w:t xml:space="preserve">, le Secrétariat a </w:t>
      </w:r>
      <w:r w:rsidR="00DD72E2">
        <w:t>mené</w:t>
      </w:r>
      <w:r>
        <w:t xml:space="preserve"> d</w:t>
      </w:r>
      <w:r w:rsidR="00087107">
        <w:t>’</w:t>
      </w:r>
      <w:r>
        <w:t>autres initiatives pour répondre à ces besoins. Le Secrétariat a entamé une collaboration avec la Coalition des ministres des finances pour l</w:t>
      </w:r>
      <w:r w:rsidR="00087107">
        <w:t>’</w:t>
      </w:r>
      <w:r>
        <w:t>action climatique et le Programme des Nations Unies pour l</w:t>
      </w:r>
      <w:r w:rsidR="00087107">
        <w:t>’</w:t>
      </w:r>
      <w:r>
        <w:t>environnement, en vue de tenir de tels dialogues en marge des réunions du Groupe de la Banque mondiale et du Fonds monétaire international (FMI), en commençant éventuellement par les réunions qui se tiendront à Bangkok au troisième trimestre de 2026. Le premier des dialogues a été conçu autour du prochain guide de la nature, qui est actuellement en cours d</w:t>
      </w:r>
      <w:r w:rsidR="00087107">
        <w:t>’</w:t>
      </w:r>
      <w:r>
        <w:t>élaboration par le Partenariat pour l</w:t>
      </w:r>
      <w:r w:rsidR="00087107">
        <w:t>’</w:t>
      </w:r>
      <w:r>
        <w:t>action en faveur de l</w:t>
      </w:r>
      <w:r w:rsidR="00087107">
        <w:t>’</w:t>
      </w:r>
      <w:r>
        <w:t>économie verte (PAGE), en vue d</w:t>
      </w:r>
      <w:r w:rsidR="00087107">
        <w:t>’</w:t>
      </w:r>
      <w:r>
        <w:t xml:space="preserve">aider les ministères des finances à intégrer les risques et les </w:t>
      </w:r>
      <w:r w:rsidR="00BC3A65">
        <w:t>opportunit</w:t>
      </w:r>
      <w:r>
        <w:t>és liés à la nature dans la planification macrobudgétaire. Malgré les efforts déployés par le Secrétariat, cependant, aucun financement n</w:t>
      </w:r>
      <w:r w:rsidR="00087107">
        <w:t>’</w:t>
      </w:r>
      <w:r>
        <w:t xml:space="preserve">a pu être mobilisé pour faciliter la réunion comme prévu, à la date prévue et </w:t>
      </w:r>
      <w:r w:rsidR="00DE4680">
        <w:t>en lien avec les</w:t>
      </w:r>
      <w:r>
        <w:t xml:space="preserve"> réunions de la Banque mondiale et du FMI à Bangkok. Au moment de l</w:t>
      </w:r>
      <w:r w:rsidR="00087107">
        <w:t>’</w:t>
      </w:r>
      <w:r>
        <w:t xml:space="preserve">élaboration du présent document, une réunion des ministres des finances </w:t>
      </w:r>
      <w:r w:rsidR="00016829">
        <w:t xml:space="preserve">portant </w:t>
      </w:r>
      <w:r>
        <w:t>sur le financement de la nature était néanmoins prévue en collaboration avec la Coalition des ministres des finances pour l</w:t>
      </w:r>
      <w:r w:rsidR="00087107">
        <w:t>’</w:t>
      </w:r>
      <w:r>
        <w:t xml:space="preserve">action climatique en marge des réunions de Bangkok.   </w:t>
      </w:r>
    </w:p>
    <w:p w14:paraId="5D5D9FB7" w14:textId="0AEF861B" w:rsidR="009C6797" w:rsidRDefault="00D0321D">
      <w:pPr>
        <w:pStyle w:val="CBDNormalNumber"/>
      </w:pPr>
      <w:r>
        <w:t xml:space="preserve">Au paragraphe 26 c) de la décision </w:t>
      </w:r>
      <w:hyperlink r:id="rId37" w:history="1">
        <w:r w:rsidR="009C6797">
          <w:rPr>
            <w:rStyle w:val="Hyperlink"/>
          </w:rPr>
          <w:t>16/34</w:t>
        </w:r>
      </w:hyperlink>
      <w:r>
        <w:t>, l</w:t>
      </w:r>
      <w:r w:rsidR="00DE4680">
        <w:t>a</w:t>
      </w:r>
      <w:r>
        <w:t xml:space="preserve"> Secrétaire exécuti</w:t>
      </w:r>
      <w:r w:rsidR="00DE4680">
        <w:t>ve</w:t>
      </w:r>
      <w:r>
        <w:t xml:space="preserve"> a été prié</w:t>
      </w:r>
      <w:r w:rsidR="00DE4680">
        <w:t>e</w:t>
      </w:r>
      <w:r>
        <w:t>, sous réserve que des ressources financières soient disponibles, d</w:t>
      </w:r>
      <w:r w:rsidR="00087107">
        <w:t>’</w:t>
      </w:r>
      <w:r>
        <w:t xml:space="preserve">intégrer une plateforme sur le </w:t>
      </w:r>
      <w:r w:rsidR="00DE4680">
        <w:t>C</w:t>
      </w:r>
      <w:r>
        <w:t>entre d</w:t>
      </w:r>
      <w:r w:rsidR="00087107">
        <w:t>’</w:t>
      </w:r>
      <w:r>
        <w:t>échange, conformément à la stratégie de gestion des connaissances à l</w:t>
      </w:r>
      <w:r w:rsidR="00087107">
        <w:t>’</w:t>
      </w:r>
      <w:r>
        <w:t>appui de la mise en œuvre du Cadre, afin d</w:t>
      </w:r>
      <w:r w:rsidR="000264C5">
        <w:t>e partage</w:t>
      </w:r>
      <w:r>
        <w:t xml:space="preserve">r des informations sur les meilleures pratiques et les enseignements tirés de la mise en œuvre du Cadre, en particulier </w:t>
      </w:r>
      <w:r w:rsidR="00AC4014">
        <w:t>concernant</w:t>
      </w:r>
      <w:r>
        <w:t xml:space="preserve"> l</w:t>
      </w:r>
      <w:r w:rsidR="000264C5" w:rsidRPr="000264C5">
        <w:t>’o</w:t>
      </w:r>
      <w:r>
        <w:t xml:space="preserve">bjectif D et </w:t>
      </w:r>
      <w:r w:rsidR="000264C5">
        <w:t xml:space="preserve">les cibles </w:t>
      </w:r>
      <w:r>
        <w:t xml:space="preserve">14, 15, 18 et 19, et de la stratégie de mobilisation des ressources. Les travaux techniques à cet égard ont été achevés et, suite </w:t>
      </w:r>
      <w:r w:rsidR="00AC4014">
        <w:t>à</w:t>
      </w:r>
      <w:r>
        <w:t xml:space="preserve"> l</w:t>
      </w:r>
      <w:r w:rsidR="00087107">
        <w:t>’</w:t>
      </w:r>
      <w:r>
        <w:t xml:space="preserve">invitation </w:t>
      </w:r>
      <w:r w:rsidR="000264C5">
        <w:t>faite de transmettre</w:t>
      </w:r>
      <w:r>
        <w:t xml:space="preserve"> des informations pertinentes, communiquée dans la notification </w:t>
      </w:r>
      <w:r w:rsidR="00E53284">
        <w:t>n</w:t>
      </w:r>
      <w:r w:rsidR="00E53284" w:rsidRPr="00E53284">
        <w:rPr>
          <w:vertAlign w:val="superscript"/>
        </w:rPr>
        <w:t>o</w:t>
      </w:r>
      <w:r w:rsidR="00E53284">
        <w:t> </w:t>
      </w:r>
      <w:hyperlink r:id="rId38" w:history="1">
        <w:r w:rsidR="009C6797">
          <w:rPr>
            <w:rStyle w:val="Hyperlink"/>
          </w:rPr>
          <w:t>2025-148</w:t>
        </w:r>
      </w:hyperlink>
      <w:r>
        <w:t>, 20 communications avaient été reçues au 5 août 2026</w:t>
      </w:r>
      <w:r w:rsidR="00FB09CD">
        <w:t xml:space="preserve"> et </w:t>
      </w:r>
      <w:r>
        <w:t>ont été mises à disposition par l</w:t>
      </w:r>
      <w:r w:rsidR="00087107">
        <w:t>’</w:t>
      </w:r>
      <w:r>
        <w:t xml:space="preserve">intermédiaire de la plateforme. </w:t>
      </w:r>
    </w:p>
    <w:p w14:paraId="6BC50E90" w14:textId="0E929946" w:rsidR="009C6797" w:rsidRDefault="00D0321D">
      <w:pPr>
        <w:pStyle w:val="CBDH1"/>
        <w:ind w:left="0" w:firstLine="0"/>
        <w:rPr>
          <w:lang w:val="en-US"/>
        </w:rPr>
      </w:pPr>
      <w:r>
        <w:t>III.</w:t>
      </w:r>
      <w:r>
        <w:tab/>
        <w:t xml:space="preserve">Mécanisme </w:t>
      </w:r>
      <w:r w:rsidR="00DA4A25">
        <w:t xml:space="preserve">de </w:t>
      </w:r>
      <w:r>
        <w:t>financ</w:t>
      </w:r>
      <w:r w:rsidR="00DA4A25">
        <w:t>ement</w:t>
      </w:r>
    </w:p>
    <w:p w14:paraId="01CC976A" w14:textId="50F49E14" w:rsidR="009C6797" w:rsidRPr="005C3AE9" w:rsidRDefault="00D0321D">
      <w:pPr>
        <w:pStyle w:val="CBDNormalNumber"/>
      </w:pPr>
      <w:r>
        <w:t>Conformément à l</w:t>
      </w:r>
      <w:r w:rsidR="00087107">
        <w:t>’</w:t>
      </w:r>
      <w:r>
        <w:t>article 21 de la Convention sur la diversité biologique, à l</w:t>
      </w:r>
      <w:r w:rsidR="00087107">
        <w:t>’</w:t>
      </w:r>
      <w:r>
        <w:t>article 28 du Protocole de Cartagena sur la prévention des risques biotechnologiques et à l</w:t>
      </w:r>
      <w:r w:rsidR="00087107">
        <w:t>’</w:t>
      </w:r>
      <w:r>
        <w:t>article 25 du Protocole de Nagoya sur l</w:t>
      </w:r>
      <w:r w:rsidR="00087107">
        <w:t>’</w:t>
      </w:r>
      <w:r>
        <w:t>accès aux ressources génétiques et le partage juste et équitable des avantages découlant de leur utilisation, ainsi qu</w:t>
      </w:r>
      <w:r w:rsidR="00087107">
        <w:t>’</w:t>
      </w:r>
      <w:r>
        <w:t>au mémorandum d</w:t>
      </w:r>
      <w:r w:rsidR="00087107">
        <w:t>’</w:t>
      </w:r>
      <w:r>
        <w:t>accord entre la Conférence des Parties et le Conseil du Fonds pour l</w:t>
      </w:r>
      <w:r w:rsidR="00087107">
        <w:t>’</w:t>
      </w:r>
      <w:r>
        <w:t xml:space="preserve">environnement mondial (FEM) figurant dans la décision </w:t>
      </w:r>
      <w:hyperlink r:id="rId39" w:history="1">
        <w:r w:rsidR="009C6797">
          <w:rPr>
            <w:rStyle w:val="Hyperlink"/>
          </w:rPr>
          <w:t>III/8</w:t>
        </w:r>
      </w:hyperlink>
      <w:r>
        <w:t>, la Conférence des Parties a régulièrement examiné la mise en œuvre de quatre domaines liés au mécanisme de financement : a) responsabilité fondée sur un rapport du Conseil du FEM</w:t>
      </w:r>
      <w:r w:rsidR="00DB2CDB">
        <w:t>;</w:t>
      </w:r>
      <w:r>
        <w:t xml:space="preserve"> b) orientations sur les politiques, la stratégie, les priorités </w:t>
      </w:r>
      <w:r w:rsidR="004A7DF1">
        <w:t>programmatiques</w:t>
      </w:r>
      <w:r>
        <w:t xml:space="preserve"> et les critères d</w:t>
      </w:r>
      <w:r w:rsidR="00087107">
        <w:t>’</w:t>
      </w:r>
      <w:r>
        <w:t>éligibilité pour l</w:t>
      </w:r>
      <w:r w:rsidR="00087107">
        <w:t>’</w:t>
      </w:r>
      <w:r>
        <w:t>accès aux ressources financières et leur utilisation</w:t>
      </w:r>
      <w:r w:rsidR="00DB2CDB">
        <w:t>;</w:t>
      </w:r>
      <w:r>
        <w:t xml:space="preserve"> c) examen périodique de l</w:t>
      </w:r>
      <w:r w:rsidR="00087107">
        <w:t>’</w:t>
      </w:r>
      <w:r>
        <w:t>efficacité du mécanisme de financement</w:t>
      </w:r>
      <w:r w:rsidR="00DB2CDB">
        <w:t>;</w:t>
      </w:r>
      <w:r>
        <w:t xml:space="preserve"> d) détermination des besoins de financement. Les orientations concernant les politiques, la stratégie, les priorités programmatiques et les critères d</w:t>
      </w:r>
      <w:r w:rsidR="00087107">
        <w:t>’</w:t>
      </w:r>
      <w:r>
        <w:t>éligibilité pour l</w:t>
      </w:r>
      <w:r w:rsidR="00087107">
        <w:t>’</w:t>
      </w:r>
      <w:r>
        <w:t>accès aux ressources financières et leur utilisation ont évolué pour inclure un cadre quadriennal axé sur les résultats des priorités programmatiques en prévision de la prochaine période de reconstitution du Fonds d</w:t>
      </w:r>
      <w:r w:rsidR="00087107">
        <w:t>’</w:t>
      </w:r>
      <w:r>
        <w:t>affectation spéciale du FEM, et s</w:t>
      </w:r>
      <w:r w:rsidR="00087107">
        <w:t>’</w:t>
      </w:r>
      <w:r>
        <w:t xml:space="preserve">appuyant également sur les apports des conventions relatives à la biodiversité, </w:t>
      </w:r>
      <w:r w:rsidR="008362E2">
        <w:t>ainsi qu’</w:t>
      </w:r>
      <w:r>
        <w:t xml:space="preserve">une consolidation des orientations existantes déterminées par la Conférence des Parties à ses réunions précédentes, </w:t>
      </w:r>
      <w:r w:rsidR="008362E2">
        <w:t>et</w:t>
      </w:r>
      <w:r>
        <w:t xml:space="preserve"> des orientations supplémentaires découlant des négociations</w:t>
      </w:r>
      <w:r w:rsidR="00AE3ECC">
        <w:t xml:space="preserve"> </w:t>
      </w:r>
      <w:r w:rsidR="007429BE">
        <w:t>menée</w:t>
      </w:r>
      <w:r w:rsidR="00AE3ECC">
        <w:t xml:space="preserve">s </w:t>
      </w:r>
      <w:r w:rsidR="00AF0D4B">
        <w:t>lors des réunion</w:t>
      </w:r>
      <w:r w:rsidR="007429BE">
        <w:t>s</w:t>
      </w:r>
      <w:r w:rsidR="00AE3ECC">
        <w:t xml:space="preserve"> </w:t>
      </w:r>
      <w:r>
        <w:t>au titre de la Convention et de ses Protocoles.</w:t>
      </w:r>
    </w:p>
    <w:p w14:paraId="20D95C9B" w14:textId="3E97E055" w:rsidR="009C6797" w:rsidRPr="005C3AE9" w:rsidRDefault="00D0321D" w:rsidP="00F071B5">
      <w:pPr>
        <w:pStyle w:val="CBDH2"/>
        <w:jc w:val="left"/>
      </w:pPr>
      <w:r>
        <w:lastRenderedPageBreak/>
        <w:t>A.</w:t>
      </w:r>
      <w:r>
        <w:tab/>
        <w:t xml:space="preserve">Tâches </w:t>
      </w:r>
      <w:r w:rsidR="002E3BDF">
        <w:t>mené</w:t>
      </w:r>
      <w:r>
        <w:t>es par l</w:t>
      </w:r>
      <w:r w:rsidR="00087107">
        <w:t>’</w:t>
      </w:r>
      <w:r>
        <w:t xml:space="preserve">Organe subsidiaire </w:t>
      </w:r>
      <w:r w:rsidR="00C8341D">
        <w:t>chargé de l</w:t>
      </w:r>
      <w:r w:rsidR="00087107">
        <w:t>’</w:t>
      </w:r>
      <w:r w:rsidR="00C8341D">
        <w:t>application</w:t>
      </w:r>
      <w:r>
        <w:t xml:space="preserve"> à sa sixième réunion</w:t>
      </w:r>
    </w:p>
    <w:p w14:paraId="4DC26866" w14:textId="5F33774D" w:rsidR="009C6797" w:rsidRPr="005C3AE9" w:rsidRDefault="00D0321D">
      <w:pPr>
        <w:pStyle w:val="CBDNormalNumber"/>
      </w:pPr>
      <w:r>
        <w:t xml:space="preserve">Conformément aux paragraphes 25 et 30 de la décision </w:t>
      </w:r>
      <w:hyperlink r:id="rId40" w:history="1">
        <w:r w:rsidR="009C6797">
          <w:rPr>
            <w:rStyle w:val="Hyperlink"/>
          </w:rPr>
          <w:t>16/33</w:t>
        </w:r>
      </w:hyperlink>
      <w:r>
        <w:t xml:space="preserve"> et sur la base de la documentation établie par le Secrétariat</w:t>
      </w:r>
      <w:r w:rsidR="00350B34">
        <w:rPr>
          <w:rStyle w:val="FootnoteReference"/>
        </w:rPr>
        <w:footnoteReference w:id="6"/>
      </w:r>
      <w:r w:rsidR="00C8341D">
        <w:t>,</w:t>
      </w:r>
      <w:r>
        <w:t xml:space="preserve"> l</w:t>
      </w:r>
      <w:r w:rsidR="00087107">
        <w:t>’</w:t>
      </w:r>
      <w:r>
        <w:t>Organe subsidiaire</w:t>
      </w:r>
      <w:r w:rsidR="00C8341D">
        <w:t xml:space="preserve"> chargé de l</w:t>
      </w:r>
      <w:r w:rsidR="00087107">
        <w:t>’</w:t>
      </w:r>
      <w:r w:rsidR="00C8341D">
        <w:t>application</w:t>
      </w:r>
      <w:r>
        <w:t xml:space="preserve"> </w:t>
      </w:r>
      <w:r w:rsidR="00F071B5">
        <w:t xml:space="preserve">a examiné, </w:t>
      </w:r>
      <w:r>
        <w:t>à sa sixième réunion</w:t>
      </w:r>
      <w:r w:rsidR="00F071B5">
        <w:t xml:space="preserve">, </w:t>
      </w:r>
      <w:r>
        <w:t xml:space="preserve">les points c) et d) exposés en détail ci-dessus et a adopté la recommandation </w:t>
      </w:r>
      <w:hyperlink r:id="rId41" w:history="1">
        <w:r w:rsidR="009C6797">
          <w:rPr>
            <w:rStyle w:val="Hyperlink"/>
          </w:rPr>
          <w:t>6/2</w:t>
        </w:r>
      </w:hyperlink>
      <w:r>
        <w:t>. Cette recommandation contient des éléments d</w:t>
      </w:r>
      <w:r w:rsidR="00087107">
        <w:t>’</w:t>
      </w:r>
      <w:r>
        <w:t>un projet de décision, notamment le mandat pour une évaluation complète du montant des fonds nécessaires pour la dixième période de reconstitution du Fonds d</w:t>
      </w:r>
      <w:r w:rsidR="00087107">
        <w:t>’</w:t>
      </w:r>
      <w:r>
        <w:t>affectation spéciale du FEM (juillet 2030-juin 2034) (annexe I) et le mandat pour le septième examen quadriennal de l</w:t>
      </w:r>
      <w:r w:rsidR="00087107">
        <w:t>’</w:t>
      </w:r>
      <w:r>
        <w:t xml:space="preserve">efficacité du mécanisme </w:t>
      </w:r>
      <w:r w:rsidR="00C8341D">
        <w:t xml:space="preserve">de </w:t>
      </w:r>
      <w:r>
        <w:t>financ</w:t>
      </w:r>
      <w:r w:rsidR="00C8341D">
        <w:t>ement</w:t>
      </w:r>
      <w:r>
        <w:t xml:space="preserve"> (annexe II).</w:t>
      </w:r>
    </w:p>
    <w:p w14:paraId="4CC291AB" w14:textId="7C0BC9B6" w:rsidR="009C6797" w:rsidRPr="005C3AE9" w:rsidRDefault="00D0321D" w:rsidP="00C8341D">
      <w:pPr>
        <w:pStyle w:val="CBDH2"/>
        <w:jc w:val="left"/>
      </w:pPr>
      <w:r>
        <w:t>B.</w:t>
      </w:r>
      <w:r>
        <w:tab/>
        <w:t xml:space="preserve">Tâches </w:t>
      </w:r>
      <w:r w:rsidR="002E3BDF">
        <w:t>mené</w:t>
      </w:r>
      <w:r w:rsidR="00F071B5">
        <w:t>e</w:t>
      </w:r>
      <w:r>
        <w:t>s par l</w:t>
      </w:r>
      <w:r w:rsidR="00087107">
        <w:t>’</w:t>
      </w:r>
      <w:r>
        <w:t>Organe subsidiaire</w:t>
      </w:r>
      <w:r w:rsidR="00C8341D">
        <w:t xml:space="preserve"> chargé de l</w:t>
      </w:r>
      <w:r w:rsidR="00087107">
        <w:t>’</w:t>
      </w:r>
      <w:r w:rsidR="00C8341D">
        <w:t>application</w:t>
      </w:r>
      <w:r>
        <w:t xml:space="preserve"> à sa septième réunion</w:t>
      </w:r>
    </w:p>
    <w:p w14:paraId="5F5B187F" w14:textId="4B36C19D" w:rsidR="009C6797" w:rsidRPr="005C3AE9" w:rsidRDefault="00D0321D">
      <w:pPr>
        <w:pStyle w:val="CBDNormalNumber"/>
      </w:pPr>
      <w:r>
        <w:t xml:space="preserve">Conformément au paragraphe 21 de la décision </w:t>
      </w:r>
      <w:hyperlink r:id="rId42" w:history="1">
        <w:r w:rsidR="009C6797">
          <w:rPr>
            <w:rStyle w:val="Hyperlink"/>
          </w:rPr>
          <w:t>16/33</w:t>
        </w:r>
      </w:hyperlink>
      <w:r>
        <w:t xml:space="preserve"> et sur la base de la documentation établie par le Secrétariat ainsi que de l</w:t>
      </w:r>
      <w:r w:rsidR="00087107">
        <w:t>’</w:t>
      </w:r>
      <w:r>
        <w:t>avant-projet du rapport du FEM pour la dix-septième réunion de la Conférence des Parties</w:t>
      </w:r>
      <w:r w:rsidR="0036326E">
        <w:rPr>
          <w:rStyle w:val="FootnoteReference"/>
        </w:rPr>
        <w:footnoteReference w:id="7"/>
      </w:r>
      <w:r w:rsidR="00C8341D">
        <w:t>,</w:t>
      </w:r>
      <w:r>
        <w:t xml:space="preserve"> l</w:t>
      </w:r>
      <w:r w:rsidR="00087107">
        <w:t>’</w:t>
      </w:r>
      <w:r>
        <w:t xml:space="preserve">Organe subsidiaire </w:t>
      </w:r>
      <w:r w:rsidR="00C8341D">
        <w:t>chargé de l</w:t>
      </w:r>
      <w:r w:rsidR="00087107">
        <w:t>’</w:t>
      </w:r>
      <w:r w:rsidR="00C8341D">
        <w:t>application</w:t>
      </w:r>
      <w:r>
        <w:t xml:space="preserve"> </w:t>
      </w:r>
      <w:r w:rsidR="00D01B89">
        <w:t xml:space="preserve">a examiné, </w:t>
      </w:r>
      <w:r>
        <w:t>à sa septième réunio</w:t>
      </w:r>
      <w:r w:rsidR="00D01B89">
        <w:t>n,</w:t>
      </w:r>
      <w:r>
        <w:t xml:space="preserve"> les points a) et b) ci-dessus détaillés et a adopté la recommandation 7/3. Cette recommandation contient des éléments d</w:t>
      </w:r>
      <w:r w:rsidR="00087107">
        <w:t>’</w:t>
      </w:r>
      <w:r>
        <w:t>un projet de décision dans lequel des orientations sont fournies au FEM et le Secrétariat est prié d</w:t>
      </w:r>
      <w:r w:rsidR="00087107">
        <w:t>’</w:t>
      </w:r>
      <w:r>
        <w:t>élaborer un projet de cadre quadriennal axé sur les résultats des priorités du programme liées à l</w:t>
      </w:r>
      <w:r w:rsidR="00087107">
        <w:t>’</w:t>
      </w:r>
      <w:r>
        <w:t>utilisation des ressources du FEM pour la biodiversité pour la période allant de juillet 2030 à juin 2034.</w:t>
      </w:r>
    </w:p>
    <w:p w14:paraId="3C9DED20" w14:textId="77777777" w:rsidR="009C6797" w:rsidRPr="005C3AE9" w:rsidRDefault="00D0321D">
      <w:pPr>
        <w:pStyle w:val="CBDNormalNumber"/>
      </w:pPr>
      <w:r>
        <w:t xml:space="preserve">Le rapport du Conseil du FEM pour la dix-septième réunion de la Conférence des Parties figure dans le document </w:t>
      </w:r>
      <w:hyperlink r:id="rId43" w:history="1">
        <w:r w:rsidR="009C6797">
          <w:rPr>
            <w:rStyle w:val="Hyperlink"/>
          </w:rPr>
          <w:t>CBD/COP/17/5/Add.1</w:t>
        </w:r>
      </w:hyperlink>
      <w:r>
        <w:t>.</w:t>
      </w:r>
    </w:p>
    <w:p w14:paraId="119EB746" w14:textId="5FAB7A99" w:rsidR="009C6797" w:rsidRPr="005C3AE9" w:rsidRDefault="00D0321D">
      <w:pPr>
        <w:pStyle w:val="CBDH1"/>
      </w:pPr>
      <w:r>
        <w:t>IV.</w:t>
      </w:r>
      <w:r>
        <w:tab/>
        <w:t>Propositions d</w:t>
      </w:r>
      <w:r w:rsidR="002B4F08">
        <w:t>e modification</w:t>
      </w:r>
      <w:r>
        <w:t xml:space="preserve"> </w:t>
      </w:r>
      <w:r w:rsidR="002B4F08">
        <w:t>d</w:t>
      </w:r>
      <w:r w:rsidR="00D01B89">
        <w:t>’</w:t>
      </w:r>
      <w:r>
        <w:t>éléments d</w:t>
      </w:r>
      <w:r w:rsidR="00087107">
        <w:t>’</w:t>
      </w:r>
      <w:r>
        <w:t>un projet de décision figurant dans la recommandation 6/1 de l</w:t>
      </w:r>
      <w:r w:rsidR="00087107">
        <w:t>’</w:t>
      </w:r>
      <w:r>
        <w:t xml:space="preserve">Organe subsidiaire </w:t>
      </w:r>
      <w:r w:rsidR="002B4F08">
        <w:t>chargé de l</w:t>
      </w:r>
      <w:r w:rsidR="00087107">
        <w:t>’</w:t>
      </w:r>
      <w:r w:rsidR="002B4F08">
        <w:t>application</w:t>
      </w:r>
    </w:p>
    <w:p w14:paraId="10E9B952" w14:textId="52CC6256" w:rsidR="009C6797" w:rsidRDefault="00D0321D">
      <w:pPr>
        <w:pStyle w:val="CBDNormalNumber"/>
      </w:pPr>
      <w:r>
        <w:t xml:space="preserve">Les </w:t>
      </w:r>
      <w:r w:rsidR="002B4F08">
        <w:t>modification</w:t>
      </w:r>
      <w:r>
        <w:t>s proposé</w:t>
      </w:r>
      <w:r w:rsidR="002B4F08">
        <w:t>e</w:t>
      </w:r>
      <w:r>
        <w:t>s s</w:t>
      </w:r>
      <w:r w:rsidR="00087107">
        <w:t>’</w:t>
      </w:r>
      <w:r>
        <w:t xml:space="preserve">appliqueraient aux paragraphes 5 à 8 du projet de décision figurant dans la recommandation </w:t>
      </w:r>
      <w:hyperlink r:id="rId44" w:history="1">
        <w:r w:rsidR="009C6797">
          <w:rPr>
            <w:rStyle w:val="Hyperlink"/>
          </w:rPr>
          <w:t>6/1</w:t>
        </w:r>
      </w:hyperlink>
      <w:r>
        <w:t xml:space="preserve"> sur la mobilisation des ressources. Les paragraphes sont reproduits ci-après, le texte de la recommandation </w:t>
      </w:r>
      <w:hyperlink r:id="rId45" w:history="1">
        <w:r w:rsidR="009C6797">
          <w:rPr>
            <w:rStyle w:val="Hyperlink"/>
          </w:rPr>
          <w:t>6/1</w:t>
        </w:r>
      </w:hyperlink>
      <w:r>
        <w:t xml:space="preserve"> </w:t>
      </w:r>
      <w:r w:rsidR="008C419D">
        <w:t>apparaissant sur fond gris</w:t>
      </w:r>
      <w:r>
        <w:t xml:space="preserve">, le nouveau texte </w:t>
      </w:r>
      <w:r w:rsidR="001A6BB2">
        <w:t xml:space="preserve">apparaissant </w:t>
      </w:r>
      <w:r w:rsidR="008C1712">
        <w:t>sur fond clair</w:t>
      </w:r>
      <w:r>
        <w:t xml:space="preserve"> et les suppressions étant reportées dans le texte biffé. </w:t>
      </w:r>
    </w:p>
    <w:p w14:paraId="71773DCD" w14:textId="0714FFCA" w:rsidR="009C6797" w:rsidRPr="005C3AE9" w:rsidRDefault="00D0321D">
      <w:pPr>
        <w:pStyle w:val="CBDNormalNoNumber"/>
        <w:tabs>
          <w:tab w:val="clear" w:pos="567"/>
        </w:tabs>
        <w:ind w:left="1134" w:firstLine="567"/>
        <w:rPr>
          <w:rFonts w:eastAsiaTheme="minorHAnsi"/>
        </w:rPr>
      </w:pPr>
      <w:r>
        <w:rPr>
          <w:highlight w:val="lightGray"/>
        </w:rPr>
        <w:t>5.</w:t>
      </w:r>
      <w:r>
        <w:rPr>
          <w:highlight w:val="lightGray"/>
        </w:rPr>
        <w:tab/>
      </w:r>
      <w:r>
        <w:rPr>
          <w:i/>
          <w:iCs/>
          <w:highlight w:val="lightGray"/>
        </w:rPr>
        <w:t>Invite les</w:t>
      </w:r>
      <w:r>
        <w:rPr>
          <w:highlight w:val="lightGray"/>
        </w:rPr>
        <w:t xml:space="preserve"> Parties et les autres gouvernements, </w:t>
      </w:r>
      <w:r w:rsidR="00B92918">
        <w:rPr>
          <w:highlight w:val="lightGray"/>
        </w:rPr>
        <w:t xml:space="preserve">comme </w:t>
      </w:r>
      <w:r>
        <w:rPr>
          <w:highlight w:val="lightGray"/>
        </w:rPr>
        <w:t xml:space="preserve">il convient et </w:t>
      </w:r>
      <w:r w:rsidR="00B92918">
        <w:rPr>
          <w:highlight w:val="lightGray"/>
        </w:rPr>
        <w:t>selon</w:t>
      </w:r>
      <w:r>
        <w:rPr>
          <w:highlight w:val="lightGray"/>
        </w:rPr>
        <w:t xml:space="preserve"> </w:t>
      </w:r>
      <w:r w:rsidR="00145DE2">
        <w:rPr>
          <w:highlight w:val="lightGray"/>
        </w:rPr>
        <w:t>l</w:t>
      </w:r>
      <w:r>
        <w:rPr>
          <w:highlight w:val="lightGray"/>
        </w:rPr>
        <w:t>e</w:t>
      </w:r>
      <w:r w:rsidR="00634D11">
        <w:rPr>
          <w:highlight w:val="lightGray"/>
        </w:rPr>
        <w:t>ur</w:t>
      </w:r>
      <w:r>
        <w:rPr>
          <w:highlight w:val="lightGray"/>
        </w:rPr>
        <w:t xml:space="preserve">s circonstances, </w:t>
      </w:r>
      <w:r w:rsidR="00B92918">
        <w:rPr>
          <w:highlight w:val="lightGray"/>
        </w:rPr>
        <w:t>le</w:t>
      </w:r>
      <w:r w:rsidR="00634D11">
        <w:rPr>
          <w:highlight w:val="lightGray"/>
        </w:rPr>
        <w:t>ur</w:t>
      </w:r>
      <w:r w:rsidR="00B92918">
        <w:rPr>
          <w:highlight w:val="lightGray"/>
        </w:rPr>
        <w:t xml:space="preserve">s </w:t>
      </w:r>
      <w:r>
        <w:rPr>
          <w:highlight w:val="lightGray"/>
        </w:rPr>
        <w:t>priorités et</w:t>
      </w:r>
      <w:r w:rsidR="00B92918">
        <w:rPr>
          <w:highlight w:val="lightGray"/>
        </w:rPr>
        <w:t> le</w:t>
      </w:r>
      <w:r w:rsidR="00634D11">
        <w:rPr>
          <w:highlight w:val="lightGray"/>
        </w:rPr>
        <w:t>ur</w:t>
      </w:r>
      <w:r w:rsidR="00B92918">
        <w:rPr>
          <w:highlight w:val="lightGray"/>
        </w:rPr>
        <w:t xml:space="preserve">s </w:t>
      </w:r>
      <w:r>
        <w:rPr>
          <w:highlight w:val="lightGray"/>
        </w:rPr>
        <w:t>capacités nationales, conformément à l</w:t>
      </w:r>
      <w:r w:rsidR="00634D11">
        <w:rPr>
          <w:highlight w:val="lightGray"/>
        </w:rPr>
        <w:t>eur</w:t>
      </w:r>
      <w:r>
        <w:rPr>
          <w:highlight w:val="lightGray"/>
        </w:rPr>
        <w:t xml:space="preserve"> législation nationale, </w:t>
      </w:r>
      <w:r w:rsidR="00145DE2">
        <w:rPr>
          <w:highlight w:val="lightGray"/>
        </w:rPr>
        <w:t>en accord avec</w:t>
      </w:r>
      <w:r>
        <w:rPr>
          <w:highlight w:val="lightGray"/>
        </w:rPr>
        <w:t xml:space="preserve"> la </w:t>
      </w:r>
      <w:r w:rsidR="00E61EA7">
        <w:rPr>
          <w:highlight w:val="lightGray"/>
        </w:rPr>
        <w:t>partie</w:t>
      </w:r>
      <w:r>
        <w:rPr>
          <w:highlight w:val="lightGray"/>
        </w:rPr>
        <w:t xml:space="preserve"> C du Cadre</w:t>
      </w:r>
      <w:r>
        <w:t xml:space="preserve"> et en tenant compte de la nature </w:t>
      </w:r>
      <w:r w:rsidR="00E61EA7">
        <w:t>propre au</w:t>
      </w:r>
      <w:r>
        <w:t xml:space="preserve"> contexte de la relation entre la viabilité de la dette et l</w:t>
      </w:r>
      <w:r w:rsidR="00E61EA7">
        <w:t>’application</w:t>
      </w:r>
      <w:r>
        <w:t xml:space="preserve"> de la Convention</w:t>
      </w:r>
      <w:r w:rsidR="006F7CD2">
        <w:t>, à</w:t>
      </w:r>
      <w:r>
        <w:t xml:space="preserve"> </w:t>
      </w:r>
      <w:r>
        <w:rPr>
          <w:shd w:val="clear" w:color="auto" w:fill="D9D9D9" w:themeFill="background1" w:themeFillShade="D9"/>
        </w:rPr>
        <w:t>:</w:t>
      </w:r>
    </w:p>
    <w:p w14:paraId="068AD876" w14:textId="3B6F2592" w:rsidR="009C6797" w:rsidRPr="005C3AE9" w:rsidRDefault="00D0321D">
      <w:pPr>
        <w:pStyle w:val="CBDNormalNoNumber"/>
        <w:tabs>
          <w:tab w:val="clear" w:pos="567"/>
        </w:tabs>
        <w:ind w:left="1134" w:firstLine="567"/>
      </w:pPr>
      <w:r>
        <w:rPr>
          <w:highlight w:val="lightGray"/>
        </w:rPr>
        <w:t>a)</w:t>
      </w:r>
      <w:r>
        <w:rPr>
          <w:highlight w:val="lightGray"/>
        </w:rPr>
        <w:tab/>
        <w:t xml:space="preserve">Évaluer </w:t>
      </w:r>
      <w:r w:rsidRPr="00712F66">
        <w:t xml:space="preserve">la pertinence et </w:t>
      </w:r>
      <w:r>
        <w:rPr>
          <w:highlight w:val="lightGray"/>
        </w:rPr>
        <w:t>les</w:t>
      </w:r>
      <w:r w:rsidR="003D5120">
        <w:rPr>
          <w:highlight w:val="lightGray"/>
        </w:rPr>
        <w:t xml:space="preserve"> répercuss</w:t>
      </w:r>
      <w:r>
        <w:rPr>
          <w:highlight w:val="lightGray"/>
        </w:rPr>
        <w:t>ions de l</w:t>
      </w:r>
      <w:r w:rsidR="00087107">
        <w:rPr>
          <w:highlight w:val="lightGray"/>
        </w:rPr>
        <w:t>’</w:t>
      </w:r>
      <w:r>
        <w:rPr>
          <w:highlight w:val="lightGray"/>
        </w:rPr>
        <w:t>application des instruments liés à la dette et explorer d</w:t>
      </w:r>
      <w:r w:rsidR="00087107">
        <w:rPr>
          <w:highlight w:val="lightGray"/>
        </w:rPr>
        <w:t>’</w:t>
      </w:r>
      <w:r>
        <w:rPr>
          <w:highlight w:val="lightGray"/>
        </w:rPr>
        <w:t>autres possibilités d</w:t>
      </w:r>
      <w:r w:rsidR="00087107">
        <w:rPr>
          <w:highlight w:val="lightGray"/>
        </w:rPr>
        <w:t>’</w:t>
      </w:r>
      <w:r>
        <w:rPr>
          <w:highlight w:val="lightGray"/>
        </w:rPr>
        <w:t>appliquer ces instruments à la mise en œuvre des stratégies et plans d</w:t>
      </w:r>
      <w:r w:rsidR="00087107">
        <w:rPr>
          <w:highlight w:val="lightGray"/>
        </w:rPr>
        <w:t>’</w:t>
      </w:r>
      <w:r>
        <w:rPr>
          <w:highlight w:val="lightGray"/>
        </w:rPr>
        <w:t xml:space="preserve">action nationaux </w:t>
      </w:r>
      <w:r w:rsidR="00FB705B">
        <w:rPr>
          <w:highlight w:val="lightGray"/>
        </w:rPr>
        <w:t>pour</w:t>
      </w:r>
      <w:r>
        <w:rPr>
          <w:highlight w:val="lightGray"/>
        </w:rPr>
        <w:t xml:space="preserve"> la diversit</w:t>
      </w:r>
      <w:r w:rsidR="00FB705B">
        <w:rPr>
          <w:highlight w:val="lightGray"/>
        </w:rPr>
        <w:t>é biologique</w:t>
      </w:r>
      <w:r>
        <w:t>, en tenant compte, entre autres, de la viabilité de la dette, des conditions budgétaires et des conditions du marché, de la capacité institutionnelle, de la gouvernance et de la conception des instruments</w:t>
      </w:r>
      <w:r>
        <w:rPr>
          <w:highlight w:val="lightGray"/>
        </w:rPr>
        <w:t xml:space="preserve">, et </w:t>
      </w:r>
      <w:r w:rsidR="00496CBD">
        <w:t>voir comment</w:t>
      </w:r>
      <w:r>
        <w:t xml:space="preserve"> </w:t>
      </w:r>
      <w:r>
        <w:rPr>
          <w:strike/>
        </w:rPr>
        <w:t>ils</w:t>
      </w:r>
      <w:r>
        <w:t xml:space="preserve"> </w:t>
      </w:r>
      <w:r w:rsidR="0027321F">
        <w:t xml:space="preserve">ces instruments </w:t>
      </w:r>
      <w:r w:rsidRPr="00040EF9">
        <w:rPr>
          <w:highlight w:val="lightGray"/>
        </w:rPr>
        <w:t xml:space="preserve">pourraient être </w:t>
      </w:r>
      <w:r w:rsidR="00EB50A3">
        <w:rPr>
          <w:highlight w:val="lightGray"/>
        </w:rPr>
        <w:t>intég</w:t>
      </w:r>
      <w:r w:rsidR="0027321F" w:rsidRPr="00040EF9">
        <w:rPr>
          <w:highlight w:val="lightGray"/>
        </w:rPr>
        <w:t>r</w:t>
      </w:r>
      <w:r w:rsidRPr="00040EF9">
        <w:rPr>
          <w:highlight w:val="lightGray"/>
        </w:rPr>
        <w:t xml:space="preserve">és dans les plans nationaux de financement de la biodiversité ou des instruments et cadres de </w:t>
      </w:r>
      <w:r w:rsidR="00A070F9">
        <w:rPr>
          <w:highlight w:val="lightGray"/>
        </w:rPr>
        <w:t>financement</w:t>
      </w:r>
      <w:r w:rsidRPr="00040EF9">
        <w:rPr>
          <w:highlight w:val="lightGray"/>
        </w:rPr>
        <w:t xml:space="preserve"> similaires</w:t>
      </w:r>
      <w:r w:rsidR="00DB2CDB">
        <w:t>;</w:t>
      </w:r>
    </w:p>
    <w:p w14:paraId="179EEB6E" w14:textId="1D045FA9" w:rsidR="009C6797" w:rsidRPr="005C3AE9" w:rsidRDefault="00D0321D">
      <w:pPr>
        <w:pStyle w:val="CBDNormalNoNumber"/>
        <w:tabs>
          <w:tab w:val="clear" w:pos="567"/>
        </w:tabs>
        <w:ind w:left="1134" w:firstLine="567"/>
      </w:pPr>
      <w:r>
        <w:rPr>
          <w:highlight w:val="lightGray"/>
        </w:rPr>
        <w:t>b)</w:t>
      </w:r>
      <w:r>
        <w:rPr>
          <w:highlight w:val="lightGray"/>
        </w:rPr>
        <w:tab/>
        <w:t>Renforcer</w:t>
      </w:r>
      <w:r>
        <w:t xml:space="preserve">, lorsque les risques budgétaires et économiques liés à la biodiversité sont pertinents au niveau national, </w:t>
      </w:r>
      <w:r>
        <w:rPr>
          <w:highlight w:val="lightGray"/>
        </w:rPr>
        <w:t>l</w:t>
      </w:r>
      <w:r w:rsidR="00087107">
        <w:rPr>
          <w:highlight w:val="lightGray"/>
        </w:rPr>
        <w:t>’</w:t>
      </w:r>
      <w:r>
        <w:rPr>
          <w:highlight w:val="lightGray"/>
        </w:rPr>
        <w:t>intégration des considérations</w:t>
      </w:r>
      <w:r>
        <w:t xml:space="preserve"> pertinentes </w:t>
      </w:r>
      <w:r w:rsidRPr="00040EF9">
        <w:rPr>
          <w:highlight w:val="lightGray"/>
        </w:rPr>
        <w:t xml:space="preserve">en matière de </w:t>
      </w:r>
      <w:r>
        <w:rPr>
          <w:highlight w:val="lightGray"/>
        </w:rPr>
        <w:t>biodiversité dans les stratégies nationales de gestion de la dette</w:t>
      </w:r>
      <w:r>
        <w:t xml:space="preserve"> et les évaluations nationales de la viabilité budgétaire et de la dette,</w:t>
      </w:r>
      <w:r>
        <w:rPr>
          <w:highlight w:val="lightGray"/>
        </w:rPr>
        <w:t xml:space="preserve"> et ex</w:t>
      </w:r>
      <w:r w:rsidR="00A070F9">
        <w:rPr>
          <w:highlight w:val="lightGray"/>
        </w:rPr>
        <w:t>aminer des pistes différentes en matière</w:t>
      </w:r>
      <w:r>
        <w:rPr>
          <w:highlight w:val="lightGray"/>
        </w:rPr>
        <w:t xml:space="preserve"> de gestion de la dette qui n</w:t>
      </w:r>
      <w:r w:rsidR="00A070F9">
        <w:rPr>
          <w:highlight w:val="lightGray"/>
        </w:rPr>
        <w:t>e se traduiront</w:t>
      </w:r>
      <w:r>
        <w:rPr>
          <w:highlight w:val="lightGray"/>
        </w:rPr>
        <w:t xml:space="preserve"> pas </w:t>
      </w:r>
      <w:r w:rsidR="00A070F9">
        <w:rPr>
          <w:highlight w:val="lightGray"/>
        </w:rPr>
        <w:t xml:space="preserve">par </w:t>
      </w:r>
      <w:r>
        <w:rPr>
          <w:highlight w:val="lightGray"/>
        </w:rPr>
        <w:t>de</w:t>
      </w:r>
      <w:r w:rsidR="00A070F9">
        <w:rPr>
          <w:highlight w:val="lightGray"/>
        </w:rPr>
        <w:t>s</w:t>
      </w:r>
      <w:r>
        <w:rPr>
          <w:highlight w:val="lightGray"/>
        </w:rPr>
        <w:t xml:space="preserve"> flux financiers </w:t>
      </w:r>
      <w:r w:rsidR="0005499F">
        <w:rPr>
          <w:highlight w:val="lightGray"/>
        </w:rPr>
        <w:t>préjudiciables à</w:t>
      </w:r>
      <w:r>
        <w:rPr>
          <w:highlight w:val="lightGray"/>
        </w:rPr>
        <w:t xml:space="preserve"> la biodiversité</w:t>
      </w:r>
      <w:r w:rsidR="00DB2CDB">
        <w:rPr>
          <w:highlight w:val="lightGray"/>
        </w:rPr>
        <w:t>;</w:t>
      </w:r>
    </w:p>
    <w:p w14:paraId="46BA9627" w14:textId="251E3435" w:rsidR="009C6797" w:rsidRPr="005C3AE9" w:rsidRDefault="00D0321D">
      <w:pPr>
        <w:pStyle w:val="CBDNormalNoNumber"/>
        <w:tabs>
          <w:tab w:val="clear" w:pos="567"/>
        </w:tabs>
        <w:ind w:left="1134" w:firstLine="567"/>
      </w:pPr>
      <w:r>
        <w:rPr>
          <w:highlight w:val="lightGray"/>
        </w:rPr>
        <w:lastRenderedPageBreak/>
        <w:t>c)</w:t>
      </w:r>
      <w:r>
        <w:rPr>
          <w:highlight w:val="lightGray"/>
        </w:rPr>
        <w:tab/>
        <w:t>E</w:t>
      </w:r>
      <w:r w:rsidR="0005499F">
        <w:rPr>
          <w:highlight w:val="lightGray"/>
        </w:rPr>
        <w:t>tudi</w:t>
      </w:r>
      <w:r>
        <w:rPr>
          <w:highlight w:val="lightGray"/>
        </w:rPr>
        <w:t>er d</w:t>
      </w:r>
      <w:r w:rsidR="00087107">
        <w:rPr>
          <w:highlight w:val="lightGray"/>
        </w:rPr>
        <w:t>’</w:t>
      </w:r>
      <w:r>
        <w:rPr>
          <w:highlight w:val="lightGray"/>
        </w:rPr>
        <w:t>autres possibilités</w:t>
      </w:r>
      <w:r>
        <w:t xml:space="preserve">, le cas échéant, </w:t>
      </w:r>
      <w:r w:rsidR="008212BA">
        <w:rPr>
          <w:highlight w:val="lightGray"/>
        </w:rPr>
        <w:t>d’</w:t>
      </w:r>
      <w:r w:rsidR="00DF3486">
        <w:rPr>
          <w:highlight w:val="lightGray"/>
        </w:rPr>
        <w:t>utiliser les</w:t>
      </w:r>
      <w:r>
        <w:rPr>
          <w:highlight w:val="lightGray"/>
        </w:rPr>
        <w:t xml:space="preserve"> instruments</w:t>
      </w:r>
      <w:r>
        <w:t xml:space="preserve"> fiscaux</w:t>
      </w:r>
      <w:r w:rsidRPr="001268F9">
        <w:t xml:space="preserve"> </w:t>
      </w:r>
      <w:r>
        <w:rPr>
          <w:strike/>
        </w:rPr>
        <w:t>financiers</w:t>
      </w:r>
      <w:r>
        <w:rPr>
          <w:highlight w:val="lightGray"/>
        </w:rPr>
        <w:t xml:space="preserve"> liés à la dette</w:t>
      </w:r>
      <w:r w:rsidRPr="00DF3486">
        <w:t xml:space="preserve"> </w:t>
      </w:r>
      <w:r w:rsidR="00DF3486">
        <w:rPr>
          <w:strike/>
        </w:rPr>
        <w:t>en faveur de</w:t>
      </w:r>
      <w:r>
        <w:rPr>
          <w:strike/>
        </w:rPr>
        <w:t xml:space="preserve"> la biodiversité</w:t>
      </w:r>
      <w:r w:rsidRPr="001268F9">
        <w:t>,</w:t>
      </w:r>
      <w:r>
        <w:t xml:space="preserve"> afin d</w:t>
      </w:r>
      <w:r w:rsidR="002227C2">
        <w:t>’appuye</w:t>
      </w:r>
      <w:r>
        <w:t xml:space="preserve">r </w:t>
      </w:r>
      <w:r w:rsidR="008212BA">
        <w:t>une</w:t>
      </w:r>
      <w:r>
        <w:t xml:space="preserve"> mise en œuvre </w:t>
      </w:r>
      <w:r w:rsidR="008212BA">
        <w:t>en faveur de</w:t>
      </w:r>
      <w:r>
        <w:t xml:space="preserve"> la biodiversité</w:t>
      </w:r>
      <w:r>
        <w:rPr>
          <w:highlight w:val="lightGray"/>
        </w:rPr>
        <w:t>, en tenant compte des contextes et circonstances nationaux</w:t>
      </w:r>
      <w:r w:rsidR="00DB2CDB">
        <w:rPr>
          <w:highlight w:val="lightGray"/>
        </w:rPr>
        <w:t>;</w:t>
      </w:r>
    </w:p>
    <w:p w14:paraId="7F1F4309" w14:textId="238B296F" w:rsidR="009C6797" w:rsidRPr="005C3AE9" w:rsidRDefault="00D0321D">
      <w:pPr>
        <w:pStyle w:val="CBDNormalNoNumber"/>
        <w:tabs>
          <w:tab w:val="clear" w:pos="567"/>
        </w:tabs>
        <w:ind w:left="1134" w:firstLine="567"/>
      </w:pPr>
      <w:r>
        <w:rPr>
          <w:highlight w:val="lightGray"/>
        </w:rPr>
        <w:t>6.</w:t>
      </w:r>
      <w:r>
        <w:rPr>
          <w:highlight w:val="lightGray"/>
        </w:rPr>
        <w:tab/>
      </w:r>
      <w:r>
        <w:rPr>
          <w:i/>
          <w:iCs/>
          <w:highlight w:val="lightGray"/>
        </w:rPr>
        <w:t xml:space="preserve">Encourage </w:t>
      </w:r>
      <w:r w:rsidRPr="002227C2">
        <w:rPr>
          <w:highlight w:val="lightGray"/>
        </w:rPr>
        <w:t>les</w:t>
      </w:r>
      <w:r>
        <w:rPr>
          <w:highlight w:val="lightGray"/>
        </w:rPr>
        <w:t xml:space="preserve"> organisations et initiatives internationales ou régionales </w:t>
      </w:r>
      <w:r w:rsidR="007E5DBE">
        <w:rPr>
          <w:highlight w:val="lightGray"/>
        </w:rPr>
        <w:t>co</w:t>
      </w:r>
      <w:r w:rsidR="00A44DCE">
        <w:rPr>
          <w:highlight w:val="lightGray"/>
        </w:rPr>
        <w:t>mpétent</w:t>
      </w:r>
      <w:r>
        <w:rPr>
          <w:highlight w:val="lightGray"/>
        </w:rPr>
        <w:t xml:space="preserve">es, </w:t>
      </w:r>
      <w:r w:rsidR="00A44DCE">
        <w:rPr>
          <w:highlight w:val="lightGray"/>
        </w:rPr>
        <w:t>comme</w:t>
      </w:r>
      <w:r>
        <w:rPr>
          <w:highlight w:val="lightGray"/>
        </w:rPr>
        <w:t xml:space="preserve"> l</w:t>
      </w:r>
      <w:r w:rsidR="00087107">
        <w:rPr>
          <w:highlight w:val="lightGray"/>
        </w:rPr>
        <w:t>’</w:t>
      </w:r>
      <w:r>
        <w:rPr>
          <w:highlight w:val="lightGray"/>
        </w:rPr>
        <w:t xml:space="preserve">Initiative de financement de la biodiversité du Programme des Nations Unies pour le développement, à </w:t>
      </w:r>
      <w:r w:rsidR="00A44DCE">
        <w:rPr>
          <w:highlight w:val="lightGray"/>
        </w:rPr>
        <w:t>appuye</w:t>
      </w:r>
      <w:r>
        <w:rPr>
          <w:highlight w:val="lightGray"/>
        </w:rPr>
        <w:t>r les activités décrites au paragraphe 5 ci-dessus, notamment en recensant les bonnes pratiques et les enseignements tirés</w:t>
      </w:r>
      <w:r>
        <w:t xml:space="preserve"> et en soutenant les efforts visant à améliorer leur visibilité</w:t>
      </w:r>
      <w:r w:rsidR="00DB2CDB">
        <w:t>;</w:t>
      </w:r>
    </w:p>
    <w:p w14:paraId="6D5BAD8C" w14:textId="22999DB5" w:rsidR="009C6797" w:rsidRDefault="00D0321D">
      <w:pPr>
        <w:pStyle w:val="CBDNormalNoNumber"/>
        <w:shd w:val="clear" w:color="auto" w:fill="D9D9D9" w:themeFill="background1" w:themeFillShade="D9"/>
        <w:tabs>
          <w:tab w:val="clear" w:pos="567"/>
        </w:tabs>
        <w:ind w:left="1134" w:firstLine="567"/>
      </w:pPr>
      <w:r>
        <w:t>7</w:t>
      </w:r>
      <w:r>
        <w:rPr>
          <w:i/>
          <w:iCs/>
        </w:rPr>
        <w:t>.</w:t>
      </w:r>
      <w:r>
        <w:rPr>
          <w:i/>
          <w:iCs/>
        </w:rPr>
        <w:tab/>
        <w:t xml:space="preserve">Invite </w:t>
      </w:r>
      <w:r w:rsidRPr="00896B02">
        <w:t>les</w:t>
      </w:r>
      <w:r>
        <w:t xml:space="preserve"> Parties, </w:t>
      </w:r>
      <w:r w:rsidR="00EE41D7">
        <w:t>comme il</w:t>
      </w:r>
      <w:r>
        <w:t xml:space="preserve"> convient et </w:t>
      </w:r>
      <w:r w:rsidR="00EE41D7">
        <w:t>selon</w:t>
      </w:r>
      <w:r w:rsidR="00896B02">
        <w:t xml:space="preserve"> l</w:t>
      </w:r>
      <w:r>
        <w:t>e</w:t>
      </w:r>
      <w:r w:rsidR="00A922BB">
        <w:t>ur</w:t>
      </w:r>
      <w:r>
        <w:t xml:space="preserve">s circonstances, </w:t>
      </w:r>
      <w:r w:rsidR="00EE41D7">
        <w:t xml:space="preserve">leurs </w:t>
      </w:r>
      <w:r>
        <w:t xml:space="preserve">priorités et </w:t>
      </w:r>
      <w:r w:rsidR="00EE41D7">
        <w:t xml:space="preserve">leurs </w:t>
      </w:r>
      <w:r>
        <w:t>capacités nationales, et conformément à l</w:t>
      </w:r>
      <w:r w:rsidR="00C2010D">
        <w:t>eur</w:t>
      </w:r>
      <w:r>
        <w:t xml:space="preserve"> législation nationale,</w:t>
      </w:r>
      <w:r w:rsidR="00C920D7">
        <w:t xml:space="preserve"> ainsi que</w:t>
      </w:r>
      <w:r>
        <w:t xml:space="preserve"> les autres gouvernements à tous les niveaux, les organisations professionnelles et les autres parties prenantes, </w:t>
      </w:r>
      <w:r w:rsidR="00C920D7">
        <w:t>de même</w:t>
      </w:r>
      <w:r>
        <w:t xml:space="preserve"> que les banques de développement nationales, régionales et internationales et les autres institutions financières, selon qu</w:t>
      </w:r>
      <w:r w:rsidR="00087107">
        <w:t>’</w:t>
      </w:r>
      <w:r>
        <w:t>il convient et conformément à leurs mandats respectifs</w:t>
      </w:r>
      <w:r w:rsidR="00E62B1C">
        <w:t>, à</w:t>
      </w:r>
      <w:r>
        <w:t xml:space="preserve"> :</w:t>
      </w:r>
    </w:p>
    <w:p w14:paraId="711DC8AB" w14:textId="38891B06" w:rsidR="009C6797" w:rsidRDefault="00D0321D">
      <w:pPr>
        <w:pStyle w:val="CBDNormalNoNumber"/>
        <w:tabs>
          <w:tab w:val="clear" w:pos="567"/>
        </w:tabs>
        <w:ind w:left="1134" w:firstLine="567"/>
        <w:rPr>
          <w:i/>
          <w:iCs/>
        </w:rPr>
      </w:pPr>
      <w:r>
        <w:rPr>
          <w:shd w:val="clear" w:color="auto" w:fill="D9D9D9" w:themeFill="background1" w:themeFillShade="D9"/>
        </w:rPr>
        <w:t>a)</w:t>
      </w:r>
      <w:r>
        <w:rPr>
          <w:shd w:val="clear" w:color="auto" w:fill="D9D9D9" w:themeFill="background1" w:themeFillShade="D9"/>
        </w:rPr>
        <w:tab/>
      </w:r>
      <w:r w:rsidR="00E62B1C">
        <w:rPr>
          <w:shd w:val="clear" w:color="auto" w:fill="D9D9D9" w:themeFill="background1" w:themeFillShade="D9"/>
        </w:rPr>
        <w:t>T</w:t>
      </w:r>
      <w:r>
        <w:rPr>
          <w:shd w:val="clear" w:color="auto" w:fill="D9D9D9" w:themeFill="background1" w:themeFillShade="D9"/>
        </w:rPr>
        <w:t xml:space="preserve">enir compte des lignes directrices </w:t>
      </w:r>
      <w:r w:rsidR="00C2010D">
        <w:rPr>
          <w:shd w:val="clear" w:color="auto" w:fill="D9D9D9" w:themeFill="background1" w:themeFillShade="D9"/>
        </w:rPr>
        <w:t>facultativ</w:t>
      </w:r>
      <w:r>
        <w:rPr>
          <w:shd w:val="clear" w:color="auto" w:fill="D9D9D9" w:themeFill="background1" w:themeFillShade="D9"/>
        </w:rPr>
        <w:t>es sur les garanties dans les mécanismes de financement de la biodiversité</w:t>
      </w:r>
      <w:r w:rsidR="00C920D7" w:rsidRPr="00AC34C4">
        <w:rPr>
          <w:rStyle w:val="FootnoteReference"/>
          <w:shd w:val="clear" w:color="auto" w:fill="D9D9D9" w:themeFill="background1" w:themeFillShade="D9"/>
        </w:rPr>
        <w:footnoteReference w:id="8"/>
      </w:r>
      <w:r>
        <w:rPr>
          <w:shd w:val="clear" w:color="auto" w:fill="D9D9D9" w:themeFill="background1" w:themeFillShade="D9"/>
        </w:rPr>
        <w:t xml:space="preserve"> lors de la sélection, de la conception et de la mise en œuvre des mécanismes de financement de la biodiversité et </w:t>
      </w:r>
      <w:r w:rsidR="00C2010D">
        <w:rPr>
          <w:shd w:val="clear" w:color="auto" w:fill="D9D9D9" w:themeFill="background1" w:themeFillShade="D9"/>
        </w:rPr>
        <w:t>dans le cadre</w:t>
      </w:r>
      <w:r>
        <w:rPr>
          <w:shd w:val="clear" w:color="auto" w:fill="D9D9D9" w:themeFill="background1" w:themeFillShade="D9"/>
        </w:rPr>
        <w:t xml:space="preserve"> de l</w:t>
      </w:r>
      <w:r w:rsidR="00087107">
        <w:rPr>
          <w:shd w:val="clear" w:color="auto" w:fill="D9D9D9" w:themeFill="background1" w:themeFillShade="D9"/>
        </w:rPr>
        <w:t>’</w:t>
      </w:r>
      <w:r>
        <w:rPr>
          <w:shd w:val="clear" w:color="auto" w:fill="D9D9D9" w:themeFill="background1" w:themeFillShade="D9"/>
        </w:rPr>
        <w:t xml:space="preserve">élaboration de garanties </w:t>
      </w:r>
      <w:r w:rsidR="00C2010D">
        <w:rPr>
          <w:shd w:val="clear" w:color="auto" w:fill="D9D9D9" w:themeFill="background1" w:themeFillShade="D9"/>
        </w:rPr>
        <w:t>propres aux instruments qui les concernent</w:t>
      </w:r>
      <w:r>
        <w:rPr>
          <w:shd w:val="clear" w:color="auto" w:fill="D9D9D9" w:themeFill="background1" w:themeFillShade="D9"/>
        </w:rPr>
        <w:t xml:space="preserve">, </w:t>
      </w:r>
      <w:r w:rsidR="00C2010D">
        <w:rPr>
          <w:shd w:val="clear" w:color="auto" w:fill="D9D9D9" w:themeFill="background1" w:themeFillShade="D9"/>
        </w:rPr>
        <w:t>afin d’exploiter</w:t>
      </w:r>
      <w:r>
        <w:rPr>
          <w:shd w:val="clear" w:color="auto" w:fill="D9D9D9" w:themeFill="background1" w:themeFillShade="D9"/>
        </w:rPr>
        <w:t xml:space="preserve"> leurs </w:t>
      </w:r>
      <w:r w:rsidR="00372279">
        <w:rPr>
          <w:shd w:val="clear" w:color="auto" w:fill="D9D9D9" w:themeFill="background1" w:themeFillShade="D9"/>
        </w:rPr>
        <w:t>incidence</w:t>
      </w:r>
      <w:r>
        <w:rPr>
          <w:shd w:val="clear" w:color="auto" w:fill="D9D9D9" w:themeFill="background1" w:themeFillShade="D9"/>
        </w:rPr>
        <w:t>s positi</w:t>
      </w:r>
      <w:r w:rsidR="00372279">
        <w:rPr>
          <w:shd w:val="clear" w:color="auto" w:fill="D9D9D9" w:themeFill="background1" w:themeFillShade="D9"/>
        </w:rPr>
        <w:t>ve</w:t>
      </w:r>
      <w:r>
        <w:rPr>
          <w:shd w:val="clear" w:color="auto" w:fill="D9D9D9" w:themeFill="background1" w:themeFillShade="D9"/>
        </w:rPr>
        <w:t>s de manière efficace et d</w:t>
      </w:r>
      <w:r w:rsidR="00087107">
        <w:rPr>
          <w:shd w:val="clear" w:color="auto" w:fill="D9D9D9" w:themeFill="background1" w:themeFillShade="D9"/>
        </w:rPr>
        <w:t>’</w:t>
      </w:r>
      <w:r>
        <w:rPr>
          <w:shd w:val="clear" w:color="auto" w:fill="D9D9D9" w:themeFill="background1" w:themeFillShade="D9"/>
        </w:rPr>
        <w:t>éviter ou d</w:t>
      </w:r>
      <w:r w:rsidR="00087107">
        <w:rPr>
          <w:shd w:val="clear" w:color="auto" w:fill="D9D9D9" w:themeFill="background1" w:themeFillShade="D9"/>
        </w:rPr>
        <w:t>’</w:t>
      </w:r>
      <w:r>
        <w:rPr>
          <w:shd w:val="clear" w:color="auto" w:fill="D9D9D9" w:themeFill="background1" w:themeFillShade="D9"/>
        </w:rPr>
        <w:t xml:space="preserve">atténuer les </w:t>
      </w:r>
      <w:r w:rsidR="00372279">
        <w:rPr>
          <w:shd w:val="clear" w:color="auto" w:fill="D9D9D9" w:themeFill="background1" w:themeFillShade="D9"/>
        </w:rPr>
        <w:t>incidence</w:t>
      </w:r>
      <w:r>
        <w:rPr>
          <w:shd w:val="clear" w:color="auto" w:fill="D9D9D9" w:themeFill="background1" w:themeFillShade="D9"/>
        </w:rPr>
        <w:t>s négati</w:t>
      </w:r>
      <w:r w:rsidR="00372279">
        <w:rPr>
          <w:shd w:val="clear" w:color="auto" w:fill="D9D9D9" w:themeFill="background1" w:themeFillShade="D9"/>
        </w:rPr>
        <w:t>ve</w:t>
      </w:r>
      <w:r>
        <w:rPr>
          <w:shd w:val="clear" w:color="auto" w:fill="D9D9D9" w:themeFill="background1" w:themeFillShade="D9"/>
        </w:rPr>
        <w:t>s</w:t>
      </w:r>
      <w:r>
        <w:t xml:space="preserve">, tout en favorisant </w:t>
      </w:r>
      <w:r w:rsidR="005D43CF">
        <w:t>une</w:t>
      </w:r>
      <w:r>
        <w:t xml:space="preserve"> cohérence et </w:t>
      </w:r>
      <w:r w:rsidR="005D43CF">
        <w:t>d</w:t>
      </w:r>
      <w:r>
        <w:t xml:space="preserve">es synergies avec les cadres et </w:t>
      </w:r>
      <w:r w:rsidR="00B1792A">
        <w:t xml:space="preserve">les </w:t>
      </w:r>
      <w:r>
        <w:t xml:space="preserve">normes de garanties existants utilisés par les institutions financières internationales et nationales, </w:t>
      </w:r>
      <w:r>
        <w:rPr>
          <w:rFonts w:eastAsia="Times New Roman"/>
        </w:rPr>
        <w:t xml:space="preserve">et en tenant compte, </w:t>
      </w:r>
      <w:r w:rsidR="00B1792A">
        <w:rPr>
          <w:rFonts w:eastAsia="Times New Roman"/>
        </w:rPr>
        <w:t>selon qu’il convient</w:t>
      </w:r>
      <w:r>
        <w:rPr>
          <w:rFonts w:eastAsia="Times New Roman"/>
        </w:rPr>
        <w:t>, des initiatives et outils non gouvernementaux pertinents</w:t>
      </w:r>
      <w:r w:rsidR="00DB2CDB">
        <w:rPr>
          <w:rFonts w:eastAsia="Times New Roman"/>
        </w:rPr>
        <w:t>;</w:t>
      </w:r>
    </w:p>
    <w:p w14:paraId="39F3DE00" w14:textId="7EDE7C95" w:rsidR="009C6797" w:rsidRDefault="00D0321D">
      <w:pPr>
        <w:pStyle w:val="CBDNormalNoNumber"/>
        <w:tabs>
          <w:tab w:val="clear" w:pos="567"/>
        </w:tabs>
        <w:ind w:left="1134" w:firstLine="567"/>
        <w:rPr>
          <w:i/>
          <w:iCs/>
        </w:rPr>
      </w:pPr>
      <w:r>
        <w:rPr>
          <w:shd w:val="clear" w:color="auto" w:fill="D9D9D9" w:themeFill="background1" w:themeFillShade="D9"/>
        </w:rPr>
        <w:t>b)</w:t>
      </w:r>
      <w:r>
        <w:rPr>
          <w:shd w:val="clear" w:color="auto" w:fill="D9D9D9" w:themeFill="background1" w:themeFillShade="D9"/>
        </w:rPr>
        <w:tab/>
      </w:r>
      <w:r w:rsidR="00E62B1C">
        <w:rPr>
          <w:shd w:val="clear" w:color="auto" w:fill="D9D9D9" w:themeFill="background1" w:themeFillShade="D9"/>
        </w:rPr>
        <w:t>T</w:t>
      </w:r>
      <w:r>
        <w:rPr>
          <w:shd w:val="clear" w:color="auto" w:fill="D9D9D9" w:themeFill="background1" w:themeFillShade="D9"/>
        </w:rPr>
        <w:t xml:space="preserve">enir compte des </w:t>
      </w:r>
      <w:r w:rsidR="004C4291">
        <w:rPr>
          <w:shd w:val="clear" w:color="auto" w:fill="D9D9D9" w:themeFill="background1" w:themeFillShade="D9"/>
        </w:rPr>
        <w:t>lignes directrice</w:t>
      </w:r>
      <w:r>
        <w:rPr>
          <w:shd w:val="clear" w:color="auto" w:fill="D9D9D9" w:themeFill="background1" w:themeFillShade="D9"/>
        </w:rPr>
        <w:t xml:space="preserve">s </w:t>
      </w:r>
      <w:r w:rsidR="00372279">
        <w:rPr>
          <w:shd w:val="clear" w:color="auto" w:fill="D9D9D9" w:themeFill="background1" w:themeFillShade="D9"/>
        </w:rPr>
        <w:t>facultativ</w:t>
      </w:r>
      <w:r>
        <w:rPr>
          <w:shd w:val="clear" w:color="auto" w:fill="D9D9D9" w:themeFill="background1" w:themeFillShade="D9"/>
        </w:rPr>
        <w:t xml:space="preserve">es sur les garanties dans les mécanismes de financement de la biodiversité </w:t>
      </w:r>
      <w:r w:rsidR="00372279">
        <w:rPr>
          <w:shd w:val="clear" w:color="auto" w:fill="D9D9D9" w:themeFill="background1" w:themeFillShade="D9"/>
        </w:rPr>
        <w:t>lors de la révision</w:t>
      </w:r>
      <w:r>
        <w:rPr>
          <w:shd w:val="clear" w:color="auto" w:fill="D9D9D9" w:themeFill="background1" w:themeFillShade="D9"/>
        </w:rPr>
        <w:t xml:space="preserve"> et de l</w:t>
      </w:r>
      <w:r w:rsidR="00087107">
        <w:rPr>
          <w:shd w:val="clear" w:color="auto" w:fill="D9D9D9" w:themeFill="background1" w:themeFillShade="D9"/>
        </w:rPr>
        <w:t>’</w:t>
      </w:r>
      <w:r>
        <w:rPr>
          <w:shd w:val="clear" w:color="auto" w:fill="D9D9D9" w:themeFill="background1" w:themeFillShade="D9"/>
        </w:rPr>
        <w:t xml:space="preserve">harmonisation </w:t>
      </w:r>
      <w:r w:rsidR="00372279">
        <w:rPr>
          <w:shd w:val="clear" w:color="auto" w:fill="D9D9D9" w:themeFill="background1" w:themeFillShade="D9"/>
        </w:rPr>
        <w:t>continues</w:t>
      </w:r>
      <w:r>
        <w:rPr>
          <w:shd w:val="clear" w:color="auto" w:fill="D9D9D9" w:themeFill="background1" w:themeFillShade="D9"/>
        </w:rPr>
        <w:t xml:space="preserve"> des normes </w:t>
      </w:r>
      <w:r w:rsidR="00C005E3">
        <w:rPr>
          <w:shd w:val="clear" w:color="auto" w:fill="D9D9D9" w:themeFill="background1" w:themeFillShade="D9"/>
        </w:rPr>
        <w:t>relatives aux garanties</w:t>
      </w:r>
      <w:r>
        <w:rPr>
          <w:shd w:val="clear" w:color="auto" w:fill="D9D9D9" w:themeFill="background1" w:themeFillShade="D9"/>
        </w:rPr>
        <w:t>, selon qu</w:t>
      </w:r>
      <w:r w:rsidR="00087107">
        <w:rPr>
          <w:shd w:val="clear" w:color="auto" w:fill="D9D9D9" w:themeFill="background1" w:themeFillShade="D9"/>
        </w:rPr>
        <w:t>’</w:t>
      </w:r>
      <w:r>
        <w:rPr>
          <w:shd w:val="clear" w:color="auto" w:fill="D9D9D9" w:themeFill="background1" w:themeFillShade="D9"/>
        </w:rPr>
        <w:t>il convien</w:t>
      </w:r>
      <w:r w:rsidR="004C4291">
        <w:rPr>
          <w:shd w:val="clear" w:color="auto" w:fill="D9D9D9" w:themeFill="background1" w:themeFillShade="D9"/>
        </w:rPr>
        <w:t>t</w:t>
      </w:r>
      <w:r>
        <w:t>, notamment en les alignant sur les cadres juridiques et réglementaires nationaux pertinents, en vue de faciliter leur mise en œuvre effective aux niveaux national et local</w:t>
      </w:r>
      <w:r w:rsidR="00DB2CDB">
        <w:t>;</w:t>
      </w:r>
    </w:p>
    <w:p w14:paraId="5B988ADA" w14:textId="481DE3E4" w:rsidR="009C6797" w:rsidRDefault="00D0321D">
      <w:pPr>
        <w:pStyle w:val="CBDNormalNoNumber"/>
        <w:shd w:val="clear" w:color="auto" w:fill="D9D9D9" w:themeFill="background1" w:themeFillShade="D9"/>
        <w:tabs>
          <w:tab w:val="clear" w:pos="567"/>
        </w:tabs>
        <w:ind w:left="1134" w:firstLine="567"/>
        <w:rPr>
          <w:i/>
          <w:iCs/>
        </w:rPr>
      </w:pPr>
      <w:r>
        <w:t>c)</w:t>
      </w:r>
      <w:r>
        <w:tab/>
        <w:t xml:space="preserve">Assurer et renforcer la création et le développement de capacités pour </w:t>
      </w:r>
      <w:r w:rsidR="00E00F6D">
        <w:t xml:space="preserve">une </w:t>
      </w:r>
      <w:r>
        <w:t>application eff</w:t>
      </w:r>
      <w:r w:rsidR="000B2BD3">
        <w:t>ectiv</w:t>
      </w:r>
      <w:r>
        <w:t>e des normes relatives aux garanties</w:t>
      </w:r>
      <w:r>
        <w:rPr>
          <w:b/>
          <w:bCs/>
        </w:rPr>
        <w:t xml:space="preserve">, </w:t>
      </w:r>
      <w:r>
        <w:rPr>
          <w:rFonts w:eastAsia="Batang"/>
        </w:rPr>
        <w:t>selon qu</w:t>
      </w:r>
      <w:r w:rsidR="00087107">
        <w:rPr>
          <w:rFonts w:eastAsia="Batang"/>
        </w:rPr>
        <w:t>’</w:t>
      </w:r>
      <w:r>
        <w:rPr>
          <w:rFonts w:eastAsia="Batang"/>
        </w:rPr>
        <w:t>il convien</w:t>
      </w:r>
      <w:r w:rsidR="00E00F6D">
        <w:rPr>
          <w:rFonts w:eastAsia="Batang"/>
        </w:rPr>
        <w:t>t</w:t>
      </w:r>
      <w:r w:rsidR="00DB2CDB">
        <w:rPr>
          <w:rFonts w:eastAsia="Batang"/>
        </w:rPr>
        <w:t>;</w:t>
      </w:r>
    </w:p>
    <w:p w14:paraId="0613B9C5" w14:textId="477E6AFF" w:rsidR="009C6797" w:rsidRDefault="00D0321D">
      <w:pPr>
        <w:pStyle w:val="CBDNormalNoNumber"/>
        <w:shd w:val="clear" w:color="auto" w:fill="D9D9D9" w:themeFill="background1" w:themeFillShade="D9"/>
        <w:tabs>
          <w:tab w:val="clear" w:pos="567"/>
        </w:tabs>
        <w:ind w:left="1134" w:firstLine="567"/>
        <w:rPr>
          <w:lang w:eastAsia="ko-KR"/>
        </w:rPr>
      </w:pPr>
      <w:r>
        <w:rPr>
          <w:iCs/>
        </w:rPr>
        <w:t>d)</w:t>
      </w:r>
      <w:r>
        <w:rPr>
          <w:iCs/>
        </w:rPr>
        <w:tab/>
      </w:r>
      <w:r w:rsidR="00727DCB">
        <w:rPr>
          <w:iCs/>
        </w:rPr>
        <w:t>Partager</w:t>
      </w:r>
      <w:r>
        <w:t xml:space="preserve"> les études de cas, bonnes pratiques, enseignements tirés </w:t>
      </w:r>
      <w:r w:rsidR="00E00F6D">
        <w:t xml:space="preserve">pertinents </w:t>
      </w:r>
      <w:r>
        <w:t>et</w:t>
      </w:r>
      <w:r w:rsidR="00727DCB">
        <w:t xml:space="preserve"> matériel</w:t>
      </w:r>
      <w:r>
        <w:t xml:space="preserve"> d</w:t>
      </w:r>
      <w:r w:rsidR="00087107">
        <w:t>’</w:t>
      </w:r>
      <w:r>
        <w:t>orientation connexes par l</w:t>
      </w:r>
      <w:r w:rsidR="0060724E">
        <w:t>e biais</w:t>
      </w:r>
      <w:r>
        <w:t xml:space="preserve"> du </w:t>
      </w:r>
      <w:r w:rsidR="00E00F6D">
        <w:t>C</w:t>
      </w:r>
      <w:r>
        <w:t>entre d</w:t>
      </w:r>
      <w:r w:rsidR="00087107">
        <w:t>’</w:t>
      </w:r>
      <w:r>
        <w:t>échange de la Convention</w:t>
      </w:r>
      <w:r w:rsidR="00DB2CDB">
        <w:t>;</w:t>
      </w:r>
    </w:p>
    <w:p w14:paraId="3DCA759C" w14:textId="299FDC72" w:rsidR="009C6797" w:rsidRDefault="00D0321D">
      <w:pPr>
        <w:pStyle w:val="CBDNormalNoNumber"/>
        <w:shd w:val="clear" w:color="auto" w:fill="D9D9D9" w:themeFill="background1" w:themeFillShade="D9"/>
        <w:tabs>
          <w:tab w:val="clear" w:pos="567"/>
        </w:tabs>
        <w:ind w:left="1134" w:firstLine="567"/>
      </w:pPr>
      <w:r>
        <w:t>8.</w:t>
      </w:r>
      <w:r>
        <w:tab/>
      </w:r>
      <w:r>
        <w:rPr>
          <w:i/>
          <w:iCs/>
        </w:rPr>
        <w:t xml:space="preserve">Invite </w:t>
      </w:r>
      <w:r w:rsidRPr="00E00F6D">
        <w:t>les</w:t>
      </w:r>
      <w:r>
        <w:t xml:space="preserve"> Parties, </w:t>
      </w:r>
      <w:r w:rsidR="0060724E">
        <w:t xml:space="preserve">comme </w:t>
      </w:r>
      <w:r>
        <w:t>il convie</w:t>
      </w:r>
      <w:r w:rsidR="00E00F6D">
        <w:t>nt</w:t>
      </w:r>
      <w:r>
        <w:t xml:space="preserve"> et </w:t>
      </w:r>
      <w:r w:rsidR="0060724E">
        <w:t>selon</w:t>
      </w:r>
      <w:r w:rsidR="00E00F6D">
        <w:t xml:space="preserve"> le</w:t>
      </w:r>
      <w:r w:rsidR="00634D11">
        <w:t>ur</w:t>
      </w:r>
      <w:r>
        <w:t xml:space="preserve">s circonstances, </w:t>
      </w:r>
      <w:r w:rsidR="00A223C7">
        <w:t xml:space="preserve">leurs </w:t>
      </w:r>
      <w:r>
        <w:t xml:space="preserve">priorités et </w:t>
      </w:r>
      <w:r w:rsidR="00A223C7">
        <w:t xml:space="preserve">leurs </w:t>
      </w:r>
      <w:r>
        <w:t>capacités nationales, conformément à l</w:t>
      </w:r>
      <w:r w:rsidR="00A223C7">
        <w:t>eur</w:t>
      </w:r>
      <w:r>
        <w:t xml:space="preserve"> législation nationale,</w:t>
      </w:r>
      <w:r w:rsidR="00E00F6D">
        <w:t xml:space="preserve"> ainsi que</w:t>
      </w:r>
      <w:r>
        <w:t xml:space="preserve"> les autres gouvernements à tous les niveaux, les organes directeurs des accords environnementaux pertinents, les organisations </w:t>
      </w:r>
      <w:r w:rsidR="00AA7C69">
        <w:t>professionnelle</w:t>
      </w:r>
      <w:r>
        <w:t xml:space="preserve">s et les autres parties prenantes, </w:t>
      </w:r>
      <w:r w:rsidR="00F67359">
        <w:t>de même</w:t>
      </w:r>
      <w:r>
        <w:t xml:space="preserve"> que les banques de développement nationales, régionales et internationales et les autres institutions financières, selon qu</w:t>
      </w:r>
      <w:r w:rsidR="00087107">
        <w:t>’</w:t>
      </w:r>
      <w:r>
        <w:t xml:space="preserve">il convient et conformément </w:t>
      </w:r>
      <w:r w:rsidR="00F67359">
        <w:t>à leurs</w:t>
      </w:r>
      <w:r>
        <w:t xml:space="preserve"> mandats respectifs, à continuer d</w:t>
      </w:r>
      <w:r w:rsidR="00AA7C69">
        <w:t xml:space="preserve">e tirer parti des </w:t>
      </w:r>
      <w:r w:rsidR="00F67359">
        <w:t>avantages</w:t>
      </w:r>
      <w:r>
        <w:t xml:space="preserve"> </w:t>
      </w:r>
      <w:r w:rsidR="00AA7C69">
        <w:t xml:space="preserve">connexes </w:t>
      </w:r>
      <w:r>
        <w:t xml:space="preserve">et </w:t>
      </w:r>
      <w:r w:rsidR="00AA7C69">
        <w:t>d</w:t>
      </w:r>
      <w:r>
        <w:t xml:space="preserve">es synergies </w:t>
      </w:r>
      <w:r w:rsidR="00AA7C69">
        <w:t>entre</w:t>
      </w:r>
      <w:r>
        <w:t xml:space="preserve"> la biodiversité et </w:t>
      </w:r>
      <w:r w:rsidR="003C4207">
        <w:t>le</w:t>
      </w:r>
      <w:r>
        <w:t xml:space="preserve"> </w:t>
      </w:r>
      <w:r w:rsidR="0025276C">
        <w:t xml:space="preserve">financement </w:t>
      </w:r>
      <w:r w:rsidR="00C955A1">
        <w:t xml:space="preserve">de l’action </w:t>
      </w:r>
      <w:r w:rsidR="0025276C">
        <w:t>climatique</w:t>
      </w:r>
      <w:r>
        <w:t>[, tout en évitant l</w:t>
      </w:r>
      <w:r w:rsidR="003C4207">
        <w:t>es doubles emplois</w:t>
      </w:r>
      <w:r>
        <w:t xml:space="preserve"> entre les secrétariats des conventions et en respectant leurs di</w:t>
      </w:r>
      <w:r w:rsidR="0028665B">
        <w:t>fférent</w:t>
      </w:r>
      <w:r>
        <w:t>s mandats,] :</w:t>
      </w:r>
    </w:p>
    <w:p w14:paraId="1B0EC09C" w14:textId="06D5772F" w:rsidR="009C6797" w:rsidRDefault="00D0321D">
      <w:pPr>
        <w:pStyle w:val="CBDNormalNoNumber"/>
        <w:shd w:val="clear" w:color="auto" w:fill="D9D9D9" w:themeFill="background1" w:themeFillShade="D9"/>
        <w:tabs>
          <w:tab w:val="clear" w:pos="567"/>
        </w:tabs>
        <w:ind w:left="1134" w:firstLine="567"/>
      </w:pPr>
      <w:r>
        <w:t>a)</w:t>
      </w:r>
      <w:r>
        <w:tab/>
      </w:r>
      <w:r w:rsidR="00D52835">
        <w:t xml:space="preserve">En </w:t>
      </w:r>
      <w:r w:rsidR="00C30FA4">
        <w:t>tirant parti des</w:t>
      </w:r>
      <w:r>
        <w:t xml:space="preserve"> </w:t>
      </w:r>
      <w:r w:rsidR="0028665B">
        <w:t xml:space="preserve">nouvelles </w:t>
      </w:r>
      <w:r w:rsidR="00C30FA4">
        <w:t>possibilit</w:t>
      </w:r>
      <w:r>
        <w:t>és</w:t>
      </w:r>
      <w:r w:rsidR="0028665B">
        <w:t xml:space="preserve"> </w:t>
      </w:r>
      <w:r w:rsidR="00A223C7">
        <w:t>de</w:t>
      </w:r>
      <w:r>
        <w:t xml:space="preserve"> créer ou </w:t>
      </w:r>
      <w:r w:rsidR="00C30FA4">
        <w:t>renforc</w:t>
      </w:r>
      <w:r>
        <w:t xml:space="preserve">er les synergies en </w:t>
      </w:r>
      <w:r w:rsidR="00C30FA4">
        <w:t>entre l’action en faveur de la</w:t>
      </w:r>
      <w:r>
        <w:t xml:space="preserve"> biodiversité </w:t>
      </w:r>
      <w:r w:rsidR="00C30FA4">
        <w:t>et</w:t>
      </w:r>
      <w:r>
        <w:t xml:space="preserve"> </w:t>
      </w:r>
      <w:r w:rsidR="00C30FA4">
        <w:t>l’</w:t>
      </w:r>
      <w:r>
        <w:t xml:space="preserve">action </w:t>
      </w:r>
      <w:r w:rsidR="0025276C">
        <w:t>climatique</w:t>
      </w:r>
      <w:r w:rsidR="00DB2CDB">
        <w:t>;</w:t>
      </w:r>
    </w:p>
    <w:p w14:paraId="1FFFD978" w14:textId="15EAD5B3" w:rsidR="009C6797" w:rsidRDefault="00D0321D">
      <w:pPr>
        <w:pStyle w:val="CBDNormalNoNumber"/>
        <w:shd w:val="clear" w:color="auto" w:fill="D9D9D9" w:themeFill="background1" w:themeFillShade="D9"/>
        <w:tabs>
          <w:tab w:val="clear" w:pos="567"/>
        </w:tabs>
        <w:ind w:left="1134" w:firstLine="567"/>
      </w:pPr>
      <w:r>
        <w:t>b)</w:t>
      </w:r>
      <w:r>
        <w:tab/>
      </w:r>
      <w:r w:rsidR="00D52835">
        <w:t>En i</w:t>
      </w:r>
      <w:r>
        <w:t>ntégr</w:t>
      </w:r>
      <w:r w:rsidR="00442DE6">
        <w:t>ant</w:t>
      </w:r>
      <w:r>
        <w:t xml:space="preserve"> ou </w:t>
      </w:r>
      <w:r w:rsidR="00D52835">
        <w:t xml:space="preserve">en </w:t>
      </w:r>
      <w:r>
        <w:t>amélior</w:t>
      </w:r>
      <w:r w:rsidR="00442DE6">
        <w:t>ant</w:t>
      </w:r>
      <w:r>
        <w:t xml:space="preserve"> l</w:t>
      </w:r>
      <w:r w:rsidR="00C30FA4">
        <w:t>a prise en compte</w:t>
      </w:r>
      <w:r>
        <w:t xml:space="preserve"> des considérations relatives à la biodiversité dans les politiques</w:t>
      </w:r>
      <w:r w:rsidR="00C30FA4">
        <w:t xml:space="preserve"> et les mécanismes </w:t>
      </w:r>
      <w:r w:rsidR="004C2860">
        <w:t>internationaux et nationaux</w:t>
      </w:r>
      <w:r>
        <w:t xml:space="preserve"> de </w:t>
      </w:r>
      <w:r w:rsidR="0025276C">
        <w:t>financement de l</w:t>
      </w:r>
      <w:r w:rsidR="004C2860">
        <w:t xml:space="preserve">’action </w:t>
      </w:r>
      <w:r w:rsidR="0025276C">
        <w:t>climatique</w:t>
      </w:r>
      <w:r>
        <w:t xml:space="preserve"> :</w:t>
      </w:r>
    </w:p>
    <w:p w14:paraId="35469E4C" w14:textId="5FCEF916" w:rsidR="009C6797" w:rsidRDefault="00D0321D">
      <w:pPr>
        <w:pStyle w:val="CBDNormalNoNumber"/>
        <w:shd w:val="clear" w:color="auto" w:fill="D9D9D9" w:themeFill="background1" w:themeFillShade="D9"/>
        <w:tabs>
          <w:tab w:val="clear" w:pos="567"/>
        </w:tabs>
        <w:ind w:left="2268" w:hanging="567"/>
      </w:pPr>
      <w:r>
        <w:t>i)</w:t>
      </w:r>
      <w:r>
        <w:tab/>
      </w:r>
      <w:r w:rsidR="000534C9">
        <w:t>En r</w:t>
      </w:r>
      <w:r w:rsidR="00F05E5B">
        <w:t>e</w:t>
      </w:r>
      <w:r>
        <w:t>nfor</w:t>
      </w:r>
      <w:r w:rsidR="00442DE6">
        <w:t>ç</w:t>
      </w:r>
      <w:r w:rsidR="00F05E5B">
        <w:t>ant</w:t>
      </w:r>
      <w:r>
        <w:t xml:space="preserve"> la coordination intersectorielle au niveau national</w:t>
      </w:r>
      <w:r w:rsidR="00DB2CDB">
        <w:t>;</w:t>
      </w:r>
    </w:p>
    <w:p w14:paraId="71338AF2" w14:textId="17797B23" w:rsidR="009C6797" w:rsidRPr="005C3AE9" w:rsidRDefault="00D0321D">
      <w:pPr>
        <w:pStyle w:val="CBDNormalNoNumber"/>
        <w:shd w:val="clear" w:color="auto" w:fill="D9D9D9" w:themeFill="background1" w:themeFillShade="D9"/>
        <w:tabs>
          <w:tab w:val="clear" w:pos="567"/>
        </w:tabs>
        <w:ind w:left="2268" w:hanging="567"/>
      </w:pPr>
      <w:r>
        <w:lastRenderedPageBreak/>
        <w:t>ii)</w:t>
      </w:r>
      <w:r>
        <w:tab/>
      </w:r>
      <w:r w:rsidR="000534C9">
        <w:t>En m</w:t>
      </w:r>
      <w:r>
        <w:t>ett</w:t>
      </w:r>
      <w:r w:rsidR="00F05E5B">
        <w:t>ant</w:t>
      </w:r>
      <w:r>
        <w:t xml:space="preserve"> en œuvre et </w:t>
      </w:r>
      <w:r w:rsidR="000534C9">
        <w:t xml:space="preserve">en </w:t>
      </w:r>
      <w:r w:rsidR="00F05E5B">
        <w:t>fa</w:t>
      </w:r>
      <w:r w:rsidR="00843586">
        <w:t>isant avancer</w:t>
      </w:r>
      <w:r>
        <w:t xml:space="preserve"> </w:t>
      </w:r>
      <w:r w:rsidR="000534C9">
        <w:t>l</w:t>
      </w:r>
      <w:r>
        <w:t xml:space="preserve">es politiques </w:t>
      </w:r>
      <w:r w:rsidR="00843586">
        <w:t>relatives aux garanties</w:t>
      </w:r>
      <w:r>
        <w:t xml:space="preserve"> sociale</w:t>
      </w:r>
      <w:r w:rsidR="00843586">
        <w:t>s</w:t>
      </w:r>
      <w:r>
        <w:t xml:space="preserve"> et environnementale</w:t>
      </w:r>
      <w:r w:rsidR="00843586">
        <w:t>s</w:t>
      </w:r>
      <w:r>
        <w:t xml:space="preserve"> qui réduisent et préviennent les i</w:t>
      </w:r>
      <w:r w:rsidR="00843586">
        <w:t>ncidence</w:t>
      </w:r>
      <w:r>
        <w:t>s potentiellement néfastes des programmes, projets et activités liés au climat sur la biodiversité</w:t>
      </w:r>
      <w:r w:rsidR="00DB2CDB">
        <w:t>;</w:t>
      </w:r>
    </w:p>
    <w:p w14:paraId="61664EBD" w14:textId="39E4CB91" w:rsidR="009C6797" w:rsidRDefault="00D0321D">
      <w:pPr>
        <w:pStyle w:val="CBDNormalNoNumber"/>
        <w:shd w:val="clear" w:color="auto" w:fill="D9D9D9" w:themeFill="background1" w:themeFillShade="D9"/>
        <w:tabs>
          <w:tab w:val="clear" w:pos="567"/>
        </w:tabs>
        <w:ind w:left="2268" w:hanging="567"/>
      </w:pPr>
      <w:r>
        <w:t>iii)</w:t>
      </w:r>
      <w:r>
        <w:tab/>
      </w:r>
      <w:r w:rsidR="00F05E5B">
        <w:t>E</w:t>
      </w:r>
      <w:r w:rsidR="000534C9">
        <w:t xml:space="preserve">n </w:t>
      </w:r>
      <w:r w:rsidR="00843586">
        <w:t>fixa</w:t>
      </w:r>
      <w:r w:rsidR="00F05E5B">
        <w:t>nt</w:t>
      </w:r>
      <w:r>
        <w:t xml:space="preserve"> des objectifs, </w:t>
      </w:r>
      <w:r w:rsidR="000534C9">
        <w:t xml:space="preserve">en </w:t>
      </w:r>
      <w:r w:rsidR="00843586">
        <w:t>élabor</w:t>
      </w:r>
      <w:r w:rsidR="000534C9">
        <w:t>ant</w:t>
      </w:r>
      <w:r>
        <w:t xml:space="preserve"> des politiques, des programmes et des projets et </w:t>
      </w:r>
      <w:r w:rsidR="000534C9">
        <w:t xml:space="preserve">en </w:t>
      </w:r>
      <w:r>
        <w:t>pren</w:t>
      </w:r>
      <w:r w:rsidR="000534C9">
        <w:t>ant</w:t>
      </w:r>
      <w:r>
        <w:t xml:space="preserve"> des mesures </w:t>
      </w:r>
      <w:r w:rsidR="00843586">
        <w:t>favorisant</w:t>
      </w:r>
      <w:r>
        <w:t xml:space="preserve"> la biodiversité dans l</w:t>
      </w:r>
      <w:r w:rsidR="00843586">
        <w:t>e cadre du</w:t>
      </w:r>
      <w:r w:rsidR="004B7679">
        <w:t xml:space="preserve"> </w:t>
      </w:r>
      <w:r w:rsidR="0025276C">
        <w:t>financement de la lutte contre les changements climatiques</w:t>
      </w:r>
      <w:r>
        <w:t>, tels que des programmes, des projets et des activités qui soutiennent l</w:t>
      </w:r>
      <w:r w:rsidR="00087107">
        <w:t>’</w:t>
      </w:r>
      <w:r>
        <w:t>atténuation d</w:t>
      </w:r>
      <w:r w:rsidR="004B7679">
        <w:t>es</w:t>
      </w:r>
      <w:r>
        <w:t xml:space="preserve"> changement</w:t>
      </w:r>
      <w:r w:rsidR="004B7679">
        <w:t>s</w:t>
      </w:r>
      <w:r>
        <w:t xml:space="preserve"> climatique</w:t>
      </w:r>
      <w:r w:rsidR="004B7679">
        <w:t>s</w:t>
      </w:r>
      <w:r>
        <w:t xml:space="preserve"> et l</w:t>
      </w:r>
      <w:r w:rsidR="00087107">
        <w:t>’</w:t>
      </w:r>
      <w:r>
        <w:t>adaptation à ce</w:t>
      </w:r>
      <w:r w:rsidR="004B7679">
        <w:t>ux</w:t>
      </w:r>
      <w:r>
        <w:t xml:space="preserve">-ci, </w:t>
      </w:r>
      <w:r w:rsidR="00843586">
        <w:t>grâce à des</w:t>
      </w:r>
      <w:r>
        <w:t xml:space="preserve"> solutions fondées sur la nature et/ou d</w:t>
      </w:r>
      <w:r w:rsidR="00087107">
        <w:t>’</w:t>
      </w:r>
      <w:r>
        <w:t>approches écosystémiques, ainsi que d</w:t>
      </w:r>
      <w:r w:rsidR="00087107">
        <w:t>’</w:t>
      </w:r>
      <w:r>
        <w:t>autres approches appropriées compatibles avec les objectifs de la Convention</w:t>
      </w:r>
      <w:r w:rsidR="00DB2CDB">
        <w:t>;</w:t>
      </w:r>
    </w:p>
    <w:p w14:paraId="2CE786FF" w14:textId="0E222405" w:rsidR="009C6797" w:rsidRPr="005C3AE9" w:rsidRDefault="00D0321D">
      <w:pPr>
        <w:pStyle w:val="CBDNormalNoNumber"/>
        <w:tabs>
          <w:tab w:val="clear" w:pos="567"/>
        </w:tabs>
        <w:ind w:left="2268" w:hanging="567"/>
      </w:pPr>
      <w:r>
        <w:t>iv)</w:t>
      </w:r>
      <w:r>
        <w:tab/>
      </w:r>
      <w:r w:rsidR="004B7679">
        <w:t xml:space="preserve">En </w:t>
      </w:r>
      <w:r w:rsidR="00CA471D">
        <w:t>élabor</w:t>
      </w:r>
      <w:r w:rsidR="00F05E5B">
        <w:t>ant</w:t>
      </w:r>
      <w:r>
        <w:t xml:space="preserve"> et </w:t>
      </w:r>
      <w:r w:rsidR="004B7679">
        <w:t xml:space="preserve">en </w:t>
      </w:r>
      <w:r>
        <w:t>appliqu</w:t>
      </w:r>
      <w:r w:rsidR="00F05E5B">
        <w:t>ant</w:t>
      </w:r>
      <w:r>
        <w:t>, pendant la phase de planification et de préparation d</w:t>
      </w:r>
      <w:r w:rsidR="00607149">
        <w:t>e</w:t>
      </w:r>
      <w:r>
        <w:t xml:space="preserve"> projet</w:t>
      </w:r>
      <w:r w:rsidR="00607149">
        <w:t>s</w:t>
      </w:r>
      <w:r>
        <w:t xml:space="preserve">, </w:t>
      </w:r>
      <w:r w:rsidR="00CA471D">
        <w:t>selon qu’il convient</w:t>
      </w:r>
      <w:r>
        <w:t xml:space="preserve">, des indicateurs, </w:t>
      </w:r>
      <w:r w:rsidR="00A66A7F">
        <w:t>des mesures</w:t>
      </w:r>
      <w:r>
        <w:t xml:space="preserve"> et des </w:t>
      </w:r>
      <w:r w:rsidR="00A66A7F">
        <w:t>méthodes</w:t>
      </w:r>
      <w:r>
        <w:t xml:space="preserve"> d</w:t>
      </w:r>
      <w:r w:rsidR="00231550">
        <w:t>’établissement de rapports</w:t>
      </w:r>
      <w:r>
        <w:t xml:space="preserve"> compatibles </w:t>
      </w:r>
      <w:r w:rsidR="00CA471D">
        <w:t>afin d’</w:t>
      </w:r>
      <w:r>
        <w:t>évaluer les résultats et les avan</w:t>
      </w:r>
      <w:r w:rsidR="00E24412">
        <w:t>t</w:t>
      </w:r>
      <w:r>
        <w:t>ages</w:t>
      </w:r>
      <w:r w:rsidR="00E24412">
        <w:t xml:space="preserve"> </w:t>
      </w:r>
      <w:r w:rsidR="003337C2">
        <w:t xml:space="preserve">connexes </w:t>
      </w:r>
      <w:r w:rsidR="00C069D5">
        <w:t>pour</w:t>
      </w:r>
      <w:r>
        <w:t xml:space="preserve"> la biodiversité </w:t>
      </w:r>
      <w:r w:rsidR="003337C2">
        <w:t>dans l</w:t>
      </w:r>
      <w:r>
        <w:t xml:space="preserve">es politiques, </w:t>
      </w:r>
      <w:r w:rsidR="003337C2">
        <w:t xml:space="preserve">les </w:t>
      </w:r>
      <w:r>
        <w:t xml:space="preserve">programmes et </w:t>
      </w:r>
      <w:r w:rsidR="003337C2">
        <w:t xml:space="preserve">les </w:t>
      </w:r>
      <w:r>
        <w:t xml:space="preserve">projets de </w:t>
      </w:r>
      <w:r w:rsidR="0025276C">
        <w:t>financement d</w:t>
      </w:r>
      <w:r w:rsidR="009074C3">
        <w:t xml:space="preserve">e l’action </w:t>
      </w:r>
      <w:r w:rsidR="0025276C">
        <w:t>climatique</w:t>
      </w:r>
      <w:r w:rsidR="00DB2CDB">
        <w:t>;</w:t>
      </w:r>
    </w:p>
    <w:p w14:paraId="4932B269" w14:textId="61FB357A" w:rsidR="009C6797" w:rsidRDefault="00D0321D">
      <w:pPr>
        <w:pStyle w:val="CBDNormalNoNumber"/>
        <w:tabs>
          <w:tab w:val="clear" w:pos="567"/>
        </w:tabs>
        <w:ind w:left="1701" w:hanging="567"/>
      </w:pPr>
      <w:r>
        <w:rPr>
          <w:shd w:val="clear" w:color="auto" w:fill="D9D9D9" w:themeFill="background1" w:themeFillShade="D9"/>
        </w:rPr>
        <w:t>c)</w:t>
      </w:r>
      <w:r>
        <w:rPr>
          <w:shd w:val="clear" w:color="auto" w:fill="D9D9D9" w:themeFill="background1" w:themeFillShade="D9"/>
        </w:rPr>
        <w:tab/>
      </w:r>
      <w:r w:rsidR="00C069D5">
        <w:rPr>
          <w:shd w:val="clear" w:color="auto" w:fill="D9D9D9" w:themeFill="background1" w:themeFillShade="D9"/>
        </w:rPr>
        <w:t>En a</w:t>
      </w:r>
      <w:r>
        <w:rPr>
          <w:shd w:val="clear" w:color="auto" w:fill="D9D9D9" w:themeFill="background1" w:themeFillShade="D9"/>
        </w:rPr>
        <w:t>mélior</w:t>
      </w:r>
      <w:r w:rsidR="00C069D5">
        <w:rPr>
          <w:shd w:val="clear" w:color="auto" w:fill="D9D9D9" w:themeFill="background1" w:themeFillShade="D9"/>
        </w:rPr>
        <w:t>ant</w:t>
      </w:r>
      <w:r>
        <w:rPr>
          <w:shd w:val="clear" w:color="auto" w:fill="D9D9D9" w:themeFill="background1" w:themeFillShade="D9"/>
        </w:rPr>
        <w:t xml:space="preserve"> </w:t>
      </w:r>
      <w:r w:rsidR="00C069D5">
        <w:rPr>
          <w:shd w:val="clear" w:color="auto" w:fill="D9D9D9" w:themeFill="background1" w:themeFillShade="D9"/>
        </w:rPr>
        <w:t>de manière significative</w:t>
      </w:r>
      <w:r>
        <w:rPr>
          <w:shd w:val="clear" w:color="auto" w:fill="D9D9D9" w:themeFill="background1" w:themeFillShade="D9"/>
        </w:rPr>
        <w:t xml:space="preserve"> la co</w:t>
      </w:r>
      <w:r w:rsidR="002F4DC5">
        <w:rPr>
          <w:shd w:val="clear" w:color="auto" w:fill="D9D9D9" w:themeFill="background1" w:themeFillShade="D9"/>
        </w:rPr>
        <w:t>nnaissance</w:t>
      </w:r>
      <w:r>
        <w:rPr>
          <w:shd w:val="clear" w:color="auto" w:fill="D9D9D9" w:themeFill="background1" w:themeFillShade="D9"/>
        </w:rPr>
        <w:t xml:space="preserve"> et la transparence d</w:t>
      </w:r>
      <w:r w:rsidR="000855A5">
        <w:rPr>
          <w:shd w:val="clear" w:color="auto" w:fill="D9D9D9" w:themeFill="background1" w:themeFillShade="D9"/>
        </w:rPr>
        <w:t>e</w:t>
      </w:r>
      <w:r>
        <w:rPr>
          <w:shd w:val="clear" w:color="auto" w:fill="D9D9D9" w:themeFill="background1" w:themeFillShade="D9"/>
        </w:rPr>
        <w:t xml:space="preserve"> la comptabilité et </w:t>
      </w:r>
      <w:r w:rsidR="002F4DC5">
        <w:rPr>
          <w:shd w:val="clear" w:color="auto" w:fill="D9D9D9" w:themeFill="background1" w:themeFillShade="D9"/>
        </w:rPr>
        <w:t>d</w:t>
      </w:r>
      <w:r w:rsidR="000855A5">
        <w:rPr>
          <w:shd w:val="clear" w:color="auto" w:fill="D9D9D9" w:themeFill="background1" w:themeFillShade="D9"/>
        </w:rPr>
        <w:t xml:space="preserve">es rapports </w:t>
      </w:r>
      <w:r w:rsidR="002F4DC5">
        <w:rPr>
          <w:shd w:val="clear" w:color="auto" w:fill="D9D9D9" w:themeFill="background1" w:themeFillShade="D9"/>
        </w:rPr>
        <w:t>concernant les</w:t>
      </w:r>
      <w:r>
        <w:rPr>
          <w:shd w:val="clear" w:color="auto" w:fill="D9D9D9" w:themeFill="background1" w:themeFillShade="D9"/>
        </w:rPr>
        <w:t xml:space="preserve"> contributions financières dans le cadre des efforts visant à optimiser les </w:t>
      </w:r>
      <w:r w:rsidR="0025276C">
        <w:rPr>
          <w:shd w:val="clear" w:color="auto" w:fill="D9D9D9" w:themeFill="background1" w:themeFillShade="D9"/>
        </w:rPr>
        <w:t>avantage</w:t>
      </w:r>
      <w:r>
        <w:rPr>
          <w:shd w:val="clear" w:color="auto" w:fill="D9D9D9" w:themeFill="background1" w:themeFillShade="D9"/>
        </w:rPr>
        <w:t>s</w:t>
      </w:r>
      <w:r w:rsidR="000855A5">
        <w:rPr>
          <w:shd w:val="clear" w:color="auto" w:fill="D9D9D9" w:themeFill="background1" w:themeFillShade="D9"/>
        </w:rPr>
        <w:t xml:space="preserve"> connexes</w:t>
      </w:r>
      <w:r>
        <w:rPr>
          <w:shd w:val="clear" w:color="auto" w:fill="D9D9D9" w:themeFill="background1" w:themeFillShade="D9"/>
        </w:rPr>
        <w:t xml:space="preserve"> et les synergies</w:t>
      </w:r>
      <w:r>
        <w:t xml:space="preserve">, y compris, </w:t>
      </w:r>
      <w:r w:rsidR="0025276C">
        <w:t>selon qu’il convient</w:t>
      </w:r>
      <w:r>
        <w:t>, en améliorant la compatibilité des systèmes de suivi de la biodiversité et du financement de l</w:t>
      </w:r>
      <w:r w:rsidR="000855A5">
        <w:t xml:space="preserve">’action </w:t>
      </w:r>
      <w:r>
        <w:t xml:space="preserve">climatique et en évitant les doubles comptages, </w:t>
      </w:r>
      <w:r>
        <w:rPr>
          <w:shd w:val="clear" w:color="auto" w:fill="D9D9D9" w:themeFill="background1" w:themeFillShade="D9"/>
        </w:rPr>
        <w:t xml:space="preserve">conformément </w:t>
      </w:r>
      <w:r w:rsidR="00B83203">
        <w:rPr>
          <w:shd w:val="clear" w:color="auto" w:fill="D9D9D9" w:themeFill="background1" w:themeFillShade="D9"/>
        </w:rPr>
        <w:t>au champ d</w:t>
      </w:r>
      <w:r w:rsidR="00087107">
        <w:rPr>
          <w:shd w:val="clear" w:color="auto" w:fill="D9D9D9" w:themeFill="background1" w:themeFillShade="D9"/>
        </w:rPr>
        <w:t>’</w:t>
      </w:r>
      <w:r w:rsidR="00B83203">
        <w:rPr>
          <w:shd w:val="clear" w:color="auto" w:fill="D9D9D9" w:themeFill="background1" w:themeFillShade="D9"/>
        </w:rPr>
        <w:t>application</w:t>
      </w:r>
      <w:r>
        <w:rPr>
          <w:shd w:val="clear" w:color="auto" w:fill="D9D9D9" w:themeFill="background1" w:themeFillShade="D9"/>
        </w:rPr>
        <w:t xml:space="preserve"> des accords multilatéraux sur l</w:t>
      </w:r>
      <w:r w:rsidR="00087107">
        <w:rPr>
          <w:shd w:val="clear" w:color="auto" w:fill="D9D9D9" w:themeFill="background1" w:themeFillShade="D9"/>
        </w:rPr>
        <w:t>’</w:t>
      </w:r>
      <w:r>
        <w:rPr>
          <w:shd w:val="clear" w:color="auto" w:fill="D9D9D9" w:themeFill="background1" w:themeFillShade="D9"/>
        </w:rPr>
        <w:t>environnement</w:t>
      </w:r>
      <w:r w:rsidR="00B83203">
        <w:rPr>
          <w:shd w:val="clear" w:color="auto" w:fill="D9D9D9" w:themeFill="background1" w:themeFillShade="D9"/>
        </w:rPr>
        <w:t xml:space="preserve"> </w:t>
      </w:r>
      <w:r w:rsidR="000855A5">
        <w:rPr>
          <w:shd w:val="clear" w:color="auto" w:fill="D9D9D9" w:themeFill="background1" w:themeFillShade="D9"/>
        </w:rPr>
        <w:t>concerné</w:t>
      </w:r>
      <w:r w:rsidR="00B83203">
        <w:rPr>
          <w:shd w:val="clear" w:color="auto" w:fill="D9D9D9" w:themeFill="background1" w:themeFillShade="D9"/>
        </w:rPr>
        <w:t>s</w:t>
      </w:r>
      <w:r>
        <w:rPr>
          <w:shd w:val="clear" w:color="auto" w:fill="D9D9D9" w:themeFill="background1" w:themeFillShade="D9"/>
        </w:rPr>
        <w:t>.</w:t>
      </w:r>
    </w:p>
    <w:p w14:paraId="38F354D0" w14:textId="77777777" w:rsidR="009C6797" w:rsidRDefault="00D0321D">
      <w:pPr>
        <w:pStyle w:val="CBDNormalNumber"/>
        <w:numPr>
          <w:ilvl w:val="0"/>
          <w:numId w:val="0"/>
        </w:numPr>
        <w:tabs>
          <w:tab w:val="clear" w:pos="567"/>
        </w:tabs>
        <w:ind w:left="1134" w:firstLine="567"/>
        <w:jc w:val="center"/>
      </w:pPr>
      <w:r>
        <w:t>_______</w:t>
      </w:r>
    </w:p>
    <w:sectPr w:rsidR="009C6797" w:rsidSect="00AC34C4">
      <w:headerReference w:type="even" r:id="rId46"/>
      <w:headerReference w:type="default" r:id="rId47"/>
      <w:footerReference w:type="even" r:id="rId48"/>
      <w:footerReference w:type="default" r:id="rId49"/>
      <w:headerReference w:type="first" r:id="rId50"/>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B3D4" w14:textId="77777777" w:rsidR="004E7C1B" w:rsidRDefault="004E7C1B">
      <w:r>
        <w:separator/>
      </w:r>
    </w:p>
  </w:endnote>
  <w:endnote w:type="continuationSeparator" w:id="0">
    <w:p w14:paraId="7BD0816F" w14:textId="77777777" w:rsidR="004E7C1B" w:rsidRDefault="004E7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605B2CC" w14:textId="77777777" w:rsidR="009C6797" w:rsidRDefault="00D0321D">
            <w:pPr>
              <w:pStyle w:val="CBDFooter"/>
            </w:pPr>
            <w:r w:rsidRPr="001C3B15">
              <w:fldChar w:fldCharType="begin"/>
            </w:r>
            <w:r w:rsidRPr="001C3B15">
              <w:instrText xml:space="preserve"> PAGE </w:instrText>
            </w:r>
            <w:r w:rsidRPr="001C3B15">
              <w:fldChar w:fldCharType="separate"/>
            </w:r>
            <w:r>
              <w:rPr>
                <w:noProof/>
              </w:rPr>
              <w:t>2</w:t>
            </w:r>
            <w:r w:rsidRPr="001C3B15">
              <w:fldChar w:fldCharType="end"/>
            </w:r>
            <w:r>
              <w:t>/</w:t>
            </w:r>
            <w:r w:rsidRPr="001C3B15">
              <w:fldChar w:fldCharType="begin"/>
            </w:r>
            <w:r w:rsidRPr="001C3B15">
              <w:instrText xml:space="preserve"> NUMPAGES  </w:instrText>
            </w:r>
            <w:r w:rsidRPr="001C3B15">
              <w:fldChar w:fldCharType="separate"/>
            </w:r>
            <w:r>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4802DB5" w14:textId="77777777" w:rsidR="009C6797" w:rsidRDefault="00D0321D">
        <w:pPr>
          <w:pStyle w:val="CBDFooter"/>
          <w:jc w:val="right"/>
        </w:pPr>
        <w:r w:rsidRPr="00852A49">
          <w:fldChar w:fldCharType="begin"/>
        </w:r>
        <w:r w:rsidRPr="00852A49">
          <w:instrText xml:space="preserve"> PAGE </w:instrText>
        </w:r>
        <w:r w:rsidRPr="00852A49">
          <w:fldChar w:fldCharType="separate"/>
        </w:r>
        <w:r>
          <w:t>2</w:t>
        </w:r>
        <w:r w:rsidRPr="00852A49">
          <w:fldChar w:fldCharType="end"/>
        </w:r>
        <w:r>
          <w:t>/</w:t>
        </w:r>
        <w:r w:rsidRPr="00852A49">
          <w:fldChar w:fldCharType="begin"/>
        </w:r>
        <w:r w:rsidRPr="00852A49">
          <w:instrText xml:space="preserve"> NUMPAGES  </w:instrText>
        </w:r>
        <w:r w:rsidRPr="00852A49">
          <w:fldChar w:fldCharType="separate"/>
        </w:r>
        <w:r>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2AA0F" w14:textId="77777777" w:rsidR="004E7C1B" w:rsidRDefault="004E7C1B">
      <w:r>
        <w:separator/>
      </w:r>
    </w:p>
  </w:footnote>
  <w:footnote w:type="continuationSeparator" w:id="0">
    <w:p w14:paraId="1E12EAA0" w14:textId="77777777" w:rsidR="004E7C1B" w:rsidRDefault="004E7C1B">
      <w:r>
        <w:continuationSeparator/>
      </w:r>
    </w:p>
  </w:footnote>
  <w:footnote w:id="1">
    <w:p w14:paraId="1FE18372" w14:textId="77777777" w:rsidR="009C6797" w:rsidRDefault="00D0321D">
      <w:pPr>
        <w:pStyle w:val="FootnoteText"/>
      </w:pPr>
      <w:r>
        <w:rPr>
          <w:rStyle w:val="FootnoteReference"/>
        </w:rPr>
        <w:t xml:space="preserve">* </w:t>
      </w:r>
      <w:hyperlink r:id="rId1" w:history="1">
        <w:r w:rsidR="009C6797">
          <w:rPr>
            <w:rStyle w:val="Hyperlink"/>
          </w:rPr>
          <w:t>CBD/COP/17/1</w:t>
        </w:r>
      </w:hyperlink>
      <w:r>
        <w:t>/Rev.1.</w:t>
      </w:r>
    </w:p>
  </w:footnote>
  <w:footnote w:id="2">
    <w:p w14:paraId="297C7A1E" w14:textId="79A11F75" w:rsidR="009C6797" w:rsidRPr="005C3AE9" w:rsidRDefault="00D0321D">
      <w:pPr>
        <w:pStyle w:val="FootnoteText"/>
      </w:pPr>
      <w:r>
        <w:rPr>
          <w:rStyle w:val="FootnoteReference"/>
        </w:rPr>
        <w:footnoteRef/>
      </w:r>
      <w:r>
        <w:t xml:space="preserve"> Les paragraphes </w:t>
      </w:r>
      <w:r w:rsidR="00393A20">
        <w:t>concerné</w:t>
      </w:r>
      <w:r>
        <w:t>s du projet de décision ont été laissés en suspens en attendant la finalisation des trois études.</w:t>
      </w:r>
    </w:p>
  </w:footnote>
  <w:footnote w:id="3">
    <w:p w14:paraId="2765923D" w14:textId="77777777" w:rsidR="009C6797" w:rsidRPr="005C3AE9" w:rsidRDefault="00D0321D">
      <w:pPr>
        <w:pStyle w:val="FootnoteText"/>
      </w:pPr>
      <w:r>
        <w:rPr>
          <w:rStyle w:val="FootnoteReference"/>
        </w:rPr>
        <w:footnoteRef/>
      </w:r>
      <w:r>
        <w:t xml:space="preserve"> Voir le document </w:t>
      </w:r>
      <w:hyperlink r:id="rId2" w:history="1">
        <w:r w:rsidR="009C6797">
          <w:rPr>
            <w:rStyle w:val="Hyperlink"/>
          </w:rPr>
          <w:t>CBD/SBI/7/3</w:t>
        </w:r>
      </w:hyperlink>
      <w:r>
        <w:t xml:space="preserve"> et ses additifs, ainsi que les documents d'information connexes.</w:t>
      </w:r>
    </w:p>
  </w:footnote>
  <w:footnote w:id="4">
    <w:p w14:paraId="7EA7F09E" w14:textId="3E839EA3" w:rsidR="009C6797" w:rsidRPr="005C3AE9" w:rsidRDefault="00D0321D">
      <w:pPr>
        <w:pStyle w:val="FootnoteText"/>
      </w:pPr>
      <w:r>
        <w:rPr>
          <w:rStyle w:val="FootnoteReference"/>
        </w:rPr>
        <w:footnoteRef/>
      </w:r>
      <w:r>
        <w:t xml:space="preserve"> </w:t>
      </w:r>
      <w:hyperlink r:id="rId3" w:history="1">
        <w:r w:rsidR="009C6797">
          <w:rPr>
            <w:rStyle w:val="Hyperlink"/>
          </w:rPr>
          <w:t>CBD/SBI/7/INF/20</w:t>
        </w:r>
      </w:hyperlink>
      <w:r>
        <w:t xml:space="preserve">. Compte tenu de sa pertinence pour le cadre de suivi du Cadre mondial </w:t>
      </w:r>
      <w:r w:rsidR="000A4BF9">
        <w:t>de</w:t>
      </w:r>
      <w:r>
        <w:t xml:space="preserve"> la biodiversité de Kunming-Montréal, l'étude a été examinée dans le contexte de la mise à jour des métadonnées pour les principaux indicateurs et mise à </w:t>
      </w:r>
      <w:r w:rsidR="00E2222F">
        <w:t xml:space="preserve">la </w:t>
      </w:r>
      <w:r>
        <w:t xml:space="preserve">disposition de la vingt-huitième réunion de l'Organe subsidiaire </w:t>
      </w:r>
      <w:r w:rsidR="000A4BF9">
        <w:t>chargé de fournir des avis</w:t>
      </w:r>
      <w:r>
        <w:t xml:space="preserve"> scientifique</w:t>
      </w:r>
      <w:r w:rsidR="000A4BF9">
        <w:t>s</w:t>
      </w:r>
      <w:r>
        <w:t>, technique</w:t>
      </w:r>
      <w:r w:rsidR="000A4BF9">
        <w:t>s</w:t>
      </w:r>
      <w:r>
        <w:t xml:space="preserve"> et technologique</w:t>
      </w:r>
      <w:r w:rsidR="000A4BF9">
        <w:t>s</w:t>
      </w:r>
      <w:r>
        <w:t xml:space="preserve"> comme document de référence.</w:t>
      </w:r>
    </w:p>
  </w:footnote>
  <w:footnote w:id="5">
    <w:p w14:paraId="0BC6E206" w14:textId="77777777" w:rsidR="009C6797" w:rsidRDefault="00D0321D">
      <w:pPr>
        <w:pStyle w:val="FootnoteText"/>
        <w:rPr>
          <w:lang w:val="en-US"/>
        </w:rPr>
      </w:pPr>
      <w:r>
        <w:rPr>
          <w:rStyle w:val="FootnoteReference"/>
        </w:rPr>
        <w:footnoteRef/>
      </w:r>
      <w:r w:rsidRPr="005C3AE9">
        <w:rPr>
          <w:lang w:val="en-AU"/>
        </w:rPr>
        <w:t xml:space="preserve"> </w:t>
      </w:r>
      <w:hyperlink r:id="rId4" w:history="1">
        <w:r w:rsidR="009C6797" w:rsidRPr="005C3AE9">
          <w:rPr>
            <w:rStyle w:val="Hyperlink"/>
            <w:lang w:val="en-AU"/>
          </w:rPr>
          <w:t>CBD/SBI/7/3/Add.4</w:t>
        </w:r>
      </w:hyperlink>
      <w:r w:rsidRPr="005C3AE9">
        <w:rPr>
          <w:lang w:val="en-AU"/>
        </w:rPr>
        <w:t>.</w:t>
      </w:r>
    </w:p>
  </w:footnote>
  <w:footnote w:id="6">
    <w:p w14:paraId="67D9C722" w14:textId="77777777" w:rsidR="009C6797" w:rsidRDefault="00D0321D">
      <w:pPr>
        <w:pStyle w:val="FootnoteText"/>
        <w:rPr>
          <w:lang w:val="en-US"/>
        </w:rPr>
      </w:pPr>
      <w:r>
        <w:rPr>
          <w:rStyle w:val="FootnoteReference"/>
        </w:rPr>
        <w:footnoteRef/>
      </w:r>
      <w:r w:rsidRPr="005C3AE9">
        <w:rPr>
          <w:lang w:val="en-AU"/>
        </w:rPr>
        <w:t xml:space="preserve"> CBD/SBI/6/3/Rev.1.</w:t>
      </w:r>
    </w:p>
  </w:footnote>
  <w:footnote w:id="7">
    <w:p w14:paraId="28B96415" w14:textId="77777777" w:rsidR="009C6797" w:rsidRPr="005C3AE9" w:rsidRDefault="00D0321D">
      <w:pPr>
        <w:pStyle w:val="FootnoteText"/>
        <w:jc w:val="both"/>
      </w:pPr>
      <w:r>
        <w:rPr>
          <w:rStyle w:val="FootnoteReference"/>
        </w:rPr>
        <w:footnoteRef/>
      </w:r>
      <w:r>
        <w:t xml:space="preserve"> Voir </w:t>
      </w:r>
      <w:hyperlink r:id="rId5" w:history="1">
        <w:r w:rsidR="009C6797">
          <w:rPr>
            <w:rStyle w:val="Hyperlink"/>
          </w:rPr>
          <w:t>CBD/SBI/7/4</w:t>
        </w:r>
      </w:hyperlink>
      <w:r>
        <w:t xml:space="preserve">, </w:t>
      </w:r>
      <w:hyperlink r:id="rId6" w:history="1">
        <w:r w:rsidR="009C6797">
          <w:rPr>
            <w:rStyle w:val="Hyperlink"/>
          </w:rPr>
          <w:t>CBD/SBI/7/4/Add.1</w:t>
        </w:r>
      </w:hyperlink>
      <w:r>
        <w:t xml:space="preserve"> et </w:t>
      </w:r>
      <w:hyperlink r:id="rId7" w:history="1">
        <w:r w:rsidR="009C6797">
          <w:rPr>
            <w:rStyle w:val="Hyperlink"/>
          </w:rPr>
          <w:t>CBD/SBI/7/INF/13</w:t>
        </w:r>
      </w:hyperlink>
      <w:r>
        <w:t xml:space="preserve">. </w:t>
      </w:r>
    </w:p>
  </w:footnote>
  <w:footnote w:id="8">
    <w:p w14:paraId="04E19CD2" w14:textId="77777777" w:rsidR="00C920D7" w:rsidRDefault="00C920D7" w:rsidP="00C920D7">
      <w:pPr>
        <w:pStyle w:val="FootnoteText"/>
        <w:rPr>
          <w:lang w:val="en-CA"/>
        </w:rPr>
      </w:pPr>
      <w:r w:rsidRPr="00AC34C4">
        <w:rPr>
          <w:rStyle w:val="FootnoteReference"/>
          <w:highlight w:val="lightGray"/>
        </w:rPr>
        <w:footnoteRef/>
      </w:r>
      <w:r>
        <w:rPr>
          <w:highlight w:val="lightGray"/>
        </w:rPr>
        <w:t xml:space="preserve"> Décision </w:t>
      </w:r>
      <w:hyperlink r:id="rId8" w:history="1">
        <w:r>
          <w:rPr>
            <w:rStyle w:val="Hyperlink"/>
            <w:highlight w:val="lightGray"/>
          </w:rPr>
          <w:t>XII/3</w:t>
        </w:r>
      </w:hyperlink>
      <w:r>
        <w:rPr>
          <w:highlight w:val="lightGray"/>
        </w:rPr>
        <w:t>, annexe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C89D357" w14:textId="77777777" w:rsidR="009C6797" w:rsidRDefault="00D0321D">
        <w:pPr>
          <w:pStyle w:val="Header"/>
          <w:spacing w:after="240"/>
          <w:rPr>
            <w:szCs w:val="20"/>
          </w:rPr>
        </w:pPr>
        <w:r>
          <w:rPr>
            <w:szCs w:val="20"/>
          </w:rPr>
          <w:t>CBD/COP/17/5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DD3D003" w14:textId="77777777" w:rsidR="009C6797" w:rsidRDefault="00D0321D">
        <w:pPr>
          <w:pStyle w:val="Header"/>
          <w:spacing w:after="240"/>
          <w:jc w:val="right"/>
        </w:pPr>
        <w:r>
          <w:t>CBD/COP/17/5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A38B8"/>
    <w:multiLevelType w:val="hybridMultilevel"/>
    <w:tmpl w:val="C866711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42406272"/>
    <w:multiLevelType w:val="hybridMultilevel"/>
    <w:tmpl w:val="3662D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B543A8"/>
    <w:multiLevelType w:val="hybridMultilevel"/>
    <w:tmpl w:val="0B4A7502"/>
    <w:lvl w:ilvl="0" w:tplc="ECE4959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9"/>
  </w:num>
  <w:num w:numId="11" w16cid:durableId="177493619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30928730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82648079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1138677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84202509">
    <w:abstractNumId w:val="0"/>
  </w:num>
  <w:num w:numId="51" w16cid:durableId="80500211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568271470">
    <w:abstractNumId w:val="1"/>
  </w:num>
  <w:num w:numId="53" w16cid:durableId="902906069">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B60"/>
    <w:rsid w:val="00000BE4"/>
    <w:rsid w:val="0000210F"/>
    <w:rsid w:val="000023F2"/>
    <w:rsid w:val="00002AC0"/>
    <w:rsid w:val="00003410"/>
    <w:rsid w:val="00003463"/>
    <w:rsid w:val="00003CC2"/>
    <w:rsid w:val="00003DAC"/>
    <w:rsid w:val="00003FE7"/>
    <w:rsid w:val="0000404C"/>
    <w:rsid w:val="00004119"/>
    <w:rsid w:val="0000425A"/>
    <w:rsid w:val="00004302"/>
    <w:rsid w:val="00004E28"/>
    <w:rsid w:val="0000506D"/>
    <w:rsid w:val="0000572E"/>
    <w:rsid w:val="0000575D"/>
    <w:rsid w:val="00006348"/>
    <w:rsid w:val="000063FD"/>
    <w:rsid w:val="00006CF2"/>
    <w:rsid w:val="00006F05"/>
    <w:rsid w:val="000071A4"/>
    <w:rsid w:val="0000761A"/>
    <w:rsid w:val="00010018"/>
    <w:rsid w:val="00010050"/>
    <w:rsid w:val="00010D1C"/>
    <w:rsid w:val="0001163B"/>
    <w:rsid w:val="00011DE9"/>
    <w:rsid w:val="00012387"/>
    <w:rsid w:val="000129F0"/>
    <w:rsid w:val="00013542"/>
    <w:rsid w:val="000137B0"/>
    <w:rsid w:val="00014095"/>
    <w:rsid w:val="00014B48"/>
    <w:rsid w:val="00014D4F"/>
    <w:rsid w:val="00015945"/>
    <w:rsid w:val="000160DA"/>
    <w:rsid w:val="0001611B"/>
    <w:rsid w:val="00016148"/>
    <w:rsid w:val="000167F8"/>
    <w:rsid w:val="00016829"/>
    <w:rsid w:val="00016EB5"/>
    <w:rsid w:val="00016EF3"/>
    <w:rsid w:val="00017A2E"/>
    <w:rsid w:val="00017BC0"/>
    <w:rsid w:val="00021483"/>
    <w:rsid w:val="00021EE0"/>
    <w:rsid w:val="0002315B"/>
    <w:rsid w:val="0002328C"/>
    <w:rsid w:val="0002391D"/>
    <w:rsid w:val="0002397C"/>
    <w:rsid w:val="00023B2F"/>
    <w:rsid w:val="000241FE"/>
    <w:rsid w:val="000249F2"/>
    <w:rsid w:val="00024FF9"/>
    <w:rsid w:val="00025092"/>
    <w:rsid w:val="00025B8B"/>
    <w:rsid w:val="000264C5"/>
    <w:rsid w:val="00026AB9"/>
    <w:rsid w:val="000271E0"/>
    <w:rsid w:val="000276B5"/>
    <w:rsid w:val="00027DAC"/>
    <w:rsid w:val="00027DB2"/>
    <w:rsid w:val="00030461"/>
    <w:rsid w:val="00030582"/>
    <w:rsid w:val="0003061F"/>
    <w:rsid w:val="00030749"/>
    <w:rsid w:val="00030822"/>
    <w:rsid w:val="00030A03"/>
    <w:rsid w:val="00030C46"/>
    <w:rsid w:val="000317B0"/>
    <w:rsid w:val="00032029"/>
    <w:rsid w:val="000324FD"/>
    <w:rsid w:val="00032671"/>
    <w:rsid w:val="00032971"/>
    <w:rsid w:val="00032B28"/>
    <w:rsid w:val="00032BCB"/>
    <w:rsid w:val="00032CF4"/>
    <w:rsid w:val="00032E5A"/>
    <w:rsid w:val="00033301"/>
    <w:rsid w:val="00033760"/>
    <w:rsid w:val="00033A60"/>
    <w:rsid w:val="00034022"/>
    <w:rsid w:val="0003472C"/>
    <w:rsid w:val="000366FF"/>
    <w:rsid w:val="00037185"/>
    <w:rsid w:val="000374BB"/>
    <w:rsid w:val="000376BC"/>
    <w:rsid w:val="000401DD"/>
    <w:rsid w:val="00040302"/>
    <w:rsid w:val="00040376"/>
    <w:rsid w:val="000403EF"/>
    <w:rsid w:val="00040674"/>
    <w:rsid w:val="000408B2"/>
    <w:rsid w:val="00040EF9"/>
    <w:rsid w:val="00042496"/>
    <w:rsid w:val="0004253C"/>
    <w:rsid w:val="000428B7"/>
    <w:rsid w:val="00042DE1"/>
    <w:rsid w:val="000435DE"/>
    <w:rsid w:val="00044130"/>
    <w:rsid w:val="00044131"/>
    <w:rsid w:val="00044335"/>
    <w:rsid w:val="000453E4"/>
    <w:rsid w:val="000464CB"/>
    <w:rsid w:val="000467A9"/>
    <w:rsid w:val="00046E1D"/>
    <w:rsid w:val="00046F1B"/>
    <w:rsid w:val="000472E3"/>
    <w:rsid w:val="00047630"/>
    <w:rsid w:val="000476CE"/>
    <w:rsid w:val="000476D7"/>
    <w:rsid w:val="00047E52"/>
    <w:rsid w:val="00047F14"/>
    <w:rsid w:val="000501AB"/>
    <w:rsid w:val="000513FE"/>
    <w:rsid w:val="0005178A"/>
    <w:rsid w:val="000518CC"/>
    <w:rsid w:val="00051A93"/>
    <w:rsid w:val="00052F37"/>
    <w:rsid w:val="000534C9"/>
    <w:rsid w:val="0005410B"/>
    <w:rsid w:val="00054708"/>
    <w:rsid w:val="00054846"/>
    <w:rsid w:val="0005484E"/>
    <w:rsid w:val="0005499F"/>
    <w:rsid w:val="000552CF"/>
    <w:rsid w:val="00055414"/>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2DCE"/>
    <w:rsid w:val="000634AB"/>
    <w:rsid w:val="000637AB"/>
    <w:rsid w:val="00063A1C"/>
    <w:rsid w:val="0006439B"/>
    <w:rsid w:val="00064CA5"/>
    <w:rsid w:val="00065B57"/>
    <w:rsid w:val="0006610A"/>
    <w:rsid w:val="00066BB4"/>
    <w:rsid w:val="00067012"/>
    <w:rsid w:val="0006709D"/>
    <w:rsid w:val="000673BE"/>
    <w:rsid w:val="00070231"/>
    <w:rsid w:val="00070600"/>
    <w:rsid w:val="00070895"/>
    <w:rsid w:val="00070E32"/>
    <w:rsid w:val="0007171B"/>
    <w:rsid w:val="00071C69"/>
    <w:rsid w:val="00071ED4"/>
    <w:rsid w:val="00072AE7"/>
    <w:rsid w:val="00072CDE"/>
    <w:rsid w:val="00074653"/>
    <w:rsid w:val="00074654"/>
    <w:rsid w:val="00074688"/>
    <w:rsid w:val="00074B11"/>
    <w:rsid w:val="000753DB"/>
    <w:rsid w:val="000762C8"/>
    <w:rsid w:val="000763F4"/>
    <w:rsid w:val="00076643"/>
    <w:rsid w:val="0007762C"/>
    <w:rsid w:val="0007764A"/>
    <w:rsid w:val="00077A25"/>
    <w:rsid w:val="000800E7"/>
    <w:rsid w:val="0008028F"/>
    <w:rsid w:val="00080ED5"/>
    <w:rsid w:val="00081331"/>
    <w:rsid w:val="000815D6"/>
    <w:rsid w:val="00081749"/>
    <w:rsid w:val="000819FF"/>
    <w:rsid w:val="00082838"/>
    <w:rsid w:val="00082C93"/>
    <w:rsid w:val="00082CA8"/>
    <w:rsid w:val="00082FB5"/>
    <w:rsid w:val="00082FF4"/>
    <w:rsid w:val="000835FD"/>
    <w:rsid w:val="0008395B"/>
    <w:rsid w:val="00083C2A"/>
    <w:rsid w:val="00083F78"/>
    <w:rsid w:val="00084789"/>
    <w:rsid w:val="000848FD"/>
    <w:rsid w:val="00084BCE"/>
    <w:rsid w:val="00084E04"/>
    <w:rsid w:val="000855A5"/>
    <w:rsid w:val="00085D8C"/>
    <w:rsid w:val="00087107"/>
    <w:rsid w:val="00087F95"/>
    <w:rsid w:val="00090F05"/>
    <w:rsid w:val="00090F44"/>
    <w:rsid w:val="00091420"/>
    <w:rsid w:val="00091C6D"/>
    <w:rsid w:val="000921D3"/>
    <w:rsid w:val="000924E9"/>
    <w:rsid w:val="00092E2C"/>
    <w:rsid w:val="0009309B"/>
    <w:rsid w:val="0009314D"/>
    <w:rsid w:val="000933E0"/>
    <w:rsid w:val="000940A5"/>
    <w:rsid w:val="000948AD"/>
    <w:rsid w:val="00094A9D"/>
    <w:rsid w:val="00095A34"/>
    <w:rsid w:val="000962F1"/>
    <w:rsid w:val="00096330"/>
    <w:rsid w:val="00096584"/>
    <w:rsid w:val="00096711"/>
    <w:rsid w:val="00096C66"/>
    <w:rsid w:val="00096F6B"/>
    <w:rsid w:val="000975A8"/>
    <w:rsid w:val="000A1659"/>
    <w:rsid w:val="000A1C55"/>
    <w:rsid w:val="000A2445"/>
    <w:rsid w:val="000A248F"/>
    <w:rsid w:val="000A2D65"/>
    <w:rsid w:val="000A3640"/>
    <w:rsid w:val="000A390F"/>
    <w:rsid w:val="000A4443"/>
    <w:rsid w:val="000A490B"/>
    <w:rsid w:val="000A4BF9"/>
    <w:rsid w:val="000A55D5"/>
    <w:rsid w:val="000A588E"/>
    <w:rsid w:val="000A6272"/>
    <w:rsid w:val="000A62F2"/>
    <w:rsid w:val="000A64CF"/>
    <w:rsid w:val="000A6A0F"/>
    <w:rsid w:val="000A6E72"/>
    <w:rsid w:val="000A6FD3"/>
    <w:rsid w:val="000A718A"/>
    <w:rsid w:val="000A71CE"/>
    <w:rsid w:val="000A7F06"/>
    <w:rsid w:val="000B0218"/>
    <w:rsid w:val="000B2BD3"/>
    <w:rsid w:val="000B2CBD"/>
    <w:rsid w:val="000B304F"/>
    <w:rsid w:val="000B4263"/>
    <w:rsid w:val="000B50F5"/>
    <w:rsid w:val="000B5894"/>
    <w:rsid w:val="000B6689"/>
    <w:rsid w:val="000B7101"/>
    <w:rsid w:val="000B73BC"/>
    <w:rsid w:val="000C0302"/>
    <w:rsid w:val="000C06D2"/>
    <w:rsid w:val="000C0DAD"/>
    <w:rsid w:val="000C1F9C"/>
    <w:rsid w:val="000C2371"/>
    <w:rsid w:val="000C33B6"/>
    <w:rsid w:val="000C3FDD"/>
    <w:rsid w:val="000C402A"/>
    <w:rsid w:val="000C4408"/>
    <w:rsid w:val="000C49A2"/>
    <w:rsid w:val="000C4CFD"/>
    <w:rsid w:val="000C4DA4"/>
    <w:rsid w:val="000C4E18"/>
    <w:rsid w:val="000C5432"/>
    <w:rsid w:val="000C56A8"/>
    <w:rsid w:val="000C5EE9"/>
    <w:rsid w:val="000C6247"/>
    <w:rsid w:val="000C63BC"/>
    <w:rsid w:val="000C6431"/>
    <w:rsid w:val="000C6542"/>
    <w:rsid w:val="000C6795"/>
    <w:rsid w:val="000C6C03"/>
    <w:rsid w:val="000C72C6"/>
    <w:rsid w:val="000D0E7B"/>
    <w:rsid w:val="000D0F68"/>
    <w:rsid w:val="000D1571"/>
    <w:rsid w:val="000D1843"/>
    <w:rsid w:val="000D1ED7"/>
    <w:rsid w:val="000D1FF0"/>
    <w:rsid w:val="000D23E2"/>
    <w:rsid w:val="000D2D54"/>
    <w:rsid w:val="000D3329"/>
    <w:rsid w:val="000D38B0"/>
    <w:rsid w:val="000D3AA2"/>
    <w:rsid w:val="000D3DC1"/>
    <w:rsid w:val="000D49F3"/>
    <w:rsid w:val="000D4BB2"/>
    <w:rsid w:val="000D4BBA"/>
    <w:rsid w:val="000D4C4F"/>
    <w:rsid w:val="000D4CF7"/>
    <w:rsid w:val="000D5238"/>
    <w:rsid w:val="000D5D6D"/>
    <w:rsid w:val="000D5EA1"/>
    <w:rsid w:val="000D6119"/>
    <w:rsid w:val="000D64D1"/>
    <w:rsid w:val="000D6553"/>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48B"/>
    <w:rsid w:val="000E5AA9"/>
    <w:rsid w:val="000E5AFE"/>
    <w:rsid w:val="000E630D"/>
    <w:rsid w:val="000E651D"/>
    <w:rsid w:val="000E673A"/>
    <w:rsid w:val="000E688E"/>
    <w:rsid w:val="000E6E0E"/>
    <w:rsid w:val="000E6F3A"/>
    <w:rsid w:val="000E7653"/>
    <w:rsid w:val="000E791B"/>
    <w:rsid w:val="000E7946"/>
    <w:rsid w:val="000E7A91"/>
    <w:rsid w:val="000F00D7"/>
    <w:rsid w:val="000F08A3"/>
    <w:rsid w:val="000F0B15"/>
    <w:rsid w:val="000F1046"/>
    <w:rsid w:val="000F26BB"/>
    <w:rsid w:val="000F3607"/>
    <w:rsid w:val="000F43DA"/>
    <w:rsid w:val="000F444C"/>
    <w:rsid w:val="000F4E71"/>
    <w:rsid w:val="000F5510"/>
    <w:rsid w:val="000F5762"/>
    <w:rsid w:val="000F5B46"/>
    <w:rsid w:val="000F6175"/>
    <w:rsid w:val="000F6259"/>
    <w:rsid w:val="000F6614"/>
    <w:rsid w:val="000F66F6"/>
    <w:rsid w:val="000F68CD"/>
    <w:rsid w:val="000F6945"/>
    <w:rsid w:val="000F73A3"/>
    <w:rsid w:val="000F74F5"/>
    <w:rsid w:val="000F78FC"/>
    <w:rsid w:val="000F7933"/>
    <w:rsid w:val="000F7EE2"/>
    <w:rsid w:val="000F7FD3"/>
    <w:rsid w:val="00100762"/>
    <w:rsid w:val="00100A73"/>
    <w:rsid w:val="00100B77"/>
    <w:rsid w:val="001015EA"/>
    <w:rsid w:val="00101BDB"/>
    <w:rsid w:val="00102907"/>
    <w:rsid w:val="0010292B"/>
    <w:rsid w:val="00103037"/>
    <w:rsid w:val="00103414"/>
    <w:rsid w:val="00103C37"/>
    <w:rsid w:val="00103E29"/>
    <w:rsid w:val="00103E57"/>
    <w:rsid w:val="001041DE"/>
    <w:rsid w:val="00104BBE"/>
    <w:rsid w:val="00105372"/>
    <w:rsid w:val="001054A6"/>
    <w:rsid w:val="00105C7C"/>
    <w:rsid w:val="00105D07"/>
    <w:rsid w:val="00105DB8"/>
    <w:rsid w:val="001061AB"/>
    <w:rsid w:val="001065B9"/>
    <w:rsid w:val="00106CD2"/>
    <w:rsid w:val="00106ED5"/>
    <w:rsid w:val="00106F7D"/>
    <w:rsid w:val="001078A1"/>
    <w:rsid w:val="001079DD"/>
    <w:rsid w:val="00107E34"/>
    <w:rsid w:val="001103FF"/>
    <w:rsid w:val="00110B5B"/>
    <w:rsid w:val="00110E16"/>
    <w:rsid w:val="001117DA"/>
    <w:rsid w:val="00111866"/>
    <w:rsid w:val="00111A62"/>
    <w:rsid w:val="00111DBB"/>
    <w:rsid w:val="0011208C"/>
    <w:rsid w:val="00113467"/>
    <w:rsid w:val="00113D84"/>
    <w:rsid w:val="00114017"/>
    <w:rsid w:val="001147DC"/>
    <w:rsid w:val="00114A07"/>
    <w:rsid w:val="00114AF3"/>
    <w:rsid w:val="001152FA"/>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1B99"/>
    <w:rsid w:val="00121E51"/>
    <w:rsid w:val="001222D1"/>
    <w:rsid w:val="001229DD"/>
    <w:rsid w:val="00122D47"/>
    <w:rsid w:val="001236E0"/>
    <w:rsid w:val="00123A3E"/>
    <w:rsid w:val="001250B1"/>
    <w:rsid w:val="0012655C"/>
    <w:rsid w:val="00126571"/>
    <w:rsid w:val="001268F9"/>
    <w:rsid w:val="00126E41"/>
    <w:rsid w:val="00127431"/>
    <w:rsid w:val="00127489"/>
    <w:rsid w:val="00130340"/>
    <w:rsid w:val="00130833"/>
    <w:rsid w:val="00130A70"/>
    <w:rsid w:val="00130CB1"/>
    <w:rsid w:val="00130EF1"/>
    <w:rsid w:val="0013111D"/>
    <w:rsid w:val="001312AD"/>
    <w:rsid w:val="00131C4C"/>
    <w:rsid w:val="00131E7A"/>
    <w:rsid w:val="0013320A"/>
    <w:rsid w:val="0013323E"/>
    <w:rsid w:val="001333E1"/>
    <w:rsid w:val="00133B66"/>
    <w:rsid w:val="00133DB7"/>
    <w:rsid w:val="001342BF"/>
    <w:rsid w:val="00134846"/>
    <w:rsid w:val="00135044"/>
    <w:rsid w:val="001350DA"/>
    <w:rsid w:val="00135FA0"/>
    <w:rsid w:val="0013672C"/>
    <w:rsid w:val="00136C7F"/>
    <w:rsid w:val="0013784E"/>
    <w:rsid w:val="001379F8"/>
    <w:rsid w:val="00137A20"/>
    <w:rsid w:val="00137CF4"/>
    <w:rsid w:val="001402EB"/>
    <w:rsid w:val="00140752"/>
    <w:rsid w:val="00140820"/>
    <w:rsid w:val="00140939"/>
    <w:rsid w:val="00140B09"/>
    <w:rsid w:val="00141AE5"/>
    <w:rsid w:val="00142180"/>
    <w:rsid w:val="001429C9"/>
    <w:rsid w:val="001438B7"/>
    <w:rsid w:val="00143910"/>
    <w:rsid w:val="00143934"/>
    <w:rsid w:val="00143FDA"/>
    <w:rsid w:val="00144525"/>
    <w:rsid w:val="001448EF"/>
    <w:rsid w:val="00145988"/>
    <w:rsid w:val="00145DE2"/>
    <w:rsid w:val="00146CD2"/>
    <w:rsid w:val="001471AA"/>
    <w:rsid w:val="001474FF"/>
    <w:rsid w:val="00147804"/>
    <w:rsid w:val="00147FB5"/>
    <w:rsid w:val="0015015F"/>
    <w:rsid w:val="001501D2"/>
    <w:rsid w:val="001503D3"/>
    <w:rsid w:val="00151046"/>
    <w:rsid w:val="001519F1"/>
    <w:rsid w:val="00151DE3"/>
    <w:rsid w:val="00152943"/>
    <w:rsid w:val="00152D47"/>
    <w:rsid w:val="00154040"/>
    <w:rsid w:val="001542A8"/>
    <w:rsid w:val="0015479F"/>
    <w:rsid w:val="001547C4"/>
    <w:rsid w:val="00154B29"/>
    <w:rsid w:val="00154E5D"/>
    <w:rsid w:val="00155382"/>
    <w:rsid w:val="001556E1"/>
    <w:rsid w:val="0015579A"/>
    <w:rsid w:val="0015613E"/>
    <w:rsid w:val="0015667A"/>
    <w:rsid w:val="0015669D"/>
    <w:rsid w:val="001573F5"/>
    <w:rsid w:val="001579D1"/>
    <w:rsid w:val="00161308"/>
    <w:rsid w:val="00161B84"/>
    <w:rsid w:val="00161E9A"/>
    <w:rsid w:val="0016211C"/>
    <w:rsid w:val="001623C3"/>
    <w:rsid w:val="001629B8"/>
    <w:rsid w:val="0016325B"/>
    <w:rsid w:val="00163AFA"/>
    <w:rsid w:val="00163EA8"/>
    <w:rsid w:val="001643BC"/>
    <w:rsid w:val="00164534"/>
    <w:rsid w:val="0016464C"/>
    <w:rsid w:val="00164FBD"/>
    <w:rsid w:val="00165F8B"/>
    <w:rsid w:val="00166527"/>
    <w:rsid w:val="001668BC"/>
    <w:rsid w:val="00166969"/>
    <w:rsid w:val="00166E2C"/>
    <w:rsid w:val="001672EE"/>
    <w:rsid w:val="00167AC2"/>
    <w:rsid w:val="00167C84"/>
    <w:rsid w:val="00167FD5"/>
    <w:rsid w:val="00170FF3"/>
    <w:rsid w:val="00171139"/>
    <w:rsid w:val="00171329"/>
    <w:rsid w:val="0017164B"/>
    <w:rsid w:val="00171677"/>
    <w:rsid w:val="00171A4E"/>
    <w:rsid w:val="00171D66"/>
    <w:rsid w:val="00172AF6"/>
    <w:rsid w:val="00173330"/>
    <w:rsid w:val="001739CB"/>
    <w:rsid w:val="0017413A"/>
    <w:rsid w:val="001759DA"/>
    <w:rsid w:val="00175C0D"/>
    <w:rsid w:val="00176245"/>
    <w:rsid w:val="00176736"/>
    <w:rsid w:val="00176CEE"/>
    <w:rsid w:val="0017790A"/>
    <w:rsid w:val="00177D41"/>
    <w:rsid w:val="00177FD3"/>
    <w:rsid w:val="0018095D"/>
    <w:rsid w:val="00180DC7"/>
    <w:rsid w:val="0018118C"/>
    <w:rsid w:val="00181336"/>
    <w:rsid w:val="00181693"/>
    <w:rsid w:val="001820EA"/>
    <w:rsid w:val="001823C9"/>
    <w:rsid w:val="00183BBD"/>
    <w:rsid w:val="00183FF5"/>
    <w:rsid w:val="00184083"/>
    <w:rsid w:val="00184DC8"/>
    <w:rsid w:val="001850E0"/>
    <w:rsid w:val="0018537C"/>
    <w:rsid w:val="001853FD"/>
    <w:rsid w:val="001854E0"/>
    <w:rsid w:val="001864F6"/>
    <w:rsid w:val="00186DD8"/>
    <w:rsid w:val="00187137"/>
    <w:rsid w:val="00187221"/>
    <w:rsid w:val="001877F9"/>
    <w:rsid w:val="001879EF"/>
    <w:rsid w:val="00190135"/>
    <w:rsid w:val="001902E3"/>
    <w:rsid w:val="001908D7"/>
    <w:rsid w:val="00190AD2"/>
    <w:rsid w:val="00190D8D"/>
    <w:rsid w:val="00190F5F"/>
    <w:rsid w:val="00191667"/>
    <w:rsid w:val="00191A2E"/>
    <w:rsid w:val="001927F6"/>
    <w:rsid w:val="00193428"/>
    <w:rsid w:val="00193AC7"/>
    <w:rsid w:val="00193B7B"/>
    <w:rsid w:val="00193E15"/>
    <w:rsid w:val="00194013"/>
    <w:rsid w:val="00194215"/>
    <w:rsid w:val="0019437E"/>
    <w:rsid w:val="00194AED"/>
    <w:rsid w:val="001950E9"/>
    <w:rsid w:val="001951CB"/>
    <w:rsid w:val="0019530E"/>
    <w:rsid w:val="001955D4"/>
    <w:rsid w:val="00195612"/>
    <w:rsid w:val="00195652"/>
    <w:rsid w:val="001957C4"/>
    <w:rsid w:val="00195A29"/>
    <w:rsid w:val="00195C71"/>
    <w:rsid w:val="00195D29"/>
    <w:rsid w:val="00195FD7"/>
    <w:rsid w:val="001966F0"/>
    <w:rsid w:val="00196846"/>
    <w:rsid w:val="00196B51"/>
    <w:rsid w:val="00196FEC"/>
    <w:rsid w:val="00197AD0"/>
    <w:rsid w:val="001A0581"/>
    <w:rsid w:val="001A0BCF"/>
    <w:rsid w:val="001A2E99"/>
    <w:rsid w:val="001A3477"/>
    <w:rsid w:val="001A35EC"/>
    <w:rsid w:val="001A40A4"/>
    <w:rsid w:val="001A4109"/>
    <w:rsid w:val="001A4CF9"/>
    <w:rsid w:val="001A5EB5"/>
    <w:rsid w:val="001A610F"/>
    <w:rsid w:val="001A6622"/>
    <w:rsid w:val="001A6807"/>
    <w:rsid w:val="001A6B25"/>
    <w:rsid w:val="001A6BB2"/>
    <w:rsid w:val="001A6FAC"/>
    <w:rsid w:val="001A78AA"/>
    <w:rsid w:val="001B02BC"/>
    <w:rsid w:val="001B0981"/>
    <w:rsid w:val="001B13FE"/>
    <w:rsid w:val="001B1D0E"/>
    <w:rsid w:val="001B2001"/>
    <w:rsid w:val="001B208C"/>
    <w:rsid w:val="001B24E0"/>
    <w:rsid w:val="001B24EF"/>
    <w:rsid w:val="001B2637"/>
    <w:rsid w:val="001B278B"/>
    <w:rsid w:val="001B2ECF"/>
    <w:rsid w:val="001B37E3"/>
    <w:rsid w:val="001B3E01"/>
    <w:rsid w:val="001B4234"/>
    <w:rsid w:val="001B561E"/>
    <w:rsid w:val="001B5703"/>
    <w:rsid w:val="001B650F"/>
    <w:rsid w:val="001B6582"/>
    <w:rsid w:val="001B6599"/>
    <w:rsid w:val="001B716F"/>
    <w:rsid w:val="001B7201"/>
    <w:rsid w:val="001B748E"/>
    <w:rsid w:val="001B749F"/>
    <w:rsid w:val="001C1142"/>
    <w:rsid w:val="001C1EC9"/>
    <w:rsid w:val="001C221A"/>
    <w:rsid w:val="001C222A"/>
    <w:rsid w:val="001C2D69"/>
    <w:rsid w:val="001C320A"/>
    <w:rsid w:val="001C33F6"/>
    <w:rsid w:val="001C3725"/>
    <w:rsid w:val="001C3A8E"/>
    <w:rsid w:val="001C3B15"/>
    <w:rsid w:val="001C4F55"/>
    <w:rsid w:val="001C522A"/>
    <w:rsid w:val="001C528D"/>
    <w:rsid w:val="001C5BB8"/>
    <w:rsid w:val="001C5D22"/>
    <w:rsid w:val="001C5E4D"/>
    <w:rsid w:val="001C62FA"/>
    <w:rsid w:val="001C7903"/>
    <w:rsid w:val="001C7B3D"/>
    <w:rsid w:val="001C7C22"/>
    <w:rsid w:val="001C7FD2"/>
    <w:rsid w:val="001D0302"/>
    <w:rsid w:val="001D0550"/>
    <w:rsid w:val="001D0BDD"/>
    <w:rsid w:val="001D0CE3"/>
    <w:rsid w:val="001D1161"/>
    <w:rsid w:val="001D1648"/>
    <w:rsid w:val="001D16AB"/>
    <w:rsid w:val="001D17E3"/>
    <w:rsid w:val="001D1BC1"/>
    <w:rsid w:val="001D1CDB"/>
    <w:rsid w:val="001D1E16"/>
    <w:rsid w:val="001D2DEA"/>
    <w:rsid w:val="001D34BC"/>
    <w:rsid w:val="001D35DA"/>
    <w:rsid w:val="001D3C61"/>
    <w:rsid w:val="001D3F7C"/>
    <w:rsid w:val="001D3FE8"/>
    <w:rsid w:val="001D42CC"/>
    <w:rsid w:val="001D48FD"/>
    <w:rsid w:val="001D5546"/>
    <w:rsid w:val="001D5551"/>
    <w:rsid w:val="001D55CD"/>
    <w:rsid w:val="001D56EE"/>
    <w:rsid w:val="001D57DF"/>
    <w:rsid w:val="001D5DF9"/>
    <w:rsid w:val="001D605B"/>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5A24"/>
    <w:rsid w:val="001E64CD"/>
    <w:rsid w:val="001E683C"/>
    <w:rsid w:val="001E6905"/>
    <w:rsid w:val="001E6A7C"/>
    <w:rsid w:val="001E6AA5"/>
    <w:rsid w:val="001E6E83"/>
    <w:rsid w:val="001E7387"/>
    <w:rsid w:val="001E76DF"/>
    <w:rsid w:val="001E76FE"/>
    <w:rsid w:val="001E7AD2"/>
    <w:rsid w:val="001E7DC2"/>
    <w:rsid w:val="001F0BC3"/>
    <w:rsid w:val="001F0F66"/>
    <w:rsid w:val="001F19EA"/>
    <w:rsid w:val="001F203A"/>
    <w:rsid w:val="001F21D3"/>
    <w:rsid w:val="001F231C"/>
    <w:rsid w:val="001F236D"/>
    <w:rsid w:val="001F26E9"/>
    <w:rsid w:val="001F2F18"/>
    <w:rsid w:val="001F475D"/>
    <w:rsid w:val="001F4D54"/>
    <w:rsid w:val="001F5289"/>
    <w:rsid w:val="001F60AA"/>
    <w:rsid w:val="001F6675"/>
    <w:rsid w:val="001F679F"/>
    <w:rsid w:val="001F69D3"/>
    <w:rsid w:val="001F6AB8"/>
    <w:rsid w:val="001F70C8"/>
    <w:rsid w:val="001F73BF"/>
    <w:rsid w:val="00201F34"/>
    <w:rsid w:val="00202047"/>
    <w:rsid w:val="00202229"/>
    <w:rsid w:val="0020225A"/>
    <w:rsid w:val="00202313"/>
    <w:rsid w:val="0020312E"/>
    <w:rsid w:val="002035DB"/>
    <w:rsid w:val="002040C4"/>
    <w:rsid w:val="00204100"/>
    <w:rsid w:val="00204ED7"/>
    <w:rsid w:val="0020575E"/>
    <w:rsid w:val="002058E4"/>
    <w:rsid w:val="002058FE"/>
    <w:rsid w:val="00205CBC"/>
    <w:rsid w:val="0020656F"/>
    <w:rsid w:val="00206843"/>
    <w:rsid w:val="00206D2A"/>
    <w:rsid w:val="00206DDF"/>
    <w:rsid w:val="00206EBE"/>
    <w:rsid w:val="002075B1"/>
    <w:rsid w:val="002075B2"/>
    <w:rsid w:val="00210534"/>
    <w:rsid w:val="002108F0"/>
    <w:rsid w:val="002108F2"/>
    <w:rsid w:val="00210B0C"/>
    <w:rsid w:val="00210B6A"/>
    <w:rsid w:val="00211AC2"/>
    <w:rsid w:val="00211BE0"/>
    <w:rsid w:val="002126BB"/>
    <w:rsid w:val="0021434A"/>
    <w:rsid w:val="00214683"/>
    <w:rsid w:val="00214D8C"/>
    <w:rsid w:val="00214DE4"/>
    <w:rsid w:val="00214F44"/>
    <w:rsid w:val="002153EB"/>
    <w:rsid w:val="002172A2"/>
    <w:rsid w:val="0021763B"/>
    <w:rsid w:val="0022070A"/>
    <w:rsid w:val="00220788"/>
    <w:rsid w:val="002208D8"/>
    <w:rsid w:val="00220A53"/>
    <w:rsid w:val="002214BC"/>
    <w:rsid w:val="00221572"/>
    <w:rsid w:val="002216B4"/>
    <w:rsid w:val="00221BEE"/>
    <w:rsid w:val="00221E8B"/>
    <w:rsid w:val="0022213F"/>
    <w:rsid w:val="00222173"/>
    <w:rsid w:val="002225E2"/>
    <w:rsid w:val="002227C2"/>
    <w:rsid w:val="00222A19"/>
    <w:rsid w:val="00222BC4"/>
    <w:rsid w:val="00222BF7"/>
    <w:rsid w:val="00222EB4"/>
    <w:rsid w:val="00223002"/>
    <w:rsid w:val="00224668"/>
    <w:rsid w:val="00224B4D"/>
    <w:rsid w:val="00224C0D"/>
    <w:rsid w:val="00225182"/>
    <w:rsid w:val="00225286"/>
    <w:rsid w:val="0022530F"/>
    <w:rsid w:val="0022546C"/>
    <w:rsid w:val="002257BB"/>
    <w:rsid w:val="00226623"/>
    <w:rsid w:val="002267E9"/>
    <w:rsid w:val="00226810"/>
    <w:rsid w:val="00226B93"/>
    <w:rsid w:val="00226C5E"/>
    <w:rsid w:val="00226D96"/>
    <w:rsid w:val="002279F2"/>
    <w:rsid w:val="00227F6A"/>
    <w:rsid w:val="00230E20"/>
    <w:rsid w:val="002310B3"/>
    <w:rsid w:val="002311BB"/>
    <w:rsid w:val="002314BD"/>
    <w:rsid w:val="00231550"/>
    <w:rsid w:val="00231E96"/>
    <w:rsid w:val="002322D6"/>
    <w:rsid w:val="00232746"/>
    <w:rsid w:val="00232845"/>
    <w:rsid w:val="00232943"/>
    <w:rsid w:val="00233CCD"/>
    <w:rsid w:val="00233E63"/>
    <w:rsid w:val="00234304"/>
    <w:rsid w:val="00234A20"/>
    <w:rsid w:val="00234B01"/>
    <w:rsid w:val="00235534"/>
    <w:rsid w:val="002358E0"/>
    <w:rsid w:val="00236602"/>
    <w:rsid w:val="0023680D"/>
    <w:rsid w:val="00236B27"/>
    <w:rsid w:val="00236CDC"/>
    <w:rsid w:val="00237BD4"/>
    <w:rsid w:val="00237D29"/>
    <w:rsid w:val="00237E2C"/>
    <w:rsid w:val="002401F8"/>
    <w:rsid w:val="00240890"/>
    <w:rsid w:val="00240C3C"/>
    <w:rsid w:val="0024127D"/>
    <w:rsid w:val="0024134B"/>
    <w:rsid w:val="002415F2"/>
    <w:rsid w:val="0024181A"/>
    <w:rsid w:val="002418E1"/>
    <w:rsid w:val="00241916"/>
    <w:rsid w:val="002420C7"/>
    <w:rsid w:val="002420E2"/>
    <w:rsid w:val="002424AB"/>
    <w:rsid w:val="0024296B"/>
    <w:rsid w:val="0024329F"/>
    <w:rsid w:val="00243383"/>
    <w:rsid w:val="002433D1"/>
    <w:rsid w:val="00243C3E"/>
    <w:rsid w:val="0024424F"/>
    <w:rsid w:val="00244566"/>
    <w:rsid w:val="00245479"/>
    <w:rsid w:val="0024566F"/>
    <w:rsid w:val="0024600E"/>
    <w:rsid w:val="00246522"/>
    <w:rsid w:val="00247115"/>
    <w:rsid w:val="002473AD"/>
    <w:rsid w:val="002477B1"/>
    <w:rsid w:val="00247F59"/>
    <w:rsid w:val="0025006E"/>
    <w:rsid w:val="00251023"/>
    <w:rsid w:val="00251E0E"/>
    <w:rsid w:val="002525AF"/>
    <w:rsid w:val="0025276C"/>
    <w:rsid w:val="0025278E"/>
    <w:rsid w:val="00253005"/>
    <w:rsid w:val="00253A15"/>
    <w:rsid w:val="00253E1A"/>
    <w:rsid w:val="00254849"/>
    <w:rsid w:val="00255197"/>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2"/>
    <w:rsid w:val="00264028"/>
    <w:rsid w:val="0026412A"/>
    <w:rsid w:val="00264BBE"/>
    <w:rsid w:val="00265560"/>
    <w:rsid w:val="00265862"/>
    <w:rsid w:val="00265F14"/>
    <w:rsid w:val="0026604E"/>
    <w:rsid w:val="002669A8"/>
    <w:rsid w:val="00266B11"/>
    <w:rsid w:val="00266C6D"/>
    <w:rsid w:val="00267C9B"/>
    <w:rsid w:val="00267E20"/>
    <w:rsid w:val="00267FE1"/>
    <w:rsid w:val="00270043"/>
    <w:rsid w:val="002703F1"/>
    <w:rsid w:val="00270511"/>
    <w:rsid w:val="002707EA"/>
    <w:rsid w:val="002711DF"/>
    <w:rsid w:val="002725F4"/>
    <w:rsid w:val="00272A7D"/>
    <w:rsid w:val="00272B5E"/>
    <w:rsid w:val="00272B72"/>
    <w:rsid w:val="00272C47"/>
    <w:rsid w:val="0027321F"/>
    <w:rsid w:val="00273552"/>
    <w:rsid w:val="002738BF"/>
    <w:rsid w:val="002741D2"/>
    <w:rsid w:val="00274AC9"/>
    <w:rsid w:val="00274D1C"/>
    <w:rsid w:val="00275014"/>
    <w:rsid w:val="0027554F"/>
    <w:rsid w:val="002760D4"/>
    <w:rsid w:val="00276430"/>
    <w:rsid w:val="00276630"/>
    <w:rsid w:val="0027678C"/>
    <w:rsid w:val="00276AC2"/>
    <w:rsid w:val="00276EB6"/>
    <w:rsid w:val="00277243"/>
    <w:rsid w:val="0027779D"/>
    <w:rsid w:val="00277E3C"/>
    <w:rsid w:val="00280C12"/>
    <w:rsid w:val="00280CF7"/>
    <w:rsid w:val="002811D0"/>
    <w:rsid w:val="002815E9"/>
    <w:rsid w:val="00281BF7"/>
    <w:rsid w:val="00281DA3"/>
    <w:rsid w:val="00283058"/>
    <w:rsid w:val="002833DB"/>
    <w:rsid w:val="002834D1"/>
    <w:rsid w:val="00283689"/>
    <w:rsid w:val="00283F4C"/>
    <w:rsid w:val="00284CA0"/>
    <w:rsid w:val="002855C2"/>
    <w:rsid w:val="00285633"/>
    <w:rsid w:val="002864B9"/>
    <w:rsid w:val="0028665B"/>
    <w:rsid w:val="002869FA"/>
    <w:rsid w:val="00286C3A"/>
    <w:rsid w:val="00287208"/>
    <w:rsid w:val="002873F6"/>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65F4"/>
    <w:rsid w:val="002969A4"/>
    <w:rsid w:val="002975D6"/>
    <w:rsid w:val="00297A07"/>
    <w:rsid w:val="00297DD0"/>
    <w:rsid w:val="00297DE9"/>
    <w:rsid w:val="002A06EF"/>
    <w:rsid w:val="002A0A57"/>
    <w:rsid w:val="002A0BCA"/>
    <w:rsid w:val="002A10D5"/>
    <w:rsid w:val="002A12E5"/>
    <w:rsid w:val="002A216E"/>
    <w:rsid w:val="002A238A"/>
    <w:rsid w:val="002A30C2"/>
    <w:rsid w:val="002A45FC"/>
    <w:rsid w:val="002A46D4"/>
    <w:rsid w:val="002A55A2"/>
    <w:rsid w:val="002A5E67"/>
    <w:rsid w:val="002A62D1"/>
    <w:rsid w:val="002A6D1C"/>
    <w:rsid w:val="002A70D6"/>
    <w:rsid w:val="002A7432"/>
    <w:rsid w:val="002A7C75"/>
    <w:rsid w:val="002B12A2"/>
    <w:rsid w:val="002B3FCF"/>
    <w:rsid w:val="002B463D"/>
    <w:rsid w:val="002B4EBD"/>
    <w:rsid w:val="002B4F08"/>
    <w:rsid w:val="002B521E"/>
    <w:rsid w:val="002B5A1B"/>
    <w:rsid w:val="002B5D5E"/>
    <w:rsid w:val="002B5DDD"/>
    <w:rsid w:val="002B61D3"/>
    <w:rsid w:val="002B6AE2"/>
    <w:rsid w:val="002B7DAB"/>
    <w:rsid w:val="002C0281"/>
    <w:rsid w:val="002C06FF"/>
    <w:rsid w:val="002C09F5"/>
    <w:rsid w:val="002C0AB5"/>
    <w:rsid w:val="002C0CC2"/>
    <w:rsid w:val="002C0F84"/>
    <w:rsid w:val="002C0FEA"/>
    <w:rsid w:val="002C1304"/>
    <w:rsid w:val="002C1B4E"/>
    <w:rsid w:val="002C2251"/>
    <w:rsid w:val="002C4029"/>
    <w:rsid w:val="002C5528"/>
    <w:rsid w:val="002C5A00"/>
    <w:rsid w:val="002C5EF4"/>
    <w:rsid w:val="002C63E3"/>
    <w:rsid w:val="002C6618"/>
    <w:rsid w:val="002C6957"/>
    <w:rsid w:val="002C6AC3"/>
    <w:rsid w:val="002C7D60"/>
    <w:rsid w:val="002D0135"/>
    <w:rsid w:val="002D0585"/>
    <w:rsid w:val="002D0DA4"/>
    <w:rsid w:val="002D1628"/>
    <w:rsid w:val="002D21C4"/>
    <w:rsid w:val="002D2562"/>
    <w:rsid w:val="002D26E6"/>
    <w:rsid w:val="002D300A"/>
    <w:rsid w:val="002D386D"/>
    <w:rsid w:val="002D3BC4"/>
    <w:rsid w:val="002D42EB"/>
    <w:rsid w:val="002D5732"/>
    <w:rsid w:val="002D573A"/>
    <w:rsid w:val="002D621C"/>
    <w:rsid w:val="002D642F"/>
    <w:rsid w:val="002D6E47"/>
    <w:rsid w:val="002D70BA"/>
    <w:rsid w:val="002D7218"/>
    <w:rsid w:val="002D7F8F"/>
    <w:rsid w:val="002E0240"/>
    <w:rsid w:val="002E1949"/>
    <w:rsid w:val="002E1B1D"/>
    <w:rsid w:val="002E1D58"/>
    <w:rsid w:val="002E20A0"/>
    <w:rsid w:val="002E297E"/>
    <w:rsid w:val="002E371B"/>
    <w:rsid w:val="002E3B47"/>
    <w:rsid w:val="002E3BDF"/>
    <w:rsid w:val="002E4227"/>
    <w:rsid w:val="002E435D"/>
    <w:rsid w:val="002E4D3B"/>
    <w:rsid w:val="002E5565"/>
    <w:rsid w:val="002E5DCF"/>
    <w:rsid w:val="002E6399"/>
    <w:rsid w:val="002E669F"/>
    <w:rsid w:val="002E691B"/>
    <w:rsid w:val="002E72E2"/>
    <w:rsid w:val="002E7812"/>
    <w:rsid w:val="002F00D7"/>
    <w:rsid w:val="002F0590"/>
    <w:rsid w:val="002F090E"/>
    <w:rsid w:val="002F0AA3"/>
    <w:rsid w:val="002F0AE3"/>
    <w:rsid w:val="002F13DA"/>
    <w:rsid w:val="002F1E28"/>
    <w:rsid w:val="002F243C"/>
    <w:rsid w:val="002F2872"/>
    <w:rsid w:val="002F3454"/>
    <w:rsid w:val="002F3777"/>
    <w:rsid w:val="002F459D"/>
    <w:rsid w:val="002F4843"/>
    <w:rsid w:val="002F4DC5"/>
    <w:rsid w:val="002F541C"/>
    <w:rsid w:val="002F625E"/>
    <w:rsid w:val="002F66B3"/>
    <w:rsid w:val="002F689C"/>
    <w:rsid w:val="002F6AA3"/>
    <w:rsid w:val="002F6FCC"/>
    <w:rsid w:val="002F728A"/>
    <w:rsid w:val="002F7BA1"/>
    <w:rsid w:val="00300215"/>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5A1"/>
    <w:rsid w:val="00306738"/>
    <w:rsid w:val="00306990"/>
    <w:rsid w:val="00307599"/>
    <w:rsid w:val="00307951"/>
    <w:rsid w:val="0031044A"/>
    <w:rsid w:val="00310485"/>
    <w:rsid w:val="00310EC2"/>
    <w:rsid w:val="00311487"/>
    <w:rsid w:val="00311DBC"/>
    <w:rsid w:val="00312120"/>
    <w:rsid w:val="00312432"/>
    <w:rsid w:val="003128C1"/>
    <w:rsid w:val="0031345E"/>
    <w:rsid w:val="003135CC"/>
    <w:rsid w:val="00313981"/>
    <w:rsid w:val="00313A98"/>
    <w:rsid w:val="00313BF6"/>
    <w:rsid w:val="00314415"/>
    <w:rsid w:val="003147C5"/>
    <w:rsid w:val="00314E7B"/>
    <w:rsid w:val="003153EB"/>
    <w:rsid w:val="003165CE"/>
    <w:rsid w:val="0031693A"/>
    <w:rsid w:val="00316998"/>
    <w:rsid w:val="003169F1"/>
    <w:rsid w:val="00316A12"/>
    <w:rsid w:val="00316EF0"/>
    <w:rsid w:val="00317454"/>
    <w:rsid w:val="0031767F"/>
    <w:rsid w:val="00317E94"/>
    <w:rsid w:val="00321118"/>
    <w:rsid w:val="003218FF"/>
    <w:rsid w:val="00321985"/>
    <w:rsid w:val="00321B1A"/>
    <w:rsid w:val="00322DC5"/>
    <w:rsid w:val="0032328B"/>
    <w:rsid w:val="00323512"/>
    <w:rsid w:val="003235FC"/>
    <w:rsid w:val="00323AC3"/>
    <w:rsid w:val="00323F82"/>
    <w:rsid w:val="003240DE"/>
    <w:rsid w:val="003249B2"/>
    <w:rsid w:val="00324A56"/>
    <w:rsid w:val="00324A8A"/>
    <w:rsid w:val="00324E56"/>
    <w:rsid w:val="00324F78"/>
    <w:rsid w:val="00325F57"/>
    <w:rsid w:val="00326376"/>
    <w:rsid w:val="003270A3"/>
    <w:rsid w:val="00327102"/>
    <w:rsid w:val="00330352"/>
    <w:rsid w:val="00330901"/>
    <w:rsid w:val="00330C15"/>
    <w:rsid w:val="003313FA"/>
    <w:rsid w:val="0033149D"/>
    <w:rsid w:val="0033192D"/>
    <w:rsid w:val="00332A8B"/>
    <w:rsid w:val="00332E15"/>
    <w:rsid w:val="00332FB5"/>
    <w:rsid w:val="00333056"/>
    <w:rsid w:val="003331B9"/>
    <w:rsid w:val="00333638"/>
    <w:rsid w:val="00333738"/>
    <w:rsid w:val="003337C2"/>
    <w:rsid w:val="00333F0F"/>
    <w:rsid w:val="00334206"/>
    <w:rsid w:val="00334AE4"/>
    <w:rsid w:val="00334C7D"/>
    <w:rsid w:val="00335114"/>
    <w:rsid w:val="003355CD"/>
    <w:rsid w:val="003361A8"/>
    <w:rsid w:val="00336273"/>
    <w:rsid w:val="00336B5A"/>
    <w:rsid w:val="00336F79"/>
    <w:rsid w:val="00337532"/>
    <w:rsid w:val="003377CF"/>
    <w:rsid w:val="00337BDD"/>
    <w:rsid w:val="00337D3C"/>
    <w:rsid w:val="0034072E"/>
    <w:rsid w:val="00340C44"/>
    <w:rsid w:val="0034195E"/>
    <w:rsid w:val="003424BD"/>
    <w:rsid w:val="003441E6"/>
    <w:rsid w:val="00344C0C"/>
    <w:rsid w:val="00345035"/>
    <w:rsid w:val="00345086"/>
    <w:rsid w:val="00345A13"/>
    <w:rsid w:val="00345B22"/>
    <w:rsid w:val="00346164"/>
    <w:rsid w:val="003462C2"/>
    <w:rsid w:val="0034641F"/>
    <w:rsid w:val="003467B1"/>
    <w:rsid w:val="00346B77"/>
    <w:rsid w:val="00346D6C"/>
    <w:rsid w:val="0034756C"/>
    <w:rsid w:val="00347C7D"/>
    <w:rsid w:val="00350B34"/>
    <w:rsid w:val="00350E70"/>
    <w:rsid w:val="00351205"/>
    <w:rsid w:val="00352D8B"/>
    <w:rsid w:val="003534B2"/>
    <w:rsid w:val="00353566"/>
    <w:rsid w:val="00353727"/>
    <w:rsid w:val="0035384C"/>
    <w:rsid w:val="00353881"/>
    <w:rsid w:val="00353CF2"/>
    <w:rsid w:val="00354312"/>
    <w:rsid w:val="003543E3"/>
    <w:rsid w:val="00354F7A"/>
    <w:rsid w:val="00356038"/>
    <w:rsid w:val="003565BB"/>
    <w:rsid w:val="00356FB1"/>
    <w:rsid w:val="00357C74"/>
    <w:rsid w:val="00357F7B"/>
    <w:rsid w:val="0036029B"/>
    <w:rsid w:val="00360BE0"/>
    <w:rsid w:val="00361794"/>
    <w:rsid w:val="00361E58"/>
    <w:rsid w:val="00361F7C"/>
    <w:rsid w:val="0036254F"/>
    <w:rsid w:val="00362DA3"/>
    <w:rsid w:val="003630EF"/>
    <w:rsid w:val="0036326E"/>
    <w:rsid w:val="00363676"/>
    <w:rsid w:val="00363E40"/>
    <w:rsid w:val="00363E91"/>
    <w:rsid w:val="00363F8A"/>
    <w:rsid w:val="00365598"/>
    <w:rsid w:val="0036595B"/>
    <w:rsid w:val="00365A0A"/>
    <w:rsid w:val="003660DF"/>
    <w:rsid w:val="00366E5C"/>
    <w:rsid w:val="00366ED5"/>
    <w:rsid w:val="00366F2C"/>
    <w:rsid w:val="003672E1"/>
    <w:rsid w:val="00367E43"/>
    <w:rsid w:val="00367EF3"/>
    <w:rsid w:val="00370150"/>
    <w:rsid w:val="0037056E"/>
    <w:rsid w:val="00370EA1"/>
    <w:rsid w:val="00371429"/>
    <w:rsid w:val="00371981"/>
    <w:rsid w:val="00372279"/>
    <w:rsid w:val="0037237A"/>
    <w:rsid w:val="00372D0D"/>
    <w:rsid w:val="00372F74"/>
    <w:rsid w:val="00374829"/>
    <w:rsid w:val="00374B90"/>
    <w:rsid w:val="0037512A"/>
    <w:rsid w:val="00375492"/>
    <w:rsid w:val="00375E38"/>
    <w:rsid w:val="00375E64"/>
    <w:rsid w:val="00376374"/>
    <w:rsid w:val="003766C1"/>
    <w:rsid w:val="00376E4C"/>
    <w:rsid w:val="0037741C"/>
    <w:rsid w:val="00377726"/>
    <w:rsid w:val="003778F4"/>
    <w:rsid w:val="00377F45"/>
    <w:rsid w:val="003802DA"/>
    <w:rsid w:val="00380512"/>
    <w:rsid w:val="0038074B"/>
    <w:rsid w:val="00380864"/>
    <w:rsid w:val="00382132"/>
    <w:rsid w:val="00382F09"/>
    <w:rsid w:val="00382F0C"/>
    <w:rsid w:val="00383530"/>
    <w:rsid w:val="003837AF"/>
    <w:rsid w:val="003838C6"/>
    <w:rsid w:val="00383AF1"/>
    <w:rsid w:val="00383E28"/>
    <w:rsid w:val="00383EA4"/>
    <w:rsid w:val="00383F5A"/>
    <w:rsid w:val="003844DF"/>
    <w:rsid w:val="00384D1A"/>
    <w:rsid w:val="00385144"/>
    <w:rsid w:val="003851E1"/>
    <w:rsid w:val="003851F1"/>
    <w:rsid w:val="0038561E"/>
    <w:rsid w:val="003862B6"/>
    <w:rsid w:val="00386A51"/>
    <w:rsid w:val="00386C8D"/>
    <w:rsid w:val="0038731A"/>
    <w:rsid w:val="00387CD3"/>
    <w:rsid w:val="00387EDE"/>
    <w:rsid w:val="00390560"/>
    <w:rsid w:val="003905AA"/>
    <w:rsid w:val="00390A54"/>
    <w:rsid w:val="00390A7A"/>
    <w:rsid w:val="00390B1B"/>
    <w:rsid w:val="00391405"/>
    <w:rsid w:val="00391A07"/>
    <w:rsid w:val="00391BF8"/>
    <w:rsid w:val="00392682"/>
    <w:rsid w:val="003929FB"/>
    <w:rsid w:val="00392B68"/>
    <w:rsid w:val="00392BFD"/>
    <w:rsid w:val="00392D47"/>
    <w:rsid w:val="00393A20"/>
    <w:rsid w:val="00394AB5"/>
    <w:rsid w:val="00395842"/>
    <w:rsid w:val="00396821"/>
    <w:rsid w:val="00396C10"/>
    <w:rsid w:val="0039705B"/>
    <w:rsid w:val="00397838"/>
    <w:rsid w:val="00397E0A"/>
    <w:rsid w:val="003A011A"/>
    <w:rsid w:val="003A06B5"/>
    <w:rsid w:val="003A07C0"/>
    <w:rsid w:val="003A0870"/>
    <w:rsid w:val="003A1061"/>
    <w:rsid w:val="003A2109"/>
    <w:rsid w:val="003A2401"/>
    <w:rsid w:val="003A2802"/>
    <w:rsid w:val="003A2EE1"/>
    <w:rsid w:val="003A31CF"/>
    <w:rsid w:val="003A3228"/>
    <w:rsid w:val="003A35CE"/>
    <w:rsid w:val="003A36CC"/>
    <w:rsid w:val="003A36EE"/>
    <w:rsid w:val="003A4069"/>
    <w:rsid w:val="003A4540"/>
    <w:rsid w:val="003A454D"/>
    <w:rsid w:val="003A511A"/>
    <w:rsid w:val="003A5149"/>
    <w:rsid w:val="003A5518"/>
    <w:rsid w:val="003A57C9"/>
    <w:rsid w:val="003A5BDA"/>
    <w:rsid w:val="003A612C"/>
    <w:rsid w:val="003A6376"/>
    <w:rsid w:val="003A6E2E"/>
    <w:rsid w:val="003A7B7E"/>
    <w:rsid w:val="003A7CA8"/>
    <w:rsid w:val="003A7E78"/>
    <w:rsid w:val="003B0A72"/>
    <w:rsid w:val="003B0E66"/>
    <w:rsid w:val="003B1811"/>
    <w:rsid w:val="003B1A65"/>
    <w:rsid w:val="003B1ACB"/>
    <w:rsid w:val="003B2570"/>
    <w:rsid w:val="003B26D3"/>
    <w:rsid w:val="003B2766"/>
    <w:rsid w:val="003B2796"/>
    <w:rsid w:val="003B2C82"/>
    <w:rsid w:val="003B2D77"/>
    <w:rsid w:val="003B2E0D"/>
    <w:rsid w:val="003B3AE4"/>
    <w:rsid w:val="003B3FF4"/>
    <w:rsid w:val="003B478B"/>
    <w:rsid w:val="003B4997"/>
    <w:rsid w:val="003B6022"/>
    <w:rsid w:val="003B61E0"/>
    <w:rsid w:val="003B6712"/>
    <w:rsid w:val="003B7320"/>
    <w:rsid w:val="003C01B3"/>
    <w:rsid w:val="003C03BA"/>
    <w:rsid w:val="003C06CC"/>
    <w:rsid w:val="003C0CD2"/>
    <w:rsid w:val="003C1125"/>
    <w:rsid w:val="003C1810"/>
    <w:rsid w:val="003C1B57"/>
    <w:rsid w:val="003C32CC"/>
    <w:rsid w:val="003C3479"/>
    <w:rsid w:val="003C3BD9"/>
    <w:rsid w:val="003C4207"/>
    <w:rsid w:val="003C4320"/>
    <w:rsid w:val="003C44A1"/>
    <w:rsid w:val="003C46A7"/>
    <w:rsid w:val="003C4820"/>
    <w:rsid w:val="003C48A3"/>
    <w:rsid w:val="003C5582"/>
    <w:rsid w:val="003C600F"/>
    <w:rsid w:val="003C6B48"/>
    <w:rsid w:val="003C7205"/>
    <w:rsid w:val="003C729B"/>
    <w:rsid w:val="003C72DF"/>
    <w:rsid w:val="003C743F"/>
    <w:rsid w:val="003C7451"/>
    <w:rsid w:val="003C7912"/>
    <w:rsid w:val="003C7916"/>
    <w:rsid w:val="003C79D4"/>
    <w:rsid w:val="003C7E27"/>
    <w:rsid w:val="003D1763"/>
    <w:rsid w:val="003D197D"/>
    <w:rsid w:val="003D1C66"/>
    <w:rsid w:val="003D2845"/>
    <w:rsid w:val="003D29AE"/>
    <w:rsid w:val="003D2BB8"/>
    <w:rsid w:val="003D2D1B"/>
    <w:rsid w:val="003D35F4"/>
    <w:rsid w:val="003D5120"/>
    <w:rsid w:val="003D5B51"/>
    <w:rsid w:val="003D60BD"/>
    <w:rsid w:val="003D66CF"/>
    <w:rsid w:val="003D67A0"/>
    <w:rsid w:val="003D6AC8"/>
    <w:rsid w:val="003D7F01"/>
    <w:rsid w:val="003D7F4B"/>
    <w:rsid w:val="003E0E17"/>
    <w:rsid w:val="003E0E53"/>
    <w:rsid w:val="003E1074"/>
    <w:rsid w:val="003E15A4"/>
    <w:rsid w:val="003E1AA1"/>
    <w:rsid w:val="003E1C05"/>
    <w:rsid w:val="003E20F2"/>
    <w:rsid w:val="003E2639"/>
    <w:rsid w:val="003E3006"/>
    <w:rsid w:val="003E3448"/>
    <w:rsid w:val="003E37CA"/>
    <w:rsid w:val="003E3D80"/>
    <w:rsid w:val="003E3F55"/>
    <w:rsid w:val="003E3FAE"/>
    <w:rsid w:val="003E4046"/>
    <w:rsid w:val="003E4109"/>
    <w:rsid w:val="003E4367"/>
    <w:rsid w:val="003E5207"/>
    <w:rsid w:val="003E5259"/>
    <w:rsid w:val="003E56D1"/>
    <w:rsid w:val="003E57B9"/>
    <w:rsid w:val="003E59B9"/>
    <w:rsid w:val="003E76FB"/>
    <w:rsid w:val="003E7780"/>
    <w:rsid w:val="003E78A4"/>
    <w:rsid w:val="003E7F69"/>
    <w:rsid w:val="003F0EE7"/>
    <w:rsid w:val="003F1440"/>
    <w:rsid w:val="003F1C2B"/>
    <w:rsid w:val="003F209B"/>
    <w:rsid w:val="003F2694"/>
    <w:rsid w:val="003F4801"/>
    <w:rsid w:val="003F543D"/>
    <w:rsid w:val="003F5D1B"/>
    <w:rsid w:val="003F6701"/>
    <w:rsid w:val="003F69D7"/>
    <w:rsid w:val="003F7224"/>
    <w:rsid w:val="003F7A85"/>
    <w:rsid w:val="003F7E35"/>
    <w:rsid w:val="003F7EA8"/>
    <w:rsid w:val="003F7F53"/>
    <w:rsid w:val="004002BD"/>
    <w:rsid w:val="00400513"/>
    <w:rsid w:val="0040099E"/>
    <w:rsid w:val="00401149"/>
    <w:rsid w:val="004011C9"/>
    <w:rsid w:val="0040176C"/>
    <w:rsid w:val="00401787"/>
    <w:rsid w:val="004019BD"/>
    <w:rsid w:val="004021F3"/>
    <w:rsid w:val="0040236A"/>
    <w:rsid w:val="00402693"/>
    <w:rsid w:val="00402A3A"/>
    <w:rsid w:val="00402E4F"/>
    <w:rsid w:val="00402FEB"/>
    <w:rsid w:val="00403708"/>
    <w:rsid w:val="00403CE9"/>
    <w:rsid w:val="00404714"/>
    <w:rsid w:val="00404AC9"/>
    <w:rsid w:val="00404BD7"/>
    <w:rsid w:val="00406AB2"/>
    <w:rsid w:val="00406DC4"/>
    <w:rsid w:val="004074AD"/>
    <w:rsid w:val="004075A8"/>
    <w:rsid w:val="004108E1"/>
    <w:rsid w:val="00410B41"/>
    <w:rsid w:val="004110E6"/>
    <w:rsid w:val="0041149E"/>
    <w:rsid w:val="00411901"/>
    <w:rsid w:val="00411DAE"/>
    <w:rsid w:val="004121F1"/>
    <w:rsid w:val="00412778"/>
    <w:rsid w:val="0041330F"/>
    <w:rsid w:val="00413A97"/>
    <w:rsid w:val="00413B63"/>
    <w:rsid w:val="00413E4D"/>
    <w:rsid w:val="00414993"/>
    <w:rsid w:val="00415CDA"/>
    <w:rsid w:val="00415CFF"/>
    <w:rsid w:val="0041620C"/>
    <w:rsid w:val="004162AF"/>
    <w:rsid w:val="00416AD4"/>
    <w:rsid w:val="00416C2B"/>
    <w:rsid w:val="00420DDD"/>
    <w:rsid w:val="00420E8E"/>
    <w:rsid w:val="00421337"/>
    <w:rsid w:val="004217AB"/>
    <w:rsid w:val="004224A2"/>
    <w:rsid w:val="004230AC"/>
    <w:rsid w:val="004232E9"/>
    <w:rsid w:val="0042380E"/>
    <w:rsid w:val="00423C51"/>
    <w:rsid w:val="00423F61"/>
    <w:rsid w:val="00424CD0"/>
    <w:rsid w:val="00425542"/>
    <w:rsid w:val="00426719"/>
    <w:rsid w:val="00426DE7"/>
    <w:rsid w:val="0042750D"/>
    <w:rsid w:val="00427812"/>
    <w:rsid w:val="00427D21"/>
    <w:rsid w:val="00427E90"/>
    <w:rsid w:val="0043002F"/>
    <w:rsid w:val="00430670"/>
    <w:rsid w:val="004312FC"/>
    <w:rsid w:val="00432244"/>
    <w:rsid w:val="00432FB6"/>
    <w:rsid w:val="00433870"/>
    <w:rsid w:val="0043443E"/>
    <w:rsid w:val="00434A22"/>
    <w:rsid w:val="00434BA4"/>
    <w:rsid w:val="00434E92"/>
    <w:rsid w:val="004359BF"/>
    <w:rsid w:val="00435C1A"/>
    <w:rsid w:val="00435D43"/>
    <w:rsid w:val="00436E47"/>
    <w:rsid w:val="004376EC"/>
    <w:rsid w:val="004379EE"/>
    <w:rsid w:val="0044019B"/>
    <w:rsid w:val="004405F3"/>
    <w:rsid w:val="004409F8"/>
    <w:rsid w:val="00441332"/>
    <w:rsid w:val="0044151C"/>
    <w:rsid w:val="00441728"/>
    <w:rsid w:val="00441ABF"/>
    <w:rsid w:val="00441AC6"/>
    <w:rsid w:val="00442045"/>
    <w:rsid w:val="00442628"/>
    <w:rsid w:val="00442D9B"/>
    <w:rsid w:val="00442DE6"/>
    <w:rsid w:val="00442E2C"/>
    <w:rsid w:val="00442F12"/>
    <w:rsid w:val="00443883"/>
    <w:rsid w:val="004438C2"/>
    <w:rsid w:val="00444152"/>
    <w:rsid w:val="00444569"/>
    <w:rsid w:val="00444AB3"/>
    <w:rsid w:val="00444C0A"/>
    <w:rsid w:val="004450FA"/>
    <w:rsid w:val="0044558C"/>
    <w:rsid w:val="0044569E"/>
    <w:rsid w:val="004461B2"/>
    <w:rsid w:val="00446EE2"/>
    <w:rsid w:val="0044759D"/>
    <w:rsid w:val="00447618"/>
    <w:rsid w:val="00447F4A"/>
    <w:rsid w:val="0045000B"/>
    <w:rsid w:val="004500BF"/>
    <w:rsid w:val="004501DA"/>
    <w:rsid w:val="004502F3"/>
    <w:rsid w:val="004503F9"/>
    <w:rsid w:val="00450489"/>
    <w:rsid w:val="0045052A"/>
    <w:rsid w:val="00450E94"/>
    <w:rsid w:val="004518BA"/>
    <w:rsid w:val="00451B34"/>
    <w:rsid w:val="00452936"/>
    <w:rsid w:val="00452D52"/>
    <w:rsid w:val="00452E98"/>
    <w:rsid w:val="00453311"/>
    <w:rsid w:val="0045347A"/>
    <w:rsid w:val="00453626"/>
    <w:rsid w:val="00453850"/>
    <w:rsid w:val="00453B38"/>
    <w:rsid w:val="004541E0"/>
    <w:rsid w:val="004546A6"/>
    <w:rsid w:val="00454C60"/>
    <w:rsid w:val="00454E5B"/>
    <w:rsid w:val="004551B2"/>
    <w:rsid w:val="00455310"/>
    <w:rsid w:val="00455AF2"/>
    <w:rsid w:val="004562AB"/>
    <w:rsid w:val="0045639B"/>
    <w:rsid w:val="004568D7"/>
    <w:rsid w:val="00456F67"/>
    <w:rsid w:val="0045797B"/>
    <w:rsid w:val="004604DF"/>
    <w:rsid w:val="004605D3"/>
    <w:rsid w:val="00460B40"/>
    <w:rsid w:val="004611C8"/>
    <w:rsid w:val="004612A4"/>
    <w:rsid w:val="00461444"/>
    <w:rsid w:val="004616D6"/>
    <w:rsid w:val="00461AC3"/>
    <w:rsid w:val="0046208E"/>
    <w:rsid w:val="0046224F"/>
    <w:rsid w:val="00462272"/>
    <w:rsid w:val="0046274E"/>
    <w:rsid w:val="004633C2"/>
    <w:rsid w:val="004644C2"/>
    <w:rsid w:val="00464CC7"/>
    <w:rsid w:val="0046526C"/>
    <w:rsid w:val="00465432"/>
    <w:rsid w:val="00465A95"/>
    <w:rsid w:val="00466769"/>
    <w:rsid w:val="00466824"/>
    <w:rsid w:val="00466C4A"/>
    <w:rsid w:val="00466F1C"/>
    <w:rsid w:val="004675DC"/>
    <w:rsid w:val="00467B32"/>
    <w:rsid w:val="00467F9C"/>
    <w:rsid w:val="004703C3"/>
    <w:rsid w:val="00470635"/>
    <w:rsid w:val="0047082B"/>
    <w:rsid w:val="00470E20"/>
    <w:rsid w:val="00471528"/>
    <w:rsid w:val="004729D1"/>
    <w:rsid w:val="00472B4B"/>
    <w:rsid w:val="00473751"/>
    <w:rsid w:val="0047380F"/>
    <w:rsid w:val="00473AE2"/>
    <w:rsid w:val="0047463C"/>
    <w:rsid w:val="00474877"/>
    <w:rsid w:val="00474A0D"/>
    <w:rsid w:val="0047561D"/>
    <w:rsid w:val="00476013"/>
    <w:rsid w:val="0047683A"/>
    <w:rsid w:val="00477959"/>
    <w:rsid w:val="00480048"/>
    <w:rsid w:val="00481073"/>
    <w:rsid w:val="0048131D"/>
    <w:rsid w:val="004816A0"/>
    <w:rsid w:val="004816D8"/>
    <w:rsid w:val="00481B8F"/>
    <w:rsid w:val="00481C87"/>
    <w:rsid w:val="00481EC4"/>
    <w:rsid w:val="00481FAC"/>
    <w:rsid w:val="004826A3"/>
    <w:rsid w:val="004829DF"/>
    <w:rsid w:val="00482A3A"/>
    <w:rsid w:val="00483159"/>
    <w:rsid w:val="004832C8"/>
    <w:rsid w:val="00483405"/>
    <w:rsid w:val="004835F3"/>
    <w:rsid w:val="00483C34"/>
    <w:rsid w:val="0048499F"/>
    <w:rsid w:val="00484C2F"/>
    <w:rsid w:val="00484F8A"/>
    <w:rsid w:val="004851C0"/>
    <w:rsid w:val="00485B53"/>
    <w:rsid w:val="004860DD"/>
    <w:rsid w:val="00486305"/>
    <w:rsid w:val="00486644"/>
    <w:rsid w:val="004866A4"/>
    <w:rsid w:val="004866CD"/>
    <w:rsid w:val="00487859"/>
    <w:rsid w:val="00487C6D"/>
    <w:rsid w:val="004901C5"/>
    <w:rsid w:val="004902F1"/>
    <w:rsid w:val="004902FC"/>
    <w:rsid w:val="00490C35"/>
    <w:rsid w:val="004912C3"/>
    <w:rsid w:val="004917B4"/>
    <w:rsid w:val="004918C9"/>
    <w:rsid w:val="00491CF6"/>
    <w:rsid w:val="00491F68"/>
    <w:rsid w:val="0049250F"/>
    <w:rsid w:val="004929DF"/>
    <w:rsid w:val="00492A01"/>
    <w:rsid w:val="00493B78"/>
    <w:rsid w:val="004942DE"/>
    <w:rsid w:val="004948A4"/>
    <w:rsid w:val="0049490D"/>
    <w:rsid w:val="00494C2D"/>
    <w:rsid w:val="004950DB"/>
    <w:rsid w:val="00495368"/>
    <w:rsid w:val="00495AA7"/>
    <w:rsid w:val="00496159"/>
    <w:rsid w:val="00496CBD"/>
    <w:rsid w:val="00497851"/>
    <w:rsid w:val="004A0129"/>
    <w:rsid w:val="004A0420"/>
    <w:rsid w:val="004A04A5"/>
    <w:rsid w:val="004A0722"/>
    <w:rsid w:val="004A0F51"/>
    <w:rsid w:val="004A1BC3"/>
    <w:rsid w:val="004A1C02"/>
    <w:rsid w:val="004A2A7B"/>
    <w:rsid w:val="004A3734"/>
    <w:rsid w:val="004A400C"/>
    <w:rsid w:val="004A668C"/>
    <w:rsid w:val="004A6C33"/>
    <w:rsid w:val="004A7662"/>
    <w:rsid w:val="004A7DF1"/>
    <w:rsid w:val="004B0B3E"/>
    <w:rsid w:val="004B0F37"/>
    <w:rsid w:val="004B19B2"/>
    <w:rsid w:val="004B1B4C"/>
    <w:rsid w:val="004B1C42"/>
    <w:rsid w:val="004B252A"/>
    <w:rsid w:val="004B2A3B"/>
    <w:rsid w:val="004B3226"/>
    <w:rsid w:val="004B4056"/>
    <w:rsid w:val="004B46A1"/>
    <w:rsid w:val="004B478C"/>
    <w:rsid w:val="004B48F2"/>
    <w:rsid w:val="004B5EED"/>
    <w:rsid w:val="004B65A7"/>
    <w:rsid w:val="004B6D23"/>
    <w:rsid w:val="004B6F8B"/>
    <w:rsid w:val="004B7679"/>
    <w:rsid w:val="004C0E2E"/>
    <w:rsid w:val="004C1785"/>
    <w:rsid w:val="004C1D05"/>
    <w:rsid w:val="004C1DE6"/>
    <w:rsid w:val="004C2860"/>
    <w:rsid w:val="004C300A"/>
    <w:rsid w:val="004C3DDF"/>
    <w:rsid w:val="004C3ED9"/>
    <w:rsid w:val="004C4291"/>
    <w:rsid w:val="004C4AB8"/>
    <w:rsid w:val="004C4B15"/>
    <w:rsid w:val="004C4CBB"/>
    <w:rsid w:val="004C4F7D"/>
    <w:rsid w:val="004C68B5"/>
    <w:rsid w:val="004C70F3"/>
    <w:rsid w:val="004C71BA"/>
    <w:rsid w:val="004C735B"/>
    <w:rsid w:val="004C78A4"/>
    <w:rsid w:val="004C7C52"/>
    <w:rsid w:val="004C7F1A"/>
    <w:rsid w:val="004D001B"/>
    <w:rsid w:val="004D0148"/>
    <w:rsid w:val="004D070D"/>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574D"/>
    <w:rsid w:val="004D6157"/>
    <w:rsid w:val="004D6206"/>
    <w:rsid w:val="004D66DF"/>
    <w:rsid w:val="004D6CA1"/>
    <w:rsid w:val="004D6F71"/>
    <w:rsid w:val="004D7FDE"/>
    <w:rsid w:val="004E0522"/>
    <w:rsid w:val="004E05A2"/>
    <w:rsid w:val="004E07BB"/>
    <w:rsid w:val="004E0C8E"/>
    <w:rsid w:val="004E146E"/>
    <w:rsid w:val="004E1D2E"/>
    <w:rsid w:val="004E1DBC"/>
    <w:rsid w:val="004E1DC1"/>
    <w:rsid w:val="004E1F53"/>
    <w:rsid w:val="004E275C"/>
    <w:rsid w:val="004E285D"/>
    <w:rsid w:val="004E2DFB"/>
    <w:rsid w:val="004E313F"/>
    <w:rsid w:val="004E31BC"/>
    <w:rsid w:val="004E41AC"/>
    <w:rsid w:val="004E42EB"/>
    <w:rsid w:val="004E437D"/>
    <w:rsid w:val="004E4837"/>
    <w:rsid w:val="004E4AB7"/>
    <w:rsid w:val="004E4CB3"/>
    <w:rsid w:val="004E5233"/>
    <w:rsid w:val="004E6017"/>
    <w:rsid w:val="004E7184"/>
    <w:rsid w:val="004E762D"/>
    <w:rsid w:val="004E778C"/>
    <w:rsid w:val="004E7A26"/>
    <w:rsid w:val="004E7C1B"/>
    <w:rsid w:val="004E7D7D"/>
    <w:rsid w:val="004F0074"/>
    <w:rsid w:val="004F0522"/>
    <w:rsid w:val="004F09A4"/>
    <w:rsid w:val="004F14BE"/>
    <w:rsid w:val="004F2E63"/>
    <w:rsid w:val="004F4833"/>
    <w:rsid w:val="004F49D1"/>
    <w:rsid w:val="004F4A02"/>
    <w:rsid w:val="004F53D8"/>
    <w:rsid w:val="004F594A"/>
    <w:rsid w:val="004F5C2E"/>
    <w:rsid w:val="004F6123"/>
    <w:rsid w:val="004F666F"/>
    <w:rsid w:val="004F69A9"/>
    <w:rsid w:val="004F69E2"/>
    <w:rsid w:val="004F6D14"/>
    <w:rsid w:val="004F6F4D"/>
    <w:rsid w:val="004F729A"/>
    <w:rsid w:val="004F7D32"/>
    <w:rsid w:val="00500110"/>
    <w:rsid w:val="00500E04"/>
    <w:rsid w:val="00500F71"/>
    <w:rsid w:val="00501279"/>
    <w:rsid w:val="005014E4"/>
    <w:rsid w:val="005033F9"/>
    <w:rsid w:val="00503DE4"/>
    <w:rsid w:val="00504A44"/>
    <w:rsid w:val="00504A97"/>
    <w:rsid w:val="00504D17"/>
    <w:rsid w:val="00504D9B"/>
    <w:rsid w:val="0050551E"/>
    <w:rsid w:val="005055DF"/>
    <w:rsid w:val="00505C85"/>
    <w:rsid w:val="005064F5"/>
    <w:rsid w:val="005069C9"/>
    <w:rsid w:val="0050720D"/>
    <w:rsid w:val="00507FB1"/>
    <w:rsid w:val="0051006C"/>
    <w:rsid w:val="0051033B"/>
    <w:rsid w:val="00510394"/>
    <w:rsid w:val="00510A4F"/>
    <w:rsid w:val="005117A1"/>
    <w:rsid w:val="00511D5F"/>
    <w:rsid w:val="00511F62"/>
    <w:rsid w:val="0051246B"/>
    <w:rsid w:val="00512D4B"/>
    <w:rsid w:val="00512F4A"/>
    <w:rsid w:val="00512FE0"/>
    <w:rsid w:val="00513ADE"/>
    <w:rsid w:val="00514066"/>
    <w:rsid w:val="00514A4B"/>
    <w:rsid w:val="00514DC9"/>
    <w:rsid w:val="005151C8"/>
    <w:rsid w:val="005159DB"/>
    <w:rsid w:val="00516D30"/>
    <w:rsid w:val="005172A7"/>
    <w:rsid w:val="00517678"/>
    <w:rsid w:val="00520461"/>
    <w:rsid w:val="0052048A"/>
    <w:rsid w:val="00520DA1"/>
    <w:rsid w:val="00520EA5"/>
    <w:rsid w:val="0052125C"/>
    <w:rsid w:val="0052170D"/>
    <w:rsid w:val="005225CB"/>
    <w:rsid w:val="00522A15"/>
    <w:rsid w:val="00522AF3"/>
    <w:rsid w:val="00523A9C"/>
    <w:rsid w:val="00523B44"/>
    <w:rsid w:val="00523D1B"/>
    <w:rsid w:val="00523E9D"/>
    <w:rsid w:val="00523F57"/>
    <w:rsid w:val="00524C20"/>
    <w:rsid w:val="005256D0"/>
    <w:rsid w:val="00525FE2"/>
    <w:rsid w:val="005265EE"/>
    <w:rsid w:val="005269E5"/>
    <w:rsid w:val="0052757C"/>
    <w:rsid w:val="0052773C"/>
    <w:rsid w:val="00527E07"/>
    <w:rsid w:val="005303CB"/>
    <w:rsid w:val="0053062B"/>
    <w:rsid w:val="00530B43"/>
    <w:rsid w:val="00530BDE"/>
    <w:rsid w:val="00532FC0"/>
    <w:rsid w:val="0053314D"/>
    <w:rsid w:val="00533A6D"/>
    <w:rsid w:val="00533BCA"/>
    <w:rsid w:val="00533BE0"/>
    <w:rsid w:val="0053428F"/>
    <w:rsid w:val="005344EE"/>
    <w:rsid w:val="00534681"/>
    <w:rsid w:val="005348A5"/>
    <w:rsid w:val="00534946"/>
    <w:rsid w:val="00534CDD"/>
    <w:rsid w:val="00534EA2"/>
    <w:rsid w:val="005354C1"/>
    <w:rsid w:val="005356D2"/>
    <w:rsid w:val="005359AC"/>
    <w:rsid w:val="00535D5B"/>
    <w:rsid w:val="00535E30"/>
    <w:rsid w:val="00535F07"/>
    <w:rsid w:val="0053609C"/>
    <w:rsid w:val="005368D1"/>
    <w:rsid w:val="00536B6E"/>
    <w:rsid w:val="00536FE4"/>
    <w:rsid w:val="005370DF"/>
    <w:rsid w:val="005370ED"/>
    <w:rsid w:val="005373B2"/>
    <w:rsid w:val="00540347"/>
    <w:rsid w:val="005406DC"/>
    <w:rsid w:val="00541337"/>
    <w:rsid w:val="00541703"/>
    <w:rsid w:val="00541EA1"/>
    <w:rsid w:val="005426BA"/>
    <w:rsid w:val="00542987"/>
    <w:rsid w:val="00543191"/>
    <w:rsid w:val="00543E58"/>
    <w:rsid w:val="00543F2C"/>
    <w:rsid w:val="00544302"/>
    <w:rsid w:val="005449FC"/>
    <w:rsid w:val="00544FB8"/>
    <w:rsid w:val="005450DD"/>
    <w:rsid w:val="0054541B"/>
    <w:rsid w:val="005455E1"/>
    <w:rsid w:val="00547001"/>
    <w:rsid w:val="00547614"/>
    <w:rsid w:val="00550224"/>
    <w:rsid w:val="00550407"/>
    <w:rsid w:val="00550BBC"/>
    <w:rsid w:val="00550EAE"/>
    <w:rsid w:val="00550F14"/>
    <w:rsid w:val="0055140D"/>
    <w:rsid w:val="00551ACA"/>
    <w:rsid w:val="00552680"/>
    <w:rsid w:val="00553049"/>
    <w:rsid w:val="0055349D"/>
    <w:rsid w:val="00553853"/>
    <w:rsid w:val="00553D33"/>
    <w:rsid w:val="00554491"/>
    <w:rsid w:val="0055450C"/>
    <w:rsid w:val="00555365"/>
    <w:rsid w:val="00557252"/>
    <w:rsid w:val="0055725F"/>
    <w:rsid w:val="0056014A"/>
    <w:rsid w:val="00560289"/>
    <w:rsid w:val="005602CC"/>
    <w:rsid w:val="0056068E"/>
    <w:rsid w:val="005608AC"/>
    <w:rsid w:val="00560BC2"/>
    <w:rsid w:val="00561239"/>
    <w:rsid w:val="00561513"/>
    <w:rsid w:val="00561683"/>
    <w:rsid w:val="00561BA2"/>
    <w:rsid w:val="00561D93"/>
    <w:rsid w:val="0056270C"/>
    <w:rsid w:val="00563442"/>
    <w:rsid w:val="0056348E"/>
    <w:rsid w:val="005634F5"/>
    <w:rsid w:val="00564058"/>
    <w:rsid w:val="00564BB2"/>
    <w:rsid w:val="0056570B"/>
    <w:rsid w:val="00565769"/>
    <w:rsid w:val="00565B42"/>
    <w:rsid w:val="00566606"/>
    <w:rsid w:val="00566847"/>
    <w:rsid w:val="00566900"/>
    <w:rsid w:val="00566A6D"/>
    <w:rsid w:val="00567432"/>
    <w:rsid w:val="00567914"/>
    <w:rsid w:val="00570369"/>
    <w:rsid w:val="0057087C"/>
    <w:rsid w:val="005709B9"/>
    <w:rsid w:val="00570E44"/>
    <w:rsid w:val="00571218"/>
    <w:rsid w:val="0057131B"/>
    <w:rsid w:val="005715E0"/>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519"/>
    <w:rsid w:val="0058071F"/>
    <w:rsid w:val="00580A98"/>
    <w:rsid w:val="00580FA3"/>
    <w:rsid w:val="005815A4"/>
    <w:rsid w:val="00581925"/>
    <w:rsid w:val="005819D9"/>
    <w:rsid w:val="00581B36"/>
    <w:rsid w:val="00582427"/>
    <w:rsid w:val="005824D2"/>
    <w:rsid w:val="00582B4A"/>
    <w:rsid w:val="00582D4B"/>
    <w:rsid w:val="00582DBC"/>
    <w:rsid w:val="005838D5"/>
    <w:rsid w:val="00584308"/>
    <w:rsid w:val="00584C6D"/>
    <w:rsid w:val="00585043"/>
    <w:rsid w:val="0058504C"/>
    <w:rsid w:val="00585C0D"/>
    <w:rsid w:val="00586634"/>
    <w:rsid w:val="005867D5"/>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2B5F"/>
    <w:rsid w:val="00593757"/>
    <w:rsid w:val="00593990"/>
    <w:rsid w:val="005939EB"/>
    <w:rsid w:val="00593EDE"/>
    <w:rsid w:val="0059417C"/>
    <w:rsid w:val="00595154"/>
    <w:rsid w:val="005951BB"/>
    <w:rsid w:val="0059528C"/>
    <w:rsid w:val="005954BC"/>
    <w:rsid w:val="00595D58"/>
    <w:rsid w:val="005964B9"/>
    <w:rsid w:val="005964D7"/>
    <w:rsid w:val="0059677A"/>
    <w:rsid w:val="0059707F"/>
    <w:rsid w:val="00597668"/>
    <w:rsid w:val="00597F00"/>
    <w:rsid w:val="005A0960"/>
    <w:rsid w:val="005A0D8A"/>
    <w:rsid w:val="005A116F"/>
    <w:rsid w:val="005A13DB"/>
    <w:rsid w:val="005A1721"/>
    <w:rsid w:val="005A195D"/>
    <w:rsid w:val="005A1C0B"/>
    <w:rsid w:val="005A2688"/>
    <w:rsid w:val="005A2832"/>
    <w:rsid w:val="005A2D59"/>
    <w:rsid w:val="005A2F7D"/>
    <w:rsid w:val="005A328C"/>
    <w:rsid w:val="005A3406"/>
    <w:rsid w:val="005A3514"/>
    <w:rsid w:val="005A358C"/>
    <w:rsid w:val="005A39AB"/>
    <w:rsid w:val="005A3D01"/>
    <w:rsid w:val="005A45C1"/>
    <w:rsid w:val="005A4830"/>
    <w:rsid w:val="005A4E4E"/>
    <w:rsid w:val="005A58B6"/>
    <w:rsid w:val="005A5B2B"/>
    <w:rsid w:val="005A6467"/>
    <w:rsid w:val="005A66AB"/>
    <w:rsid w:val="005A6ECA"/>
    <w:rsid w:val="005A7D46"/>
    <w:rsid w:val="005B00BA"/>
    <w:rsid w:val="005B00E5"/>
    <w:rsid w:val="005B0166"/>
    <w:rsid w:val="005B02F1"/>
    <w:rsid w:val="005B0575"/>
    <w:rsid w:val="005B0701"/>
    <w:rsid w:val="005B0900"/>
    <w:rsid w:val="005B0BA2"/>
    <w:rsid w:val="005B1459"/>
    <w:rsid w:val="005B155B"/>
    <w:rsid w:val="005B20FD"/>
    <w:rsid w:val="005B23D6"/>
    <w:rsid w:val="005B24F5"/>
    <w:rsid w:val="005B2580"/>
    <w:rsid w:val="005B2AC7"/>
    <w:rsid w:val="005B3023"/>
    <w:rsid w:val="005B33AC"/>
    <w:rsid w:val="005B3493"/>
    <w:rsid w:val="005B35E2"/>
    <w:rsid w:val="005B3628"/>
    <w:rsid w:val="005B3E07"/>
    <w:rsid w:val="005B3F32"/>
    <w:rsid w:val="005B42F7"/>
    <w:rsid w:val="005B4DFD"/>
    <w:rsid w:val="005B4E99"/>
    <w:rsid w:val="005B553D"/>
    <w:rsid w:val="005B5638"/>
    <w:rsid w:val="005B589F"/>
    <w:rsid w:val="005B5905"/>
    <w:rsid w:val="005B5C38"/>
    <w:rsid w:val="005B5EED"/>
    <w:rsid w:val="005B60BE"/>
    <w:rsid w:val="005B6122"/>
    <w:rsid w:val="005B634F"/>
    <w:rsid w:val="005B698F"/>
    <w:rsid w:val="005B75FF"/>
    <w:rsid w:val="005B7D0B"/>
    <w:rsid w:val="005B7FC3"/>
    <w:rsid w:val="005C01C3"/>
    <w:rsid w:val="005C10EF"/>
    <w:rsid w:val="005C1B1D"/>
    <w:rsid w:val="005C2561"/>
    <w:rsid w:val="005C28FA"/>
    <w:rsid w:val="005C3AE9"/>
    <w:rsid w:val="005C3C97"/>
    <w:rsid w:val="005C3CC0"/>
    <w:rsid w:val="005C4A7E"/>
    <w:rsid w:val="005C4A88"/>
    <w:rsid w:val="005C4CE6"/>
    <w:rsid w:val="005C533F"/>
    <w:rsid w:val="005C53BB"/>
    <w:rsid w:val="005C5A9A"/>
    <w:rsid w:val="005C5BA6"/>
    <w:rsid w:val="005C5D65"/>
    <w:rsid w:val="005C5F12"/>
    <w:rsid w:val="005C5FA6"/>
    <w:rsid w:val="005C6253"/>
    <w:rsid w:val="005C62C8"/>
    <w:rsid w:val="005C6842"/>
    <w:rsid w:val="005C6C94"/>
    <w:rsid w:val="005C7592"/>
    <w:rsid w:val="005C7890"/>
    <w:rsid w:val="005C7C5E"/>
    <w:rsid w:val="005C7D1F"/>
    <w:rsid w:val="005D08B7"/>
    <w:rsid w:val="005D1004"/>
    <w:rsid w:val="005D178D"/>
    <w:rsid w:val="005D19EE"/>
    <w:rsid w:val="005D1CBF"/>
    <w:rsid w:val="005D20CB"/>
    <w:rsid w:val="005D2938"/>
    <w:rsid w:val="005D2A41"/>
    <w:rsid w:val="005D3121"/>
    <w:rsid w:val="005D3AA8"/>
    <w:rsid w:val="005D3B48"/>
    <w:rsid w:val="005D40DD"/>
    <w:rsid w:val="005D43CF"/>
    <w:rsid w:val="005D446D"/>
    <w:rsid w:val="005D4C43"/>
    <w:rsid w:val="005D4FED"/>
    <w:rsid w:val="005D5179"/>
    <w:rsid w:val="005D5285"/>
    <w:rsid w:val="005D5303"/>
    <w:rsid w:val="005D535D"/>
    <w:rsid w:val="005D563D"/>
    <w:rsid w:val="005D58A9"/>
    <w:rsid w:val="005D6440"/>
    <w:rsid w:val="005D64D4"/>
    <w:rsid w:val="005D7058"/>
    <w:rsid w:val="005E1046"/>
    <w:rsid w:val="005E27A6"/>
    <w:rsid w:val="005E39E5"/>
    <w:rsid w:val="005E4C69"/>
    <w:rsid w:val="005E511A"/>
    <w:rsid w:val="005E553A"/>
    <w:rsid w:val="005E615A"/>
    <w:rsid w:val="005E6188"/>
    <w:rsid w:val="005E64B2"/>
    <w:rsid w:val="005E6914"/>
    <w:rsid w:val="005E6A19"/>
    <w:rsid w:val="005E6C17"/>
    <w:rsid w:val="005E70AE"/>
    <w:rsid w:val="005E76DA"/>
    <w:rsid w:val="005E77CB"/>
    <w:rsid w:val="005F0979"/>
    <w:rsid w:val="005F0AA6"/>
    <w:rsid w:val="005F0C2A"/>
    <w:rsid w:val="005F1341"/>
    <w:rsid w:val="005F13AA"/>
    <w:rsid w:val="005F1446"/>
    <w:rsid w:val="005F2616"/>
    <w:rsid w:val="005F26F5"/>
    <w:rsid w:val="005F2A75"/>
    <w:rsid w:val="005F2DD6"/>
    <w:rsid w:val="005F2E16"/>
    <w:rsid w:val="005F39C1"/>
    <w:rsid w:val="005F3BB2"/>
    <w:rsid w:val="005F403F"/>
    <w:rsid w:val="005F424E"/>
    <w:rsid w:val="005F43D6"/>
    <w:rsid w:val="005F508D"/>
    <w:rsid w:val="005F53CD"/>
    <w:rsid w:val="005F54B8"/>
    <w:rsid w:val="005F5F8F"/>
    <w:rsid w:val="005F6207"/>
    <w:rsid w:val="005F63B4"/>
    <w:rsid w:val="005F650C"/>
    <w:rsid w:val="005F6717"/>
    <w:rsid w:val="005F6F35"/>
    <w:rsid w:val="00600111"/>
    <w:rsid w:val="00600A53"/>
    <w:rsid w:val="00600E3A"/>
    <w:rsid w:val="0060199A"/>
    <w:rsid w:val="00601B4A"/>
    <w:rsid w:val="006023DE"/>
    <w:rsid w:val="0060377C"/>
    <w:rsid w:val="006047BA"/>
    <w:rsid w:val="00604B0B"/>
    <w:rsid w:val="00604BA0"/>
    <w:rsid w:val="006050FE"/>
    <w:rsid w:val="006054DD"/>
    <w:rsid w:val="00605EA7"/>
    <w:rsid w:val="00606199"/>
    <w:rsid w:val="00606AC3"/>
    <w:rsid w:val="00606C82"/>
    <w:rsid w:val="00607149"/>
    <w:rsid w:val="0060724E"/>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2D4"/>
    <w:rsid w:val="006204BC"/>
    <w:rsid w:val="00620CA8"/>
    <w:rsid w:val="006213FC"/>
    <w:rsid w:val="00621606"/>
    <w:rsid w:val="00621AC0"/>
    <w:rsid w:val="00621C50"/>
    <w:rsid w:val="00622525"/>
    <w:rsid w:val="006228F7"/>
    <w:rsid w:val="006229DD"/>
    <w:rsid w:val="00622D83"/>
    <w:rsid w:val="006237B3"/>
    <w:rsid w:val="0062462E"/>
    <w:rsid w:val="00624C7C"/>
    <w:rsid w:val="006256DE"/>
    <w:rsid w:val="00625782"/>
    <w:rsid w:val="00625E3A"/>
    <w:rsid w:val="00625F35"/>
    <w:rsid w:val="006264C5"/>
    <w:rsid w:val="00626AEA"/>
    <w:rsid w:val="00626EA9"/>
    <w:rsid w:val="00627137"/>
    <w:rsid w:val="0062748B"/>
    <w:rsid w:val="006300D6"/>
    <w:rsid w:val="00630109"/>
    <w:rsid w:val="00630C3B"/>
    <w:rsid w:val="00630EB5"/>
    <w:rsid w:val="0063120F"/>
    <w:rsid w:val="006313FC"/>
    <w:rsid w:val="00631AF7"/>
    <w:rsid w:val="00631CA6"/>
    <w:rsid w:val="00631E51"/>
    <w:rsid w:val="0063227B"/>
    <w:rsid w:val="006329B1"/>
    <w:rsid w:val="00632A61"/>
    <w:rsid w:val="00632AFC"/>
    <w:rsid w:val="00633158"/>
    <w:rsid w:val="006333EB"/>
    <w:rsid w:val="00633440"/>
    <w:rsid w:val="00634019"/>
    <w:rsid w:val="00634A29"/>
    <w:rsid w:val="00634A93"/>
    <w:rsid w:val="00634D11"/>
    <w:rsid w:val="00634F35"/>
    <w:rsid w:val="0063507E"/>
    <w:rsid w:val="00635663"/>
    <w:rsid w:val="00636B2C"/>
    <w:rsid w:val="00636D98"/>
    <w:rsid w:val="006374FD"/>
    <w:rsid w:val="006376DA"/>
    <w:rsid w:val="0064036B"/>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647"/>
    <w:rsid w:val="00645A2A"/>
    <w:rsid w:val="00645D17"/>
    <w:rsid w:val="00645E87"/>
    <w:rsid w:val="00645F05"/>
    <w:rsid w:val="0064644B"/>
    <w:rsid w:val="006469AB"/>
    <w:rsid w:val="006476BA"/>
    <w:rsid w:val="006478BF"/>
    <w:rsid w:val="00647CA4"/>
    <w:rsid w:val="00650307"/>
    <w:rsid w:val="00650A25"/>
    <w:rsid w:val="0065112D"/>
    <w:rsid w:val="0065176B"/>
    <w:rsid w:val="006518BF"/>
    <w:rsid w:val="00651F77"/>
    <w:rsid w:val="0065224E"/>
    <w:rsid w:val="0065245A"/>
    <w:rsid w:val="006527D8"/>
    <w:rsid w:val="0065377C"/>
    <w:rsid w:val="00653BA6"/>
    <w:rsid w:val="006541E0"/>
    <w:rsid w:val="006541EE"/>
    <w:rsid w:val="006543B5"/>
    <w:rsid w:val="006544A8"/>
    <w:rsid w:val="00654B24"/>
    <w:rsid w:val="00655061"/>
    <w:rsid w:val="00655A21"/>
    <w:rsid w:val="00655BCD"/>
    <w:rsid w:val="00656977"/>
    <w:rsid w:val="00656A73"/>
    <w:rsid w:val="00656B3E"/>
    <w:rsid w:val="00656D1A"/>
    <w:rsid w:val="00656F98"/>
    <w:rsid w:val="006576BA"/>
    <w:rsid w:val="0065774C"/>
    <w:rsid w:val="006603C0"/>
    <w:rsid w:val="00660AE0"/>
    <w:rsid w:val="00660B19"/>
    <w:rsid w:val="00660EB3"/>
    <w:rsid w:val="00660FF8"/>
    <w:rsid w:val="00661029"/>
    <w:rsid w:val="00661318"/>
    <w:rsid w:val="00662101"/>
    <w:rsid w:val="00662537"/>
    <w:rsid w:val="00662695"/>
    <w:rsid w:val="00662B06"/>
    <w:rsid w:val="00662D1D"/>
    <w:rsid w:val="00662D66"/>
    <w:rsid w:val="00662FC2"/>
    <w:rsid w:val="00663140"/>
    <w:rsid w:val="00664990"/>
    <w:rsid w:val="00665037"/>
    <w:rsid w:val="006651EA"/>
    <w:rsid w:val="006656B7"/>
    <w:rsid w:val="00665729"/>
    <w:rsid w:val="0066588A"/>
    <w:rsid w:val="00665B24"/>
    <w:rsid w:val="0066606A"/>
    <w:rsid w:val="0066657D"/>
    <w:rsid w:val="006665D1"/>
    <w:rsid w:val="00666779"/>
    <w:rsid w:val="0066695D"/>
    <w:rsid w:val="00666B64"/>
    <w:rsid w:val="00666EF1"/>
    <w:rsid w:val="00666F17"/>
    <w:rsid w:val="006675E6"/>
    <w:rsid w:val="006676B5"/>
    <w:rsid w:val="0066772A"/>
    <w:rsid w:val="0066792A"/>
    <w:rsid w:val="006706C3"/>
    <w:rsid w:val="006708A6"/>
    <w:rsid w:val="00670C28"/>
    <w:rsid w:val="00670D1E"/>
    <w:rsid w:val="006723AA"/>
    <w:rsid w:val="00672C4E"/>
    <w:rsid w:val="00672FA1"/>
    <w:rsid w:val="0067306D"/>
    <w:rsid w:val="006730FA"/>
    <w:rsid w:val="00673AE3"/>
    <w:rsid w:val="00674366"/>
    <w:rsid w:val="00674537"/>
    <w:rsid w:val="00674867"/>
    <w:rsid w:val="00674F55"/>
    <w:rsid w:val="006750B4"/>
    <w:rsid w:val="0067572B"/>
    <w:rsid w:val="006757DA"/>
    <w:rsid w:val="00675FF1"/>
    <w:rsid w:val="00677996"/>
    <w:rsid w:val="006779DC"/>
    <w:rsid w:val="00677BE9"/>
    <w:rsid w:val="006807C9"/>
    <w:rsid w:val="00680ED3"/>
    <w:rsid w:val="00682053"/>
    <w:rsid w:val="00682966"/>
    <w:rsid w:val="006829EA"/>
    <w:rsid w:val="00682A9D"/>
    <w:rsid w:val="00682C5E"/>
    <w:rsid w:val="00683100"/>
    <w:rsid w:val="00683302"/>
    <w:rsid w:val="006835D2"/>
    <w:rsid w:val="0068376E"/>
    <w:rsid w:val="006838D5"/>
    <w:rsid w:val="00684BC4"/>
    <w:rsid w:val="00684D67"/>
    <w:rsid w:val="00684DFA"/>
    <w:rsid w:val="00685F62"/>
    <w:rsid w:val="00686289"/>
    <w:rsid w:val="00686852"/>
    <w:rsid w:val="0068775B"/>
    <w:rsid w:val="006877A3"/>
    <w:rsid w:val="00687B91"/>
    <w:rsid w:val="006902EF"/>
    <w:rsid w:val="00690A4B"/>
    <w:rsid w:val="00691A8E"/>
    <w:rsid w:val="00692E89"/>
    <w:rsid w:val="00692EEC"/>
    <w:rsid w:val="006935F4"/>
    <w:rsid w:val="00693F47"/>
    <w:rsid w:val="00694C42"/>
    <w:rsid w:val="00695413"/>
    <w:rsid w:val="0069594D"/>
    <w:rsid w:val="0069686A"/>
    <w:rsid w:val="00696AD4"/>
    <w:rsid w:val="00696D5A"/>
    <w:rsid w:val="0069713B"/>
    <w:rsid w:val="00697AD1"/>
    <w:rsid w:val="00697AD9"/>
    <w:rsid w:val="00697C65"/>
    <w:rsid w:val="006A04BB"/>
    <w:rsid w:val="006A0956"/>
    <w:rsid w:val="006A0C72"/>
    <w:rsid w:val="006A0D57"/>
    <w:rsid w:val="006A15E5"/>
    <w:rsid w:val="006A17BA"/>
    <w:rsid w:val="006A1EEA"/>
    <w:rsid w:val="006A2A83"/>
    <w:rsid w:val="006A2CD9"/>
    <w:rsid w:val="006A2EE6"/>
    <w:rsid w:val="006A30C7"/>
    <w:rsid w:val="006A347B"/>
    <w:rsid w:val="006A4712"/>
    <w:rsid w:val="006A49BC"/>
    <w:rsid w:val="006A5063"/>
    <w:rsid w:val="006A53DD"/>
    <w:rsid w:val="006A565F"/>
    <w:rsid w:val="006A5A62"/>
    <w:rsid w:val="006A6BEB"/>
    <w:rsid w:val="006A702C"/>
    <w:rsid w:val="006A703F"/>
    <w:rsid w:val="006A73C1"/>
    <w:rsid w:val="006A7C74"/>
    <w:rsid w:val="006B00DA"/>
    <w:rsid w:val="006B0449"/>
    <w:rsid w:val="006B1050"/>
    <w:rsid w:val="006B1A25"/>
    <w:rsid w:val="006B2290"/>
    <w:rsid w:val="006B25CA"/>
    <w:rsid w:val="006B2702"/>
    <w:rsid w:val="006B279E"/>
    <w:rsid w:val="006B2859"/>
    <w:rsid w:val="006B2A38"/>
    <w:rsid w:val="006B397B"/>
    <w:rsid w:val="006B3AA7"/>
    <w:rsid w:val="006B3ACC"/>
    <w:rsid w:val="006B4366"/>
    <w:rsid w:val="006B43C1"/>
    <w:rsid w:val="006B482C"/>
    <w:rsid w:val="006B4BF2"/>
    <w:rsid w:val="006B570A"/>
    <w:rsid w:val="006B5FE3"/>
    <w:rsid w:val="006B62CA"/>
    <w:rsid w:val="006B63E5"/>
    <w:rsid w:val="006B6B2D"/>
    <w:rsid w:val="006B740A"/>
    <w:rsid w:val="006B7FBA"/>
    <w:rsid w:val="006C0446"/>
    <w:rsid w:val="006C05F9"/>
    <w:rsid w:val="006C0881"/>
    <w:rsid w:val="006C0EE3"/>
    <w:rsid w:val="006C208D"/>
    <w:rsid w:val="006C2FF4"/>
    <w:rsid w:val="006C306E"/>
    <w:rsid w:val="006C3427"/>
    <w:rsid w:val="006C356F"/>
    <w:rsid w:val="006C35A8"/>
    <w:rsid w:val="006C3702"/>
    <w:rsid w:val="006C3B25"/>
    <w:rsid w:val="006C54E9"/>
    <w:rsid w:val="006C5724"/>
    <w:rsid w:val="006C5E4B"/>
    <w:rsid w:val="006C5E61"/>
    <w:rsid w:val="006C5EEE"/>
    <w:rsid w:val="006C660C"/>
    <w:rsid w:val="006C74A1"/>
    <w:rsid w:val="006C76F6"/>
    <w:rsid w:val="006C77F2"/>
    <w:rsid w:val="006C79E1"/>
    <w:rsid w:val="006D0423"/>
    <w:rsid w:val="006D0433"/>
    <w:rsid w:val="006D0AF5"/>
    <w:rsid w:val="006D0DE2"/>
    <w:rsid w:val="006D154A"/>
    <w:rsid w:val="006D17BF"/>
    <w:rsid w:val="006D1B9C"/>
    <w:rsid w:val="006D363A"/>
    <w:rsid w:val="006D434B"/>
    <w:rsid w:val="006D456F"/>
    <w:rsid w:val="006D4E72"/>
    <w:rsid w:val="006D4EF9"/>
    <w:rsid w:val="006D5364"/>
    <w:rsid w:val="006D57D3"/>
    <w:rsid w:val="006D57FC"/>
    <w:rsid w:val="006D645E"/>
    <w:rsid w:val="006D693E"/>
    <w:rsid w:val="006D69BA"/>
    <w:rsid w:val="006D7269"/>
    <w:rsid w:val="006D78F8"/>
    <w:rsid w:val="006D7A03"/>
    <w:rsid w:val="006E0790"/>
    <w:rsid w:val="006E0826"/>
    <w:rsid w:val="006E1242"/>
    <w:rsid w:val="006E13D8"/>
    <w:rsid w:val="006E1438"/>
    <w:rsid w:val="006E1938"/>
    <w:rsid w:val="006E1DBC"/>
    <w:rsid w:val="006E20BC"/>
    <w:rsid w:val="006E2376"/>
    <w:rsid w:val="006E2F52"/>
    <w:rsid w:val="006E331C"/>
    <w:rsid w:val="006E5382"/>
    <w:rsid w:val="006E5413"/>
    <w:rsid w:val="006E5F77"/>
    <w:rsid w:val="006E60A3"/>
    <w:rsid w:val="006E686D"/>
    <w:rsid w:val="006E70A8"/>
    <w:rsid w:val="006E7922"/>
    <w:rsid w:val="006E7BE6"/>
    <w:rsid w:val="006F066B"/>
    <w:rsid w:val="006F2125"/>
    <w:rsid w:val="006F2257"/>
    <w:rsid w:val="006F2483"/>
    <w:rsid w:val="006F2959"/>
    <w:rsid w:val="006F2F2F"/>
    <w:rsid w:val="006F3967"/>
    <w:rsid w:val="006F39BE"/>
    <w:rsid w:val="006F403E"/>
    <w:rsid w:val="006F478A"/>
    <w:rsid w:val="006F4A9E"/>
    <w:rsid w:val="006F5914"/>
    <w:rsid w:val="006F5A6B"/>
    <w:rsid w:val="006F5E1E"/>
    <w:rsid w:val="006F6BA7"/>
    <w:rsid w:val="006F6F9B"/>
    <w:rsid w:val="006F71DD"/>
    <w:rsid w:val="006F782D"/>
    <w:rsid w:val="006F79EC"/>
    <w:rsid w:val="006F7CD2"/>
    <w:rsid w:val="006F7E4A"/>
    <w:rsid w:val="00700258"/>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2DF"/>
    <w:rsid w:val="007127A9"/>
    <w:rsid w:val="00712B2D"/>
    <w:rsid w:val="00712F66"/>
    <w:rsid w:val="00713E40"/>
    <w:rsid w:val="00714AC7"/>
    <w:rsid w:val="00714C48"/>
    <w:rsid w:val="00714D71"/>
    <w:rsid w:val="00715461"/>
    <w:rsid w:val="00715D2A"/>
    <w:rsid w:val="00716C5D"/>
    <w:rsid w:val="00717D88"/>
    <w:rsid w:val="00720485"/>
    <w:rsid w:val="007204C6"/>
    <w:rsid w:val="00720FD7"/>
    <w:rsid w:val="00721101"/>
    <w:rsid w:val="00721406"/>
    <w:rsid w:val="007214FE"/>
    <w:rsid w:val="0072168E"/>
    <w:rsid w:val="007217AB"/>
    <w:rsid w:val="00722EBD"/>
    <w:rsid w:val="007232EB"/>
    <w:rsid w:val="0072346F"/>
    <w:rsid w:val="00723AB4"/>
    <w:rsid w:val="00723B73"/>
    <w:rsid w:val="007240D6"/>
    <w:rsid w:val="0072500B"/>
    <w:rsid w:val="00725C24"/>
    <w:rsid w:val="00726A43"/>
    <w:rsid w:val="00726FE3"/>
    <w:rsid w:val="00727768"/>
    <w:rsid w:val="00727AC8"/>
    <w:rsid w:val="00727DCB"/>
    <w:rsid w:val="00730872"/>
    <w:rsid w:val="00731095"/>
    <w:rsid w:val="0073121D"/>
    <w:rsid w:val="0073134A"/>
    <w:rsid w:val="007313D6"/>
    <w:rsid w:val="00731441"/>
    <w:rsid w:val="007319D1"/>
    <w:rsid w:val="00731EF6"/>
    <w:rsid w:val="0073282A"/>
    <w:rsid w:val="0073298F"/>
    <w:rsid w:val="00733557"/>
    <w:rsid w:val="0073416F"/>
    <w:rsid w:val="00734266"/>
    <w:rsid w:val="0073451B"/>
    <w:rsid w:val="00735779"/>
    <w:rsid w:val="00735A5B"/>
    <w:rsid w:val="00735B31"/>
    <w:rsid w:val="00735C8F"/>
    <w:rsid w:val="00736A35"/>
    <w:rsid w:val="00737A89"/>
    <w:rsid w:val="00737E04"/>
    <w:rsid w:val="00737E1C"/>
    <w:rsid w:val="007409F6"/>
    <w:rsid w:val="00740C74"/>
    <w:rsid w:val="00741D2C"/>
    <w:rsid w:val="00741EDF"/>
    <w:rsid w:val="007422BE"/>
    <w:rsid w:val="0074230C"/>
    <w:rsid w:val="0074252A"/>
    <w:rsid w:val="007426C4"/>
    <w:rsid w:val="007429BE"/>
    <w:rsid w:val="0074308C"/>
    <w:rsid w:val="00743135"/>
    <w:rsid w:val="0074337A"/>
    <w:rsid w:val="00743CBC"/>
    <w:rsid w:val="00743E34"/>
    <w:rsid w:val="00744246"/>
    <w:rsid w:val="007447A5"/>
    <w:rsid w:val="00744D80"/>
    <w:rsid w:val="00745242"/>
    <w:rsid w:val="00746C5B"/>
    <w:rsid w:val="00746DA6"/>
    <w:rsid w:val="00746FE7"/>
    <w:rsid w:val="00750EEB"/>
    <w:rsid w:val="00750F8A"/>
    <w:rsid w:val="007510DB"/>
    <w:rsid w:val="00751485"/>
    <w:rsid w:val="00752351"/>
    <w:rsid w:val="007523F7"/>
    <w:rsid w:val="0075258C"/>
    <w:rsid w:val="00752C52"/>
    <w:rsid w:val="007542D3"/>
    <w:rsid w:val="00754842"/>
    <w:rsid w:val="00755407"/>
    <w:rsid w:val="00755A92"/>
    <w:rsid w:val="00755C14"/>
    <w:rsid w:val="00756324"/>
    <w:rsid w:val="00756A8C"/>
    <w:rsid w:val="00756B28"/>
    <w:rsid w:val="007573D3"/>
    <w:rsid w:val="007575F6"/>
    <w:rsid w:val="00760A2C"/>
    <w:rsid w:val="00761355"/>
    <w:rsid w:val="007613BC"/>
    <w:rsid w:val="007616A4"/>
    <w:rsid w:val="00761773"/>
    <w:rsid w:val="00761C57"/>
    <w:rsid w:val="00761DF4"/>
    <w:rsid w:val="00762161"/>
    <w:rsid w:val="00762393"/>
    <w:rsid w:val="007632A6"/>
    <w:rsid w:val="00763515"/>
    <w:rsid w:val="00763599"/>
    <w:rsid w:val="007649CB"/>
    <w:rsid w:val="00764ABC"/>
    <w:rsid w:val="00764CE4"/>
    <w:rsid w:val="00764D8D"/>
    <w:rsid w:val="00764E65"/>
    <w:rsid w:val="00764EC6"/>
    <w:rsid w:val="00764F75"/>
    <w:rsid w:val="0076512C"/>
    <w:rsid w:val="0076552F"/>
    <w:rsid w:val="00765F4B"/>
    <w:rsid w:val="00766E76"/>
    <w:rsid w:val="007676FA"/>
    <w:rsid w:val="007711B9"/>
    <w:rsid w:val="0077262E"/>
    <w:rsid w:val="007729F2"/>
    <w:rsid w:val="00772CB9"/>
    <w:rsid w:val="00772DF3"/>
    <w:rsid w:val="007732B4"/>
    <w:rsid w:val="00773C5A"/>
    <w:rsid w:val="007744D4"/>
    <w:rsid w:val="00774CC4"/>
    <w:rsid w:val="00774E8A"/>
    <w:rsid w:val="007750A3"/>
    <w:rsid w:val="00775A85"/>
    <w:rsid w:val="00775A94"/>
    <w:rsid w:val="00775FCD"/>
    <w:rsid w:val="007763D6"/>
    <w:rsid w:val="00776686"/>
    <w:rsid w:val="0077716F"/>
    <w:rsid w:val="00777813"/>
    <w:rsid w:val="0077790C"/>
    <w:rsid w:val="0077792D"/>
    <w:rsid w:val="00777A6B"/>
    <w:rsid w:val="007800BC"/>
    <w:rsid w:val="00780711"/>
    <w:rsid w:val="00780ADD"/>
    <w:rsid w:val="00780EDE"/>
    <w:rsid w:val="00780F9A"/>
    <w:rsid w:val="00781027"/>
    <w:rsid w:val="00781E4A"/>
    <w:rsid w:val="00782D8C"/>
    <w:rsid w:val="00783806"/>
    <w:rsid w:val="007844EB"/>
    <w:rsid w:val="00785913"/>
    <w:rsid w:val="00786056"/>
    <w:rsid w:val="007860A3"/>
    <w:rsid w:val="007862CC"/>
    <w:rsid w:val="00786463"/>
    <w:rsid w:val="007864A1"/>
    <w:rsid w:val="007864C9"/>
    <w:rsid w:val="007874AE"/>
    <w:rsid w:val="00790D26"/>
    <w:rsid w:val="00791212"/>
    <w:rsid w:val="007913F2"/>
    <w:rsid w:val="00791F27"/>
    <w:rsid w:val="00792316"/>
    <w:rsid w:val="00792944"/>
    <w:rsid w:val="00792A42"/>
    <w:rsid w:val="00792A70"/>
    <w:rsid w:val="0079387C"/>
    <w:rsid w:val="007942D3"/>
    <w:rsid w:val="00794A98"/>
    <w:rsid w:val="00794FB2"/>
    <w:rsid w:val="007954E5"/>
    <w:rsid w:val="0079572C"/>
    <w:rsid w:val="00795E50"/>
    <w:rsid w:val="0079691C"/>
    <w:rsid w:val="007969B3"/>
    <w:rsid w:val="00796D29"/>
    <w:rsid w:val="00796DA6"/>
    <w:rsid w:val="007972D2"/>
    <w:rsid w:val="0079782B"/>
    <w:rsid w:val="0079782D"/>
    <w:rsid w:val="00797ACE"/>
    <w:rsid w:val="007A0284"/>
    <w:rsid w:val="007A0CB4"/>
    <w:rsid w:val="007A1172"/>
    <w:rsid w:val="007A1A53"/>
    <w:rsid w:val="007A1E08"/>
    <w:rsid w:val="007A2A30"/>
    <w:rsid w:val="007A2F75"/>
    <w:rsid w:val="007A4403"/>
    <w:rsid w:val="007A48AF"/>
    <w:rsid w:val="007A4A58"/>
    <w:rsid w:val="007A4B88"/>
    <w:rsid w:val="007A4D35"/>
    <w:rsid w:val="007A4DB3"/>
    <w:rsid w:val="007A5EDA"/>
    <w:rsid w:val="007A6915"/>
    <w:rsid w:val="007A69A4"/>
    <w:rsid w:val="007A69AF"/>
    <w:rsid w:val="007A6B64"/>
    <w:rsid w:val="007B0166"/>
    <w:rsid w:val="007B01B8"/>
    <w:rsid w:val="007B0528"/>
    <w:rsid w:val="007B1230"/>
    <w:rsid w:val="007B202D"/>
    <w:rsid w:val="007B2099"/>
    <w:rsid w:val="007B24BC"/>
    <w:rsid w:val="007B2D19"/>
    <w:rsid w:val="007B2E08"/>
    <w:rsid w:val="007B3689"/>
    <w:rsid w:val="007B3CF9"/>
    <w:rsid w:val="007B4CC8"/>
    <w:rsid w:val="007B4F98"/>
    <w:rsid w:val="007B518A"/>
    <w:rsid w:val="007B54E4"/>
    <w:rsid w:val="007B58F3"/>
    <w:rsid w:val="007B595B"/>
    <w:rsid w:val="007B5E2A"/>
    <w:rsid w:val="007B5FF2"/>
    <w:rsid w:val="007B6C09"/>
    <w:rsid w:val="007B7105"/>
    <w:rsid w:val="007B7697"/>
    <w:rsid w:val="007B7741"/>
    <w:rsid w:val="007B7D2D"/>
    <w:rsid w:val="007B7F2C"/>
    <w:rsid w:val="007C030F"/>
    <w:rsid w:val="007C07EC"/>
    <w:rsid w:val="007C083D"/>
    <w:rsid w:val="007C1493"/>
    <w:rsid w:val="007C1F31"/>
    <w:rsid w:val="007C1FC0"/>
    <w:rsid w:val="007C28C7"/>
    <w:rsid w:val="007C2E75"/>
    <w:rsid w:val="007C3651"/>
    <w:rsid w:val="007C4951"/>
    <w:rsid w:val="007C5757"/>
    <w:rsid w:val="007C5837"/>
    <w:rsid w:val="007C5AF6"/>
    <w:rsid w:val="007C5F77"/>
    <w:rsid w:val="007C6E46"/>
    <w:rsid w:val="007C70F9"/>
    <w:rsid w:val="007C7109"/>
    <w:rsid w:val="007C728C"/>
    <w:rsid w:val="007C76AC"/>
    <w:rsid w:val="007C7F0A"/>
    <w:rsid w:val="007D05DC"/>
    <w:rsid w:val="007D0710"/>
    <w:rsid w:val="007D0EF1"/>
    <w:rsid w:val="007D1A26"/>
    <w:rsid w:val="007D2098"/>
    <w:rsid w:val="007D277F"/>
    <w:rsid w:val="007D2A91"/>
    <w:rsid w:val="007D2B49"/>
    <w:rsid w:val="007D36B4"/>
    <w:rsid w:val="007D39C7"/>
    <w:rsid w:val="007D3BD0"/>
    <w:rsid w:val="007D412A"/>
    <w:rsid w:val="007D4376"/>
    <w:rsid w:val="007D4646"/>
    <w:rsid w:val="007D4B2D"/>
    <w:rsid w:val="007D5A6D"/>
    <w:rsid w:val="007D5FB7"/>
    <w:rsid w:val="007D67C0"/>
    <w:rsid w:val="007D6D6B"/>
    <w:rsid w:val="007D73E7"/>
    <w:rsid w:val="007D76B3"/>
    <w:rsid w:val="007D76E0"/>
    <w:rsid w:val="007D7F30"/>
    <w:rsid w:val="007E08C5"/>
    <w:rsid w:val="007E09DA"/>
    <w:rsid w:val="007E0CA1"/>
    <w:rsid w:val="007E0F23"/>
    <w:rsid w:val="007E0F8A"/>
    <w:rsid w:val="007E130D"/>
    <w:rsid w:val="007E1D8E"/>
    <w:rsid w:val="007E1F4D"/>
    <w:rsid w:val="007E2241"/>
    <w:rsid w:val="007E241E"/>
    <w:rsid w:val="007E2FA5"/>
    <w:rsid w:val="007E3442"/>
    <w:rsid w:val="007E3549"/>
    <w:rsid w:val="007E3ED0"/>
    <w:rsid w:val="007E4394"/>
    <w:rsid w:val="007E4541"/>
    <w:rsid w:val="007E454F"/>
    <w:rsid w:val="007E4F27"/>
    <w:rsid w:val="007E5528"/>
    <w:rsid w:val="007E5D28"/>
    <w:rsid w:val="007E5DBE"/>
    <w:rsid w:val="007E5FD8"/>
    <w:rsid w:val="007E60BE"/>
    <w:rsid w:val="007E67F7"/>
    <w:rsid w:val="007E6938"/>
    <w:rsid w:val="007E6CAC"/>
    <w:rsid w:val="007E6F32"/>
    <w:rsid w:val="007E707C"/>
    <w:rsid w:val="007E70FC"/>
    <w:rsid w:val="007E7147"/>
    <w:rsid w:val="007E74B5"/>
    <w:rsid w:val="007E7583"/>
    <w:rsid w:val="007E7999"/>
    <w:rsid w:val="007F068F"/>
    <w:rsid w:val="007F11A8"/>
    <w:rsid w:val="007F1477"/>
    <w:rsid w:val="007F21D9"/>
    <w:rsid w:val="007F296A"/>
    <w:rsid w:val="007F32C8"/>
    <w:rsid w:val="007F34D2"/>
    <w:rsid w:val="007F36C4"/>
    <w:rsid w:val="007F3CF0"/>
    <w:rsid w:val="007F435F"/>
    <w:rsid w:val="007F462E"/>
    <w:rsid w:val="007F491E"/>
    <w:rsid w:val="007F50FA"/>
    <w:rsid w:val="007F6654"/>
    <w:rsid w:val="007F67E9"/>
    <w:rsid w:val="007F692F"/>
    <w:rsid w:val="007F6B9D"/>
    <w:rsid w:val="007F718D"/>
    <w:rsid w:val="007F75C9"/>
    <w:rsid w:val="007F7EFE"/>
    <w:rsid w:val="00800591"/>
    <w:rsid w:val="00800989"/>
    <w:rsid w:val="00800F66"/>
    <w:rsid w:val="008018A4"/>
    <w:rsid w:val="00801927"/>
    <w:rsid w:val="00801FAD"/>
    <w:rsid w:val="0080238D"/>
    <w:rsid w:val="00802B9F"/>
    <w:rsid w:val="00802DEE"/>
    <w:rsid w:val="00802FD7"/>
    <w:rsid w:val="0080339C"/>
    <w:rsid w:val="00803810"/>
    <w:rsid w:val="00804169"/>
    <w:rsid w:val="008044A5"/>
    <w:rsid w:val="00804669"/>
    <w:rsid w:val="00804B11"/>
    <w:rsid w:val="00805DFC"/>
    <w:rsid w:val="008066ED"/>
    <w:rsid w:val="00806829"/>
    <w:rsid w:val="00807DC3"/>
    <w:rsid w:val="00810A99"/>
    <w:rsid w:val="00810D5C"/>
    <w:rsid w:val="00810F59"/>
    <w:rsid w:val="008110B0"/>
    <w:rsid w:val="0081157C"/>
    <w:rsid w:val="00811F21"/>
    <w:rsid w:val="008121E0"/>
    <w:rsid w:val="00812AA8"/>
    <w:rsid w:val="008130D6"/>
    <w:rsid w:val="008136B3"/>
    <w:rsid w:val="00813AEA"/>
    <w:rsid w:val="0081407C"/>
    <w:rsid w:val="0081428F"/>
    <w:rsid w:val="008142E8"/>
    <w:rsid w:val="0081466A"/>
    <w:rsid w:val="008147CA"/>
    <w:rsid w:val="00814A45"/>
    <w:rsid w:val="00814F1F"/>
    <w:rsid w:val="0081533F"/>
    <w:rsid w:val="00815374"/>
    <w:rsid w:val="008153C5"/>
    <w:rsid w:val="00815901"/>
    <w:rsid w:val="008178B6"/>
    <w:rsid w:val="008178B8"/>
    <w:rsid w:val="008200A8"/>
    <w:rsid w:val="008200E2"/>
    <w:rsid w:val="008202E5"/>
    <w:rsid w:val="00820399"/>
    <w:rsid w:val="00820561"/>
    <w:rsid w:val="00820577"/>
    <w:rsid w:val="008212BA"/>
    <w:rsid w:val="008215AA"/>
    <w:rsid w:val="008215F9"/>
    <w:rsid w:val="00821747"/>
    <w:rsid w:val="00821FB1"/>
    <w:rsid w:val="00822020"/>
    <w:rsid w:val="00822627"/>
    <w:rsid w:val="00822E1F"/>
    <w:rsid w:val="00823746"/>
    <w:rsid w:val="00823A71"/>
    <w:rsid w:val="00824A1C"/>
    <w:rsid w:val="00825186"/>
    <w:rsid w:val="008259E3"/>
    <w:rsid w:val="00825CB7"/>
    <w:rsid w:val="00825FB6"/>
    <w:rsid w:val="00826821"/>
    <w:rsid w:val="00826A67"/>
    <w:rsid w:val="00826BFD"/>
    <w:rsid w:val="00826C05"/>
    <w:rsid w:val="00826C44"/>
    <w:rsid w:val="0082712B"/>
    <w:rsid w:val="0082769C"/>
    <w:rsid w:val="008278A1"/>
    <w:rsid w:val="008278DA"/>
    <w:rsid w:val="00827AAD"/>
    <w:rsid w:val="00827FED"/>
    <w:rsid w:val="0083009C"/>
    <w:rsid w:val="008305AC"/>
    <w:rsid w:val="00830D1F"/>
    <w:rsid w:val="008310CB"/>
    <w:rsid w:val="00831B03"/>
    <w:rsid w:val="008327CA"/>
    <w:rsid w:val="00832D13"/>
    <w:rsid w:val="00833003"/>
    <w:rsid w:val="0083300A"/>
    <w:rsid w:val="00833AD8"/>
    <w:rsid w:val="00833BAE"/>
    <w:rsid w:val="00834069"/>
    <w:rsid w:val="008340C9"/>
    <w:rsid w:val="0083473B"/>
    <w:rsid w:val="00835029"/>
    <w:rsid w:val="0083508D"/>
    <w:rsid w:val="0083556A"/>
    <w:rsid w:val="00835A09"/>
    <w:rsid w:val="00835AA1"/>
    <w:rsid w:val="008360AD"/>
    <w:rsid w:val="008362E2"/>
    <w:rsid w:val="008368C2"/>
    <w:rsid w:val="00836FBA"/>
    <w:rsid w:val="008373B6"/>
    <w:rsid w:val="0083777E"/>
    <w:rsid w:val="0083782F"/>
    <w:rsid w:val="00837BC2"/>
    <w:rsid w:val="008409E5"/>
    <w:rsid w:val="00841263"/>
    <w:rsid w:val="00841339"/>
    <w:rsid w:val="00841BD4"/>
    <w:rsid w:val="008421EE"/>
    <w:rsid w:val="00842648"/>
    <w:rsid w:val="008426BB"/>
    <w:rsid w:val="00842D79"/>
    <w:rsid w:val="00843586"/>
    <w:rsid w:val="008435C8"/>
    <w:rsid w:val="008447AE"/>
    <w:rsid w:val="00845060"/>
    <w:rsid w:val="0084591D"/>
    <w:rsid w:val="00845C03"/>
    <w:rsid w:val="00845C05"/>
    <w:rsid w:val="00845FEE"/>
    <w:rsid w:val="00846228"/>
    <w:rsid w:val="00846421"/>
    <w:rsid w:val="0084696F"/>
    <w:rsid w:val="00846C95"/>
    <w:rsid w:val="00847190"/>
    <w:rsid w:val="008471B2"/>
    <w:rsid w:val="00847DE6"/>
    <w:rsid w:val="008500A7"/>
    <w:rsid w:val="00850E55"/>
    <w:rsid w:val="00850F5D"/>
    <w:rsid w:val="0085100E"/>
    <w:rsid w:val="0085181A"/>
    <w:rsid w:val="00851CA2"/>
    <w:rsid w:val="00851F5E"/>
    <w:rsid w:val="008520FF"/>
    <w:rsid w:val="00852609"/>
    <w:rsid w:val="00852625"/>
    <w:rsid w:val="00852A49"/>
    <w:rsid w:val="00852A66"/>
    <w:rsid w:val="0085313A"/>
    <w:rsid w:val="00853ACB"/>
    <w:rsid w:val="00854311"/>
    <w:rsid w:val="00854C11"/>
    <w:rsid w:val="008551CE"/>
    <w:rsid w:val="008553E5"/>
    <w:rsid w:val="0085586B"/>
    <w:rsid w:val="00856112"/>
    <w:rsid w:val="00856616"/>
    <w:rsid w:val="008569F2"/>
    <w:rsid w:val="0085732E"/>
    <w:rsid w:val="00857B45"/>
    <w:rsid w:val="00857C57"/>
    <w:rsid w:val="00857F61"/>
    <w:rsid w:val="008604FD"/>
    <w:rsid w:val="0086095B"/>
    <w:rsid w:val="008609F0"/>
    <w:rsid w:val="0086106A"/>
    <w:rsid w:val="00861529"/>
    <w:rsid w:val="00861F0E"/>
    <w:rsid w:val="00862444"/>
    <w:rsid w:val="00862624"/>
    <w:rsid w:val="008630B8"/>
    <w:rsid w:val="0086341A"/>
    <w:rsid w:val="00863546"/>
    <w:rsid w:val="00863863"/>
    <w:rsid w:val="00865B74"/>
    <w:rsid w:val="00865E63"/>
    <w:rsid w:val="00865FB2"/>
    <w:rsid w:val="00866063"/>
    <w:rsid w:val="00866727"/>
    <w:rsid w:val="0086723D"/>
    <w:rsid w:val="0086760C"/>
    <w:rsid w:val="008678A7"/>
    <w:rsid w:val="00867B10"/>
    <w:rsid w:val="00870288"/>
    <w:rsid w:val="008703F1"/>
    <w:rsid w:val="00870483"/>
    <w:rsid w:val="008706CF"/>
    <w:rsid w:val="008708BD"/>
    <w:rsid w:val="00870DFA"/>
    <w:rsid w:val="008710B3"/>
    <w:rsid w:val="008713FD"/>
    <w:rsid w:val="00871850"/>
    <w:rsid w:val="00872596"/>
    <w:rsid w:val="00872618"/>
    <w:rsid w:val="00872A84"/>
    <w:rsid w:val="00872FA8"/>
    <w:rsid w:val="00873026"/>
    <w:rsid w:val="00873EB1"/>
    <w:rsid w:val="008740CB"/>
    <w:rsid w:val="00874690"/>
    <w:rsid w:val="008751AA"/>
    <w:rsid w:val="00875A82"/>
    <w:rsid w:val="008760C4"/>
    <w:rsid w:val="00877A24"/>
    <w:rsid w:val="00880002"/>
    <w:rsid w:val="008810BD"/>
    <w:rsid w:val="00881245"/>
    <w:rsid w:val="0088168B"/>
    <w:rsid w:val="00881A24"/>
    <w:rsid w:val="00881E1B"/>
    <w:rsid w:val="008830E4"/>
    <w:rsid w:val="008838F5"/>
    <w:rsid w:val="00883D98"/>
    <w:rsid w:val="00883DBE"/>
    <w:rsid w:val="00883DE5"/>
    <w:rsid w:val="00883FE9"/>
    <w:rsid w:val="0088400E"/>
    <w:rsid w:val="008850EA"/>
    <w:rsid w:val="008856FC"/>
    <w:rsid w:val="00885DCA"/>
    <w:rsid w:val="00885DCF"/>
    <w:rsid w:val="008864EF"/>
    <w:rsid w:val="008866E2"/>
    <w:rsid w:val="008868F4"/>
    <w:rsid w:val="008873D0"/>
    <w:rsid w:val="0088788F"/>
    <w:rsid w:val="00890620"/>
    <w:rsid w:val="0089114E"/>
    <w:rsid w:val="00891372"/>
    <w:rsid w:val="00893CAB"/>
    <w:rsid w:val="008945BB"/>
    <w:rsid w:val="00895724"/>
    <w:rsid w:val="00896105"/>
    <w:rsid w:val="00896114"/>
    <w:rsid w:val="0089656D"/>
    <w:rsid w:val="00896B02"/>
    <w:rsid w:val="008974F0"/>
    <w:rsid w:val="00897837"/>
    <w:rsid w:val="008A036C"/>
    <w:rsid w:val="008A0742"/>
    <w:rsid w:val="008A0E61"/>
    <w:rsid w:val="008A1301"/>
    <w:rsid w:val="008A1499"/>
    <w:rsid w:val="008A1509"/>
    <w:rsid w:val="008A175F"/>
    <w:rsid w:val="008A1999"/>
    <w:rsid w:val="008A19D7"/>
    <w:rsid w:val="008A1AA7"/>
    <w:rsid w:val="008A1E43"/>
    <w:rsid w:val="008A27DC"/>
    <w:rsid w:val="008A2853"/>
    <w:rsid w:val="008A2E99"/>
    <w:rsid w:val="008A3549"/>
    <w:rsid w:val="008A533B"/>
    <w:rsid w:val="008A5600"/>
    <w:rsid w:val="008A5B90"/>
    <w:rsid w:val="008A690E"/>
    <w:rsid w:val="008A6C81"/>
    <w:rsid w:val="008A6CF2"/>
    <w:rsid w:val="008A70CE"/>
    <w:rsid w:val="008A7149"/>
    <w:rsid w:val="008B012A"/>
    <w:rsid w:val="008B0B23"/>
    <w:rsid w:val="008B0D39"/>
    <w:rsid w:val="008B1BE1"/>
    <w:rsid w:val="008B2376"/>
    <w:rsid w:val="008B28DB"/>
    <w:rsid w:val="008B2A96"/>
    <w:rsid w:val="008B2D12"/>
    <w:rsid w:val="008B2DA6"/>
    <w:rsid w:val="008B2E95"/>
    <w:rsid w:val="008B3391"/>
    <w:rsid w:val="008B3479"/>
    <w:rsid w:val="008B3756"/>
    <w:rsid w:val="008B3803"/>
    <w:rsid w:val="008B3DAD"/>
    <w:rsid w:val="008B4472"/>
    <w:rsid w:val="008B471C"/>
    <w:rsid w:val="008B472D"/>
    <w:rsid w:val="008B6016"/>
    <w:rsid w:val="008B61DB"/>
    <w:rsid w:val="008B70F5"/>
    <w:rsid w:val="008B7BE4"/>
    <w:rsid w:val="008B7D7A"/>
    <w:rsid w:val="008C03BA"/>
    <w:rsid w:val="008C03F4"/>
    <w:rsid w:val="008C0680"/>
    <w:rsid w:val="008C0F1F"/>
    <w:rsid w:val="008C111D"/>
    <w:rsid w:val="008C1712"/>
    <w:rsid w:val="008C1F01"/>
    <w:rsid w:val="008C224F"/>
    <w:rsid w:val="008C2A01"/>
    <w:rsid w:val="008C33D2"/>
    <w:rsid w:val="008C3B13"/>
    <w:rsid w:val="008C3DBA"/>
    <w:rsid w:val="008C3E2E"/>
    <w:rsid w:val="008C40C5"/>
    <w:rsid w:val="008C419D"/>
    <w:rsid w:val="008C5162"/>
    <w:rsid w:val="008C575F"/>
    <w:rsid w:val="008C59A6"/>
    <w:rsid w:val="008C5B4F"/>
    <w:rsid w:val="008C6579"/>
    <w:rsid w:val="008C663C"/>
    <w:rsid w:val="008C69BA"/>
    <w:rsid w:val="008C6A9E"/>
    <w:rsid w:val="008C6C34"/>
    <w:rsid w:val="008C6CB4"/>
    <w:rsid w:val="008C6D23"/>
    <w:rsid w:val="008C7201"/>
    <w:rsid w:val="008C721E"/>
    <w:rsid w:val="008C79EA"/>
    <w:rsid w:val="008C7E52"/>
    <w:rsid w:val="008D00ED"/>
    <w:rsid w:val="008D0305"/>
    <w:rsid w:val="008D069C"/>
    <w:rsid w:val="008D0C5F"/>
    <w:rsid w:val="008D1A81"/>
    <w:rsid w:val="008D1B1B"/>
    <w:rsid w:val="008D25E1"/>
    <w:rsid w:val="008D2726"/>
    <w:rsid w:val="008D27FB"/>
    <w:rsid w:val="008D290A"/>
    <w:rsid w:val="008D2A80"/>
    <w:rsid w:val="008D36BB"/>
    <w:rsid w:val="008D3E6B"/>
    <w:rsid w:val="008D501B"/>
    <w:rsid w:val="008D5343"/>
    <w:rsid w:val="008D59B5"/>
    <w:rsid w:val="008D5B71"/>
    <w:rsid w:val="008D5E0B"/>
    <w:rsid w:val="008D6120"/>
    <w:rsid w:val="008D7967"/>
    <w:rsid w:val="008D79A0"/>
    <w:rsid w:val="008E03D9"/>
    <w:rsid w:val="008E06D6"/>
    <w:rsid w:val="008E0D39"/>
    <w:rsid w:val="008E11B2"/>
    <w:rsid w:val="008E16B4"/>
    <w:rsid w:val="008E1EA5"/>
    <w:rsid w:val="008E23FF"/>
    <w:rsid w:val="008E28FC"/>
    <w:rsid w:val="008E2B14"/>
    <w:rsid w:val="008E30CC"/>
    <w:rsid w:val="008E3A16"/>
    <w:rsid w:val="008E4363"/>
    <w:rsid w:val="008E4423"/>
    <w:rsid w:val="008E480D"/>
    <w:rsid w:val="008E51D3"/>
    <w:rsid w:val="008E53AA"/>
    <w:rsid w:val="008E5403"/>
    <w:rsid w:val="008E5DC6"/>
    <w:rsid w:val="008E6054"/>
    <w:rsid w:val="008E67E8"/>
    <w:rsid w:val="008E6DA3"/>
    <w:rsid w:val="008E7183"/>
    <w:rsid w:val="008E71DC"/>
    <w:rsid w:val="008E745B"/>
    <w:rsid w:val="008F0020"/>
    <w:rsid w:val="008F008E"/>
    <w:rsid w:val="008F04BF"/>
    <w:rsid w:val="008F118B"/>
    <w:rsid w:val="008F1241"/>
    <w:rsid w:val="008F1463"/>
    <w:rsid w:val="008F179F"/>
    <w:rsid w:val="008F1AC7"/>
    <w:rsid w:val="008F1B9A"/>
    <w:rsid w:val="008F1D97"/>
    <w:rsid w:val="008F21FA"/>
    <w:rsid w:val="008F3196"/>
    <w:rsid w:val="008F35BF"/>
    <w:rsid w:val="008F3AFD"/>
    <w:rsid w:val="008F403D"/>
    <w:rsid w:val="008F420F"/>
    <w:rsid w:val="008F44DB"/>
    <w:rsid w:val="008F4914"/>
    <w:rsid w:val="008F49C3"/>
    <w:rsid w:val="008F5004"/>
    <w:rsid w:val="008F63CC"/>
    <w:rsid w:val="008F708D"/>
    <w:rsid w:val="008F79DB"/>
    <w:rsid w:val="00900521"/>
    <w:rsid w:val="00900747"/>
    <w:rsid w:val="0090141E"/>
    <w:rsid w:val="00901700"/>
    <w:rsid w:val="00901879"/>
    <w:rsid w:val="00901D63"/>
    <w:rsid w:val="009025D9"/>
    <w:rsid w:val="00902C5B"/>
    <w:rsid w:val="0090317F"/>
    <w:rsid w:val="009032B3"/>
    <w:rsid w:val="009041FB"/>
    <w:rsid w:val="009047DB"/>
    <w:rsid w:val="00904980"/>
    <w:rsid w:val="00904D84"/>
    <w:rsid w:val="00905097"/>
    <w:rsid w:val="0090574A"/>
    <w:rsid w:val="00906731"/>
    <w:rsid w:val="00906DE7"/>
    <w:rsid w:val="00906E17"/>
    <w:rsid w:val="00906F64"/>
    <w:rsid w:val="00907142"/>
    <w:rsid w:val="009071F9"/>
    <w:rsid w:val="009074C3"/>
    <w:rsid w:val="00907505"/>
    <w:rsid w:val="009100FC"/>
    <w:rsid w:val="0091071A"/>
    <w:rsid w:val="00910739"/>
    <w:rsid w:val="00912618"/>
    <w:rsid w:val="00912CD6"/>
    <w:rsid w:val="0091416B"/>
    <w:rsid w:val="00914305"/>
    <w:rsid w:val="00914BCA"/>
    <w:rsid w:val="009153FC"/>
    <w:rsid w:val="0091547C"/>
    <w:rsid w:val="00916436"/>
    <w:rsid w:val="00916465"/>
    <w:rsid w:val="00916552"/>
    <w:rsid w:val="00916BDB"/>
    <w:rsid w:val="00916E05"/>
    <w:rsid w:val="009170FE"/>
    <w:rsid w:val="0091773E"/>
    <w:rsid w:val="009177A0"/>
    <w:rsid w:val="0092085C"/>
    <w:rsid w:val="00920DC1"/>
    <w:rsid w:val="009215CD"/>
    <w:rsid w:val="009217E0"/>
    <w:rsid w:val="00922D23"/>
    <w:rsid w:val="0092352F"/>
    <w:rsid w:val="00923BC6"/>
    <w:rsid w:val="00923DF6"/>
    <w:rsid w:val="009246E3"/>
    <w:rsid w:val="00924EE7"/>
    <w:rsid w:val="00925006"/>
    <w:rsid w:val="0092513B"/>
    <w:rsid w:val="0092515D"/>
    <w:rsid w:val="00925422"/>
    <w:rsid w:val="00925ED9"/>
    <w:rsid w:val="00925FCC"/>
    <w:rsid w:val="00926707"/>
    <w:rsid w:val="00926B84"/>
    <w:rsid w:val="009277EB"/>
    <w:rsid w:val="00927900"/>
    <w:rsid w:val="009305DC"/>
    <w:rsid w:val="00930805"/>
    <w:rsid w:val="00930BA1"/>
    <w:rsid w:val="00930E29"/>
    <w:rsid w:val="00931078"/>
    <w:rsid w:val="009311A7"/>
    <w:rsid w:val="00931403"/>
    <w:rsid w:val="0093169E"/>
    <w:rsid w:val="00931D29"/>
    <w:rsid w:val="009324E2"/>
    <w:rsid w:val="0093383F"/>
    <w:rsid w:val="009339A7"/>
    <w:rsid w:val="00933AEF"/>
    <w:rsid w:val="009340CD"/>
    <w:rsid w:val="0093413C"/>
    <w:rsid w:val="009346B6"/>
    <w:rsid w:val="0093538D"/>
    <w:rsid w:val="0093542E"/>
    <w:rsid w:val="0093621C"/>
    <w:rsid w:val="0093716C"/>
    <w:rsid w:val="00937191"/>
    <w:rsid w:val="009379B2"/>
    <w:rsid w:val="00937F35"/>
    <w:rsid w:val="00940010"/>
    <w:rsid w:val="009402BD"/>
    <w:rsid w:val="00940724"/>
    <w:rsid w:val="00940964"/>
    <w:rsid w:val="00940E01"/>
    <w:rsid w:val="00941B40"/>
    <w:rsid w:val="00941C14"/>
    <w:rsid w:val="00941E66"/>
    <w:rsid w:val="009425BF"/>
    <w:rsid w:val="009426F7"/>
    <w:rsid w:val="009433DD"/>
    <w:rsid w:val="00944CE3"/>
    <w:rsid w:val="00945187"/>
    <w:rsid w:val="009455ED"/>
    <w:rsid w:val="00945F29"/>
    <w:rsid w:val="009468FD"/>
    <w:rsid w:val="00947461"/>
    <w:rsid w:val="00947A11"/>
    <w:rsid w:val="00947A3E"/>
    <w:rsid w:val="009500C4"/>
    <w:rsid w:val="009505C9"/>
    <w:rsid w:val="00950752"/>
    <w:rsid w:val="00950A58"/>
    <w:rsid w:val="00950FB0"/>
    <w:rsid w:val="00951729"/>
    <w:rsid w:val="009518B3"/>
    <w:rsid w:val="00951FBE"/>
    <w:rsid w:val="00952C99"/>
    <w:rsid w:val="00952CA9"/>
    <w:rsid w:val="00952FEC"/>
    <w:rsid w:val="00953652"/>
    <w:rsid w:val="00953C54"/>
    <w:rsid w:val="0095460E"/>
    <w:rsid w:val="00955176"/>
    <w:rsid w:val="009557C9"/>
    <w:rsid w:val="00955953"/>
    <w:rsid w:val="00955B19"/>
    <w:rsid w:val="00955DDA"/>
    <w:rsid w:val="00955EDC"/>
    <w:rsid w:val="00956419"/>
    <w:rsid w:val="00956B27"/>
    <w:rsid w:val="00956C78"/>
    <w:rsid w:val="00957340"/>
    <w:rsid w:val="00957E0E"/>
    <w:rsid w:val="0096012A"/>
    <w:rsid w:val="00960669"/>
    <w:rsid w:val="0096073C"/>
    <w:rsid w:val="00960AC7"/>
    <w:rsid w:val="00960C19"/>
    <w:rsid w:val="009612E9"/>
    <w:rsid w:val="009615E7"/>
    <w:rsid w:val="00961A47"/>
    <w:rsid w:val="00961B15"/>
    <w:rsid w:val="009620CD"/>
    <w:rsid w:val="009624BD"/>
    <w:rsid w:val="00962AAB"/>
    <w:rsid w:val="00962C3A"/>
    <w:rsid w:val="00963366"/>
    <w:rsid w:val="009639EA"/>
    <w:rsid w:val="00963AC8"/>
    <w:rsid w:val="00964321"/>
    <w:rsid w:val="0096517F"/>
    <w:rsid w:val="00966424"/>
    <w:rsid w:val="009666F5"/>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D08"/>
    <w:rsid w:val="00973F0A"/>
    <w:rsid w:val="00974C4C"/>
    <w:rsid w:val="00974D81"/>
    <w:rsid w:val="009754BC"/>
    <w:rsid w:val="009755CD"/>
    <w:rsid w:val="00975634"/>
    <w:rsid w:val="00975A6E"/>
    <w:rsid w:val="00975C64"/>
    <w:rsid w:val="009763DE"/>
    <w:rsid w:val="009769AB"/>
    <w:rsid w:val="00976A03"/>
    <w:rsid w:val="00976ED6"/>
    <w:rsid w:val="0098065F"/>
    <w:rsid w:val="00981188"/>
    <w:rsid w:val="00982403"/>
    <w:rsid w:val="00982A08"/>
    <w:rsid w:val="00982EE1"/>
    <w:rsid w:val="009836B1"/>
    <w:rsid w:val="00983CAF"/>
    <w:rsid w:val="00984120"/>
    <w:rsid w:val="00984F4E"/>
    <w:rsid w:val="00985208"/>
    <w:rsid w:val="009853E6"/>
    <w:rsid w:val="00985871"/>
    <w:rsid w:val="00985AAA"/>
    <w:rsid w:val="00986370"/>
    <w:rsid w:val="00986DF3"/>
    <w:rsid w:val="009870F4"/>
    <w:rsid w:val="00987638"/>
    <w:rsid w:val="00987BB4"/>
    <w:rsid w:val="009902C7"/>
    <w:rsid w:val="0099078E"/>
    <w:rsid w:val="009908F3"/>
    <w:rsid w:val="00991D5E"/>
    <w:rsid w:val="00992546"/>
    <w:rsid w:val="00992A99"/>
    <w:rsid w:val="00992C93"/>
    <w:rsid w:val="00992D72"/>
    <w:rsid w:val="009934DB"/>
    <w:rsid w:val="0099392E"/>
    <w:rsid w:val="00993B68"/>
    <w:rsid w:val="00993CF4"/>
    <w:rsid w:val="00993FCD"/>
    <w:rsid w:val="00994347"/>
    <w:rsid w:val="00995245"/>
    <w:rsid w:val="009956C6"/>
    <w:rsid w:val="009957D5"/>
    <w:rsid w:val="00995DB8"/>
    <w:rsid w:val="0099601F"/>
    <w:rsid w:val="0099616C"/>
    <w:rsid w:val="00996F28"/>
    <w:rsid w:val="00997993"/>
    <w:rsid w:val="00997B48"/>
    <w:rsid w:val="00997D37"/>
    <w:rsid w:val="00997F0D"/>
    <w:rsid w:val="009A0D65"/>
    <w:rsid w:val="009A0E73"/>
    <w:rsid w:val="009A0FAB"/>
    <w:rsid w:val="009A1390"/>
    <w:rsid w:val="009A2635"/>
    <w:rsid w:val="009A29D7"/>
    <w:rsid w:val="009A3637"/>
    <w:rsid w:val="009A381B"/>
    <w:rsid w:val="009A391D"/>
    <w:rsid w:val="009A444E"/>
    <w:rsid w:val="009A453C"/>
    <w:rsid w:val="009A4687"/>
    <w:rsid w:val="009A4A54"/>
    <w:rsid w:val="009A5342"/>
    <w:rsid w:val="009A72DF"/>
    <w:rsid w:val="009B04B3"/>
    <w:rsid w:val="009B07DF"/>
    <w:rsid w:val="009B21C2"/>
    <w:rsid w:val="009B234B"/>
    <w:rsid w:val="009B25B0"/>
    <w:rsid w:val="009B2E74"/>
    <w:rsid w:val="009B2ED7"/>
    <w:rsid w:val="009B3285"/>
    <w:rsid w:val="009B37E5"/>
    <w:rsid w:val="009B3FAB"/>
    <w:rsid w:val="009B4C7D"/>
    <w:rsid w:val="009B5008"/>
    <w:rsid w:val="009B5D6F"/>
    <w:rsid w:val="009B60BD"/>
    <w:rsid w:val="009B6690"/>
    <w:rsid w:val="009B683C"/>
    <w:rsid w:val="009B692E"/>
    <w:rsid w:val="009B6C73"/>
    <w:rsid w:val="009B6F33"/>
    <w:rsid w:val="009B724C"/>
    <w:rsid w:val="009B7DBC"/>
    <w:rsid w:val="009B7F57"/>
    <w:rsid w:val="009B7F68"/>
    <w:rsid w:val="009C0829"/>
    <w:rsid w:val="009C12E9"/>
    <w:rsid w:val="009C2351"/>
    <w:rsid w:val="009C2678"/>
    <w:rsid w:val="009C27A8"/>
    <w:rsid w:val="009C281E"/>
    <w:rsid w:val="009C2B39"/>
    <w:rsid w:val="009C2DE6"/>
    <w:rsid w:val="009C348C"/>
    <w:rsid w:val="009C4464"/>
    <w:rsid w:val="009C4908"/>
    <w:rsid w:val="009C4B2D"/>
    <w:rsid w:val="009C4D22"/>
    <w:rsid w:val="009C500D"/>
    <w:rsid w:val="009C5D45"/>
    <w:rsid w:val="009C6797"/>
    <w:rsid w:val="009C68A5"/>
    <w:rsid w:val="009C69AB"/>
    <w:rsid w:val="009C7768"/>
    <w:rsid w:val="009C7F98"/>
    <w:rsid w:val="009D020D"/>
    <w:rsid w:val="009D065B"/>
    <w:rsid w:val="009D0A3D"/>
    <w:rsid w:val="009D0A6F"/>
    <w:rsid w:val="009D0CAB"/>
    <w:rsid w:val="009D1035"/>
    <w:rsid w:val="009D120A"/>
    <w:rsid w:val="009D19CA"/>
    <w:rsid w:val="009D1EEF"/>
    <w:rsid w:val="009D1EFC"/>
    <w:rsid w:val="009D1F7D"/>
    <w:rsid w:val="009D3D8B"/>
    <w:rsid w:val="009D4690"/>
    <w:rsid w:val="009D4971"/>
    <w:rsid w:val="009D5224"/>
    <w:rsid w:val="009D55B9"/>
    <w:rsid w:val="009D5B67"/>
    <w:rsid w:val="009D5F18"/>
    <w:rsid w:val="009D6356"/>
    <w:rsid w:val="009D66DB"/>
    <w:rsid w:val="009D6C0F"/>
    <w:rsid w:val="009D787F"/>
    <w:rsid w:val="009E0095"/>
    <w:rsid w:val="009E0219"/>
    <w:rsid w:val="009E1944"/>
    <w:rsid w:val="009E19CA"/>
    <w:rsid w:val="009E1C14"/>
    <w:rsid w:val="009E1E0F"/>
    <w:rsid w:val="009E1FA2"/>
    <w:rsid w:val="009E2242"/>
    <w:rsid w:val="009E25F7"/>
    <w:rsid w:val="009E26BC"/>
    <w:rsid w:val="009E3402"/>
    <w:rsid w:val="009E3738"/>
    <w:rsid w:val="009E37D3"/>
    <w:rsid w:val="009E381D"/>
    <w:rsid w:val="009E49D4"/>
    <w:rsid w:val="009E4B03"/>
    <w:rsid w:val="009E4FE6"/>
    <w:rsid w:val="009E5884"/>
    <w:rsid w:val="009E606B"/>
    <w:rsid w:val="009E69B3"/>
    <w:rsid w:val="009E74F3"/>
    <w:rsid w:val="009E754E"/>
    <w:rsid w:val="009E7684"/>
    <w:rsid w:val="009E7893"/>
    <w:rsid w:val="009F005E"/>
    <w:rsid w:val="009F1930"/>
    <w:rsid w:val="009F1F35"/>
    <w:rsid w:val="009F1FC1"/>
    <w:rsid w:val="009F201B"/>
    <w:rsid w:val="009F20BE"/>
    <w:rsid w:val="009F24A0"/>
    <w:rsid w:val="009F3A3F"/>
    <w:rsid w:val="009F3E0B"/>
    <w:rsid w:val="009F455A"/>
    <w:rsid w:val="009F494D"/>
    <w:rsid w:val="009F4B01"/>
    <w:rsid w:val="009F5557"/>
    <w:rsid w:val="009F55D7"/>
    <w:rsid w:val="009F5B74"/>
    <w:rsid w:val="009F5E6E"/>
    <w:rsid w:val="009F6221"/>
    <w:rsid w:val="009F62A4"/>
    <w:rsid w:val="009F634D"/>
    <w:rsid w:val="009F7300"/>
    <w:rsid w:val="009F79C7"/>
    <w:rsid w:val="009F7CCF"/>
    <w:rsid w:val="00A003A7"/>
    <w:rsid w:val="00A0068E"/>
    <w:rsid w:val="00A01DF8"/>
    <w:rsid w:val="00A02160"/>
    <w:rsid w:val="00A0275A"/>
    <w:rsid w:val="00A03293"/>
    <w:rsid w:val="00A0329A"/>
    <w:rsid w:val="00A03543"/>
    <w:rsid w:val="00A036A1"/>
    <w:rsid w:val="00A0382E"/>
    <w:rsid w:val="00A03F05"/>
    <w:rsid w:val="00A03F98"/>
    <w:rsid w:val="00A04306"/>
    <w:rsid w:val="00A044E0"/>
    <w:rsid w:val="00A04544"/>
    <w:rsid w:val="00A04AE9"/>
    <w:rsid w:val="00A04C1B"/>
    <w:rsid w:val="00A04F6D"/>
    <w:rsid w:val="00A05C91"/>
    <w:rsid w:val="00A063A8"/>
    <w:rsid w:val="00A06D27"/>
    <w:rsid w:val="00A06EC0"/>
    <w:rsid w:val="00A070F9"/>
    <w:rsid w:val="00A10017"/>
    <w:rsid w:val="00A103EE"/>
    <w:rsid w:val="00A103FC"/>
    <w:rsid w:val="00A10559"/>
    <w:rsid w:val="00A108A7"/>
    <w:rsid w:val="00A10DED"/>
    <w:rsid w:val="00A10EC2"/>
    <w:rsid w:val="00A111D1"/>
    <w:rsid w:val="00A112B4"/>
    <w:rsid w:val="00A11B68"/>
    <w:rsid w:val="00A128BC"/>
    <w:rsid w:val="00A12940"/>
    <w:rsid w:val="00A12B0A"/>
    <w:rsid w:val="00A12C04"/>
    <w:rsid w:val="00A12F4E"/>
    <w:rsid w:val="00A13AE9"/>
    <w:rsid w:val="00A14AB2"/>
    <w:rsid w:val="00A15F60"/>
    <w:rsid w:val="00A16524"/>
    <w:rsid w:val="00A16C31"/>
    <w:rsid w:val="00A16E4E"/>
    <w:rsid w:val="00A17C7F"/>
    <w:rsid w:val="00A202A5"/>
    <w:rsid w:val="00A206CA"/>
    <w:rsid w:val="00A208FA"/>
    <w:rsid w:val="00A210BA"/>
    <w:rsid w:val="00A216B4"/>
    <w:rsid w:val="00A221EC"/>
    <w:rsid w:val="00A22336"/>
    <w:rsid w:val="00A223C7"/>
    <w:rsid w:val="00A22438"/>
    <w:rsid w:val="00A22C41"/>
    <w:rsid w:val="00A22CBF"/>
    <w:rsid w:val="00A22F95"/>
    <w:rsid w:val="00A2369A"/>
    <w:rsid w:val="00A23B36"/>
    <w:rsid w:val="00A243FD"/>
    <w:rsid w:val="00A25B35"/>
    <w:rsid w:val="00A26361"/>
    <w:rsid w:val="00A278C2"/>
    <w:rsid w:val="00A279AF"/>
    <w:rsid w:val="00A30125"/>
    <w:rsid w:val="00A306CA"/>
    <w:rsid w:val="00A30BC0"/>
    <w:rsid w:val="00A30E12"/>
    <w:rsid w:val="00A3107A"/>
    <w:rsid w:val="00A31548"/>
    <w:rsid w:val="00A31856"/>
    <w:rsid w:val="00A322E8"/>
    <w:rsid w:val="00A331F5"/>
    <w:rsid w:val="00A335B4"/>
    <w:rsid w:val="00A337CD"/>
    <w:rsid w:val="00A33842"/>
    <w:rsid w:val="00A34AD9"/>
    <w:rsid w:val="00A35A8C"/>
    <w:rsid w:val="00A35E62"/>
    <w:rsid w:val="00A36B87"/>
    <w:rsid w:val="00A37058"/>
    <w:rsid w:val="00A40B1D"/>
    <w:rsid w:val="00A41225"/>
    <w:rsid w:val="00A41DC0"/>
    <w:rsid w:val="00A4233C"/>
    <w:rsid w:val="00A426F0"/>
    <w:rsid w:val="00A42C03"/>
    <w:rsid w:val="00A43DDC"/>
    <w:rsid w:val="00A44936"/>
    <w:rsid w:val="00A44DCE"/>
    <w:rsid w:val="00A44FDB"/>
    <w:rsid w:val="00A4512A"/>
    <w:rsid w:val="00A463C3"/>
    <w:rsid w:val="00A47593"/>
    <w:rsid w:val="00A50268"/>
    <w:rsid w:val="00A502F5"/>
    <w:rsid w:val="00A503BA"/>
    <w:rsid w:val="00A5043E"/>
    <w:rsid w:val="00A50DF1"/>
    <w:rsid w:val="00A517B6"/>
    <w:rsid w:val="00A52426"/>
    <w:rsid w:val="00A5244D"/>
    <w:rsid w:val="00A541ED"/>
    <w:rsid w:val="00A54F53"/>
    <w:rsid w:val="00A5546F"/>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6A7F"/>
    <w:rsid w:val="00A66FF3"/>
    <w:rsid w:val="00A67031"/>
    <w:rsid w:val="00A670E4"/>
    <w:rsid w:val="00A670ED"/>
    <w:rsid w:val="00A6716D"/>
    <w:rsid w:val="00A67BE4"/>
    <w:rsid w:val="00A70252"/>
    <w:rsid w:val="00A70916"/>
    <w:rsid w:val="00A70ACA"/>
    <w:rsid w:val="00A70E19"/>
    <w:rsid w:val="00A716C2"/>
    <w:rsid w:val="00A716FD"/>
    <w:rsid w:val="00A727FA"/>
    <w:rsid w:val="00A72E7C"/>
    <w:rsid w:val="00A7388A"/>
    <w:rsid w:val="00A749B6"/>
    <w:rsid w:val="00A74C4A"/>
    <w:rsid w:val="00A74F42"/>
    <w:rsid w:val="00A7508F"/>
    <w:rsid w:val="00A7529E"/>
    <w:rsid w:val="00A75460"/>
    <w:rsid w:val="00A7631B"/>
    <w:rsid w:val="00A76829"/>
    <w:rsid w:val="00A76989"/>
    <w:rsid w:val="00A76DF3"/>
    <w:rsid w:val="00A77261"/>
    <w:rsid w:val="00A77322"/>
    <w:rsid w:val="00A77912"/>
    <w:rsid w:val="00A77E0E"/>
    <w:rsid w:val="00A77FF5"/>
    <w:rsid w:val="00A804CA"/>
    <w:rsid w:val="00A80812"/>
    <w:rsid w:val="00A80899"/>
    <w:rsid w:val="00A80987"/>
    <w:rsid w:val="00A80F60"/>
    <w:rsid w:val="00A8136D"/>
    <w:rsid w:val="00A81C6F"/>
    <w:rsid w:val="00A81E52"/>
    <w:rsid w:val="00A82955"/>
    <w:rsid w:val="00A83A4B"/>
    <w:rsid w:val="00A83BE4"/>
    <w:rsid w:val="00A83D11"/>
    <w:rsid w:val="00A83FBF"/>
    <w:rsid w:val="00A8419F"/>
    <w:rsid w:val="00A844A2"/>
    <w:rsid w:val="00A84BAF"/>
    <w:rsid w:val="00A853A1"/>
    <w:rsid w:val="00A857F3"/>
    <w:rsid w:val="00A859AB"/>
    <w:rsid w:val="00A85D33"/>
    <w:rsid w:val="00A85DC2"/>
    <w:rsid w:val="00A86123"/>
    <w:rsid w:val="00A874AB"/>
    <w:rsid w:val="00A90AAE"/>
    <w:rsid w:val="00A90D9E"/>
    <w:rsid w:val="00A91DB9"/>
    <w:rsid w:val="00A91ED7"/>
    <w:rsid w:val="00A92030"/>
    <w:rsid w:val="00A922BB"/>
    <w:rsid w:val="00A927D6"/>
    <w:rsid w:val="00A928B1"/>
    <w:rsid w:val="00A933B1"/>
    <w:rsid w:val="00A93A45"/>
    <w:rsid w:val="00A93CCB"/>
    <w:rsid w:val="00A943F9"/>
    <w:rsid w:val="00A94530"/>
    <w:rsid w:val="00A9482E"/>
    <w:rsid w:val="00A95022"/>
    <w:rsid w:val="00A95164"/>
    <w:rsid w:val="00A95B1C"/>
    <w:rsid w:val="00A9656F"/>
    <w:rsid w:val="00A966C8"/>
    <w:rsid w:val="00A96D88"/>
    <w:rsid w:val="00A97075"/>
    <w:rsid w:val="00AA007B"/>
    <w:rsid w:val="00AA0DC7"/>
    <w:rsid w:val="00AA1062"/>
    <w:rsid w:val="00AA133F"/>
    <w:rsid w:val="00AA1A8E"/>
    <w:rsid w:val="00AA1C91"/>
    <w:rsid w:val="00AA2130"/>
    <w:rsid w:val="00AA218A"/>
    <w:rsid w:val="00AA2930"/>
    <w:rsid w:val="00AA2B83"/>
    <w:rsid w:val="00AA2C59"/>
    <w:rsid w:val="00AA2CCF"/>
    <w:rsid w:val="00AA3532"/>
    <w:rsid w:val="00AA3539"/>
    <w:rsid w:val="00AA361C"/>
    <w:rsid w:val="00AA4593"/>
    <w:rsid w:val="00AA5A66"/>
    <w:rsid w:val="00AA5EA4"/>
    <w:rsid w:val="00AA6519"/>
    <w:rsid w:val="00AA652F"/>
    <w:rsid w:val="00AA68BB"/>
    <w:rsid w:val="00AA69CD"/>
    <w:rsid w:val="00AA6F92"/>
    <w:rsid w:val="00AA75FB"/>
    <w:rsid w:val="00AA781D"/>
    <w:rsid w:val="00AA7C69"/>
    <w:rsid w:val="00AA7F0B"/>
    <w:rsid w:val="00AA7F19"/>
    <w:rsid w:val="00AB02D0"/>
    <w:rsid w:val="00AB0740"/>
    <w:rsid w:val="00AB096E"/>
    <w:rsid w:val="00AB0999"/>
    <w:rsid w:val="00AB0DDF"/>
    <w:rsid w:val="00AB0E6E"/>
    <w:rsid w:val="00AB1693"/>
    <w:rsid w:val="00AB197A"/>
    <w:rsid w:val="00AB1A41"/>
    <w:rsid w:val="00AB1D6E"/>
    <w:rsid w:val="00AB20A3"/>
    <w:rsid w:val="00AB2342"/>
    <w:rsid w:val="00AB4C86"/>
    <w:rsid w:val="00AB515F"/>
    <w:rsid w:val="00AB53EA"/>
    <w:rsid w:val="00AB575E"/>
    <w:rsid w:val="00AB5A13"/>
    <w:rsid w:val="00AB6840"/>
    <w:rsid w:val="00AB6934"/>
    <w:rsid w:val="00AB6A39"/>
    <w:rsid w:val="00AB724E"/>
    <w:rsid w:val="00AB7C5F"/>
    <w:rsid w:val="00AC04B5"/>
    <w:rsid w:val="00AC078F"/>
    <w:rsid w:val="00AC0A2A"/>
    <w:rsid w:val="00AC114A"/>
    <w:rsid w:val="00AC1466"/>
    <w:rsid w:val="00AC1662"/>
    <w:rsid w:val="00AC16F3"/>
    <w:rsid w:val="00AC1E5B"/>
    <w:rsid w:val="00AC2AA9"/>
    <w:rsid w:val="00AC2B9A"/>
    <w:rsid w:val="00AC2EA8"/>
    <w:rsid w:val="00AC34C4"/>
    <w:rsid w:val="00AC36EB"/>
    <w:rsid w:val="00AC3F8F"/>
    <w:rsid w:val="00AC3FEC"/>
    <w:rsid w:val="00AC4014"/>
    <w:rsid w:val="00AC402B"/>
    <w:rsid w:val="00AC4ADF"/>
    <w:rsid w:val="00AC4BDB"/>
    <w:rsid w:val="00AC4EFB"/>
    <w:rsid w:val="00AC519D"/>
    <w:rsid w:val="00AC609A"/>
    <w:rsid w:val="00AC6579"/>
    <w:rsid w:val="00AC7260"/>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ABF"/>
    <w:rsid w:val="00AD6B3B"/>
    <w:rsid w:val="00AD720B"/>
    <w:rsid w:val="00AD7FEB"/>
    <w:rsid w:val="00AE01A5"/>
    <w:rsid w:val="00AE01E1"/>
    <w:rsid w:val="00AE0B06"/>
    <w:rsid w:val="00AE1234"/>
    <w:rsid w:val="00AE12B5"/>
    <w:rsid w:val="00AE1E44"/>
    <w:rsid w:val="00AE2435"/>
    <w:rsid w:val="00AE2DDC"/>
    <w:rsid w:val="00AE32B9"/>
    <w:rsid w:val="00AE338F"/>
    <w:rsid w:val="00AE3518"/>
    <w:rsid w:val="00AE3912"/>
    <w:rsid w:val="00AE3A1C"/>
    <w:rsid w:val="00AE3AD7"/>
    <w:rsid w:val="00AE3BA6"/>
    <w:rsid w:val="00AE3ECC"/>
    <w:rsid w:val="00AE3F58"/>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0D4B"/>
    <w:rsid w:val="00AF1179"/>
    <w:rsid w:val="00AF1C8D"/>
    <w:rsid w:val="00AF2013"/>
    <w:rsid w:val="00AF252D"/>
    <w:rsid w:val="00AF2812"/>
    <w:rsid w:val="00AF2BF7"/>
    <w:rsid w:val="00AF3145"/>
    <w:rsid w:val="00AF31D6"/>
    <w:rsid w:val="00AF3546"/>
    <w:rsid w:val="00AF37C1"/>
    <w:rsid w:val="00AF42DE"/>
    <w:rsid w:val="00AF4939"/>
    <w:rsid w:val="00AF52CB"/>
    <w:rsid w:val="00AF5814"/>
    <w:rsid w:val="00AF59AE"/>
    <w:rsid w:val="00AF59DC"/>
    <w:rsid w:val="00AF5A30"/>
    <w:rsid w:val="00AF5A43"/>
    <w:rsid w:val="00AF5A9B"/>
    <w:rsid w:val="00AF5B65"/>
    <w:rsid w:val="00AF5E5E"/>
    <w:rsid w:val="00AF632A"/>
    <w:rsid w:val="00AF6659"/>
    <w:rsid w:val="00AF6FF4"/>
    <w:rsid w:val="00AF7CF0"/>
    <w:rsid w:val="00B00016"/>
    <w:rsid w:val="00B00079"/>
    <w:rsid w:val="00B0038C"/>
    <w:rsid w:val="00B004BC"/>
    <w:rsid w:val="00B00C6D"/>
    <w:rsid w:val="00B019F0"/>
    <w:rsid w:val="00B01D1B"/>
    <w:rsid w:val="00B01D3F"/>
    <w:rsid w:val="00B024D7"/>
    <w:rsid w:val="00B0250E"/>
    <w:rsid w:val="00B02C85"/>
    <w:rsid w:val="00B03EC6"/>
    <w:rsid w:val="00B04533"/>
    <w:rsid w:val="00B0485B"/>
    <w:rsid w:val="00B04F68"/>
    <w:rsid w:val="00B050AC"/>
    <w:rsid w:val="00B06DB3"/>
    <w:rsid w:val="00B071BE"/>
    <w:rsid w:val="00B07A12"/>
    <w:rsid w:val="00B07E8C"/>
    <w:rsid w:val="00B07F29"/>
    <w:rsid w:val="00B10A44"/>
    <w:rsid w:val="00B10B30"/>
    <w:rsid w:val="00B1128D"/>
    <w:rsid w:val="00B11CD3"/>
    <w:rsid w:val="00B11E04"/>
    <w:rsid w:val="00B12A3A"/>
    <w:rsid w:val="00B130CD"/>
    <w:rsid w:val="00B13524"/>
    <w:rsid w:val="00B13542"/>
    <w:rsid w:val="00B135C2"/>
    <w:rsid w:val="00B153AD"/>
    <w:rsid w:val="00B157C9"/>
    <w:rsid w:val="00B166DB"/>
    <w:rsid w:val="00B1677F"/>
    <w:rsid w:val="00B16841"/>
    <w:rsid w:val="00B1792A"/>
    <w:rsid w:val="00B17FB2"/>
    <w:rsid w:val="00B20174"/>
    <w:rsid w:val="00B20572"/>
    <w:rsid w:val="00B205C4"/>
    <w:rsid w:val="00B20782"/>
    <w:rsid w:val="00B20A4E"/>
    <w:rsid w:val="00B20C78"/>
    <w:rsid w:val="00B210A8"/>
    <w:rsid w:val="00B21CF4"/>
    <w:rsid w:val="00B2212D"/>
    <w:rsid w:val="00B22308"/>
    <w:rsid w:val="00B22A28"/>
    <w:rsid w:val="00B23961"/>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268"/>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3F9E"/>
    <w:rsid w:val="00B44094"/>
    <w:rsid w:val="00B4444C"/>
    <w:rsid w:val="00B44956"/>
    <w:rsid w:val="00B4567E"/>
    <w:rsid w:val="00B45C47"/>
    <w:rsid w:val="00B46CC2"/>
    <w:rsid w:val="00B47883"/>
    <w:rsid w:val="00B479AE"/>
    <w:rsid w:val="00B479DF"/>
    <w:rsid w:val="00B5026D"/>
    <w:rsid w:val="00B50E0B"/>
    <w:rsid w:val="00B50F9B"/>
    <w:rsid w:val="00B50FA5"/>
    <w:rsid w:val="00B5122C"/>
    <w:rsid w:val="00B51340"/>
    <w:rsid w:val="00B5173D"/>
    <w:rsid w:val="00B519AE"/>
    <w:rsid w:val="00B51B6E"/>
    <w:rsid w:val="00B5248A"/>
    <w:rsid w:val="00B53007"/>
    <w:rsid w:val="00B53488"/>
    <w:rsid w:val="00B53D82"/>
    <w:rsid w:val="00B5445D"/>
    <w:rsid w:val="00B54A7B"/>
    <w:rsid w:val="00B54D75"/>
    <w:rsid w:val="00B555EB"/>
    <w:rsid w:val="00B56071"/>
    <w:rsid w:val="00B56426"/>
    <w:rsid w:val="00B56786"/>
    <w:rsid w:val="00B56AB1"/>
    <w:rsid w:val="00B56C67"/>
    <w:rsid w:val="00B571A7"/>
    <w:rsid w:val="00B579AB"/>
    <w:rsid w:val="00B57A5B"/>
    <w:rsid w:val="00B57B34"/>
    <w:rsid w:val="00B57CA4"/>
    <w:rsid w:val="00B57F27"/>
    <w:rsid w:val="00B60011"/>
    <w:rsid w:val="00B60154"/>
    <w:rsid w:val="00B601D7"/>
    <w:rsid w:val="00B6023D"/>
    <w:rsid w:val="00B6037F"/>
    <w:rsid w:val="00B60385"/>
    <w:rsid w:val="00B604A0"/>
    <w:rsid w:val="00B606FB"/>
    <w:rsid w:val="00B60AA6"/>
    <w:rsid w:val="00B60FAB"/>
    <w:rsid w:val="00B61372"/>
    <w:rsid w:val="00B6198E"/>
    <w:rsid w:val="00B61B83"/>
    <w:rsid w:val="00B62169"/>
    <w:rsid w:val="00B622FA"/>
    <w:rsid w:val="00B625AE"/>
    <w:rsid w:val="00B62E56"/>
    <w:rsid w:val="00B6339D"/>
    <w:rsid w:val="00B63AA0"/>
    <w:rsid w:val="00B63C5A"/>
    <w:rsid w:val="00B63F6E"/>
    <w:rsid w:val="00B63F8C"/>
    <w:rsid w:val="00B64596"/>
    <w:rsid w:val="00B6487E"/>
    <w:rsid w:val="00B65C50"/>
    <w:rsid w:val="00B65C84"/>
    <w:rsid w:val="00B661B0"/>
    <w:rsid w:val="00B66CA2"/>
    <w:rsid w:val="00B67CD9"/>
    <w:rsid w:val="00B67EC5"/>
    <w:rsid w:val="00B70207"/>
    <w:rsid w:val="00B7037F"/>
    <w:rsid w:val="00B70A15"/>
    <w:rsid w:val="00B716C4"/>
    <w:rsid w:val="00B7189B"/>
    <w:rsid w:val="00B72B5F"/>
    <w:rsid w:val="00B7337E"/>
    <w:rsid w:val="00B7359C"/>
    <w:rsid w:val="00B737DF"/>
    <w:rsid w:val="00B73EF5"/>
    <w:rsid w:val="00B742C9"/>
    <w:rsid w:val="00B74332"/>
    <w:rsid w:val="00B743F7"/>
    <w:rsid w:val="00B744F0"/>
    <w:rsid w:val="00B74692"/>
    <w:rsid w:val="00B75006"/>
    <w:rsid w:val="00B75530"/>
    <w:rsid w:val="00B75839"/>
    <w:rsid w:val="00B75941"/>
    <w:rsid w:val="00B76FD1"/>
    <w:rsid w:val="00B80A4D"/>
    <w:rsid w:val="00B8147E"/>
    <w:rsid w:val="00B81F20"/>
    <w:rsid w:val="00B82E05"/>
    <w:rsid w:val="00B83203"/>
    <w:rsid w:val="00B84C31"/>
    <w:rsid w:val="00B84F38"/>
    <w:rsid w:val="00B85862"/>
    <w:rsid w:val="00B859FC"/>
    <w:rsid w:val="00B85B3F"/>
    <w:rsid w:val="00B86118"/>
    <w:rsid w:val="00B86587"/>
    <w:rsid w:val="00B8687E"/>
    <w:rsid w:val="00B87208"/>
    <w:rsid w:val="00B87B05"/>
    <w:rsid w:val="00B904CC"/>
    <w:rsid w:val="00B907F8"/>
    <w:rsid w:val="00B9092B"/>
    <w:rsid w:val="00B90BD9"/>
    <w:rsid w:val="00B90DAC"/>
    <w:rsid w:val="00B9198A"/>
    <w:rsid w:val="00B91E6C"/>
    <w:rsid w:val="00B927E3"/>
    <w:rsid w:val="00B92918"/>
    <w:rsid w:val="00B92C25"/>
    <w:rsid w:val="00B930DF"/>
    <w:rsid w:val="00B93513"/>
    <w:rsid w:val="00B93522"/>
    <w:rsid w:val="00B94CC3"/>
    <w:rsid w:val="00B94E6C"/>
    <w:rsid w:val="00B94EB4"/>
    <w:rsid w:val="00B95765"/>
    <w:rsid w:val="00B95B31"/>
    <w:rsid w:val="00B96657"/>
    <w:rsid w:val="00B9726B"/>
    <w:rsid w:val="00B972B5"/>
    <w:rsid w:val="00B9774C"/>
    <w:rsid w:val="00B979ED"/>
    <w:rsid w:val="00BA00C6"/>
    <w:rsid w:val="00BA04C3"/>
    <w:rsid w:val="00BA0702"/>
    <w:rsid w:val="00BA0935"/>
    <w:rsid w:val="00BA0A18"/>
    <w:rsid w:val="00BA0AE6"/>
    <w:rsid w:val="00BA22CE"/>
    <w:rsid w:val="00BA2544"/>
    <w:rsid w:val="00BA2A99"/>
    <w:rsid w:val="00BA2FCA"/>
    <w:rsid w:val="00BA35BC"/>
    <w:rsid w:val="00BA38EF"/>
    <w:rsid w:val="00BA3B7C"/>
    <w:rsid w:val="00BA3FC0"/>
    <w:rsid w:val="00BA41D8"/>
    <w:rsid w:val="00BA4598"/>
    <w:rsid w:val="00BA4683"/>
    <w:rsid w:val="00BA498A"/>
    <w:rsid w:val="00BA521B"/>
    <w:rsid w:val="00BA6157"/>
    <w:rsid w:val="00BA62B4"/>
    <w:rsid w:val="00BA72C4"/>
    <w:rsid w:val="00BA7AD6"/>
    <w:rsid w:val="00BA7ED1"/>
    <w:rsid w:val="00BA7F62"/>
    <w:rsid w:val="00BB0158"/>
    <w:rsid w:val="00BB0806"/>
    <w:rsid w:val="00BB0906"/>
    <w:rsid w:val="00BB0D6F"/>
    <w:rsid w:val="00BB0E50"/>
    <w:rsid w:val="00BB0ECE"/>
    <w:rsid w:val="00BB0EDA"/>
    <w:rsid w:val="00BB0FB8"/>
    <w:rsid w:val="00BB1C14"/>
    <w:rsid w:val="00BB218B"/>
    <w:rsid w:val="00BB2321"/>
    <w:rsid w:val="00BB2372"/>
    <w:rsid w:val="00BB2618"/>
    <w:rsid w:val="00BB2925"/>
    <w:rsid w:val="00BB29D3"/>
    <w:rsid w:val="00BB2B55"/>
    <w:rsid w:val="00BB2D48"/>
    <w:rsid w:val="00BB2EC1"/>
    <w:rsid w:val="00BB3809"/>
    <w:rsid w:val="00BB3E8C"/>
    <w:rsid w:val="00BB4606"/>
    <w:rsid w:val="00BB4AC4"/>
    <w:rsid w:val="00BB4C1D"/>
    <w:rsid w:val="00BB4DE1"/>
    <w:rsid w:val="00BB5576"/>
    <w:rsid w:val="00BB5DED"/>
    <w:rsid w:val="00BB5EFF"/>
    <w:rsid w:val="00BB5F83"/>
    <w:rsid w:val="00BB5FE3"/>
    <w:rsid w:val="00BB6B75"/>
    <w:rsid w:val="00BB7818"/>
    <w:rsid w:val="00BC055F"/>
    <w:rsid w:val="00BC0728"/>
    <w:rsid w:val="00BC0942"/>
    <w:rsid w:val="00BC1032"/>
    <w:rsid w:val="00BC1C43"/>
    <w:rsid w:val="00BC2B38"/>
    <w:rsid w:val="00BC2F26"/>
    <w:rsid w:val="00BC3A65"/>
    <w:rsid w:val="00BC4169"/>
    <w:rsid w:val="00BC4932"/>
    <w:rsid w:val="00BC495B"/>
    <w:rsid w:val="00BC4DF8"/>
    <w:rsid w:val="00BC50B7"/>
    <w:rsid w:val="00BC55EC"/>
    <w:rsid w:val="00BC6164"/>
    <w:rsid w:val="00BC643C"/>
    <w:rsid w:val="00BC698F"/>
    <w:rsid w:val="00BC6AD3"/>
    <w:rsid w:val="00BC7EE0"/>
    <w:rsid w:val="00BC7F60"/>
    <w:rsid w:val="00BD0795"/>
    <w:rsid w:val="00BD0B65"/>
    <w:rsid w:val="00BD0D66"/>
    <w:rsid w:val="00BD11A1"/>
    <w:rsid w:val="00BD11BA"/>
    <w:rsid w:val="00BD1609"/>
    <w:rsid w:val="00BD1B98"/>
    <w:rsid w:val="00BD2609"/>
    <w:rsid w:val="00BD3454"/>
    <w:rsid w:val="00BD3E8A"/>
    <w:rsid w:val="00BD4E95"/>
    <w:rsid w:val="00BD4FC3"/>
    <w:rsid w:val="00BD5268"/>
    <w:rsid w:val="00BD5845"/>
    <w:rsid w:val="00BD5FB0"/>
    <w:rsid w:val="00BD75D2"/>
    <w:rsid w:val="00BD782D"/>
    <w:rsid w:val="00BD7C99"/>
    <w:rsid w:val="00BD7D0F"/>
    <w:rsid w:val="00BE0485"/>
    <w:rsid w:val="00BE0DEE"/>
    <w:rsid w:val="00BE162A"/>
    <w:rsid w:val="00BE1804"/>
    <w:rsid w:val="00BE1B34"/>
    <w:rsid w:val="00BE1BE0"/>
    <w:rsid w:val="00BE2657"/>
    <w:rsid w:val="00BE3EB5"/>
    <w:rsid w:val="00BE429D"/>
    <w:rsid w:val="00BE4722"/>
    <w:rsid w:val="00BE48B8"/>
    <w:rsid w:val="00BE4C18"/>
    <w:rsid w:val="00BE4CBB"/>
    <w:rsid w:val="00BE5260"/>
    <w:rsid w:val="00BE5A99"/>
    <w:rsid w:val="00BE5E08"/>
    <w:rsid w:val="00BE5E2A"/>
    <w:rsid w:val="00BE64A2"/>
    <w:rsid w:val="00BE6CCD"/>
    <w:rsid w:val="00BE70F7"/>
    <w:rsid w:val="00BE7321"/>
    <w:rsid w:val="00BF02B0"/>
    <w:rsid w:val="00BF0C97"/>
    <w:rsid w:val="00BF11C6"/>
    <w:rsid w:val="00BF132D"/>
    <w:rsid w:val="00BF1736"/>
    <w:rsid w:val="00BF1C7C"/>
    <w:rsid w:val="00BF1E2B"/>
    <w:rsid w:val="00BF1F3D"/>
    <w:rsid w:val="00BF1F98"/>
    <w:rsid w:val="00BF209B"/>
    <w:rsid w:val="00BF2373"/>
    <w:rsid w:val="00BF26D4"/>
    <w:rsid w:val="00BF2715"/>
    <w:rsid w:val="00BF30D2"/>
    <w:rsid w:val="00BF3606"/>
    <w:rsid w:val="00BF3AD2"/>
    <w:rsid w:val="00BF4009"/>
    <w:rsid w:val="00BF4575"/>
    <w:rsid w:val="00BF46D7"/>
    <w:rsid w:val="00BF4765"/>
    <w:rsid w:val="00BF476C"/>
    <w:rsid w:val="00BF4B6E"/>
    <w:rsid w:val="00BF4BAF"/>
    <w:rsid w:val="00BF4C42"/>
    <w:rsid w:val="00BF4D51"/>
    <w:rsid w:val="00BF4DF3"/>
    <w:rsid w:val="00BF4E43"/>
    <w:rsid w:val="00BF4EDD"/>
    <w:rsid w:val="00BF5380"/>
    <w:rsid w:val="00BF59C5"/>
    <w:rsid w:val="00BF6785"/>
    <w:rsid w:val="00C005E3"/>
    <w:rsid w:val="00C0126E"/>
    <w:rsid w:val="00C01712"/>
    <w:rsid w:val="00C0211E"/>
    <w:rsid w:val="00C02A5E"/>
    <w:rsid w:val="00C0328D"/>
    <w:rsid w:val="00C036E8"/>
    <w:rsid w:val="00C038A0"/>
    <w:rsid w:val="00C03B0C"/>
    <w:rsid w:val="00C03DB3"/>
    <w:rsid w:val="00C0422D"/>
    <w:rsid w:val="00C0494A"/>
    <w:rsid w:val="00C04DA7"/>
    <w:rsid w:val="00C04F22"/>
    <w:rsid w:val="00C04F95"/>
    <w:rsid w:val="00C051FB"/>
    <w:rsid w:val="00C061D7"/>
    <w:rsid w:val="00C06230"/>
    <w:rsid w:val="00C0625B"/>
    <w:rsid w:val="00C0637A"/>
    <w:rsid w:val="00C06396"/>
    <w:rsid w:val="00C069D5"/>
    <w:rsid w:val="00C06EB0"/>
    <w:rsid w:val="00C07294"/>
    <w:rsid w:val="00C07DF1"/>
    <w:rsid w:val="00C11AC9"/>
    <w:rsid w:val="00C11C8D"/>
    <w:rsid w:val="00C12D2F"/>
    <w:rsid w:val="00C13239"/>
    <w:rsid w:val="00C13FDF"/>
    <w:rsid w:val="00C14F65"/>
    <w:rsid w:val="00C15AC9"/>
    <w:rsid w:val="00C15F98"/>
    <w:rsid w:val="00C167B3"/>
    <w:rsid w:val="00C167B5"/>
    <w:rsid w:val="00C16B40"/>
    <w:rsid w:val="00C200D5"/>
    <w:rsid w:val="00C2010D"/>
    <w:rsid w:val="00C20423"/>
    <w:rsid w:val="00C209B2"/>
    <w:rsid w:val="00C20D77"/>
    <w:rsid w:val="00C21125"/>
    <w:rsid w:val="00C2113E"/>
    <w:rsid w:val="00C21E76"/>
    <w:rsid w:val="00C2229B"/>
    <w:rsid w:val="00C22453"/>
    <w:rsid w:val="00C224D4"/>
    <w:rsid w:val="00C2281C"/>
    <w:rsid w:val="00C22821"/>
    <w:rsid w:val="00C229CB"/>
    <w:rsid w:val="00C2385E"/>
    <w:rsid w:val="00C23C9B"/>
    <w:rsid w:val="00C23D2F"/>
    <w:rsid w:val="00C23D4A"/>
    <w:rsid w:val="00C26553"/>
    <w:rsid w:val="00C26764"/>
    <w:rsid w:val="00C2730B"/>
    <w:rsid w:val="00C2780A"/>
    <w:rsid w:val="00C27EB7"/>
    <w:rsid w:val="00C30343"/>
    <w:rsid w:val="00C303AE"/>
    <w:rsid w:val="00C305C0"/>
    <w:rsid w:val="00C30D75"/>
    <w:rsid w:val="00C30FA4"/>
    <w:rsid w:val="00C31833"/>
    <w:rsid w:val="00C31D03"/>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1D6"/>
    <w:rsid w:val="00C376AA"/>
    <w:rsid w:val="00C37EF9"/>
    <w:rsid w:val="00C40874"/>
    <w:rsid w:val="00C4102A"/>
    <w:rsid w:val="00C4118B"/>
    <w:rsid w:val="00C41885"/>
    <w:rsid w:val="00C41C64"/>
    <w:rsid w:val="00C41F1F"/>
    <w:rsid w:val="00C427FE"/>
    <w:rsid w:val="00C43365"/>
    <w:rsid w:val="00C4348A"/>
    <w:rsid w:val="00C43AB9"/>
    <w:rsid w:val="00C443A3"/>
    <w:rsid w:val="00C443BD"/>
    <w:rsid w:val="00C443D3"/>
    <w:rsid w:val="00C446C5"/>
    <w:rsid w:val="00C4470C"/>
    <w:rsid w:val="00C44936"/>
    <w:rsid w:val="00C451C5"/>
    <w:rsid w:val="00C4530D"/>
    <w:rsid w:val="00C456F2"/>
    <w:rsid w:val="00C45B0A"/>
    <w:rsid w:val="00C45D38"/>
    <w:rsid w:val="00C46674"/>
    <w:rsid w:val="00C467A7"/>
    <w:rsid w:val="00C46C8A"/>
    <w:rsid w:val="00C46D67"/>
    <w:rsid w:val="00C47605"/>
    <w:rsid w:val="00C47836"/>
    <w:rsid w:val="00C47CCA"/>
    <w:rsid w:val="00C47F13"/>
    <w:rsid w:val="00C500EF"/>
    <w:rsid w:val="00C50478"/>
    <w:rsid w:val="00C50889"/>
    <w:rsid w:val="00C511D4"/>
    <w:rsid w:val="00C513F2"/>
    <w:rsid w:val="00C5160C"/>
    <w:rsid w:val="00C51C10"/>
    <w:rsid w:val="00C51CF9"/>
    <w:rsid w:val="00C51F3E"/>
    <w:rsid w:val="00C51FFB"/>
    <w:rsid w:val="00C522BA"/>
    <w:rsid w:val="00C52305"/>
    <w:rsid w:val="00C53641"/>
    <w:rsid w:val="00C53768"/>
    <w:rsid w:val="00C537A2"/>
    <w:rsid w:val="00C53827"/>
    <w:rsid w:val="00C53B91"/>
    <w:rsid w:val="00C53CA8"/>
    <w:rsid w:val="00C53DA4"/>
    <w:rsid w:val="00C540EB"/>
    <w:rsid w:val="00C54D81"/>
    <w:rsid w:val="00C560EB"/>
    <w:rsid w:val="00C564E1"/>
    <w:rsid w:val="00C56507"/>
    <w:rsid w:val="00C56CCF"/>
    <w:rsid w:val="00C56D8D"/>
    <w:rsid w:val="00C57065"/>
    <w:rsid w:val="00C5723D"/>
    <w:rsid w:val="00C57E20"/>
    <w:rsid w:val="00C6076F"/>
    <w:rsid w:val="00C60D3A"/>
    <w:rsid w:val="00C60E30"/>
    <w:rsid w:val="00C61360"/>
    <w:rsid w:val="00C613C3"/>
    <w:rsid w:val="00C614C6"/>
    <w:rsid w:val="00C6153F"/>
    <w:rsid w:val="00C623FE"/>
    <w:rsid w:val="00C6274A"/>
    <w:rsid w:val="00C6374F"/>
    <w:rsid w:val="00C638D8"/>
    <w:rsid w:val="00C639F5"/>
    <w:rsid w:val="00C63EA4"/>
    <w:rsid w:val="00C64296"/>
    <w:rsid w:val="00C64596"/>
    <w:rsid w:val="00C647E4"/>
    <w:rsid w:val="00C6488F"/>
    <w:rsid w:val="00C64FC6"/>
    <w:rsid w:val="00C6515A"/>
    <w:rsid w:val="00C65D6D"/>
    <w:rsid w:val="00C668C2"/>
    <w:rsid w:val="00C6696B"/>
    <w:rsid w:val="00C66D1B"/>
    <w:rsid w:val="00C66E0F"/>
    <w:rsid w:val="00C670AC"/>
    <w:rsid w:val="00C673EB"/>
    <w:rsid w:val="00C67695"/>
    <w:rsid w:val="00C67D4F"/>
    <w:rsid w:val="00C67E29"/>
    <w:rsid w:val="00C704BE"/>
    <w:rsid w:val="00C70853"/>
    <w:rsid w:val="00C708D6"/>
    <w:rsid w:val="00C70A41"/>
    <w:rsid w:val="00C70BF4"/>
    <w:rsid w:val="00C7113A"/>
    <w:rsid w:val="00C712DE"/>
    <w:rsid w:val="00C71433"/>
    <w:rsid w:val="00C71A21"/>
    <w:rsid w:val="00C725E3"/>
    <w:rsid w:val="00C735D1"/>
    <w:rsid w:val="00C74418"/>
    <w:rsid w:val="00C7442C"/>
    <w:rsid w:val="00C7461C"/>
    <w:rsid w:val="00C74890"/>
    <w:rsid w:val="00C74CDE"/>
    <w:rsid w:val="00C74D07"/>
    <w:rsid w:val="00C75520"/>
    <w:rsid w:val="00C75D1A"/>
    <w:rsid w:val="00C76050"/>
    <w:rsid w:val="00C761F5"/>
    <w:rsid w:val="00C76B49"/>
    <w:rsid w:val="00C76B68"/>
    <w:rsid w:val="00C76C1E"/>
    <w:rsid w:val="00C76C98"/>
    <w:rsid w:val="00C774F5"/>
    <w:rsid w:val="00C77F03"/>
    <w:rsid w:val="00C801E0"/>
    <w:rsid w:val="00C811B2"/>
    <w:rsid w:val="00C813DE"/>
    <w:rsid w:val="00C81E6C"/>
    <w:rsid w:val="00C82194"/>
    <w:rsid w:val="00C8234E"/>
    <w:rsid w:val="00C826E7"/>
    <w:rsid w:val="00C8341D"/>
    <w:rsid w:val="00C8342A"/>
    <w:rsid w:val="00C8358D"/>
    <w:rsid w:val="00C83644"/>
    <w:rsid w:val="00C837EF"/>
    <w:rsid w:val="00C84023"/>
    <w:rsid w:val="00C84EFF"/>
    <w:rsid w:val="00C85618"/>
    <w:rsid w:val="00C858E1"/>
    <w:rsid w:val="00C87EB3"/>
    <w:rsid w:val="00C904CE"/>
    <w:rsid w:val="00C909E2"/>
    <w:rsid w:val="00C9161D"/>
    <w:rsid w:val="00C91A97"/>
    <w:rsid w:val="00C920D7"/>
    <w:rsid w:val="00C92120"/>
    <w:rsid w:val="00C92233"/>
    <w:rsid w:val="00C925A8"/>
    <w:rsid w:val="00C92B27"/>
    <w:rsid w:val="00C92C6F"/>
    <w:rsid w:val="00C93164"/>
    <w:rsid w:val="00C94090"/>
    <w:rsid w:val="00C945E9"/>
    <w:rsid w:val="00C94B0F"/>
    <w:rsid w:val="00C94E83"/>
    <w:rsid w:val="00C94F52"/>
    <w:rsid w:val="00C955A1"/>
    <w:rsid w:val="00C95A7D"/>
    <w:rsid w:val="00C95B76"/>
    <w:rsid w:val="00C9656B"/>
    <w:rsid w:val="00C96A5E"/>
    <w:rsid w:val="00C96C9F"/>
    <w:rsid w:val="00C97740"/>
    <w:rsid w:val="00C97792"/>
    <w:rsid w:val="00C97A18"/>
    <w:rsid w:val="00CA0772"/>
    <w:rsid w:val="00CA0C10"/>
    <w:rsid w:val="00CA0C1D"/>
    <w:rsid w:val="00CA189D"/>
    <w:rsid w:val="00CA19D8"/>
    <w:rsid w:val="00CA2614"/>
    <w:rsid w:val="00CA2777"/>
    <w:rsid w:val="00CA2C3B"/>
    <w:rsid w:val="00CA3EA7"/>
    <w:rsid w:val="00CA471D"/>
    <w:rsid w:val="00CA4B26"/>
    <w:rsid w:val="00CA5000"/>
    <w:rsid w:val="00CA5F70"/>
    <w:rsid w:val="00CA6459"/>
    <w:rsid w:val="00CA6565"/>
    <w:rsid w:val="00CA6971"/>
    <w:rsid w:val="00CA7630"/>
    <w:rsid w:val="00CA76C6"/>
    <w:rsid w:val="00CA7C70"/>
    <w:rsid w:val="00CA7FBD"/>
    <w:rsid w:val="00CB029E"/>
    <w:rsid w:val="00CB02E6"/>
    <w:rsid w:val="00CB0429"/>
    <w:rsid w:val="00CB05E4"/>
    <w:rsid w:val="00CB0A80"/>
    <w:rsid w:val="00CB0BDB"/>
    <w:rsid w:val="00CB0CAA"/>
    <w:rsid w:val="00CB110D"/>
    <w:rsid w:val="00CB2D04"/>
    <w:rsid w:val="00CB2F07"/>
    <w:rsid w:val="00CB33F5"/>
    <w:rsid w:val="00CB360E"/>
    <w:rsid w:val="00CB37C6"/>
    <w:rsid w:val="00CB3F6D"/>
    <w:rsid w:val="00CB51C9"/>
    <w:rsid w:val="00CB5918"/>
    <w:rsid w:val="00CB7306"/>
    <w:rsid w:val="00CB76BA"/>
    <w:rsid w:val="00CC0101"/>
    <w:rsid w:val="00CC02B8"/>
    <w:rsid w:val="00CC04AD"/>
    <w:rsid w:val="00CC0609"/>
    <w:rsid w:val="00CC1355"/>
    <w:rsid w:val="00CC1740"/>
    <w:rsid w:val="00CC1AAF"/>
    <w:rsid w:val="00CC1BCA"/>
    <w:rsid w:val="00CC2984"/>
    <w:rsid w:val="00CC450A"/>
    <w:rsid w:val="00CC4763"/>
    <w:rsid w:val="00CC4E03"/>
    <w:rsid w:val="00CC606B"/>
    <w:rsid w:val="00CC6E42"/>
    <w:rsid w:val="00CC7108"/>
    <w:rsid w:val="00CC7452"/>
    <w:rsid w:val="00CD096A"/>
    <w:rsid w:val="00CD0C33"/>
    <w:rsid w:val="00CD0CFB"/>
    <w:rsid w:val="00CD1114"/>
    <w:rsid w:val="00CD1131"/>
    <w:rsid w:val="00CD1539"/>
    <w:rsid w:val="00CD165D"/>
    <w:rsid w:val="00CD1E3A"/>
    <w:rsid w:val="00CD2C8A"/>
    <w:rsid w:val="00CD3090"/>
    <w:rsid w:val="00CD3DBE"/>
    <w:rsid w:val="00CD405D"/>
    <w:rsid w:val="00CD5A89"/>
    <w:rsid w:val="00CD5E0D"/>
    <w:rsid w:val="00CD63C3"/>
    <w:rsid w:val="00CD6CEF"/>
    <w:rsid w:val="00CD74A1"/>
    <w:rsid w:val="00CD754E"/>
    <w:rsid w:val="00CD7E25"/>
    <w:rsid w:val="00CD7FBD"/>
    <w:rsid w:val="00CE0162"/>
    <w:rsid w:val="00CE034F"/>
    <w:rsid w:val="00CE062E"/>
    <w:rsid w:val="00CE32C4"/>
    <w:rsid w:val="00CE381C"/>
    <w:rsid w:val="00CE3CD3"/>
    <w:rsid w:val="00CE3CFC"/>
    <w:rsid w:val="00CE4773"/>
    <w:rsid w:val="00CE4BB0"/>
    <w:rsid w:val="00CE5252"/>
    <w:rsid w:val="00CE5475"/>
    <w:rsid w:val="00CE5C0E"/>
    <w:rsid w:val="00CE5FD1"/>
    <w:rsid w:val="00CE629E"/>
    <w:rsid w:val="00CE6608"/>
    <w:rsid w:val="00CE6E38"/>
    <w:rsid w:val="00CE72C4"/>
    <w:rsid w:val="00CE77D8"/>
    <w:rsid w:val="00CE7974"/>
    <w:rsid w:val="00CE7B7F"/>
    <w:rsid w:val="00CF017B"/>
    <w:rsid w:val="00CF0371"/>
    <w:rsid w:val="00CF09E6"/>
    <w:rsid w:val="00CF0B2A"/>
    <w:rsid w:val="00CF0C69"/>
    <w:rsid w:val="00CF1031"/>
    <w:rsid w:val="00CF13CE"/>
    <w:rsid w:val="00CF1632"/>
    <w:rsid w:val="00CF1848"/>
    <w:rsid w:val="00CF22C1"/>
    <w:rsid w:val="00CF2BB2"/>
    <w:rsid w:val="00CF303A"/>
    <w:rsid w:val="00CF3B1D"/>
    <w:rsid w:val="00CF4123"/>
    <w:rsid w:val="00CF4AA1"/>
    <w:rsid w:val="00CF5BE3"/>
    <w:rsid w:val="00CF60F9"/>
    <w:rsid w:val="00CF62EF"/>
    <w:rsid w:val="00CF66D1"/>
    <w:rsid w:val="00CF6844"/>
    <w:rsid w:val="00CF71EF"/>
    <w:rsid w:val="00CF7246"/>
    <w:rsid w:val="00D0004A"/>
    <w:rsid w:val="00D000E0"/>
    <w:rsid w:val="00D01099"/>
    <w:rsid w:val="00D01B89"/>
    <w:rsid w:val="00D0201B"/>
    <w:rsid w:val="00D024C5"/>
    <w:rsid w:val="00D026A1"/>
    <w:rsid w:val="00D027F7"/>
    <w:rsid w:val="00D0290E"/>
    <w:rsid w:val="00D02B9B"/>
    <w:rsid w:val="00D0321D"/>
    <w:rsid w:val="00D037D6"/>
    <w:rsid w:val="00D03E92"/>
    <w:rsid w:val="00D04B9A"/>
    <w:rsid w:val="00D04D62"/>
    <w:rsid w:val="00D04DEB"/>
    <w:rsid w:val="00D05A33"/>
    <w:rsid w:val="00D05EE1"/>
    <w:rsid w:val="00D05F0D"/>
    <w:rsid w:val="00D06182"/>
    <w:rsid w:val="00D061F1"/>
    <w:rsid w:val="00D07C62"/>
    <w:rsid w:val="00D07D97"/>
    <w:rsid w:val="00D07FED"/>
    <w:rsid w:val="00D113DC"/>
    <w:rsid w:val="00D11503"/>
    <w:rsid w:val="00D115A4"/>
    <w:rsid w:val="00D1188D"/>
    <w:rsid w:val="00D12044"/>
    <w:rsid w:val="00D12076"/>
    <w:rsid w:val="00D121B5"/>
    <w:rsid w:val="00D12AD8"/>
    <w:rsid w:val="00D12E1D"/>
    <w:rsid w:val="00D12F15"/>
    <w:rsid w:val="00D131C6"/>
    <w:rsid w:val="00D1341F"/>
    <w:rsid w:val="00D139B2"/>
    <w:rsid w:val="00D14329"/>
    <w:rsid w:val="00D143FF"/>
    <w:rsid w:val="00D1450E"/>
    <w:rsid w:val="00D14C55"/>
    <w:rsid w:val="00D15596"/>
    <w:rsid w:val="00D15801"/>
    <w:rsid w:val="00D15886"/>
    <w:rsid w:val="00D15C42"/>
    <w:rsid w:val="00D1656F"/>
    <w:rsid w:val="00D16C94"/>
    <w:rsid w:val="00D16D90"/>
    <w:rsid w:val="00D16DC7"/>
    <w:rsid w:val="00D17051"/>
    <w:rsid w:val="00D170D1"/>
    <w:rsid w:val="00D170D9"/>
    <w:rsid w:val="00D171F3"/>
    <w:rsid w:val="00D1731A"/>
    <w:rsid w:val="00D17418"/>
    <w:rsid w:val="00D17A30"/>
    <w:rsid w:val="00D17AC9"/>
    <w:rsid w:val="00D20236"/>
    <w:rsid w:val="00D20575"/>
    <w:rsid w:val="00D2070A"/>
    <w:rsid w:val="00D20CF2"/>
    <w:rsid w:val="00D21AFD"/>
    <w:rsid w:val="00D22E1D"/>
    <w:rsid w:val="00D232FB"/>
    <w:rsid w:val="00D25408"/>
    <w:rsid w:val="00D25F71"/>
    <w:rsid w:val="00D260AD"/>
    <w:rsid w:val="00D263A3"/>
    <w:rsid w:val="00D269F4"/>
    <w:rsid w:val="00D26A0C"/>
    <w:rsid w:val="00D26DAF"/>
    <w:rsid w:val="00D27183"/>
    <w:rsid w:val="00D27257"/>
    <w:rsid w:val="00D27CAA"/>
    <w:rsid w:val="00D27F71"/>
    <w:rsid w:val="00D31908"/>
    <w:rsid w:val="00D31B28"/>
    <w:rsid w:val="00D31BA6"/>
    <w:rsid w:val="00D32B05"/>
    <w:rsid w:val="00D32D88"/>
    <w:rsid w:val="00D32E49"/>
    <w:rsid w:val="00D32FE3"/>
    <w:rsid w:val="00D3367B"/>
    <w:rsid w:val="00D33E65"/>
    <w:rsid w:val="00D33EFC"/>
    <w:rsid w:val="00D34E19"/>
    <w:rsid w:val="00D359A6"/>
    <w:rsid w:val="00D35AD0"/>
    <w:rsid w:val="00D36204"/>
    <w:rsid w:val="00D36526"/>
    <w:rsid w:val="00D366AE"/>
    <w:rsid w:val="00D37857"/>
    <w:rsid w:val="00D37957"/>
    <w:rsid w:val="00D37F85"/>
    <w:rsid w:val="00D37F94"/>
    <w:rsid w:val="00D402C1"/>
    <w:rsid w:val="00D40AA5"/>
    <w:rsid w:val="00D40DBC"/>
    <w:rsid w:val="00D40E91"/>
    <w:rsid w:val="00D4168B"/>
    <w:rsid w:val="00D41B93"/>
    <w:rsid w:val="00D41C68"/>
    <w:rsid w:val="00D41F10"/>
    <w:rsid w:val="00D424C7"/>
    <w:rsid w:val="00D43721"/>
    <w:rsid w:val="00D44A67"/>
    <w:rsid w:val="00D44C52"/>
    <w:rsid w:val="00D44CAA"/>
    <w:rsid w:val="00D44DEA"/>
    <w:rsid w:val="00D4525D"/>
    <w:rsid w:val="00D46A39"/>
    <w:rsid w:val="00D46E16"/>
    <w:rsid w:val="00D479FB"/>
    <w:rsid w:val="00D47B82"/>
    <w:rsid w:val="00D506F2"/>
    <w:rsid w:val="00D50AED"/>
    <w:rsid w:val="00D50CD5"/>
    <w:rsid w:val="00D51549"/>
    <w:rsid w:val="00D51E93"/>
    <w:rsid w:val="00D51F25"/>
    <w:rsid w:val="00D52154"/>
    <w:rsid w:val="00D527D7"/>
    <w:rsid w:val="00D52835"/>
    <w:rsid w:val="00D52AE4"/>
    <w:rsid w:val="00D52D61"/>
    <w:rsid w:val="00D53042"/>
    <w:rsid w:val="00D53456"/>
    <w:rsid w:val="00D53C0C"/>
    <w:rsid w:val="00D540B3"/>
    <w:rsid w:val="00D541F3"/>
    <w:rsid w:val="00D54B1B"/>
    <w:rsid w:val="00D55153"/>
    <w:rsid w:val="00D552B6"/>
    <w:rsid w:val="00D55424"/>
    <w:rsid w:val="00D5557F"/>
    <w:rsid w:val="00D57305"/>
    <w:rsid w:val="00D57889"/>
    <w:rsid w:val="00D578A6"/>
    <w:rsid w:val="00D57D33"/>
    <w:rsid w:val="00D57E15"/>
    <w:rsid w:val="00D57F5D"/>
    <w:rsid w:val="00D6143D"/>
    <w:rsid w:val="00D618DF"/>
    <w:rsid w:val="00D61A09"/>
    <w:rsid w:val="00D61C85"/>
    <w:rsid w:val="00D62051"/>
    <w:rsid w:val="00D62AE5"/>
    <w:rsid w:val="00D62E09"/>
    <w:rsid w:val="00D63481"/>
    <w:rsid w:val="00D63736"/>
    <w:rsid w:val="00D63826"/>
    <w:rsid w:val="00D645A4"/>
    <w:rsid w:val="00D64864"/>
    <w:rsid w:val="00D64CB6"/>
    <w:rsid w:val="00D65596"/>
    <w:rsid w:val="00D65A17"/>
    <w:rsid w:val="00D660F0"/>
    <w:rsid w:val="00D6664E"/>
    <w:rsid w:val="00D66D52"/>
    <w:rsid w:val="00D66FE0"/>
    <w:rsid w:val="00D67129"/>
    <w:rsid w:val="00D701CE"/>
    <w:rsid w:val="00D70A9F"/>
    <w:rsid w:val="00D71219"/>
    <w:rsid w:val="00D72F3B"/>
    <w:rsid w:val="00D732BE"/>
    <w:rsid w:val="00D73B27"/>
    <w:rsid w:val="00D73B9F"/>
    <w:rsid w:val="00D74314"/>
    <w:rsid w:val="00D74BCF"/>
    <w:rsid w:val="00D75CA6"/>
    <w:rsid w:val="00D76139"/>
    <w:rsid w:val="00D763AF"/>
    <w:rsid w:val="00D764C7"/>
    <w:rsid w:val="00D769DF"/>
    <w:rsid w:val="00D76A18"/>
    <w:rsid w:val="00D76D0B"/>
    <w:rsid w:val="00D772CC"/>
    <w:rsid w:val="00D77552"/>
    <w:rsid w:val="00D77A82"/>
    <w:rsid w:val="00D8003F"/>
    <w:rsid w:val="00D80849"/>
    <w:rsid w:val="00D81186"/>
    <w:rsid w:val="00D81B53"/>
    <w:rsid w:val="00D82E8F"/>
    <w:rsid w:val="00D83654"/>
    <w:rsid w:val="00D840AF"/>
    <w:rsid w:val="00D844B7"/>
    <w:rsid w:val="00D84930"/>
    <w:rsid w:val="00D84B55"/>
    <w:rsid w:val="00D84BDB"/>
    <w:rsid w:val="00D84E3A"/>
    <w:rsid w:val="00D855A9"/>
    <w:rsid w:val="00D85600"/>
    <w:rsid w:val="00D858AD"/>
    <w:rsid w:val="00D865E5"/>
    <w:rsid w:val="00D86705"/>
    <w:rsid w:val="00D8691F"/>
    <w:rsid w:val="00D86F93"/>
    <w:rsid w:val="00D870AE"/>
    <w:rsid w:val="00D872EA"/>
    <w:rsid w:val="00D87603"/>
    <w:rsid w:val="00D87C68"/>
    <w:rsid w:val="00D87D47"/>
    <w:rsid w:val="00D87D8B"/>
    <w:rsid w:val="00D87E11"/>
    <w:rsid w:val="00D9035F"/>
    <w:rsid w:val="00D90B56"/>
    <w:rsid w:val="00D90C46"/>
    <w:rsid w:val="00D91568"/>
    <w:rsid w:val="00D91ABE"/>
    <w:rsid w:val="00D91ECC"/>
    <w:rsid w:val="00D91F84"/>
    <w:rsid w:val="00D92561"/>
    <w:rsid w:val="00D92FA5"/>
    <w:rsid w:val="00D93DD7"/>
    <w:rsid w:val="00D93E04"/>
    <w:rsid w:val="00D94006"/>
    <w:rsid w:val="00D95A86"/>
    <w:rsid w:val="00D95C44"/>
    <w:rsid w:val="00D96065"/>
    <w:rsid w:val="00D961B0"/>
    <w:rsid w:val="00D96676"/>
    <w:rsid w:val="00D96CBC"/>
    <w:rsid w:val="00D96CC5"/>
    <w:rsid w:val="00DA0592"/>
    <w:rsid w:val="00DA0681"/>
    <w:rsid w:val="00DA0891"/>
    <w:rsid w:val="00DA0A03"/>
    <w:rsid w:val="00DA0A5A"/>
    <w:rsid w:val="00DA1497"/>
    <w:rsid w:val="00DA2468"/>
    <w:rsid w:val="00DA24BF"/>
    <w:rsid w:val="00DA2716"/>
    <w:rsid w:val="00DA34C0"/>
    <w:rsid w:val="00DA35AE"/>
    <w:rsid w:val="00DA38ED"/>
    <w:rsid w:val="00DA4423"/>
    <w:rsid w:val="00DA4A25"/>
    <w:rsid w:val="00DA56EE"/>
    <w:rsid w:val="00DA596E"/>
    <w:rsid w:val="00DA5E4D"/>
    <w:rsid w:val="00DA61A3"/>
    <w:rsid w:val="00DA6490"/>
    <w:rsid w:val="00DA64F2"/>
    <w:rsid w:val="00DA65C7"/>
    <w:rsid w:val="00DA76EE"/>
    <w:rsid w:val="00DA7CC7"/>
    <w:rsid w:val="00DA7D34"/>
    <w:rsid w:val="00DA7D88"/>
    <w:rsid w:val="00DA7EA9"/>
    <w:rsid w:val="00DB0C5A"/>
    <w:rsid w:val="00DB1A3F"/>
    <w:rsid w:val="00DB21E8"/>
    <w:rsid w:val="00DB2770"/>
    <w:rsid w:val="00DB2CDB"/>
    <w:rsid w:val="00DB320B"/>
    <w:rsid w:val="00DB3576"/>
    <w:rsid w:val="00DB45B6"/>
    <w:rsid w:val="00DB4E11"/>
    <w:rsid w:val="00DB59D9"/>
    <w:rsid w:val="00DB5B31"/>
    <w:rsid w:val="00DB5E0F"/>
    <w:rsid w:val="00DB6412"/>
    <w:rsid w:val="00DB6A83"/>
    <w:rsid w:val="00DB6E4C"/>
    <w:rsid w:val="00DB6F26"/>
    <w:rsid w:val="00DB700D"/>
    <w:rsid w:val="00DB7181"/>
    <w:rsid w:val="00DB76AC"/>
    <w:rsid w:val="00DB7D0C"/>
    <w:rsid w:val="00DB7D57"/>
    <w:rsid w:val="00DB7E5F"/>
    <w:rsid w:val="00DB7FB0"/>
    <w:rsid w:val="00DC0146"/>
    <w:rsid w:val="00DC05D1"/>
    <w:rsid w:val="00DC0932"/>
    <w:rsid w:val="00DC0952"/>
    <w:rsid w:val="00DC0FD5"/>
    <w:rsid w:val="00DC12E5"/>
    <w:rsid w:val="00DC1340"/>
    <w:rsid w:val="00DC13D5"/>
    <w:rsid w:val="00DC143A"/>
    <w:rsid w:val="00DC1DF5"/>
    <w:rsid w:val="00DC2241"/>
    <w:rsid w:val="00DC2947"/>
    <w:rsid w:val="00DC3C2B"/>
    <w:rsid w:val="00DC59CC"/>
    <w:rsid w:val="00DC64EA"/>
    <w:rsid w:val="00DC6711"/>
    <w:rsid w:val="00DC6DF6"/>
    <w:rsid w:val="00DC74D9"/>
    <w:rsid w:val="00DC753C"/>
    <w:rsid w:val="00DC7ECF"/>
    <w:rsid w:val="00DD03DF"/>
    <w:rsid w:val="00DD0915"/>
    <w:rsid w:val="00DD10E9"/>
    <w:rsid w:val="00DD118C"/>
    <w:rsid w:val="00DD12F9"/>
    <w:rsid w:val="00DD199F"/>
    <w:rsid w:val="00DD234F"/>
    <w:rsid w:val="00DD296F"/>
    <w:rsid w:val="00DD30DB"/>
    <w:rsid w:val="00DD33FE"/>
    <w:rsid w:val="00DD34B3"/>
    <w:rsid w:val="00DD4329"/>
    <w:rsid w:val="00DD4AA1"/>
    <w:rsid w:val="00DD69BC"/>
    <w:rsid w:val="00DD72E2"/>
    <w:rsid w:val="00DD736C"/>
    <w:rsid w:val="00DE001C"/>
    <w:rsid w:val="00DE0076"/>
    <w:rsid w:val="00DE07F2"/>
    <w:rsid w:val="00DE0E4E"/>
    <w:rsid w:val="00DE1368"/>
    <w:rsid w:val="00DE178D"/>
    <w:rsid w:val="00DE1792"/>
    <w:rsid w:val="00DE1832"/>
    <w:rsid w:val="00DE19E2"/>
    <w:rsid w:val="00DE2B7E"/>
    <w:rsid w:val="00DE337B"/>
    <w:rsid w:val="00DE3E37"/>
    <w:rsid w:val="00DE3EF7"/>
    <w:rsid w:val="00DE40A5"/>
    <w:rsid w:val="00DE41DB"/>
    <w:rsid w:val="00DE4680"/>
    <w:rsid w:val="00DE54C1"/>
    <w:rsid w:val="00DE5691"/>
    <w:rsid w:val="00DE57E8"/>
    <w:rsid w:val="00DE5BD1"/>
    <w:rsid w:val="00DE5F4F"/>
    <w:rsid w:val="00DE65B2"/>
    <w:rsid w:val="00DE6AEB"/>
    <w:rsid w:val="00DE6E58"/>
    <w:rsid w:val="00DE73E0"/>
    <w:rsid w:val="00DE746E"/>
    <w:rsid w:val="00DE765C"/>
    <w:rsid w:val="00DF0371"/>
    <w:rsid w:val="00DF0482"/>
    <w:rsid w:val="00DF05B4"/>
    <w:rsid w:val="00DF07E7"/>
    <w:rsid w:val="00DF133E"/>
    <w:rsid w:val="00DF1590"/>
    <w:rsid w:val="00DF1BDB"/>
    <w:rsid w:val="00DF266B"/>
    <w:rsid w:val="00DF2F2D"/>
    <w:rsid w:val="00DF2F9A"/>
    <w:rsid w:val="00DF322A"/>
    <w:rsid w:val="00DF3486"/>
    <w:rsid w:val="00DF3601"/>
    <w:rsid w:val="00DF3F0D"/>
    <w:rsid w:val="00DF40C9"/>
    <w:rsid w:val="00DF4208"/>
    <w:rsid w:val="00DF461C"/>
    <w:rsid w:val="00DF4B77"/>
    <w:rsid w:val="00DF4C70"/>
    <w:rsid w:val="00DF59B2"/>
    <w:rsid w:val="00DF65A8"/>
    <w:rsid w:val="00DF65DA"/>
    <w:rsid w:val="00DF6B6A"/>
    <w:rsid w:val="00DF7051"/>
    <w:rsid w:val="00DF765C"/>
    <w:rsid w:val="00DF77D2"/>
    <w:rsid w:val="00DF7EE7"/>
    <w:rsid w:val="00E004FD"/>
    <w:rsid w:val="00E00A20"/>
    <w:rsid w:val="00E00F6D"/>
    <w:rsid w:val="00E01994"/>
    <w:rsid w:val="00E01C87"/>
    <w:rsid w:val="00E0250B"/>
    <w:rsid w:val="00E02F94"/>
    <w:rsid w:val="00E03133"/>
    <w:rsid w:val="00E045DF"/>
    <w:rsid w:val="00E05CFD"/>
    <w:rsid w:val="00E06566"/>
    <w:rsid w:val="00E068B7"/>
    <w:rsid w:val="00E076D8"/>
    <w:rsid w:val="00E078E9"/>
    <w:rsid w:val="00E07AEF"/>
    <w:rsid w:val="00E07B23"/>
    <w:rsid w:val="00E07B7E"/>
    <w:rsid w:val="00E07BC6"/>
    <w:rsid w:val="00E1025C"/>
    <w:rsid w:val="00E10ACD"/>
    <w:rsid w:val="00E10F92"/>
    <w:rsid w:val="00E115A9"/>
    <w:rsid w:val="00E13399"/>
    <w:rsid w:val="00E133C8"/>
    <w:rsid w:val="00E134BF"/>
    <w:rsid w:val="00E13A7E"/>
    <w:rsid w:val="00E13B49"/>
    <w:rsid w:val="00E14550"/>
    <w:rsid w:val="00E14791"/>
    <w:rsid w:val="00E150E5"/>
    <w:rsid w:val="00E15BBE"/>
    <w:rsid w:val="00E15C51"/>
    <w:rsid w:val="00E165FF"/>
    <w:rsid w:val="00E16CDD"/>
    <w:rsid w:val="00E171A6"/>
    <w:rsid w:val="00E179FA"/>
    <w:rsid w:val="00E17CF8"/>
    <w:rsid w:val="00E2034D"/>
    <w:rsid w:val="00E2053B"/>
    <w:rsid w:val="00E205F1"/>
    <w:rsid w:val="00E209BB"/>
    <w:rsid w:val="00E20DDE"/>
    <w:rsid w:val="00E20E19"/>
    <w:rsid w:val="00E210A6"/>
    <w:rsid w:val="00E21919"/>
    <w:rsid w:val="00E21DD1"/>
    <w:rsid w:val="00E2222F"/>
    <w:rsid w:val="00E227DA"/>
    <w:rsid w:val="00E23353"/>
    <w:rsid w:val="00E23F63"/>
    <w:rsid w:val="00E24412"/>
    <w:rsid w:val="00E2474A"/>
    <w:rsid w:val="00E24806"/>
    <w:rsid w:val="00E2480A"/>
    <w:rsid w:val="00E24DB7"/>
    <w:rsid w:val="00E24F79"/>
    <w:rsid w:val="00E25011"/>
    <w:rsid w:val="00E2547D"/>
    <w:rsid w:val="00E25B1B"/>
    <w:rsid w:val="00E269A7"/>
    <w:rsid w:val="00E26AC4"/>
    <w:rsid w:val="00E26B29"/>
    <w:rsid w:val="00E271AE"/>
    <w:rsid w:val="00E274FB"/>
    <w:rsid w:val="00E278E2"/>
    <w:rsid w:val="00E30378"/>
    <w:rsid w:val="00E31AA8"/>
    <w:rsid w:val="00E32B08"/>
    <w:rsid w:val="00E331DE"/>
    <w:rsid w:val="00E3388E"/>
    <w:rsid w:val="00E338B4"/>
    <w:rsid w:val="00E338D1"/>
    <w:rsid w:val="00E338FC"/>
    <w:rsid w:val="00E33C86"/>
    <w:rsid w:val="00E33FE5"/>
    <w:rsid w:val="00E34299"/>
    <w:rsid w:val="00E34388"/>
    <w:rsid w:val="00E3543B"/>
    <w:rsid w:val="00E35CFB"/>
    <w:rsid w:val="00E35EFD"/>
    <w:rsid w:val="00E35FF8"/>
    <w:rsid w:val="00E363A7"/>
    <w:rsid w:val="00E36A9A"/>
    <w:rsid w:val="00E36CCD"/>
    <w:rsid w:val="00E37111"/>
    <w:rsid w:val="00E372F6"/>
    <w:rsid w:val="00E37CF6"/>
    <w:rsid w:val="00E37D15"/>
    <w:rsid w:val="00E40304"/>
    <w:rsid w:val="00E4040B"/>
    <w:rsid w:val="00E40AFF"/>
    <w:rsid w:val="00E40B48"/>
    <w:rsid w:val="00E40BD9"/>
    <w:rsid w:val="00E40D73"/>
    <w:rsid w:val="00E411C6"/>
    <w:rsid w:val="00E414E6"/>
    <w:rsid w:val="00E41B52"/>
    <w:rsid w:val="00E41C6E"/>
    <w:rsid w:val="00E41D27"/>
    <w:rsid w:val="00E41D5F"/>
    <w:rsid w:val="00E42824"/>
    <w:rsid w:val="00E43013"/>
    <w:rsid w:val="00E4302E"/>
    <w:rsid w:val="00E43C5F"/>
    <w:rsid w:val="00E43DA4"/>
    <w:rsid w:val="00E4406C"/>
    <w:rsid w:val="00E4438C"/>
    <w:rsid w:val="00E44CD9"/>
    <w:rsid w:val="00E44DB7"/>
    <w:rsid w:val="00E4540E"/>
    <w:rsid w:val="00E45C0B"/>
    <w:rsid w:val="00E45F6E"/>
    <w:rsid w:val="00E46EB8"/>
    <w:rsid w:val="00E5004C"/>
    <w:rsid w:val="00E503DE"/>
    <w:rsid w:val="00E50660"/>
    <w:rsid w:val="00E50A2E"/>
    <w:rsid w:val="00E50B4F"/>
    <w:rsid w:val="00E50DDB"/>
    <w:rsid w:val="00E50E00"/>
    <w:rsid w:val="00E50E98"/>
    <w:rsid w:val="00E51468"/>
    <w:rsid w:val="00E519A4"/>
    <w:rsid w:val="00E523A7"/>
    <w:rsid w:val="00E524AE"/>
    <w:rsid w:val="00E52791"/>
    <w:rsid w:val="00E52874"/>
    <w:rsid w:val="00E530D6"/>
    <w:rsid w:val="00E5310B"/>
    <w:rsid w:val="00E53284"/>
    <w:rsid w:val="00E53E42"/>
    <w:rsid w:val="00E54068"/>
    <w:rsid w:val="00E54215"/>
    <w:rsid w:val="00E54283"/>
    <w:rsid w:val="00E549E3"/>
    <w:rsid w:val="00E54E9D"/>
    <w:rsid w:val="00E55AE2"/>
    <w:rsid w:val="00E55DE5"/>
    <w:rsid w:val="00E565B9"/>
    <w:rsid w:val="00E56868"/>
    <w:rsid w:val="00E57440"/>
    <w:rsid w:val="00E576F0"/>
    <w:rsid w:val="00E61AE0"/>
    <w:rsid w:val="00E61AE7"/>
    <w:rsid w:val="00E61CBB"/>
    <w:rsid w:val="00E61EA7"/>
    <w:rsid w:val="00E61F77"/>
    <w:rsid w:val="00E61FC7"/>
    <w:rsid w:val="00E62147"/>
    <w:rsid w:val="00E62391"/>
    <w:rsid w:val="00E62B1C"/>
    <w:rsid w:val="00E634FB"/>
    <w:rsid w:val="00E63A0B"/>
    <w:rsid w:val="00E63F5B"/>
    <w:rsid w:val="00E6445E"/>
    <w:rsid w:val="00E64A70"/>
    <w:rsid w:val="00E64BC7"/>
    <w:rsid w:val="00E64CDF"/>
    <w:rsid w:val="00E656B2"/>
    <w:rsid w:val="00E656F6"/>
    <w:rsid w:val="00E66235"/>
    <w:rsid w:val="00E6678E"/>
    <w:rsid w:val="00E66E9F"/>
    <w:rsid w:val="00E67690"/>
    <w:rsid w:val="00E677D4"/>
    <w:rsid w:val="00E67CF5"/>
    <w:rsid w:val="00E70FA4"/>
    <w:rsid w:val="00E718CD"/>
    <w:rsid w:val="00E71C4C"/>
    <w:rsid w:val="00E7209D"/>
    <w:rsid w:val="00E72EEB"/>
    <w:rsid w:val="00E73233"/>
    <w:rsid w:val="00E73466"/>
    <w:rsid w:val="00E743AF"/>
    <w:rsid w:val="00E75012"/>
    <w:rsid w:val="00E75599"/>
    <w:rsid w:val="00E7617D"/>
    <w:rsid w:val="00E766D9"/>
    <w:rsid w:val="00E77028"/>
    <w:rsid w:val="00E777B6"/>
    <w:rsid w:val="00E77A17"/>
    <w:rsid w:val="00E77ACB"/>
    <w:rsid w:val="00E77BA9"/>
    <w:rsid w:val="00E80020"/>
    <w:rsid w:val="00E802A2"/>
    <w:rsid w:val="00E80B7A"/>
    <w:rsid w:val="00E81110"/>
    <w:rsid w:val="00E81C4E"/>
    <w:rsid w:val="00E81FFE"/>
    <w:rsid w:val="00E8208D"/>
    <w:rsid w:val="00E8240E"/>
    <w:rsid w:val="00E82550"/>
    <w:rsid w:val="00E825A7"/>
    <w:rsid w:val="00E829D7"/>
    <w:rsid w:val="00E82DB9"/>
    <w:rsid w:val="00E82FF9"/>
    <w:rsid w:val="00E83435"/>
    <w:rsid w:val="00E839E6"/>
    <w:rsid w:val="00E83A38"/>
    <w:rsid w:val="00E83C24"/>
    <w:rsid w:val="00E83D69"/>
    <w:rsid w:val="00E843F0"/>
    <w:rsid w:val="00E846A3"/>
    <w:rsid w:val="00E84723"/>
    <w:rsid w:val="00E8563C"/>
    <w:rsid w:val="00E861FE"/>
    <w:rsid w:val="00E864E9"/>
    <w:rsid w:val="00E8670A"/>
    <w:rsid w:val="00E86C8C"/>
    <w:rsid w:val="00E875CA"/>
    <w:rsid w:val="00E87617"/>
    <w:rsid w:val="00E8781A"/>
    <w:rsid w:val="00E87DC1"/>
    <w:rsid w:val="00E904AF"/>
    <w:rsid w:val="00E90E1A"/>
    <w:rsid w:val="00E90EE6"/>
    <w:rsid w:val="00E91297"/>
    <w:rsid w:val="00E915F1"/>
    <w:rsid w:val="00E9177A"/>
    <w:rsid w:val="00E91FDB"/>
    <w:rsid w:val="00E92171"/>
    <w:rsid w:val="00E92523"/>
    <w:rsid w:val="00E92C22"/>
    <w:rsid w:val="00E9318D"/>
    <w:rsid w:val="00E93658"/>
    <w:rsid w:val="00E93CFD"/>
    <w:rsid w:val="00E93F3E"/>
    <w:rsid w:val="00E942BB"/>
    <w:rsid w:val="00E9456E"/>
    <w:rsid w:val="00E94E34"/>
    <w:rsid w:val="00E951A3"/>
    <w:rsid w:val="00E95414"/>
    <w:rsid w:val="00E9587E"/>
    <w:rsid w:val="00E966E8"/>
    <w:rsid w:val="00E96C1C"/>
    <w:rsid w:val="00E97035"/>
    <w:rsid w:val="00EA0D95"/>
    <w:rsid w:val="00EA10CA"/>
    <w:rsid w:val="00EA1E29"/>
    <w:rsid w:val="00EA243A"/>
    <w:rsid w:val="00EA249C"/>
    <w:rsid w:val="00EA2582"/>
    <w:rsid w:val="00EA3417"/>
    <w:rsid w:val="00EA355D"/>
    <w:rsid w:val="00EA35A6"/>
    <w:rsid w:val="00EA35D1"/>
    <w:rsid w:val="00EA403A"/>
    <w:rsid w:val="00EA409D"/>
    <w:rsid w:val="00EA40E3"/>
    <w:rsid w:val="00EA43B2"/>
    <w:rsid w:val="00EA4407"/>
    <w:rsid w:val="00EA48D8"/>
    <w:rsid w:val="00EA4DF5"/>
    <w:rsid w:val="00EA5088"/>
    <w:rsid w:val="00EA57E6"/>
    <w:rsid w:val="00EA5ED6"/>
    <w:rsid w:val="00EA6A57"/>
    <w:rsid w:val="00EA70B5"/>
    <w:rsid w:val="00EA70F7"/>
    <w:rsid w:val="00EA76CC"/>
    <w:rsid w:val="00EA79B7"/>
    <w:rsid w:val="00EB007A"/>
    <w:rsid w:val="00EB05CC"/>
    <w:rsid w:val="00EB066E"/>
    <w:rsid w:val="00EB103C"/>
    <w:rsid w:val="00EB134C"/>
    <w:rsid w:val="00EB2714"/>
    <w:rsid w:val="00EB327B"/>
    <w:rsid w:val="00EB3ECE"/>
    <w:rsid w:val="00EB4614"/>
    <w:rsid w:val="00EB48E5"/>
    <w:rsid w:val="00EB50A3"/>
    <w:rsid w:val="00EB5590"/>
    <w:rsid w:val="00EB6B66"/>
    <w:rsid w:val="00EB70AC"/>
    <w:rsid w:val="00EB70C1"/>
    <w:rsid w:val="00EB79D6"/>
    <w:rsid w:val="00EC0CA9"/>
    <w:rsid w:val="00EC0E87"/>
    <w:rsid w:val="00EC0E92"/>
    <w:rsid w:val="00EC1B87"/>
    <w:rsid w:val="00EC1E6F"/>
    <w:rsid w:val="00EC1FB8"/>
    <w:rsid w:val="00EC238A"/>
    <w:rsid w:val="00EC25BD"/>
    <w:rsid w:val="00EC2DC8"/>
    <w:rsid w:val="00EC337B"/>
    <w:rsid w:val="00EC3B8C"/>
    <w:rsid w:val="00EC3C66"/>
    <w:rsid w:val="00EC3CEF"/>
    <w:rsid w:val="00EC3DF7"/>
    <w:rsid w:val="00EC3FAD"/>
    <w:rsid w:val="00EC434F"/>
    <w:rsid w:val="00EC49AA"/>
    <w:rsid w:val="00EC49CE"/>
    <w:rsid w:val="00EC53DF"/>
    <w:rsid w:val="00EC5C1C"/>
    <w:rsid w:val="00EC607C"/>
    <w:rsid w:val="00EC7568"/>
    <w:rsid w:val="00EC7EDE"/>
    <w:rsid w:val="00ED026D"/>
    <w:rsid w:val="00ED0709"/>
    <w:rsid w:val="00ED09D1"/>
    <w:rsid w:val="00ED1107"/>
    <w:rsid w:val="00ED1739"/>
    <w:rsid w:val="00ED326A"/>
    <w:rsid w:val="00ED35C8"/>
    <w:rsid w:val="00ED36B5"/>
    <w:rsid w:val="00ED38FD"/>
    <w:rsid w:val="00ED3E8A"/>
    <w:rsid w:val="00ED4C6E"/>
    <w:rsid w:val="00ED4DDF"/>
    <w:rsid w:val="00ED511A"/>
    <w:rsid w:val="00ED5C11"/>
    <w:rsid w:val="00ED741B"/>
    <w:rsid w:val="00ED7B67"/>
    <w:rsid w:val="00ED7DF7"/>
    <w:rsid w:val="00ED7ECA"/>
    <w:rsid w:val="00EE00F5"/>
    <w:rsid w:val="00EE01C5"/>
    <w:rsid w:val="00EE0379"/>
    <w:rsid w:val="00EE05FA"/>
    <w:rsid w:val="00EE0B86"/>
    <w:rsid w:val="00EE0D09"/>
    <w:rsid w:val="00EE19A2"/>
    <w:rsid w:val="00EE20FD"/>
    <w:rsid w:val="00EE242B"/>
    <w:rsid w:val="00EE24FC"/>
    <w:rsid w:val="00EE25FB"/>
    <w:rsid w:val="00EE264A"/>
    <w:rsid w:val="00EE2FC0"/>
    <w:rsid w:val="00EE3BAE"/>
    <w:rsid w:val="00EE3E27"/>
    <w:rsid w:val="00EE4048"/>
    <w:rsid w:val="00EE41D7"/>
    <w:rsid w:val="00EE4E4D"/>
    <w:rsid w:val="00EE4EF6"/>
    <w:rsid w:val="00EE4FE0"/>
    <w:rsid w:val="00EE51CF"/>
    <w:rsid w:val="00EE5262"/>
    <w:rsid w:val="00EE52A1"/>
    <w:rsid w:val="00EE5540"/>
    <w:rsid w:val="00EE643E"/>
    <w:rsid w:val="00EE6620"/>
    <w:rsid w:val="00EE70E8"/>
    <w:rsid w:val="00EE7517"/>
    <w:rsid w:val="00EE7E54"/>
    <w:rsid w:val="00EF0BB4"/>
    <w:rsid w:val="00EF159A"/>
    <w:rsid w:val="00EF1971"/>
    <w:rsid w:val="00EF1A0E"/>
    <w:rsid w:val="00EF1FA9"/>
    <w:rsid w:val="00EF25CE"/>
    <w:rsid w:val="00EF3A74"/>
    <w:rsid w:val="00EF3F9F"/>
    <w:rsid w:val="00EF3FA4"/>
    <w:rsid w:val="00EF46C5"/>
    <w:rsid w:val="00EF46C9"/>
    <w:rsid w:val="00EF470D"/>
    <w:rsid w:val="00EF5408"/>
    <w:rsid w:val="00EF5690"/>
    <w:rsid w:val="00EF6FC5"/>
    <w:rsid w:val="00EF7E5D"/>
    <w:rsid w:val="00F0009E"/>
    <w:rsid w:val="00F00D92"/>
    <w:rsid w:val="00F00ED2"/>
    <w:rsid w:val="00F00F97"/>
    <w:rsid w:val="00F0136B"/>
    <w:rsid w:val="00F01C1D"/>
    <w:rsid w:val="00F0217A"/>
    <w:rsid w:val="00F022FC"/>
    <w:rsid w:val="00F02514"/>
    <w:rsid w:val="00F0286E"/>
    <w:rsid w:val="00F028EE"/>
    <w:rsid w:val="00F04760"/>
    <w:rsid w:val="00F04EB4"/>
    <w:rsid w:val="00F05703"/>
    <w:rsid w:val="00F05979"/>
    <w:rsid w:val="00F05D18"/>
    <w:rsid w:val="00F05E5B"/>
    <w:rsid w:val="00F06215"/>
    <w:rsid w:val="00F063C2"/>
    <w:rsid w:val="00F06441"/>
    <w:rsid w:val="00F07162"/>
    <w:rsid w:val="00F071B5"/>
    <w:rsid w:val="00F077F5"/>
    <w:rsid w:val="00F07D29"/>
    <w:rsid w:val="00F07F0F"/>
    <w:rsid w:val="00F1005F"/>
    <w:rsid w:val="00F1077A"/>
    <w:rsid w:val="00F11321"/>
    <w:rsid w:val="00F13564"/>
    <w:rsid w:val="00F13EFC"/>
    <w:rsid w:val="00F13F58"/>
    <w:rsid w:val="00F13F5E"/>
    <w:rsid w:val="00F141F7"/>
    <w:rsid w:val="00F144E2"/>
    <w:rsid w:val="00F1576F"/>
    <w:rsid w:val="00F162CE"/>
    <w:rsid w:val="00F162CF"/>
    <w:rsid w:val="00F16655"/>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8F6"/>
    <w:rsid w:val="00F23CD6"/>
    <w:rsid w:val="00F23E4C"/>
    <w:rsid w:val="00F2421D"/>
    <w:rsid w:val="00F243D1"/>
    <w:rsid w:val="00F2557A"/>
    <w:rsid w:val="00F2688E"/>
    <w:rsid w:val="00F26B6F"/>
    <w:rsid w:val="00F26C51"/>
    <w:rsid w:val="00F26F5C"/>
    <w:rsid w:val="00F271EC"/>
    <w:rsid w:val="00F27814"/>
    <w:rsid w:val="00F278E9"/>
    <w:rsid w:val="00F30224"/>
    <w:rsid w:val="00F30B2D"/>
    <w:rsid w:val="00F30E6F"/>
    <w:rsid w:val="00F30FE4"/>
    <w:rsid w:val="00F313E5"/>
    <w:rsid w:val="00F31AE4"/>
    <w:rsid w:val="00F32661"/>
    <w:rsid w:val="00F32709"/>
    <w:rsid w:val="00F333DE"/>
    <w:rsid w:val="00F33A37"/>
    <w:rsid w:val="00F34473"/>
    <w:rsid w:val="00F347FD"/>
    <w:rsid w:val="00F34927"/>
    <w:rsid w:val="00F34A2C"/>
    <w:rsid w:val="00F34D33"/>
    <w:rsid w:val="00F350CE"/>
    <w:rsid w:val="00F353FD"/>
    <w:rsid w:val="00F35408"/>
    <w:rsid w:val="00F35AAC"/>
    <w:rsid w:val="00F35CB4"/>
    <w:rsid w:val="00F360BC"/>
    <w:rsid w:val="00F36ADF"/>
    <w:rsid w:val="00F36DEC"/>
    <w:rsid w:val="00F37530"/>
    <w:rsid w:val="00F37D28"/>
    <w:rsid w:val="00F40988"/>
    <w:rsid w:val="00F41BBE"/>
    <w:rsid w:val="00F420C5"/>
    <w:rsid w:val="00F421C0"/>
    <w:rsid w:val="00F4232B"/>
    <w:rsid w:val="00F4237A"/>
    <w:rsid w:val="00F4292F"/>
    <w:rsid w:val="00F42C08"/>
    <w:rsid w:val="00F435D5"/>
    <w:rsid w:val="00F439DA"/>
    <w:rsid w:val="00F447FB"/>
    <w:rsid w:val="00F44883"/>
    <w:rsid w:val="00F448C7"/>
    <w:rsid w:val="00F44912"/>
    <w:rsid w:val="00F44C11"/>
    <w:rsid w:val="00F45330"/>
    <w:rsid w:val="00F46102"/>
    <w:rsid w:val="00F470F1"/>
    <w:rsid w:val="00F473CE"/>
    <w:rsid w:val="00F476FE"/>
    <w:rsid w:val="00F47CF3"/>
    <w:rsid w:val="00F47D64"/>
    <w:rsid w:val="00F50294"/>
    <w:rsid w:val="00F504DE"/>
    <w:rsid w:val="00F508F0"/>
    <w:rsid w:val="00F50958"/>
    <w:rsid w:val="00F50CD2"/>
    <w:rsid w:val="00F51A84"/>
    <w:rsid w:val="00F51F95"/>
    <w:rsid w:val="00F52098"/>
    <w:rsid w:val="00F5224E"/>
    <w:rsid w:val="00F52301"/>
    <w:rsid w:val="00F5295A"/>
    <w:rsid w:val="00F52A3E"/>
    <w:rsid w:val="00F52FD6"/>
    <w:rsid w:val="00F53193"/>
    <w:rsid w:val="00F5327E"/>
    <w:rsid w:val="00F5357E"/>
    <w:rsid w:val="00F537F2"/>
    <w:rsid w:val="00F5462E"/>
    <w:rsid w:val="00F54D8A"/>
    <w:rsid w:val="00F54E67"/>
    <w:rsid w:val="00F55080"/>
    <w:rsid w:val="00F55081"/>
    <w:rsid w:val="00F55FBE"/>
    <w:rsid w:val="00F561DB"/>
    <w:rsid w:val="00F56326"/>
    <w:rsid w:val="00F5647A"/>
    <w:rsid w:val="00F5679E"/>
    <w:rsid w:val="00F57951"/>
    <w:rsid w:val="00F57E9F"/>
    <w:rsid w:val="00F60098"/>
    <w:rsid w:val="00F6069D"/>
    <w:rsid w:val="00F60CFB"/>
    <w:rsid w:val="00F60ED9"/>
    <w:rsid w:val="00F615BC"/>
    <w:rsid w:val="00F615E2"/>
    <w:rsid w:val="00F61E32"/>
    <w:rsid w:val="00F624C0"/>
    <w:rsid w:val="00F62B87"/>
    <w:rsid w:val="00F62FCF"/>
    <w:rsid w:val="00F63795"/>
    <w:rsid w:val="00F638FC"/>
    <w:rsid w:val="00F63FC8"/>
    <w:rsid w:val="00F6478E"/>
    <w:rsid w:val="00F64A1B"/>
    <w:rsid w:val="00F656D0"/>
    <w:rsid w:val="00F6586C"/>
    <w:rsid w:val="00F65A16"/>
    <w:rsid w:val="00F6600B"/>
    <w:rsid w:val="00F665A6"/>
    <w:rsid w:val="00F6661C"/>
    <w:rsid w:val="00F6686C"/>
    <w:rsid w:val="00F66D8C"/>
    <w:rsid w:val="00F66DEC"/>
    <w:rsid w:val="00F67113"/>
    <w:rsid w:val="00F67359"/>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05"/>
    <w:rsid w:val="00F7644E"/>
    <w:rsid w:val="00F764C0"/>
    <w:rsid w:val="00F76636"/>
    <w:rsid w:val="00F76883"/>
    <w:rsid w:val="00F7697C"/>
    <w:rsid w:val="00F7769C"/>
    <w:rsid w:val="00F77950"/>
    <w:rsid w:val="00F77E96"/>
    <w:rsid w:val="00F77F65"/>
    <w:rsid w:val="00F800CD"/>
    <w:rsid w:val="00F80300"/>
    <w:rsid w:val="00F807F2"/>
    <w:rsid w:val="00F81526"/>
    <w:rsid w:val="00F81A72"/>
    <w:rsid w:val="00F81B95"/>
    <w:rsid w:val="00F8259B"/>
    <w:rsid w:val="00F838ED"/>
    <w:rsid w:val="00F83A5A"/>
    <w:rsid w:val="00F83BE1"/>
    <w:rsid w:val="00F83CC7"/>
    <w:rsid w:val="00F84186"/>
    <w:rsid w:val="00F847D6"/>
    <w:rsid w:val="00F855C5"/>
    <w:rsid w:val="00F85EE4"/>
    <w:rsid w:val="00F85EFA"/>
    <w:rsid w:val="00F85EFF"/>
    <w:rsid w:val="00F8638B"/>
    <w:rsid w:val="00F8640E"/>
    <w:rsid w:val="00F865D8"/>
    <w:rsid w:val="00F86669"/>
    <w:rsid w:val="00F86946"/>
    <w:rsid w:val="00F86F74"/>
    <w:rsid w:val="00F870B5"/>
    <w:rsid w:val="00F87144"/>
    <w:rsid w:val="00F8756D"/>
    <w:rsid w:val="00F878EC"/>
    <w:rsid w:val="00F87C4E"/>
    <w:rsid w:val="00F9038B"/>
    <w:rsid w:val="00F912DD"/>
    <w:rsid w:val="00F918AD"/>
    <w:rsid w:val="00F91C6A"/>
    <w:rsid w:val="00F92A63"/>
    <w:rsid w:val="00F92AC4"/>
    <w:rsid w:val="00F93149"/>
    <w:rsid w:val="00F934D6"/>
    <w:rsid w:val="00F9363C"/>
    <w:rsid w:val="00F943C9"/>
    <w:rsid w:val="00F94611"/>
    <w:rsid w:val="00F946F9"/>
    <w:rsid w:val="00F94774"/>
    <w:rsid w:val="00F94CB8"/>
    <w:rsid w:val="00F95562"/>
    <w:rsid w:val="00F95AFB"/>
    <w:rsid w:val="00F95E52"/>
    <w:rsid w:val="00F9742D"/>
    <w:rsid w:val="00F97989"/>
    <w:rsid w:val="00FA03AF"/>
    <w:rsid w:val="00FA03C6"/>
    <w:rsid w:val="00FA0DFB"/>
    <w:rsid w:val="00FA13E6"/>
    <w:rsid w:val="00FA1627"/>
    <w:rsid w:val="00FA1FB0"/>
    <w:rsid w:val="00FA21EC"/>
    <w:rsid w:val="00FA2607"/>
    <w:rsid w:val="00FA2791"/>
    <w:rsid w:val="00FA31B2"/>
    <w:rsid w:val="00FA3453"/>
    <w:rsid w:val="00FA3F23"/>
    <w:rsid w:val="00FA451B"/>
    <w:rsid w:val="00FA4A91"/>
    <w:rsid w:val="00FA55F5"/>
    <w:rsid w:val="00FA58A5"/>
    <w:rsid w:val="00FA5F89"/>
    <w:rsid w:val="00FA643A"/>
    <w:rsid w:val="00FA663B"/>
    <w:rsid w:val="00FA6A89"/>
    <w:rsid w:val="00FA6CC0"/>
    <w:rsid w:val="00FA6E60"/>
    <w:rsid w:val="00FA7000"/>
    <w:rsid w:val="00FA70AD"/>
    <w:rsid w:val="00FB028A"/>
    <w:rsid w:val="00FB07AB"/>
    <w:rsid w:val="00FB09CD"/>
    <w:rsid w:val="00FB1AE5"/>
    <w:rsid w:val="00FB1DC7"/>
    <w:rsid w:val="00FB2186"/>
    <w:rsid w:val="00FB2E4B"/>
    <w:rsid w:val="00FB30CA"/>
    <w:rsid w:val="00FB3A18"/>
    <w:rsid w:val="00FB4671"/>
    <w:rsid w:val="00FB4811"/>
    <w:rsid w:val="00FB4AFF"/>
    <w:rsid w:val="00FB4E50"/>
    <w:rsid w:val="00FB4E99"/>
    <w:rsid w:val="00FB506D"/>
    <w:rsid w:val="00FB5BFE"/>
    <w:rsid w:val="00FB5D2C"/>
    <w:rsid w:val="00FB6976"/>
    <w:rsid w:val="00FB69A6"/>
    <w:rsid w:val="00FB6BA8"/>
    <w:rsid w:val="00FB705B"/>
    <w:rsid w:val="00FB758A"/>
    <w:rsid w:val="00FB77D2"/>
    <w:rsid w:val="00FC01A8"/>
    <w:rsid w:val="00FC0FEA"/>
    <w:rsid w:val="00FC1188"/>
    <w:rsid w:val="00FC125D"/>
    <w:rsid w:val="00FC1668"/>
    <w:rsid w:val="00FC1D48"/>
    <w:rsid w:val="00FC1EDA"/>
    <w:rsid w:val="00FC251F"/>
    <w:rsid w:val="00FC2568"/>
    <w:rsid w:val="00FC2ABA"/>
    <w:rsid w:val="00FC2C13"/>
    <w:rsid w:val="00FC306A"/>
    <w:rsid w:val="00FC3BCA"/>
    <w:rsid w:val="00FC44F4"/>
    <w:rsid w:val="00FC4C22"/>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5CEE"/>
    <w:rsid w:val="00FD6DFE"/>
    <w:rsid w:val="00FE0085"/>
    <w:rsid w:val="00FE03F8"/>
    <w:rsid w:val="00FE073C"/>
    <w:rsid w:val="00FE078D"/>
    <w:rsid w:val="00FE0A4B"/>
    <w:rsid w:val="00FE0CAC"/>
    <w:rsid w:val="00FE0EA6"/>
    <w:rsid w:val="00FE123C"/>
    <w:rsid w:val="00FE18D4"/>
    <w:rsid w:val="00FE1FB8"/>
    <w:rsid w:val="00FE2204"/>
    <w:rsid w:val="00FE2C71"/>
    <w:rsid w:val="00FE3239"/>
    <w:rsid w:val="00FE39FF"/>
    <w:rsid w:val="00FE3B86"/>
    <w:rsid w:val="00FE3D78"/>
    <w:rsid w:val="00FE3DB8"/>
    <w:rsid w:val="00FE4FA0"/>
    <w:rsid w:val="00FE4FAE"/>
    <w:rsid w:val="00FE59C4"/>
    <w:rsid w:val="00FE5B2A"/>
    <w:rsid w:val="00FE5CCF"/>
    <w:rsid w:val="00FE62C9"/>
    <w:rsid w:val="00FE680A"/>
    <w:rsid w:val="00FE695E"/>
    <w:rsid w:val="00FE6A63"/>
    <w:rsid w:val="00FE6B9F"/>
    <w:rsid w:val="00FE7F9B"/>
    <w:rsid w:val="00FF04C2"/>
    <w:rsid w:val="00FF1264"/>
    <w:rsid w:val="00FF14C2"/>
    <w:rsid w:val="00FF1BF8"/>
    <w:rsid w:val="00FF201F"/>
    <w:rsid w:val="00FF24AB"/>
    <w:rsid w:val="00FF294A"/>
    <w:rsid w:val="00FF2E52"/>
    <w:rsid w:val="00FF309B"/>
    <w:rsid w:val="00FF4359"/>
    <w:rsid w:val="00FF48AA"/>
    <w:rsid w:val="00FF4E4B"/>
    <w:rsid w:val="00FF50C3"/>
    <w:rsid w:val="00FF5423"/>
    <w:rsid w:val="00FF5EFC"/>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9B5B6F75-ECA8-45FD-8A88-9F8435AF3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FR"/>
    </w:rPr>
  </w:style>
  <w:style w:type="character" w:styleId="PlaceholderText">
    <w:name w:val="Placeholder Text"/>
    <w:basedOn w:val="DefaultParagraphFont"/>
    <w:uiPriority w:val="99"/>
    <w:semiHidden/>
    <w:rsid w:val="00105372"/>
    <w:rPr>
      <w:color w:val="808080"/>
      <w:lang w:val="fr-FR"/>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fr-FR"/>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fr-FR"/>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fr-FR"/>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fr-FR"/>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fr-FR"/>
    </w:rPr>
  </w:style>
  <w:style w:type="character" w:styleId="CommentReference">
    <w:name w:val="annotation reference"/>
    <w:basedOn w:val="DefaultParagraphFont"/>
    <w:uiPriority w:val="99"/>
    <w:unhideWhenUsed/>
    <w:rsid w:val="00866063"/>
    <w:rPr>
      <w:sz w:val="16"/>
      <w:szCs w:val="16"/>
      <w:lang w:val="fr-FR"/>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fr-FR"/>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fr-FR"/>
    </w:rPr>
  </w:style>
  <w:style w:type="character" w:styleId="FollowedHyperlink">
    <w:name w:val="FollowedHyperlink"/>
    <w:rsid w:val="007E09DA"/>
    <w:rPr>
      <w:color w:val="800080"/>
      <w:u w:val="single"/>
      <w:lang w:val="fr-FR"/>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fr-FR"/>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fr-FR"/>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fr-FR"/>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fr-FR"/>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fr-FR"/>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fr-FR"/>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fr-FR"/>
    </w:rPr>
  </w:style>
  <w:style w:type="character" w:styleId="PageNumber">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fr-FR"/>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fr-FR"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fr-FR"/>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fr-FR"/>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fr-FR"/>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fr-FR"/>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fr-FR"/>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fr-FR"/>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fr-FR"/>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FR"/>
    </w:rPr>
  </w:style>
  <w:style w:type="character" w:styleId="BookTitle">
    <w:name w:val="Book Title"/>
    <w:basedOn w:val="DefaultParagraphFont"/>
    <w:uiPriority w:val="33"/>
    <w:qFormat/>
    <w:rsid w:val="00A111D1"/>
    <w:rPr>
      <w:b/>
      <w:bCs/>
      <w:i/>
      <w:iCs/>
      <w:spacing w:val="5"/>
      <w:lang w:val="fr-FR"/>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fr-FR"/>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fr-FR"/>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fr-FR"/>
    </w:rPr>
  </w:style>
  <w:style w:type="character" w:styleId="Emphasis">
    <w:name w:val="Emphasis"/>
    <w:basedOn w:val="DefaultParagraphFont"/>
    <w:uiPriority w:val="20"/>
    <w:qFormat/>
    <w:rsid w:val="00A111D1"/>
    <w:rPr>
      <w:i/>
      <w:iCs/>
      <w:lang w:val="fr-FR"/>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FR"/>
    </w:rPr>
  </w:style>
  <w:style w:type="character" w:styleId="HTMLAcronym">
    <w:name w:val="HTML Acronym"/>
    <w:basedOn w:val="DefaultParagraphFont"/>
    <w:uiPriority w:val="99"/>
    <w:semiHidden/>
    <w:unhideWhenUsed/>
    <w:rsid w:val="00A111D1"/>
    <w:rPr>
      <w:lang w:val="fr-FR"/>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fr-FR"/>
    </w:rPr>
  </w:style>
  <w:style w:type="character" w:styleId="HTMLCite">
    <w:name w:val="HTML Cite"/>
    <w:basedOn w:val="DefaultParagraphFont"/>
    <w:uiPriority w:val="99"/>
    <w:semiHidden/>
    <w:unhideWhenUsed/>
    <w:rsid w:val="00A111D1"/>
    <w:rPr>
      <w:i/>
      <w:iCs/>
      <w:lang w:val="fr-FR"/>
    </w:rPr>
  </w:style>
  <w:style w:type="character" w:styleId="HTMLCode">
    <w:name w:val="HTML Code"/>
    <w:basedOn w:val="DefaultParagraphFont"/>
    <w:uiPriority w:val="99"/>
    <w:semiHidden/>
    <w:unhideWhenUsed/>
    <w:rsid w:val="00A111D1"/>
    <w:rPr>
      <w:rFonts w:ascii="Consolas" w:hAnsi="Consolas"/>
      <w:sz w:val="20"/>
      <w:szCs w:val="20"/>
      <w:lang w:val="fr-FR"/>
    </w:rPr>
  </w:style>
  <w:style w:type="character" w:styleId="HTMLDefinition">
    <w:name w:val="HTML Definition"/>
    <w:basedOn w:val="DefaultParagraphFont"/>
    <w:uiPriority w:val="99"/>
    <w:semiHidden/>
    <w:unhideWhenUsed/>
    <w:rsid w:val="00A111D1"/>
    <w:rPr>
      <w:i/>
      <w:iCs/>
      <w:lang w:val="fr-FR"/>
    </w:rPr>
  </w:style>
  <w:style w:type="character" w:styleId="HTMLKeyboard">
    <w:name w:val="HTML Keyboard"/>
    <w:basedOn w:val="DefaultParagraphFont"/>
    <w:uiPriority w:val="99"/>
    <w:semiHidden/>
    <w:unhideWhenUsed/>
    <w:rsid w:val="00A111D1"/>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A111D1"/>
    <w:rPr>
      <w:rFonts w:ascii="Consolas" w:hAnsi="Consolas"/>
      <w:sz w:val="24"/>
      <w:szCs w:val="24"/>
      <w:lang w:val="fr-FR"/>
    </w:rPr>
  </w:style>
  <w:style w:type="character" w:styleId="HTMLTypewriter">
    <w:name w:val="HTML Typewriter"/>
    <w:basedOn w:val="DefaultParagraphFont"/>
    <w:uiPriority w:val="99"/>
    <w:semiHidden/>
    <w:unhideWhenUsed/>
    <w:rsid w:val="00A111D1"/>
    <w:rPr>
      <w:rFonts w:ascii="Consolas" w:hAnsi="Consolas"/>
      <w:sz w:val="20"/>
      <w:szCs w:val="20"/>
      <w:lang w:val="fr-FR"/>
    </w:rPr>
  </w:style>
  <w:style w:type="character" w:styleId="HTMLVariable">
    <w:name w:val="HTML Variable"/>
    <w:basedOn w:val="DefaultParagraphFon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fr-FR"/>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fr-FR"/>
    </w:rPr>
  </w:style>
  <w:style w:type="character" w:styleId="IntenseReference">
    <w:name w:val="Intense Reference"/>
    <w:basedOn w:val="DefaultParagraphFont"/>
    <w:uiPriority w:val="32"/>
    <w:qFormat/>
    <w:rsid w:val="00A111D1"/>
    <w:rPr>
      <w:b/>
      <w:bCs/>
      <w:smallCaps/>
      <w:color w:val="4F81BD" w:themeColor="accent1"/>
      <w:spacing w:val="5"/>
      <w:lang w:val="fr-FR"/>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FR"/>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FR"/>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fr-FR"/>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fr-FR"/>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fr-FR"/>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FR"/>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fr-FR"/>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DefaultParagraphFont"/>
    <w:uiPriority w:val="99"/>
    <w:semiHidden/>
    <w:unhideWhenUsed/>
    <w:rsid w:val="00A111D1"/>
    <w:rPr>
      <w:u w:val="dotted"/>
      <w:lang w:val="fr-FR"/>
    </w:rPr>
  </w:style>
  <w:style w:type="character" w:styleId="SmartLink">
    <w:name w:val="Smart Link"/>
    <w:basedOn w:val="DefaultParagraphFont"/>
    <w:uiPriority w:val="99"/>
    <w:semiHidden/>
    <w:unhideWhenUsed/>
    <w:rsid w:val="00A111D1"/>
    <w:rPr>
      <w:color w:val="0000FF"/>
      <w:u w:val="single"/>
      <w:shd w:val="clear" w:color="auto" w:fill="F3F2F1"/>
      <w:lang w:val="fr-FR"/>
    </w:rPr>
  </w:style>
  <w:style w:type="character" w:styleId="Strong">
    <w:name w:val="Strong"/>
    <w:basedOn w:val="DefaultParagraphFont"/>
    <w:uiPriority w:val="22"/>
    <w:qFormat/>
    <w:rsid w:val="00A111D1"/>
    <w:rPr>
      <w:b/>
      <w:bCs/>
      <w:lang w:val="fr-FR"/>
    </w:rPr>
  </w:style>
  <w:style w:type="character" w:styleId="SubtleEmphasis">
    <w:name w:val="Subtle Emphasis"/>
    <w:basedOn w:val="DefaultParagraphFont"/>
    <w:uiPriority w:val="19"/>
    <w:qFormat/>
    <w:rsid w:val="00A111D1"/>
    <w:rPr>
      <w:i/>
      <w:iCs/>
      <w:color w:val="404040" w:themeColor="text1" w:themeTint="BF"/>
      <w:lang w:val="fr-FR"/>
    </w:rPr>
  </w:style>
  <w:style w:type="character" w:styleId="SubtleReference">
    <w:name w:val="Subtle Reference"/>
    <w:basedOn w:val="DefaultParagraphFont"/>
    <w:uiPriority w:val="31"/>
    <w:qFormat/>
    <w:rsid w:val="00A111D1"/>
    <w:rPr>
      <w:smallCaps/>
      <w:color w:val="5A5A5A" w:themeColor="text1" w:themeTint="A5"/>
      <w:lang w:val="fr-FR"/>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meetings/SBI-06" TargetMode="External"/><Relationship Id="rId39" Type="http://schemas.openxmlformats.org/officeDocument/2006/relationships/hyperlink" Target="https://www.cbd.int/decisions/cop?m=cop-03" TargetMode="External"/><Relationship Id="rId21" Type="http://schemas.openxmlformats.org/officeDocument/2006/relationships/hyperlink" Target="https://www.cbd.int/decisions/?id=13648"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notifications/2026-02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recommendations/sbi/?m=sbi-06" TargetMode="External"/><Relationship Id="rId5" Type="http://schemas.openxmlformats.org/officeDocument/2006/relationships/customXml" Target="../customXml/item5.xml"/><Relationship Id="rId15" Type="http://schemas.openxmlformats.org/officeDocument/2006/relationships/hyperlink" Target="https://www.cbd.int/recommendations/sbi/?m=sbi-06" TargetMode="External"/><Relationship Id="rId23" Type="http://schemas.openxmlformats.org/officeDocument/2006/relationships/hyperlink" Target="https://www.cbd.int/notifications/2026-02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recommendations/sbi/?m=sbi-06"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SBI-0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ocuments/CBD/COP/17/5/ADD1"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recommendations/sbi/?m=sbi-06" TargetMode="External"/><Relationship Id="rId25" Type="http://schemas.openxmlformats.org/officeDocument/2006/relationships/hyperlink" Target="https://www.cbd.int/notifications/2026-027" TargetMode="External"/><Relationship Id="rId33" Type="http://schemas.openxmlformats.org/officeDocument/2006/relationships/hyperlink" Target="https://www.cbd.int/recommendations/sbi/?m=sbi-07" TargetMode="External"/><Relationship Id="rId38" Type="http://schemas.openxmlformats.org/officeDocument/2006/relationships/hyperlink" Target="https://www.cbd.int/doc/notifications/2025/ntf-2025-148-mainstreaming-en.pdf" TargetMode="External"/><Relationship Id="rId46" Type="http://schemas.openxmlformats.org/officeDocument/2006/relationships/header" Target="header1.xml"/><Relationship Id="rId20" Type="http://schemas.openxmlformats.org/officeDocument/2006/relationships/hyperlink" Target="https://www.cbd.int/decision/cop?id=13366" TargetMode="External"/><Relationship Id="rId41" Type="http://schemas.openxmlformats.org/officeDocument/2006/relationships/hyperlink" Target="https://www.cbd.int/recommendations/sbi/?m=sbi-0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2" TargetMode="External"/><Relationship Id="rId3" Type="http://schemas.openxmlformats.org/officeDocument/2006/relationships/hyperlink" Target="https://www.cbd.int/documents/CBD/SBI/7/INF/20" TargetMode="External"/><Relationship Id="rId7" Type="http://schemas.openxmlformats.org/officeDocument/2006/relationships/hyperlink" Target="https://www.cbd.int/documents/CBD/SBI/7/INF/13" TargetMode="External"/><Relationship Id="rId2" Type="http://schemas.openxmlformats.org/officeDocument/2006/relationships/hyperlink" Target="https://www.cbd.int/documents/CBD/SBI/7/3" TargetMode="External"/><Relationship Id="rId1" Type="http://schemas.openxmlformats.org/officeDocument/2006/relationships/hyperlink" Target="https://www.cbd.int/documents/CBD/COP/17/1" TargetMode="External"/><Relationship Id="rId6" Type="http://schemas.openxmlformats.org/officeDocument/2006/relationships/hyperlink" Target="https://www.cbd.int/documents/CBD/SBI/7/4/Add.1" TargetMode="External"/><Relationship Id="rId5" Type="http://schemas.openxmlformats.org/officeDocument/2006/relationships/hyperlink" Target="https://www.cbd.int/documents/CBD/SBI/7/4" TargetMode="External"/><Relationship Id="rId4" Type="http://schemas.openxmlformats.org/officeDocument/2006/relationships/hyperlink" Target="https://www.cbd.int/documents/CBD/SBI/7/3/ADD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E7DA208-CA7C-49F3-9BD7-BD684440F739}"/>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234</TotalTime>
  <Pages>7</Pages>
  <Words>3838</Words>
  <Characters>21878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Resource mobilization and financial mechanism</vt:lpstr>
    </vt:vector>
  </TitlesOfParts>
  <Company>SCBD</Company>
  <LinksUpToDate>false</LinksUpToDate>
  <CharactersWithSpaces>25665</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 et mécanisme financier</dc:title>
  <dc:subject>CBD/COP/17/5</dc:subject>
  <dc:creator>Secretariat of the Convention on Biological Diversity</dc:creator>
  <cp:keywords>Convention sur la diversité biologique</cp:keywords>
  <dc:description/>
  <cp:lastModifiedBy>catherine kinley</cp:lastModifiedBy>
  <cp:revision>177</cp:revision>
  <cp:lastPrinted>2026-06-09T23:19:00Z</cp:lastPrinted>
  <dcterms:created xsi:type="dcterms:W3CDTF">2026-09-09T17:35:00Z</dcterms:created>
  <dcterms:modified xsi:type="dcterms:W3CDTF">2026-09-14T09:23:00Z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