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07A6E" w:rsidRPr="004C1E10" w:rsidTr="00653BA2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207A6E" w:rsidRPr="004C1E10" w:rsidRDefault="00207A6E" w:rsidP="00D35D9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4C1E10">
              <w:rPr>
                <w:noProof/>
                <w:snapToGrid w:val="0"/>
                <w:lang w:eastAsia="fr-FR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207A6E" w:rsidRPr="004C1E10" w:rsidRDefault="00BF0242" w:rsidP="00D35D9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4C1E10">
              <w:rPr>
                <w:noProof/>
                <w:lang w:eastAsia="fr-FR"/>
              </w:rPr>
              <w:drawing>
                <wp:inline distT="0" distB="0" distL="0" distR="0">
                  <wp:extent cx="438150" cy="489513"/>
                  <wp:effectExtent l="19050" t="0" r="0" b="0"/>
                  <wp:docPr id="3" name="Image 1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89" cy="489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207A6E" w:rsidRPr="004C1E10" w:rsidRDefault="00BF0242" w:rsidP="00BF024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4C1E10">
              <w:rPr>
                <w:rFonts w:ascii="Arial" w:hAnsi="Arial"/>
                <w:b/>
                <w:snapToGrid w:val="0"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4C1E10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F16F02" w:rsidRPr="004C1E10" w:rsidRDefault="00F16F02" w:rsidP="00D35D9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</w:p>
          <w:p w:rsidR="00F16F02" w:rsidRPr="004C1E10" w:rsidRDefault="00BF0242" w:rsidP="00D35D9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4C1E10">
              <w:rPr>
                <w:noProof/>
                <w:snapToGrid w:val="0"/>
                <w:lang w:eastAsia="fr-FR"/>
              </w:rPr>
              <w:drawing>
                <wp:inline distT="0" distB="0" distL="0" distR="0">
                  <wp:extent cx="2619375" cy="1084580"/>
                  <wp:effectExtent l="19050" t="0" r="9525" b="0"/>
                  <wp:docPr id="4" name="Image 3" descr="CBD_logo_ru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F02" w:rsidRPr="004C1E10" w:rsidRDefault="00F16F02" w:rsidP="00D35D9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F16F02" w:rsidRPr="004C1E10" w:rsidRDefault="00F16F02" w:rsidP="00D35D9A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F16F02" w:rsidRPr="00BD7B2D" w:rsidRDefault="00F16F02" w:rsidP="00D35D9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n-US"/>
              </w:rPr>
            </w:pPr>
            <w:r w:rsidRPr="00BD7B2D">
              <w:rPr>
                <w:snapToGrid w:val="0"/>
                <w:szCs w:val="22"/>
                <w:lang w:val="en-US"/>
              </w:rPr>
              <w:t>Distr.</w:t>
            </w:r>
          </w:p>
          <w:p w:rsidR="00F16F02" w:rsidRPr="00BD7B2D" w:rsidRDefault="00F16F02" w:rsidP="00D35D9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n-US"/>
              </w:rPr>
            </w:pPr>
            <w:r w:rsidRPr="00BD7B2D">
              <w:rPr>
                <w:snapToGrid w:val="0"/>
                <w:szCs w:val="22"/>
                <w:lang w:val="en-US"/>
              </w:rPr>
              <w:t>GENERAL</w:t>
            </w:r>
          </w:p>
          <w:p w:rsidR="00F16F02" w:rsidRPr="00BD7B2D" w:rsidRDefault="00F16F02" w:rsidP="00D35D9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n-US"/>
              </w:rPr>
            </w:pPr>
          </w:p>
          <w:sdt>
            <w:sdtPr>
              <w:rPr>
                <w:snapToGrid w:val="0"/>
                <w:kern w:val="22"/>
                <w:szCs w:val="22"/>
                <w:lang w:val="en-US"/>
              </w:rPr>
              <w:alias w:val="Subject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16F02" w:rsidRPr="00BD7B2D" w:rsidRDefault="00D51069" w:rsidP="00D35D9A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ind w:left="63"/>
                  <w:rPr>
                    <w:snapToGrid w:val="0"/>
                    <w:kern w:val="22"/>
                    <w:szCs w:val="22"/>
                    <w:lang w:val="en-US"/>
                  </w:rPr>
                </w:pPr>
                <w:r w:rsidRPr="00BD7B2D">
                  <w:rPr>
                    <w:snapToGrid w:val="0"/>
                    <w:kern w:val="22"/>
                    <w:szCs w:val="22"/>
                    <w:lang w:val="en-US"/>
                  </w:rPr>
                  <w:t>CBD/SB</w:t>
                </w:r>
                <w:r w:rsidR="00843FF1" w:rsidRPr="00BD7B2D">
                  <w:rPr>
                    <w:snapToGrid w:val="0"/>
                    <w:kern w:val="22"/>
                    <w:szCs w:val="22"/>
                    <w:lang w:val="en-US"/>
                  </w:rPr>
                  <w:t>I/</w:t>
                </w:r>
                <w:r w:rsidR="002E0627" w:rsidRPr="00BD7B2D">
                  <w:rPr>
                    <w:snapToGrid w:val="0"/>
                    <w:kern w:val="22"/>
                    <w:szCs w:val="22"/>
                    <w:lang w:val="en-US"/>
                  </w:rPr>
                  <w:t>2/</w:t>
                </w:r>
                <w:r w:rsidR="00D50AE8" w:rsidRPr="00BD7B2D">
                  <w:rPr>
                    <w:snapToGrid w:val="0"/>
                    <w:kern w:val="22"/>
                    <w:szCs w:val="22"/>
                    <w:lang w:val="en-US"/>
                  </w:rPr>
                  <w:t>5</w:t>
                </w:r>
              </w:p>
            </w:sdtContent>
          </w:sdt>
          <w:p w:rsidR="00F16F02" w:rsidRPr="00BD7B2D" w:rsidRDefault="00C34C37" w:rsidP="00D35D9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n-US"/>
              </w:rPr>
            </w:pPr>
            <w:r w:rsidRPr="00BD7B2D">
              <w:rPr>
                <w:snapToGrid w:val="0"/>
                <w:szCs w:val="22"/>
                <w:lang w:val="en-US"/>
              </w:rPr>
              <w:t>18 May 2018</w:t>
            </w:r>
          </w:p>
          <w:p w:rsidR="00F16F02" w:rsidRPr="00BD7B2D" w:rsidRDefault="00F16F02" w:rsidP="00D35D9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n-US"/>
              </w:rPr>
            </w:pPr>
          </w:p>
          <w:p w:rsidR="00F16F02" w:rsidRPr="004C1E10" w:rsidRDefault="00F16F02" w:rsidP="00D35D9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u w:val="single"/>
              </w:rPr>
            </w:pPr>
            <w:r w:rsidRPr="004C1E10">
              <w:rPr>
                <w:snapToGrid w:val="0"/>
                <w:szCs w:val="22"/>
              </w:rPr>
              <w:t>RUSSIAN</w:t>
            </w:r>
            <w:r w:rsidR="00BF0242" w:rsidRPr="004C1E10">
              <w:rPr>
                <w:snapToGrid w:val="0"/>
                <w:szCs w:val="22"/>
              </w:rPr>
              <w:t xml:space="preserve"> </w:t>
            </w:r>
            <w:r w:rsidR="004C1E10">
              <w:rPr>
                <w:snapToGrid w:val="0"/>
                <w:szCs w:val="22"/>
              </w:rPr>
              <w:br/>
            </w:r>
            <w:r w:rsidRPr="004C1E10">
              <w:rPr>
                <w:snapToGrid w:val="0"/>
                <w:szCs w:val="22"/>
              </w:rPr>
              <w:t>ORIGINAL:</w:t>
            </w:r>
            <w:r w:rsidR="00BF0242" w:rsidRPr="004C1E10">
              <w:rPr>
                <w:snapToGrid w:val="0"/>
                <w:szCs w:val="22"/>
              </w:rPr>
              <w:t xml:space="preserve"> </w:t>
            </w:r>
            <w:r w:rsidRPr="004C1E10">
              <w:rPr>
                <w:snapToGrid w:val="0"/>
                <w:szCs w:val="22"/>
              </w:rPr>
              <w:t>ENGLISH</w:t>
            </w:r>
          </w:p>
        </w:tc>
      </w:tr>
    </w:tbl>
    <w:bookmarkStart w:id="0" w:name="Meeting"/>
    <w:p w:rsidR="00CA6B87" w:rsidRPr="004C1E10" w:rsidRDefault="00BD7B2D" w:rsidP="00D35D9A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398"/>
        <w:rPr>
          <w:kern w:val="22"/>
          <w:szCs w:val="22"/>
        </w:rPr>
      </w:pPr>
      <w:sdt>
        <w:sdtPr>
          <w:rPr>
            <w:kern w:val="22"/>
            <w:szCs w:val="22"/>
          </w:rPr>
          <w:alias w:val="Заседание"/>
          <w:tag w:val="Meeting"/>
          <w:id w:val="1412045910"/>
          <w:placeholder>
            <w:docPart w:val="DefaultPlaceholder_1082065158"/>
          </w:placeholder>
          <w:text/>
        </w:sdtPr>
        <w:sdtEndPr/>
        <w:sdtContent>
          <w:r w:rsidR="003266C5" w:rsidRPr="004C1E10">
            <w:t xml:space="preserve">ВСПОМОГАТЕЛЬНЫЙ ОРГАН ПО ОСУЩЕСТВЛЕНИЮ </w:t>
          </w:r>
        </w:sdtContent>
      </w:sdt>
      <w:bookmarkEnd w:id="0"/>
    </w:p>
    <w:p w:rsidR="00D51069" w:rsidRPr="004C1E10" w:rsidRDefault="002E0627" w:rsidP="00D35D9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 w:rsidRPr="004C1E10">
        <w:rPr>
          <w:snapToGrid w:val="0"/>
          <w:szCs w:val="22"/>
        </w:rPr>
        <w:t>Второе совещание</w:t>
      </w:r>
    </w:p>
    <w:p w:rsidR="00CA6B87" w:rsidRPr="004C1E10" w:rsidRDefault="00D51069" w:rsidP="00D35D9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 w:rsidRPr="004C1E10">
        <w:rPr>
          <w:snapToGrid w:val="0"/>
          <w:szCs w:val="22"/>
        </w:rPr>
        <w:t>Монреаль, Канада, 9-13 июля 2018 года</w:t>
      </w:r>
    </w:p>
    <w:p w:rsidR="00CA6B87" w:rsidRPr="004C1E10" w:rsidRDefault="00D51069" w:rsidP="00D35D9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 w:rsidRPr="004C1E10">
        <w:rPr>
          <w:snapToGrid w:val="0"/>
          <w:szCs w:val="22"/>
        </w:rPr>
        <w:t>Пункт 6 предварительной повестки дня</w:t>
      </w:r>
      <w:r w:rsidR="00BF0242" w:rsidRPr="004C1E10">
        <w:rPr>
          <w:snapToGrid w:val="0"/>
          <w:szCs w:val="22"/>
          <w:vertAlign w:val="superscript"/>
        </w:rPr>
        <w:footnoteReference w:customMarkFollows="1" w:id="1"/>
        <w:t>*</w:t>
      </w:r>
    </w:p>
    <w:p w:rsidR="00406BC6" w:rsidRPr="004C1E10" w:rsidRDefault="00BD7B2D" w:rsidP="00D35D9A">
      <w:pPr>
        <w:pStyle w:val="Heading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sdt>
        <w:sdtPr>
          <w:rPr>
            <w:snapToGrid w:val="0"/>
            <w:kern w:val="22"/>
            <w:szCs w:val="22"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F0242" w:rsidRPr="004C1E10">
            <w:rPr>
              <w:snapToGrid w:val="0"/>
              <w:kern w:val="22"/>
              <w:szCs w:val="22"/>
            </w:rPr>
            <w:t xml:space="preserve">Глобальный многосторонний механизм совместного использования выгод (статья 10 Нагойского протокола) </w:t>
          </w:r>
        </w:sdtContent>
      </w:sdt>
    </w:p>
    <w:p w:rsidR="00C85EA4" w:rsidRPr="004C1E10" w:rsidRDefault="00C85EA4" w:rsidP="00D35D9A">
      <w:pPr>
        <w:pStyle w:val="Heading2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i/>
          <w:snapToGrid w:val="0"/>
          <w:kern w:val="22"/>
          <w:szCs w:val="22"/>
        </w:rPr>
      </w:pPr>
      <w:r w:rsidRPr="004C1E10">
        <w:rPr>
          <w:b w:val="0"/>
          <w:i/>
          <w:snapToGrid w:val="0"/>
          <w:szCs w:val="22"/>
        </w:rPr>
        <w:t>Записка Исполнительного секретаря</w:t>
      </w:r>
    </w:p>
    <w:p w:rsidR="00A455CD" w:rsidRPr="004C1E10" w:rsidRDefault="00A455CD" w:rsidP="00D35D9A">
      <w:pPr>
        <w:keepNext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bCs/>
        </w:rPr>
      </w:pPr>
      <w:r w:rsidRPr="004C1E10">
        <w:rPr>
          <w:b/>
          <w:bCs/>
        </w:rPr>
        <w:t>ВВЕДЕНИЕ</w:t>
      </w:r>
    </w:p>
    <w:p w:rsidR="001F2CA6" w:rsidRPr="004C1E10" w:rsidRDefault="001F2CA6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Статья 10 Нагойского протокола гласит:</w:t>
      </w:r>
    </w:p>
    <w:p w:rsidR="0084734E" w:rsidRPr="004C1E10" w:rsidRDefault="0084734E" w:rsidP="00D35D9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/>
        <w:rPr>
          <w:kern w:val="22"/>
          <w:szCs w:val="22"/>
        </w:rPr>
      </w:pPr>
      <w:r w:rsidRPr="004C1E10">
        <w:t>Стороны изучают необходимость создания и условия функционирования глобального многостороннего механизма совместного использования выгод для обеспечения совместного использования на справедливой и равной основе выгод от применения генетических ресурсов и традиционных знаний, связанных с генетическими ресурсами, которые носят трансграничный характер или для которых невозможно предоставлять или получать предварительное обоснованное согласие. Выгоды, совместно используемые пользователями генетических ресурсов и традиционных знаний, связанных с генетическими ресурсами, через посредство настоящего механизма, используются в целях оказания поддержки сохранению биологического разнообразия и устойчивого использования его компонентов в глобальном масштабе.</w:t>
      </w:r>
    </w:p>
    <w:p w:rsidR="0087328C" w:rsidRPr="004C1E10" w:rsidRDefault="00D61027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Второе совещание Конференции Сторон, выступающей в качестве Сторон Нагойского протокола, приняло решение </w:t>
      </w:r>
      <w:hyperlink r:id="rId11" w:history="1">
        <w:r w:rsidR="00BF0242" w:rsidRPr="004C1E10">
          <w:rPr>
            <w:rStyle w:val="Hyperlink"/>
            <w:kern w:val="22"/>
            <w:szCs w:val="22"/>
          </w:rPr>
          <w:t>NP-2/10</w:t>
        </w:r>
      </w:hyperlink>
      <w:r w:rsidRPr="004C1E10">
        <w:t xml:space="preserve"> о необходимости создания и условиях функционирования глобального многостороннего механизма совместного использования выгод (статья 10). Помимо прочего, в решении было отмечено, что требуется больше информации и опыта касательно осуществления Нагойского протокола, включая те, что необходимы для обеспечения информационной поддержки обсуждений в рамках статьи 10 (пункт</w:t>
      </w:r>
      <w:r w:rsidR="00BF0242" w:rsidRPr="004C1E10">
        <w:t xml:space="preserve"> </w:t>
      </w:r>
      <w:r w:rsidRPr="004C1E10">
        <w:t>1).</w:t>
      </w:r>
    </w:p>
    <w:p w:rsidR="00D50AE8" w:rsidRPr="004C1E10" w:rsidRDefault="0087328C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решении предлагается предоставлять информацию о различных аспектах, связанных со статьей 10, следующим образом:</w:t>
      </w:r>
    </w:p>
    <w:p w:rsidR="00D50AE8" w:rsidRPr="004C1E10" w:rsidRDefault="00D50AE8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Сторонам предлагается при всемерном и эффективном участии коренных народов и местных общин обращать особое внимание на предоставление информации об осуществлении</w:t>
      </w:r>
      <w:r w:rsidR="00BF0242" w:rsidRPr="004C1E10">
        <w:t xml:space="preserve"> </w:t>
      </w:r>
      <w:r w:rsidRPr="004C1E10">
        <w:t>положений</w:t>
      </w:r>
      <w:r w:rsidR="00470D71" w:rsidRPr="004C1E10">
        <w:t xml:space="preserve"> Протокола</w:t>
      </w:r>
      <w:r w:rsidRPr="004C1E10">
        <w:t>, касающихся традиционных знаний, связанных с генетическими ресурсами и находящихся в ведении коренных народов и местных общин, при подготовке и представлении своих промежуточных национальных докладов (пункт 3);</w:t>
      </w:r>
    </w:p>
    <w:p w:rsidR="00D50AE8" w:rsidRPr="004C1E10" w:rsidRDefault="00D50AE8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Коренным народам и местным общинам также было предложено представить такую информацию Исполнительному секретарю (пункт 3);</w:t>
      </w:r>
    </w:p>
    <w:p w:rsidR="00D50AE8" w:rsidRPr="004C1E10" w:rsidRDefault="00D50AE8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lastRenderedPageBreak/>
        <w:t>Сторонам, другим правительствам, коренным народам, местным общинам и субъектам деятельности, включая коллекции ex-situ, было</w:t>
      </w:r>
      <w:r w:rsidR="00BF0242" w:rsidRPr="004C1E10">
        <w:t xml:space="preserve"> </w:t>
      </w:r>
      <w:r w:rsidRPr="004C1E10">
        <w:t>предложено представлять информацию, в том числе данные о практическом опыте, если таковые имеются, о ситуациях, в которых невозможно предоставлять или получать предварительное обоснованное согласие в отношении генетических ресурсов in-situ или ex-situ и связанных с ними традиционных знаний (пункт</w:t>
      </w:r>
      <w:r w:rsidR="00BF0242" w:rsidRPr="004C1E10">
        <w:t xml:space="preserve"> </w:t>
      </w:r>
      <w:r w:rsidRPr="004C1E10">
        <w:t>4);</w:t>
      </w:r>
    </w:p>
    <w:p w:rsidR="00D50AE8" w:rsidRPr="004C1E10" w:rsidRDefault="00D50AE8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Сторонам, другим правительствам,</w:t>
      </w:r>
      <w:r w:rsidR="00BF0242" w:rsidRPr="004C1E10">
        <w:t xml:space="preserve"> </w:t>
      </w:r>
      <w:r w:rsidRPr="004C1E10">
        <w:t>субъектам деятельности, коренным народам и местным общинам также было предложено представлять мнения о способах дальнейшего осуществления статьи 10 (пункт</w:t>
      </w:r>
      <w:r w:rsidR="00BF0242" w:rsidRPr="004C1E10">
        <w:t xml:space="preserve"> </w:t>
      </w:r>
      <w:r w:rsidRPr="004C1E10">
        <w:t>5).</w:t>
      </w:r>
    </w:p>
    <w:p w:rsidR="00D50AE8" w:rsidRPr="004C1E10" w:rsidRDefault="00D50AE8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решении Исполнительному секретарю было поручено собрать воедино и/или обобщить вышеуказанную информацию:</w:t>
      </w:r>
    </w:p>
    <w:p w:rsidR="00D50AE8" w:rsidRPr="004C1E10" w:rsidRDefault="00D50AE8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информацию, имеющую отношение к статье 10, которая приведена в промежуточных национальных докладах и в Механизме посредничества для регулирования доступа к генетическим ресурсам и совместного использования выгод (пункт 6 a));</w:t>
      </w:r>
    </w:p>
    <w:p w:rsidR="003708D7" w:rsidRPr="004C1E10" w:rsidRDefault="00D50AE8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доступную информацию о начинаниях в рамках соответствующих международных процессов и организаций для обеспечения информационной поддержки будущих обсуждений по статье 10 (пункт</w:t>
      </w:r>
      <w:r w:rsidR="00BF0242" w:rsidRPr="004C1E10">
        <w:t xml:space="preserve"> </w:t>
      </w:r>
      <w:r w:rsidRPr="004C1E10">
        <w:t>6 b)).</w:t>
      </w:r>
    </w:p>
    <w:p w:rsidR="00736BC2" w:rsidRPr="004C1E10" w:rsidRDefault="003708D7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Данная информация должна быть представлена на рассмотрение Вспомогательн</w:t>
      </w:r>
      <w:r w:rsidR="005B6577" w:rsidRPr="004C1E10">
        <w:t>ого</w:t>
      </w:r>
      <w:r w:rsidRPr="004C1E10">
        <w:t xml:space="preserve"> орган</w:t>
      </w:r>
      <w:r w:rsidR="005B6577" w:rsidRPr="004C1E10">
        <w:t>а</w:t>
      </w:r>
      <w:r w:rsidRPr="004C1E10">
        <w:t xml:space="preserve"> по осуществлению и Конференци</w:t>
      </w:r>
      <w:r w:rsidR="00814630">
        <w:t>и</w:t>
      </w:r>
      <w:r w:rsidRPr="004C1E10">
        <w:t xml:space="preserve"> Сторон, выступающей в качестве </w:t>
      </w:r>
      <w:r w:rsidR="00AC5D1C" w:rsidRPr="004C1E10">
        <w:t>с</w:t>
      </w:r>
      <w:r w:rsidRPr="004C1E10">
        <w:t xml:space="preserve">овещания Сторон Нагойского протокола, на </w:t>
      </w:r>
      <w:r w:rsidR="00470D71" w:rsidRPr="004C1E10">
        <w:t>е</w:t>
      </w:r>
      <w:r w:rsidR="00814630">
        <w:t>е</w:t>
      </w:r>
      <w:r w:rsidRPr="004C1E10">
        <w:t xml:space="preserve"> третьем совещании.</w:t>
      </w:r>
    </w:p>
    <w:p w:rsidR="003708D7" w:rsidRPr="004C1E10" w:rsidRDefault="003708D7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Кроме того, совещание Сторон поруч</w:t>
      </w:r>
      <w:r w:rsidR="00470D71" w:rsidRPr="004C1E10">
        <w:t>и</w:t>
      </w:r>
      <w:r w:rsidRPr="004C1E10">
        <w:t>л</w:t>
      </w:r>
      <w:r w:rsidR="00470D71" w:rsidRPr="004C1E10">
        <w:t>о</w:t>
      </w:r>
      <w:r w:rsidRPr="004C1E10">
        <w:t xml:space="preserve"> Вспомогательному органу по осуществлению изучить </w:t>
      </w:r>
      <w:r w:rsidR="005B6577" w:rsidRPr="004C1E10">
        <w:t xml:space="preserve">вопрос о </w:t>
      </w:r>
      <w:r w:rsidRPr="004C1E10">
        <w:t>необходимост</w:t>
      </w:r>
      <w:r w:rsidR="005B6577" w:rsidRPr="004C1E10">
        <w:t>и</w:t>
      </w:r>
      <w:r w:rsidRPr="004C1E10">
        <w:t xml:space="preserve"> создания глобального многостороннего механизма совместного использования выгод и выработать рекомендации для их рассмотрения на третьем совещании Конференции Сторон, выступающей в качестве </w:t>
      </w:r>
      <w:r w:rsidR="005B6577" w:rsidRPr="004C1E10">
        <w:t>с</w:t>
      </w:r>
      <w:r w:rsidRPr="004C1E10">
        <w:t xml:space="preserve">овещания Сторон </w:t>
      </w:r>
      <w:r w:rsidR="00470D71" w:rsidRPr="004C1E10">
        <w:t>П</w:t>
      </w:r>
      <w:r w:rsidRPr="004C1E10">
        <w:t>ротокола (пункт 7).</w:t>
      </w:r>
    </w:p>
    <w:p w:rsidR="00730A4B" w:rsidRPr="004C1E10" w:rsidRDefault="00730A4B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уведомлении 2017-017 от 23 февраля 2017 года</w:t>
      </w:r>
      <w:r w:rsidRPr="004C1E10">
        <w:rPr>
          <w:rStyle w:val="FootnoteReference"/>
          <w:kern w:val="22"/>
          <w:sz w:val="22"/>
          <w:szCs w:val="22"/>
        </w:rPr>
        <w:footnoteReference w:id="2"/>
      </w:r>
      <w:r w:rsidRPr="004C1E10">
        <w:t xml:space="preserve"> Сторонам было предложено представить сво</w:t>
      </w:r>
      <w:r w:rsidR="00C278E9" w:rsidRPr="004C1E10">
        <w:t>и</w:t>
      </w:r>
      <w:r w:rsidRPr="004C1E10">
        <w:t xml:space="preserve"> промежуточны</w:t>
      </w:r>
      <w:r w:rsidR="00C278E9" w:rsidRPr="004C1E10">
        <w:t>е</w:t>
      </w:r>
      <w:r w:rsidRPr="004C1E10">
        <w:t xml:space="preserve"> национальны</w:t>
      </w:r>
      <w:r w:rsidR="00C278E9" w:rsidRPr="004C1E10">
        <w:t>е</w:t>
      </w:r>
      <w:r w:rsidRPr="004C1E10">
        <w:t xml:space="preserve"> доклад</w:t>
      </w:r>
      <w:r w:rsidR="00C278E9" w:rsidRPr="004C1E10">
        <w:t xml:space="preserve">ы </w:t>
      </w:r>
      <w:r w:rsidRPr="004C1E10">
        <w:t>об осуществлении Нагойского протокола. Среди прочего, в уведомлении Сторонам было предложено обратить особое внимание на информацию, указанную в пункте 3</w:t>
      </w:r>
      <w:r w:rsidR="00941AE5" w:rsidRPr="004C1E10">
        <w:t> </w:t>
      </w:r>
      <w:r w:rsidRPr="004C1E10">
        <w:t>a) выше, при подготовке и представлении своих промежуточных национальных докладов.</w:t>
      </w:r>
    </w:p>
    <w:p w:rsidR="00634F88" w:rsidRPr="004C1E10" w:rsidRDefault="00730A4B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уведомлени</w:t>
      </w:r>
      <w:r w:rsidR="005B6577" w:rsidRPr="004C1E10">
        <w:t>и</w:t>
      </w:r>
      <w:r w:rsidRPr="004C1E10">
        <w:t xml:space="preserve"> 2017-094 от 20 сентября 2017 года</w:t>
      </w:r>
      <w:r w:rsidRPr="004C1E10">
        <w:rPr>
          <w:rStyle w:val="FootnoteReference"/>
          <w:kern w:val="22"/>
          <w:sz w:val="22"/>
          <w:szCs w:val="22"/>
        </w:rPr>
        <w:footnoteReference w:id="3"/>
      </w:r>
      <w:r w:rsidRPr="004C1E10">
        <w:t xml:space="preserve"> Сторонам было предложено представить мнения и информацию в соответствии с решением NP-2/10, в частности в отношении аспектов, упомянутых в пунктах 3 b), c) и d) выше. Материалы были получены от четырех Сторон Протокола, одно</w:t>
      </w:r>
      <w:r w:rsidR="00C278E9" w:rsidRPr="004C1E10">
        <w:t>го государства</w:t>
      </w:r>
      <w:r w:rsidRPr="004C1E10">
        <w:t>, не являюще</w:t>
      </w:r>
      <w:r w:rsidR="00C278E9" w:rsidRPr="004C1E10">
        <w:t>го</w:t>
      </w:r>
      <w:r w:rsidRPr="004C1E10">
        <w:t>ся Стороной, одной межправительственной организаци</w:t>
      </w:r>
      <w:r w:rsidR="00C278E9" w:rsidRPr="004C1E10">
        <w:t>и</w:t>
      </w:r>
      <w:r w:rsidRPr="004C1E10">
        <w:t xml:space="preserve"> и восьми организаций и заинтересованных сторон. Данные материалы были опубликованы </w:t>
      </w:r>
      <w:r w:rsidR="00C278E9" w:rsidRPr="004C1E10">
        <w:t>на</w:t>
      </w:r>
      <w:r w:rsidRPr="004C1E10">
        <w:t xml:space="preserve"> интернете</w:t>
      </w:r>
      <w:r w:rsidR="00634F88" w:rsidRPr="004C1E10">
        <w:rPr>
          <w:rStyle w:val="FootnoteReference"/>
          <w:kern w:val="22"/>
          <w:sz w:val="22"/>
          <w:szCs w:val="22"/>
        </w:rPr>
        <w:footnoteReference w:id="4"/>
      </w:r>
      <w:r w:rsidR="00BF0242" w:rsidRPr="004C1E10">
        <w:t>.</w:t>
      </w:r>
    </w:p>
    <w:p w:rsidR="00634F88" w:rsidRPr="004C1E10" w:rsidRDefault="0084734E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разделе I настоящего документа обобщается соответствующая информация из промежуточных национальных докладов и Механизма посредничества по доступу к генетическим ресурсам и совместного использования выгод в отношении осуществления положений Протокола, касающихся традиционных знаний, связанных с генетическими ресурсами и статьей 11. В разделе II представлен</w:t>
      </w:r>
      <w:r w:rsidR="005B6577" w:rsidRPr="004C1E10">
        <w:t>ы</w:t>
      </w:r>
      <w:r w:rsidRPr="004C1E10">
        <w:t xml:space="preserve"> данные о ситуациях, при которых невозможно предоставить или получить предварительное обоснованное согласие в отношении генетических ресурсов in</w:t>
      </w:r>
      <w:r w:rsidR="009B3E26">
        <w:t>-</w:t>
      </w:r>
      <w:r w:rsidRPr="004C1E10">
        <w:t>situ или ex</w:t>
      </w:r>
      <w:r w:rsidR="009B3E26">
        <w:t>-</w:t>
      </w:r>
      <w:r w:rsidRPr="004C1E10">
        <w:t xml:space="preserve">situ и связанных с ними традиционных знаний. В разделе III содержится информация о </w:t>
      </w:r>
      <w:r w:rsidR="005B6577" w:rsidRPr="004C1E10">
        <w:t>начинани</w:t>
      </w:r>
      <w:r w:rsidRPr="004C1E10">
        <w:t>ях в соответствующих международных процессах, в то время как в разделе IV кратко излагаются мнения</w:t>
      </w:r>
      <w:r w:rsidR="005B6577" w:rsidRPr="004C1E10">
        <w:t xml:space="preserve"> по поводу </w:t>
      </w:r>
      <w:r w:rsidRPr="004C1E10">
        <w:t>дальнейш</w:t>
      </w:r>
      <w:r w:rsidR="005B6577" w:rsidRPr="004C1E10">
        <w:t>его осуществления</w:t>
      </w:r>
      <w:r w:rsidRPr="004C1E10">
        <w:t xml:space="preserve"> статьи 10. Наконец, в разделе V Вспомогательному органу по осуществлению предлагается изучить вопрос о необходимости создания глобального </w:t>
      </w:r>
      <w:r w:rsidRPr="004C1E10">
        <w:lastRenderedPageBreak/>
        <w:t xml:space="preserve">многостороннего механизма совместного использования выгод и представить рекомендации Конференции Сторон, выступающей в качестве </w:t>
      </w:r>
      <w:r w:rsidR="005B6577" w:rsidRPr="004C1E10">
        <w:t>с</w:t>
      </w:r>
      <w:r w:rsidRPr="004C1E10">
        <w:t>овещания Сторон Нагойского протокола.</w:t>
      </w:r>
    </w:p>
    <w:p w:rsidR="001F2CA6" w:rsidRPr="004C1E10" w:rsidRDefault="001F2CA6" w:rsidP="00D35D9A">
      <w:pPr>
        <w:pStyle w:val="Heading1"/>
        <w:numPr>
          <w:ilvl w:val="0"/>
          <w:numId w:val="7"/>
        </w:numPr>
        <w:suppressLineNumbers/>
        <w:tabs>
          <w:tab w:val="clear" w:pos="720"/>
          <w:tab w:val="left" w:pos="1276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282"/>
        <w:jc w:val="left"/>
        <w:rPr>
          <w:snapToGrid w:val="0"/>
          <w:kern w:val="22"/>
          <w:szCs w:val="22"/>
        </w:rPr>
      </w:pPr>
      <w:r w:rsidRPr="004C1E10">
        <w:rPr>
          <w:snapToGrid w:val="0"/>
          <w:szCs w:val="22"/>
        </w:rPr>
        <w:t>Соответствующая информация из промежуточных национальных докладов и Механизма посредничества по доступу к генетическим ресурсам и совместного использования выгод</w:t>
      </w:r>
    </w:p>
    <w:p w:rsidR="00F677EB" w:rsidRPr="004C1E10" w:rsidRDefault="00AC5D1C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Представленная в данном разделе и</w:t>
      </w:r>
      <w:r w:rsidR="00F677EB" w:rsidRPr="004C1E10">
        <w:t xml:space="preserve">нформация основана на анализе </w:t>
      </w:r>
      <w:r w:rsidRPr="004C1E10">
        <w:t>данных</w:t>
      </w:r>
      <w:r w:rsidR="00F677EB" w:rsidRPr="004C1E10">
        <w:t>, содержащ</w:t>
      </w:r>
      <w:r w:rsidRPr="004C1E10">
        <w:t>их</w:t>
      </w:r>
      <w:r w:rsidR="00F677EB" w:rsidRPr="004C1E10">
        <w:t xml:space="preserve">ся в промежуточных национальных докладах, и </w:t>
      </w:r>
      <w:r w:rsidRPr="004C1E10">
        <w:t>данных</w:t>
      </w:r>
      <w:r w:rsidR="00F677EB" w:rsidRPr="004C1E10">
        <w:t>, опубликованн</w:t>
      </w:r>
      <w:r w:rsidRPr="004C1E10">
        <w:t>ых</w:t>
      </w:r>
      <w:r w:rsidR="00F677EB" w:rsidRPr="004C1E10">
        <w:t xml:space="preserve"> в Механизме посредничества по доступу к генетическим ресурсам и совместного использования выгод</w:t>
      </w:r>
      <w:r w:rsidRPr="004C1E10">
        <w:t xml:space="preserve"> </w:t>
      </w:r>
      <w:r w:rsidR="00F677EB" w:rsidRPr="004C1E10">
        <w:t>(CBD/SBI/2/INF/3). Данный анализ был подготовлен в целях оказания содействия оценке и обзору Протокола и будет рассмотрен Вспомогательным органом по осуществлению. Анализ основан на информации по состоянию на 22 февраля 2018 года. Для получения дополнительной информации, в том числе о методологии, использовавшей</w:t>
      </w:r>
      <w:r w:rsidRPr="004C1E10">
        <w:t>ся</w:t>
      </w:r>
      <w:r w:rsidR="00F677EB" w:rsidRPr="004C1E10">
        <w:t xml:space="preserve"> при подготовке анализа, и примерах, на которых </w:t>
      </w:r>
      <w:r w:rsidR="00563099" w:rsidRPr="004C1E10">
        <w:t>основывалась</w:t>
      </w:r>
      <w:r w:rsidR="00F677EB" w:rsidRPr="004C1E10">
        <w:t xml:space="preserve"> представленная ниже информация, следует ознакомиться с информационным документом.</w:t>
      </w:r>
    </w:p>
    <w:p w:rsidR="00095A23" w:rsidRPr="004C1E10" w:rsidRDefault="00095A23" w:rsidP="00AC5D1C">
      <w:pPr>
        <w:pStyle w:val="Heading2"/>
        <w:keepNext w:val="0"/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snapToGrid w:val="0"/>
          <w:kern w:val="22"/>
          <w:szCs w:val="22"/>
        </w:rPr>
      </w:pPr>
      <w:r w:rsidRPr="004C1E10">
        <w:rPr>
          <w:snapToGrid w:val="0"/>
          <w:szCs w:val="22"/>
        </w:rPr>
        <w:t>Информация об осуществлении положений Протокола, касающихся традиционных знаний, связанных с генетическими ресурсами и находящихся в ведении коренных народов и местных общин</w:t>
      </w:r>
    </w:p>
    <w:p w:rsidR="00E53D99" w:rsidRPr="004C1E10" w:rsidRDefault="002F5B80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Как описано выше, в пункте 3 решения NP-2/10 Конференция Сторон, выступающая в качестве </w:t>
      </w:r>
      <w:r w:rsidR="005B6577" w:rsidRPr="004C1E10">
        <w:t>с</w:t>
      </w:r>
      <w:r w:rsidRPr="004C1E10">
        <w:t>овещания Сторон Нагойского протокола, признала наличие «ограниченности имеющейся информации об осуществлении положений Протокола, касающихся традиционных знаний, связанных с генетическими ресурсами и находящихся в ведении к</w:t>
      </w:r>
      <w:r w:rsidR="00AC5D1C" w:rsidRPr="004C1E10">
        <w:t>оренных народов и местных общин</w:t>
      </w:r>
      <w:r w:rsidRPr="004C1E10">
        <w:t>», и предложила Сторонам обратить особое внимание на этот аспект при подготовке и представлении промежуточных национальных докладов.</w:t>
      </w:r>
    </w:p>
    <w:p w:rsidR="00913626" w:rsidRPr="004C1E10" w:rsidRDefault="00913626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Основные положения </w:t>
      </w:r>
      <w:r w:rsidR="00563099" w:rsidRPr="004C1E10">
        <w:t>Нагойского прот</w:t>
      </w:r>
      <w:r w:rsidRPr="004C1E10">
        <w:t>окола, касающиеся традиционных знаний, связанных с генетическими ресурсами и находящихся в ведении коренных народов и местных общин содержатся в следующих статьях: пункт 5 статьи 5</w:t>
      </w:r>
      <w:r w:rsidR="00AC5D1C" w:rsidRPr="004C1E10">
        <w:t>,</w:t>
      </w:r>
      <w:r w:rsidRPr="004C1E10">
        <w:t xml:space="preserve"> статья 7</w:t>
      </w:r>
      <w:r w:rsidR="00AC5D1C" w:rsidRPr="004C1E10">
        <w:t>,</w:t>
      </w:r>
      <w:r w:rsidRPr="004C1E10">
        <w:t xml:space="preserve"> статья 12 и статья 16.</w:t>
      </w:r>
    </w:p>
    <w:p w:rsidR="00913626" w:rsidRPr="004C1E10" w:rsidRDefault="00913626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Таким образом, ниже приводится </w:t>
      </w:r>
      <w:r w:rsidR="00AC5D1C" w:rsidRPr="004C1E10">
        <w:t xml:space="preserve">краткое изложение </w:t>
      </w:r>
      <w:r w:rsidRPr="004C1E10">
        <w:t>соответствующ</w:t>
      </w:r>
      <w:r w:rsidR="00AC5D1C" w:rsidRPr="004C1E10">
        <w:t>ей</w:t>
      </w:r>
      <w:r w:rsidRPr="004C1E10">
        <w:t xml:space="preserve"> информаци</w:t>
      </w:r>
      <w:r w:rsidR="00AC5D1C" w:rsidRPr="004C1E10">
        <w:t>и</w:t>
      </w:r>
      <w:r w:rsidRPr="004C1E10">
        <w:t xml:space="preserve"> </w:t>
      </w:r>
      <w:r w:rsidR="005B6577" w:rsidRPr="004C1E10">
        <w:t xml:space="preserve">из </w:t>
      </w:r>
      <w:r w:rsidRPr="004C1E10">
        <w:t>анали</w:t>
      </w:r>
      <w:r w:rsidR="005B6577" w:rsidRPr="004C1E10">
        <w:t>тического документа</w:t>
      </w:r>
      <w:r w:rsidR="00AC5D1C" w:rsidRPr="004C1E10">
        <w:t>, касающегося этих</w:t>
      </w:r>
      <w:r w:rsidRPr="004C1E10">
        <w:t xml:space="preserve"> положени</w:t>
      </w:r>
      <w:r w:rsidR="00AC5D1C" w:rsidRPr="004C1E10">
        <w:t>й</w:t>
      </w:r>
      <w:r w:rsidRPr="004C1E10">
        <w:t>.</w:t>
      </w:r>
    </w:p>
    <w:p w:rsidR="002F5B80" w:rsidRPr="004C1E10" w:rsidRDefault="002F5B80" w:rsidP="00BF0242">
      <w:pPr>
        <w:pStyle w:val="Heading3"/>
        <w:keepNext w:val="0"/>
        <w:numPr>
          <w:ilvl w:val="0"/>
          <w:numId w:val="9"/>
        </w:numPr>
        <w:suppressLineNumbers/>
        <w:tabs>
          <w:tab w:val="clear" w:pos="567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Calibri"/>
          <w:snapToGrid w:val="0"/>
          <w:kern w:val="22"/>
          <w:szCs w:val="22"/>
        </w:rPr>
      </w:pPr>
      <w:r w:rsidRPr="004C1E10">
        <w:rPr>
          <w:snapToGrid w:val="0"/>
          <w:szCs w:val="22"/>
        </w:rPr>
        <w:t>Приняты ли вашей страной законодательные, административные или политические меры для обеспечения совместного использования выгод от применения традиционных знаний, связанных с генетическими ресурсами, с коренными и местными общинами, являющимися носителями таких знаний, как это предусмотрено статьей 5.5? (вопрос 22 формы представления промежуточных национальных докладов)</w:t>
      </w:r>
    </w:p>
    <w:p w:rsidR="002F5B80" w:rsidRPr="004C1E10" w:rsidRDefault="00F94D0D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общей сложности 41 Сторона и пять государств, не являющихся Сторонами, ответили, что они приняли меры по осуществлению статьи 5.5, в то время как 28 Сторон и одн</w:t>
      </w:r>
      <w:r w:rsidR="00B51F7C" w:rsidRPr="004C1E10">
        <w:t>о</w:t>
      </w:r>
      <w:r w:rsidRPr="004C1E10">
        <w:t xml:space="preserve"> </w:t>
      </w:r>
      <w:r w:rsidR="00DB3719" w:rsidRPr="004C1E10">
        <w:t>государство</w:t>
      </w:r>
      <w:r w:rsidRPr="004C1E10">
        <w:t>, не являющ</w:t>
      </w:r>
      <w:r w:rsidR="00DB3719" w:rsidRPr="004C1E10">
        <w:t>ее</w:t>
      </w:r>
      <w:r w:rsidRPr="004C1E10">
        <w:t>ся Стороной, сообщили, что не приняли таких мер.</w:t>
      </w:r>
    </w:p>
    <w:p w:rsidR="002F5B80" w:rsidRPr="004C1E10" w:rsidRDefault="002F5B80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Среди стран, ответивших «да» на этот вопрос, многие ссылались на меры, требующие совместного использования выгод от </w:t>
      </w:r>
      <w:r w:rsidR="00B51F7C" w:rsidRPr="004C1E10">
        <w:t>применения</w:t>
      </w:r>
      <w:r w:rsidRPr="004C1E10">
        <w:t xml:space="preserve"> традиционных знаний в своей стране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5"/>
      </w:r>
      <w:r w:rsidR="00BF0242" w:rsidRPr="004C1E10">
        <w:t xml:space="preserve">. </w:t>
      </w:r>
      <w:r w:rsidRPr="004C1E10">
        <w:t>В некоторых странах меры, направленные на совместное использование выгод от применения соответствующих традиционных знаний, являются мерами, обеспечивающими защиту традиционных знаний в качестве их основной цели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6"/>
      </w:r>
      <w:r w:rsidR="00BF0242" w:rsidRPr="004C1E10">
        <w:t xml:space="preserve">. </w:t>
      </w:r>
      <w:r w:rsidRPr="004C1E10">
        <w:t xml:space="preserve">Некоторые страны сослались на свои планы </w:t>
      </w:r>
      <w:r w:rsidRPr="004C1E10">
        <w:lastRenderedPageBreak/>
        <w:t xml:space="preserve">или </w:t>
      </w:r>
      <w:r w:rsidR="00B51F7C" w:rsidRPr="004C1E10">
        <w:t>деятельность п</w:t>
      </w:r>
      <w:r w:rsidRPr="004C1E10">
        <w:t xml:space="preserve">о </w:t>
      </w:r>
      <w:r w:rsidR="00DB3719" w:rsidRPr="004C1E10">
        <w:t>внедрению нео</w:t>
      </w:r>
      <w:r w:rsidRPr="004C1E10">
        <w:t>бходимых или дополнительных мер для осуществления статьи 5.5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7"/>
      </w:r>
      <w:r w:rsidR="00BF0242" w:rsidRPr="004C1E10">
        <w:t>.</w:t>
      </w:r>
    </w:p>
    <w:p w:rsidR="002F5B80" w:rsidRPr="004C1E10" w:rsidRDefault="002F5B80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Среди стран, ответи</w:t>
      </w:r>
      <w:r w:rsidR="005B6577" w:rsidRPr="004C1E10">
        <w:t>вших</w:t>
      </w:r>
      <w:r w:rsidRPr="004C1E10">
        <w:t xml:space="preserve"> «нет» на этот вопрос, две страны</w:t>
      </w:r>
      <w:r w:rsidR="00BF0242" w:rsidRPr="004C1E10">
        <w:rPr>
          <w:vertAlign w:val="superscript"/>
        </w:rPr>
        <w:footnoteReference w:id="8"/>
      </w:r>
      <w:r w:rsidRPr="004C1E10">
        <w:t xml:space="preserve"> указали, что не имеют коренных народов и местных общин, а другие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9"/>
      </w:r>
      <w:r w:rsidRPr="004C1E10">
        <w:t xml:space="preserve"> пояснили, что они имеют только местные общины. Еще одна страна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10"/>
      </w:r>
      <w:r w:rsidRPr="004C1E10">
        <w:t xml:space="preserve"> пояснила, что выгоды должны распределяться поровну между всеми гражданами. Несколько стран также указали, что они планируют рассмотреть этот вопрос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11"/>
      </w:r>
      <w:r w:rsidR="00BF0242" w:rsidRPr="004C1E10">
        <w:t>.</w:t>
      </w:r>
    </w:p>
    <w:p w:rsidR="002F5B80" w:rsidRPr="004C1E10" w:rsidRDefault="002F5B80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вопросе 23 странам было предложено представить краткое изложение основных трудностей и проблем в реализации мер. Трудности, связанные с традиционными знаниями, включали в себя:</w:t>
      </w:r>
    </w:p>
    <w:p w:rsidR="002F5B80" w:rsidRPr="004C1E10" w:rsidRDefault="00797BB4" w:rsidP="00D35D9A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 w:rsidRPr="004C1E10">
        <w:t>тр</w:t>
      </w:r>
      <w:r w:rsidR="002F5B80" w:rsidRPr="004C1E10">
        <w:t>удности в разъяснении термин</w:t>
      </w:r>
      <w:r w:rsidR="00114510" w:rsidRPr="004C1E10">
        <w:t>а</w:t>
      </w:r>
      <w:r w:rsidR="002F5B80" w:rsidRPr="004C1E10">
        <w:t xml:space="preserve"> «коренные народы и местные общины» в национальном контексте, включая предоставление ясности в отношении прав коренных народов и местных общин на традиционные знания, связанные с генетическими ресурсами. Многие Стороны испытывали трудности в выявлении различных групп коренных народов и местных общин, в понимании того, как они организованы, и возможности увязать традиционные знания с носителями таких знаний;</w:t>
      </w:r>
    </w:p>
    <w:p w:rsidR="002F5B80" w:rsidRPr="004C1E10" w:rsidRDefault="00797BB4" w:rsidP="00D35D9A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 w:rsidRPr="004C1E10">
        <w:t>н</w:t>
      </w:r>
      <w:r w:rsidR="002F5B80" w:rsidRPr="004C1E10">
        <w:t>еобходимость создания потенциала на институциональном уровне по вопросам, касающимся традиционных знаний, связанных с генетическими ресурсами</w:t>
      </w:r>
      <w:r w:rsidRPr="004C1E10">
        <w:t>,</w:t>
      </w:r>
      <w:r w:rsidR="002F5B80" w:rsidRPr="004C1E10">
        <w:t xml:space="preserve"> </w:t>
      </w:r>
      <w:r w:rsidRPr="004C1E10">
        <w:t>а также</w:t>
      </w:r>
      <w:r w:rsidR="002F5B80" w:rsidRPr="004C1E10">
        <w:t xml:space="preserve"> коренны</w:t>
      </w:r>
      <w:r w:rsidRPr="004C1E10">
        <w:t>х</w:t>
      </w:r>
      <w:r w:rsidR="002F5B80" w:rsidRPr="004C1E10">
        <w:t xml:space="preserve"> народ</w:t>
      </w:r>
      <w:r w:rsidRPr="004C1E10">
        <w:t>ов</w:t>
      </w:r>
      <w:r w:rsidR="002F5B80" w:rsidRPr="004C1E10">
        <w:t xml:space="preserve"> и местны</w:t>
      </w:r>
      <w:r w:rsidRPr="004C1E10">
        <w:t>х</w:t>
      </w:r>
      <w:r w:rsidR="002F5B80" w:rsidRPr="004C1E10">
        <w:t xml:space="preserve"> общин.</w:t>
      </w:r>
      <w:r w:rsidR="00BF0242" w:rsidRPr="004C1E10">
        <w:t xml:space="preserve"> </w:t>
      </w:r>
      <w:r w:rsidR="002F5B80" w:rsidRPr="004C1E10">
        <w:t>Была поднята проблема разработки мер, которые обеспечат надлежащее рассмотрение всех вопросов коренных народов и местных общин в Протоколе, а некоторые Стороны отметили отсутствие опыта или примеров, которые можно б</w:t>
      </w:r>
      <w:r w:rsidR="005B6577" w:rsidRPr="004C1E10">
        <w:t>ыло бы использовать на практике;</w:t>
      </w:r>
    </w:p>
    <w:p w:rsidR="002F5B80" w:rsidRPr="004C1E10" w:rsidRDefault="00797BB4" w:rsidP="00D35D9A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 w:rsidRPr="004C1E10">
        <w:t>не</w:t>
      </w:r>
      <w:r w:rsidR="002F5B80" w:rsidRPr="004C1E10">
        <w:t xml:space="preserve">обходимость создания потенциала и повышения </w:t>
      </w:r>
      <w:r w:rsidRPr="004C1E10">
        <w:t xml:space="preserve">уровня </w:t>
      </w:r>
      <w:r w:rsidR="002F5B80" w:rsidRPr="004C1E10">
        <w:t>осведомленности о ДГРСИВ коренных народов и местных общин;</w:t>
      </w:r>
    </w:p>
    <w:p w:rsidR="002F5B80" w:rsidRPr="004C1E10" w:rsidRDefault="00797BB4" w:rsidP="00D35D9A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</w:rPr>
      </w:pPr>
      <w:r w:rsidRPr="004C1E10">
        <w:t>н</w:t>
      </w:r>
      <w:r w:rsidR="002F5B80" w:rsidRPr="004C1E10">
        <w:t>еобходимость разработки реестров, исследований и/или транскрипции традиционных знаний и придания им ценности. Одна страна пояснила, что несмотря на наличие соответствующего законодательства, он</w:t>
      </w:r>
      <w:r w:rsidRPr="004C1E10">
        <w:t>а</w:t>
      </w:r>
      <w:r w:rsidR="002F5B80" w:rsidRPr="004C1E10">
        <w:t xml:space="preserve"> счита</w:t>
      </w:r>
      <w:r w:rsidRPr="004C1E10">
        <w:t>е</w:t>
      </w:r>
      <w:r w:rsidR="002F5B80" w:rsidRPr="004C1E10">
        <w:t>т, что эти меры недостаточно хорошо известны или понятны учреждениям</w:t>
      </w:r>
      <w:r w:rsidR="005B6577" w:rsidRPr="004C1E10">
        <w:t>, общинам</w:t>
      </w:r>
      <w:r w:rsidR="002F5B80" w:rsidRPr="004C1E10">
        <w:t xml:space="preserve"> или пользователям, и это может отчасти объяснить тот факт, что до сих пор не было выдано каких-либо разрешений на доступ к соответствующим традиционным знаниям</w:t>
      </w:r>
      <w:r w:rsidR="002F5B80" w:rsidRPr="004C1E10">
        <w:rPr>
          <w:rStyle w:val="FootnoteReference"/>
          <w:rFonts w:eastAsia="Calibri"/>
          <w:kern w:val="22"/>
          <w:sz w:val="22"/>
          <w:szCs w:val="22"/>
        </w:rPr>
        <w:footnoteReference w:id="12"/>
      </w:r>
      <w:r w:rsidR="005B6577" w:rsidRPr="004C1E10">
        <w:t>.</w:t>
      </w:r>
    </w:p>
    <w:p w:rsidR="00E636EC" w:rsidRPr="004C1E10" w:rsidRDefault="00E636EC" w:rsidP="00BF0242">
      <w:pPr>
        <w:pStyle w:val="Heading3"/>
        <w:keepNext w:val="0"/>
        <w:numPr>
          <w:ilvl w:val="0"/>
          <w:numId w:val="9"/>
        </w:numPr>
        <w:suppressLineNumbers/>
        <w:tabs>
          <w:tab w:val="clear" w:pos="567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Calibri"/>
          <w:snapToGrid w:val="0"/>
          <w:kern w:val="22"/>
          <w:szCs w:val="22"/>
        </w:rPr>
      </w:pPr>
      <w:r w:rsidRPr="004C1E10">
        <w:rPr>
          <w:snapToGrid w:val="0"/>
          <w:szCs w:val="22"/>
        </w:rPr>
        <w:t>Выгоды, полученные вашей страной после вступления в силу Протокола от использования: генетических ресурсов (денежные и неденежные) и традиционных знаний, связанных с генетическими ресурсами (денежные и неденежные) (вопрос 18 формы представления промежуточных национальных докладов)</w:t>
      </w:r>
    </w:p>
    <w:p w:rsidR="00E636EC" w:rsidRPr="004C1E10" w:rsidRDefault="00E636EC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>Несмотря на то, что вопрос 18 в форме представления промежуточных национальных докладов касается как генетических ресурсов, так и традиционных знаний, связанных с генетическими ресурсами, в документе представлена информация только о последней теме.</w:t>
      </w:r>
    </w:p>
    <w:p w:rsidR="00C34C37" w:rsidRPr="004C1E10" w:rsidRDefault="004C31DD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 xml:space="preserve">В общей сложности 17 Сторон и </w:t>
      </w:r>
      <w:r w:rsidR="00797BB4" w:rsidRPr="004C1E10">
        <w:t>одно государство</w:t>
      </w:r>
      <w:r w:rsidRPr="004C1E10">
        <w:t>, не являющ</w:t>
      </w:r>
      <w:r w:rsidR="00797BB4" w:rsidRPr="004C1E10">
        <w:t>ееся</w:t>
      </w:r>
      <w:r w:rsidRPr="004C1E10">
        <w:t xml:space="preserve"> Стороной, сообщили, что получили выгоды от использования соответствующих традиционных знаний. В общей сложности 6 стран сообщили о получении денежных выгод от использования соответствующих традиционных знаний, в то время как 15 стран сообщили о получении неденежных выгод от использования соответствующих традиционных знаний.</w:t>
      </w:r>
    </w:p>
    <w:p w:rsidR="00082159" w:rsidRPr="004C1E10" w:rsidRDefault="0008215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lastRenderedPageBreak/>
        <w:t>Лишь несколько стран предоставили дополнительную информацию о денежных выгодах, связанных с использованием традиционных знаний. Наиболее распространенной неденежной выгодой является развитие потенциала по различным вопросам, связанным с традиционными знаниями (например, документация традиционных знаний, общинные протоколы или устойчивое использование генетических ресурсов на основе традиционных знаний)</w:t>
      </w:r>
      <w:r w:rsidRPr="004C1E10">
        <w:rPr>
          <w:rFonts w:eastAsia="Calibri"/>
          <w:kern w:val="22"/>
          <w:szCs w:val="22"/>
          <w:vertAlign w:val="superscript"/>
        </w:rPr>
        <w:footnoteReference w:id="13"/>
      </w:r>
      <w:r w:rsidR="00BF0242" w:rsidRPr="004C1E10">
        <w:t>.</w:t>
      </w:r>
      <w:r w:rsidRPr="004C1E10">
        <w:t xml:space="preserve"> Среди прочих неденежных выгод были названы: a) доступ к информации об исследовани</w:t>
      </w:r>
      <w:r w:rsidR="00BF0242" w:rsidRPr="004C1E10">
        <w:t>ях в области традиционных знани</w:t>
      </w:r>
      <w:r w:rsidR="005B6577" w:rsidRPr="004C1E10">
        <w:t>й</w:t>
      </w:r>
      <w:r w:rsidRPr="004C1E10">
        <w:rPr>
          <w:rFonts w:eastAsia="Calibri"/>
          <w:kern w:val="22"/>
          <w:szCs w:val="22"/>
          <w:vertAlign w:val="superscript"/>
        </w:rPr>
        <w:footnoteReference w:id="14"/>
      </w:r>
      <w:r w:rsidR="00BF0242" w:rsidRPr="004C1E10">
        <w:t xml:space="preserve">; </w:t>
      </w:r>
      <w:r w:rsidRPr="004C1E10">
        <w:t>b) совместные публикации</w:t>
      </w:r>
      <w:r w:rsidRPr="004C1E10">
        <w:rPr>
          <w:rFonts w:eastAsia="Calibri"/>
          <w:kern w:val="22"/>
          <w:szCs w:val="22"/>
          <w:vertAlign w:val="superscript"/>
        </w:rPr>
        <w:footnoteReference w:id="15"/>
      </w:r>
      <w:r w:rsidR="00BF0242" w:rsidRPr="004C1E10">
        <w:t xml:space="preserve">; </w:t>
      </w:r>
      <w:r w:rsidRPr="004C1E10">
        <w:t>с) разработка экспериментальных общинных протоколов</w:t>
      </w:r>
      <w:r w:rsidRPr="004C1E10">
        <w:rPr>
          <w:rFonts w:eastAsia="Calibri"/>
          <w:kern w:val="22"/>
          <w:szCs w:val="22"/>
          <w:vertAlign w:val="superscript"/>
        </w:rPr>
        <w:footnoteReference w:id="16"/>
      </w:r>
      <w:r w:rsidR="00BF0242" w:rsidRPr="004C1E10">
        <w:t>;</w:t>
      </w:r>
      <w:r w:rsidRPr="004C1E10">
        <w:t xml:space="preserve"> d) сохранение социокультурного наследия; </w:t>
      </w:r>
      <w:r w:rsidRPr="004C1E10">
        <w:rPr>
          <w:rFonts w:eastAsia="Calibri"/>
          <w:kern w:val="22"/>
          <w:szCs w:val="22"/>
          <w:vertAlign w:val="superscript"/>
        </w:rPr>
        <w:footnoteReference w:id="17"/>
      </w:r>
      <w:r w:rsidRPr="004C1E10">
        <w:t xml:space="preserve"> e) п</w:t>
      </w:r>
      <w:r w:rsidR="00BF0242" w:rsidRPr="004C1E10">
        <w:t>овышение уровня осведомленности</w:t>
      </w:r>
      <w:r w:rsidRPr="004C1E10">
        <w:rPr>
          <w:rFonts w:eastAsia="Calibri"/>
          <w:kern w:val="22"/>
          <w:szCs w:val="22"/>
          <w:vertAlign w:val="superscript"/>
        </w:rPr>
        <w:footnoteReference w:id="18"/>
      </w:r>
      <w:r w:rsidR="00BF0242" w:rsidRPr="004C1E10">
        <w:t>;</w:t>
      </w:r>
      <w:r w:rsidRPr="004C1E10">
        <w:t xml:space="preserve"> f) осуществление общинных проектов, включая фестивали и встречи между общинами</w:t>
      </w:r>
      <w:r w:rsidRPr="004C1E10">
        <w:rPr>
          <w:rFonts w:eastAsia="Calibri"/>
          <w:kern w:val="22"/>
          <w:szCs w:val="22"/>
          <w:vertAlign w:val="superscript"/>
        </w:rPr>
        <w:footnoteReference w:id="19"/>
      </w:r>
      <w:r w:rsidR="00BF0242" w:rsidRPr="004C1E10">
        <w:t>;</w:t>
      </w:r>
      <w:r w:rsidR="005B6577" w:rsidRPr="004C1E10">
        <w:t xml:space="preserve"> </w:t>
      </w:r>
      <w:r w:rsidRPr="004C1E10">
        <w:t>g) базы данных</w:t>
      </w:r>
      <w:r w:rsidRPr="004C1E10">
        <w:rPr>
          <w:rFonts w:eastAsia="Calibri"/>
          <w:kern w:val="22"/>
          <w:szCs w:val="22"/>
          <w:vertAlign w:val="superscript"/>
        </w:rPr>
        <w:footnoteReference w:id="20"/>
      </w:r>
      <w:r w:rsidR="00BF0242" w:rsidRPr="004C1E10">
        <w:t>;</w:t>
      </w:r>
      <w:r w:rsidRPr="004C1E10">
        <w:t xml:space="preserve"> и h) исследования</w:t>
      </w:r>
      <w:r w:rsidRPr="004C1E10">
        <w:rPr>
          <w:rFonts w:eastAsia="Calibri"/>
          <w:kern w:val="22"/>
          <w:szCs w:val="22"/>
          <w:vertAlign w:val="superscript"/>
        </w:rPr>
        <w:footnoteReference w:id="21"/>
      </w:r>
      <w:r w:rsidR="00BF0242" w:rsidRPr="004C1E10">
        <w:t>.</w:t>
      </w:r>
    </w:p>
    <w:p w:rsidR="00E636EC" w:rsidRPr="004C1E10" w:rsidRDefault="0008215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 xml:space="preserve">В вопросе 19 странам было предложено представить краткое изложение основных трудностей и проблем. К числу трудностей, характерных для соответствующих традиционных знаний, относятся: необходимость составления реестров соответствующих традиционных знаний, отсутствие надлежащих мер и трудности, связанные с установлением применения традиционных знаний. </w:t>
      </w:r>
    </w:p>
    <w:p w:rsidR="00AB4512" w:rsidRPr="004C1E10" w:rsidRDefault="00AB4512" w:rsidP="00BF0242">
      <w:pPr>
        <w:pStyle w:val="Heading3"/>
        <w:keepNext w:val="0"/>
        <w:numPr>
          <w:ilvl w:val="0"/>
          <w:numId w:val="9"/>
        </w:numPr>
        <w:suppressLineNumbers/>
        <w:tabs>
          <w:tab w:val="clear" w:pos="567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Calibri"/>
          <w:snapToGrid w:val="0"/>
          <w:kern w:val="22"/>
          <w:szCs w:val="22"/>
        </w:rPr>
      </w:pPr>
      <w:r w:rsidRPr="004C1E10">
        <w:rPr>
          <w:snapToGrid w:val="0"/>
          <w:szCs w:val="22"/>
        </w:rPr>
        <w:t xml:space="preserve">Приняты ли в вашей стране надлежащие эффективные и соразмерные законодательные, административные или политические меры для обеспечения того, чтобы доступ к традиционным знаниям, связанным с генетическими ресурсами, которые используются в пределах вашей юрисдикции, осуществлялся в соответствии с предварительным обоснованным согласием или с одобрения и при участии коренных и местных общин и чтобы были установлены взаимосогласованные условия, как определено в национальном законодательстве, регулирующем ДГРСИВ, или в регулятивных требованиях другой Стороны, где находятся такие коренные и местные общины, как это предусмотрено статьей 16.1? (вопрос 25) </w:t>
      </w:r>
    </w:p>
    <w:p w:rsidR="00AB4512" w:rsidRPr="004C1E10" w:rsidRDefault="0015691F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>В общей сложности 33 Стороны и 4 государства, не являющихся Сторонами, ответили, что они приняли меры по осуществлению статьи</w:t>
      </w:r>
      <w:r w:rsidR="00BF0242" w:rsidRPr="004C1E10">
        <w:t xml:space="preserve"> </w:t>
      </w:r>
      <w:r w:rsidRPr="004C1E10">
        <w:t xml:space="preserve">16.1 Протокола, в то время как 35 Сторон и </w:t>
      </w:r>
      <w:r w:rsidR="00114510" w:rsidRPr="004C1E10">
        <w:t>два</w:t>
      </w:r>
      <w:r w:rsidRPr="004C1E10">
        <w:t xml:space="preserve"> государств</w:t>
      </w:r>
      <w:r w:rsidR="00114510" w:rsidRPr="004C1E10">
        <w:t>а</w:t>
      </w:r>
      <w:r w:rsidRPr="004C1E10">
        <w:t>, не являющ</w:t>
      </w:r>
      <w:r w:rsidR="00114510" w:rsidRPr="004C1E10">
        <w:t>их</w:t>
      </w:r>
      <w:r w:rsidRPr="004C1E10">
        <w:t>ся Сторон</w:t>
      </w:r>
      <w:r w:rsidR="00114510" w:rsidRPr="004C1E10">
        <w:t>ами</w:t>
      </w:r>
      <w:r w:rsidRPr="004C1E10">
        <w:t>, сообщил</w:t>
      </w:r>
      <w:r w:rsidR="00114510" w:rsidRPr="004C1E10">
        <w:t>и</w:t>
      </w:r>
      <w:r w:rsidRPr="004C1E10">
        <w:t>, что не принял</w:t>
      </w:r>
      <w:r w:rsidR="00114510" w:rsidRPr="004C1E10">
        <w:t>и</w:t>
      </w:r>
      <w:r w:rsidRPr="004C1E10">
        <w:t xml:space="preserve"> таких мер.</w:t>
      </w:r>
    </w:p>
    <w:p w:rsidR="00AB4512" w:rsidRPr="004C1E10" w:rsidRDefault="00AB4512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 xml:space="preserve">Среди стран, </w:t>
      </w:r>
      <w:r w:rsidR="00114510" w:rsidRPr="004C1E10">
        <w:t>ответивших «да» на этот вопрос</w:t>
      </w:r>
      <w:r w:rsidRPr="004C1E10">
        <w:t>, некоторые ссылались на соответствующие существующие меры</w:t>
      </w:r>
      <w:r w:rsidR="004B62FA" w:rsidRPr="004C1E10">
        <w:rPr>
          <w:rStyle w:val="FootnoteReference"/>
          <w:rFonts w:eastAsia="Calibri"/>
          <w:kern w:val="22"/>
          <w:sz w:val="22"/>
          <w:szCs w:val="22"/>
        </w:rPr>
        <w:footnoteReference w:id="22"/>
      </w:r>
      <w:r w:rsidR="00114510" w:rsidRPr="004C1E10">
        <w:rPr>
          <w:kern w:val="22"/>
          <w:szCs w:val="22"/>
        </w:rPr>
        <w:t xml:space="preserve">, </w:t>
      </w:r>
      <w:r w:rsidRPr="004C1E10">
        <w:t xml:space="preserve"> проекты мер или процессы, которые осуществляются в настоящее время</w:t>
      </w:r>
      <w:r w:rsidR="004B62FA" w:rsidRPr="004C1E10">
        <w:rPr>
          <w:rStyle w:val="FootnoteReference"/>
          <w:rFonts w:eastAsia="Calibri"/>
          <w:kern w:val="22"/>
          <w:sz w:val="22"/>
          <w:szCs w:val="22"/>
        </w:rPr>
        <w:footnoteReference w:id="23"/>
      </w:r>
      <w:r w:rsidR="00BF0242" w:rsidRPr="004C1E10">
        <w:t>.</w:t>
      </w:r>
      <w:r w:rsidRPr="004C1E10">
        <w:t xml:space="preserve"> Лишь несколько стран предоставили дополнительную информацию.</w:t>
      </w:r>
    </w:p>
    <w:p w:rsidR="00AB4512" w:rsidRPr="004C1E10" w:rsidRDefault="00AB4512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 xml:space="preserve">Среди стран, </w:t>
      </w:r>
      <w:r w:rsidR="004C3142" w:rsidRPr="004C1E10">
        <w:t xml:space="preserve">ответивших </w:t>
      </w:r>
      <w:r w:rsidRPr="004C1E10">
        <w:t xml:space="preserve">«нет» на этот вопрос, многие указали, что они планируют рассмотреть этот вопрос 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24"/>
      </w:r>
      <w:r w:rsidRPr="004C1E10">
        <w:t>. Одна страна заявила, что этот вопрос к ней не применим, поскольку в стране нет коренных и местных общин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25"/>
      </w:r>
      <w:r w:rsidRPr="004C1E10">
        <w:t>, а другая страна выразила необходимость уточнить понятие коренных и местных общин в своем национальном контексте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26"/>
      </w:r>
      <w:r w:rsidRPr="004C1E10">
        <w:t>.</w:t>
      </w:r>
    </w:p>
    <w:p w:rsidR="002F5B80" w:rsidRPr="004C1E10" w:rsidRDefault="00797BB4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lastRenderedPageBreak/>
        <w:t xml:space="preserve">В общей сложности </w:t>
      </w:r>
      <w:r w:rsidR="002F5B80" w:rsidRPr="004C1E10">
        <w:t>33 Стороны и 4 государства, не являющи</w:t>
      </w:r>
      <w:r w:rsidRPr="004C1E10">
        <w:t>х</w:t>
      </w:r>
      <w:r w:rsidR="002F5B80" w:rsidRPr="004C1E10">
        <w:t xml:space="preserve">ся Сторонами, </w:t>
      </w:r>
      <w:r w:rsidRPr="004C1E10">
        <w:t>ответивших</w:t>
      </w:r>
      <w:r w:rsidR="002F5B80" w:rsidRPr="004C1E10">
        <w:t xml:space="preserve"> «да» на вопрос 25, также ответили на два подвопроса:</w:t>
      </w:r>
    </w:p>
    <w:p w:rsidR="00AB4512" w:rsidRPr="004C1E10" w:rsidRDefault="004C3142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>У</w:t>
      </w:r>
      <w:r w:rsidR="00AB4512" w:rsidRPr="004C1E10">
        <w:t>кажите, приняты ли в вашей стране меры по урегулированию ситуаций несоблюдения мер, как предусмотрено статьей 16.2</w:t>
      </w:r>
      <w:r w:rsidRPr="004C1E10">
        <w:t>.</w:t>
      </w:r>
      <w:r w:rsidR="00AB4512" w:rsidRPr="004C1E10">
        <w:t xml:space="preserve"> В общей сложности 28 Сторон и 4 государства, не являющи</w:t>
      </w:r>
      <w:r w:rsidRPr="004C1E10">
        <w:t>х</w:t>
      </w:r>
      <w:r w:rsidR="00AB4512" w:rsidRPr="004C1E10">
        <w:t xml:space="preserve">ся Сторонами, сообщили о принятии мер для </w:t>
      </w:r>
      <w:r w:rsidR="005B6577" w:rsidRPr="004C1E10">
        <w:t xml:space="preserve">урегулирования </w:t>
      </w:r>
      <w:r w:rsidR="00AB4512" w:rsidRPr="004C1E10">
        <w:t>ситуаций несоблюдения мер, предусмотренных в статье 16.2;</w:t>
      </w:r>
    </w:p>
    <w:p w:rsidR="00A25AB5" w:rsidRPr="004C1E10" w:rsidRDefault="00A25AB5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 xml:space="preserve">Сотрудничала ли ваша страна с другим Сторонами в случаях предполагаемого нарушения мер по регулированию ДГРСИВ, как это предусмотрено статьей 16.3? В общей сложности 10 стран 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27"/>
      </w:r>
      <w:r w:rsidRPr="004C1E10">
        <w:t xml:space="preserve"> сообщили, что они не осведомлены о каких-либо случаях предполагаем</w:t>
      </w:r>
      <w:r w:rsidR="005B6577" w:rsidRPr="004C1E10">
        <w:t>ых</w:t>
      </w:r>
      <w:r w:rsidRPr="004C1E10">
        <w:t xml:space="preserve"> нарушени</w:t>
      </w:r>
      <w:r w:rsidR="005B6577" w:rsidRPr="004C1E10">
        <w:t>й</w:t>
      </w:r>
      <w:r w:rsidRPr="004C1E10">
        <w:t xml:space="preserve">. Всего </w:t>
      </w:r>
      <w:r w:rsidR="004C3142" w:rsidRPr="004C1E10">
        <w:t>две</w:t>
      </w:r>
      <w:r w:rsidRPr="004C1E10">
        <w:t xml:space="preserve"> страны сообщили о сотрудничестве в случаях предполагаемого нарушения мер по регулированию ДГРСИВ, как это предусмотрено статьей 16.3. Некоторые страны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28"/>
      </w:r>
      <w:r w:rsidRPr="004C1E10">
        <w:t xml:space="preserve"> предоставили информацию о соответствующем законодательстве.</w:t>
      </w:r>
    </w:p>
    <w:p w:rsidR="00A25AB5" w:rsidRPr="004C1E10" w:rsidRDefault="002F5B80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>Вопросы 39-44 формы представления промежуточных национальных докладов, касающиеся статей 7 и 12 Протокола. На эти вопросы ответили всего 49 стран, которые указали на наличие коренных народов и местных общин.</w:t>
      </w:r>
    </w:p>
    <w:p w:rsidR="004B62FA" w:rsidRPr="004C1E10" w:rsidRDefault="004B62FA" w:rsidP="00BF0242">
      <w:pPr>
        <w:pStyle w:val="Heading3"/>
        <w:keepNext w:val="0"/>
        <w:numPr>
          <w:ilvl w:val="0"/>
          <w:numId w:val="12"/>
        </w:numPr>
        <w:suppressLineNumbers/>
        <w:tabs>
          <w:tab w:val="clear" w:pos="567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snapToGrid w:val="0"/>
          <w:kern w:val="22"/>
          <w:szCs w:val="22"/>
        </w:rPr>
      </w:pPr>
      <w:r w:rsidRPr="004C1E10">
        <w:rPr>
          <w:snapToGrid w:val="0"/>
          <w:szCs w:val="22"/>
        </w:rPr>
        <w:t>В соответствии с положениями внутригосударственного права приняты ли в вашей стране меры для обеспечения того, чтобы доступ к традиционным знаниям, связанным с генетическими ресурсами, носителями которых являются коренные и местные общины в вашей стране, осуществлялся с 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условия, как это предусмотрено статьей 7? (вопрос 39)</w:t>
      </w:r>
    </w:p>
    <w:p w:rsidR="004B62FA" w:rsidRPr="004C1E10" w:rsidRDefault="00A4675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 xml:space="preserve">В общей сложности 21 Сторона и два государства, не являющихся Сторонами, указали, что они приняли меры </w:t>
      </w:r>
      <w:r w:rsidR="00797BB4" w:rsidRPr="004C1E10">
        <w:t>по</w:t>
      </w:r>
      <w:r w:rsidRPr="004C1E10">
        <w:t xml:space="preserve"> осуществлени</w:t>
      </w:r>
      <w:r w:rsidR="00797BB4" w:rsidRPr="004C1E10">
        <w:t>ю</w:t>
      </w:r>
      <w:r w:rsidRPr="004C1E10">
        <w:t xml:space="preserve"> статьи 7, в то время как 26 Сторон сообщили о том, что не приняли таких мер.</w:t>
      </w:r>
    </w:p>
    <w:p w:rsidR="004B62FA" w:rsidRPr="004C1E10" w:rsidRDefault="004B62FA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>Страны, ответившие «да» на этот вопрос, ссылались на уже существующие соответствующие меры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29"/>
      </w:r>
      <w:r w:rsidRPr="004C1E10">
        <w:t xml:space="preserve"> решения этой проблемы или проекты мер, находящиеся в процессе подготовки или утверждения 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30"/>
      </w:r>
      <w:r w:rsidR="00BF0242" w:rsidRPr="004C1E10">
        <w:t>.</w:t>
      </w:r>
      <w:r w:rsidRPr="004C1E10">
        <w:t xml:space="preserve"> Некоторые страны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31"/>
      </w:r>
      <w:r w:rsidRPr="004C1E10">
        <w:t xml:space="preserve"> представили более подробную информацию о принятых мерах.</w:t>
      </w:r>
    </w:p>
    <w:p w:rsidR="000E3A47" w:rsidRPr="004C1E10" w:rsidRDefault="000E3A47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>Ряд стран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32"/>
      </w:r>
      <w:r w:rsidR="005B6577" w:rsidRPr="004C1E10">
        <w:t>,</w:t>
      </w:r>
      <w:r w:rsidRPr="004C1E10">
        <w:t xml:space="preserve"> </w:t>
      </w:r>
      <w:r w:rsidR="00797BB4" w:rsidRPr="004C1E10">
        <w:t>ответивших</w:t>
      </w:r>
      <w:r w:rsidR="005B6577" w:rsidRPr="004C1E10">
        <w:t xml:space="preserve"> «нет»</w:t>
      </w:r>
      <w:r w:rsidRPr="004C1E10">
        <w:t>, указали, что они планируют рассмотреть этот вопрос при разработке или пересмотре своих мер в отношении ДГРСИВ.</w:t>
      </w:r>
    </w:p>
    <w:p w:rsidR="000E3A47" w:rsidRPr="004C1E10" w:rsidRDefault="000E3A47" w:rsidP="00D51687">
      <w:pPr>
        <w:pStyle w:val="Heading3"/>
        <w:keepNext w:val="0"/>
        <w:numPr>
          <w:ilvl w:val="1"/>
          <w:numId w:val="1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Calibri"/>
          <w:snapToGrid w:val="0"/>
          <w:kern w:val="22"/>
          <w:szCs w:val="22"/>
        </w:rPr>
      </w:pPr>
      <w:r w:rsidRPr="004C1E10">
        <w:rPr>
          <w:snapToGrid w:val="0"/>
          <w:szCs w:val="22"/>
        </w:rPr>
        <w:t>При осуществлении Протокола в вашей стране и в соответствии с вашим внутренним законодательством учитываются ли нормы обычного права, общинные протоколы и процедуры коренных и местных общин в отношении традиционных знаний, связанных с генетическими ресурсами, как это предусмотрено статьей 12.1? (вопрос 40)</w:t>
      </w:r>
    </w:p>
    <w:p w:rsidR="000E3A47" w:rsidRPr="004C1E10" w:rsidRDefault="00331350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>В общей сложности 24 Стороны и одно государство, не являющееся Стороной, указали, что они учитывают нормы обычного права коренных народов и местных общин, общинные протоколы и процедуры в отношении традиционных знаний, связанных с генетическими ресурсами, в то время как 24 Стороны и одно государство, не являющееся Стороной, сообщили, что они не делают этого.</w:t>
      </w:r>
    </w:p>
    <w:p w:rsidR="000E3A47" w:rsidRPr="004C1E10" w:rsidRDefault="000E3A47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 xml:space="preserve">Некоторые страны, ответившие «да» на этот вопрос, представили информацию о соответствующих законах, предусматривающих признание обычного права 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33"/>
      </w:r>
      <w:r w:rsidRPr="004C1E10">
        <w:t xml:space="preserve">, а некоторые страны </w:t>
      </w:r>
      <w:r w:rsidRPr="004C1E10">
        <w:lastRenderedPageBreak/>
        <w:t>также указали, что признали нормы обычного права в своих мерах по ДГРСИВ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34"/>
      </w:r>
      <w:r w:rsidRPr="004C1E10">
        <w:t>. Одна страна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35"/>
      </w:r>
      <w:r w:rsidRPr="004C1E10">
        <w:t xml:space="preserve"> предоставила информацию о признании общинных протоколов. Ряд стран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36"/>
      </w:r>
      <w:r w:rsidRPr="004C1E10">
        <w:t xml:space="preserve"> указали, что они планируют рассмотреть вопрос о нормах обычного права и/или общинных протоколах при разработке или пересмотре своих мер в отношении ДГРСИВ.</w:t>
      </w:r>
    </w:p>
    <w:p w:rsidR="000E3A47" w:rsidRPr="004C1E10" w:rsidRDefault="000E3A47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 xml:space="preserve">Среди стран, </w:t>
      </w:r>
      <w:r w:rsidR="004C3142" w:rsidRPr="004C1E10">
        <w:t>ответивших</w:t>
      </w:r>
      <w:r w:rsidR="005B6577" w:rsidRPr="004C1E10">
        <w:t xml:space="preserve"> «нет»</w:t>
      </w:r>
      <w:r w:rsidRPr="004C1E10">
        <w:t>, 10 стран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37"/>
      </w:r>
      <w:r w:rsidRPr="004C1E10">
        <w:t xml:space="preserve"> указали, что они планируют рассмотреть вопрос о нормах обычного права и/или общинных протоколах при разработке или пересмотре своих мер в отношении ДГРСИВ.</w:t>
      </w:r>
    </w:p>
    <w:p w:rsidR="000E3A47" w:rsidRPr="004C1E10" w:rsidRDefault="000E3A47" w:rsidP="00D51687">
      <w:pPr>
        <w:pStyle w:val="Heading3"/>
        <w:keepNext w:val="0"/>
        <w:numPr>
          <w:ilvl w:val="1"/>
          <w:numId w:val="1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Calibri"/>
          <w:snapToGrid w:val="0"/>
          <w:kern w:val="22"/>
          <w:szCs w:val="22"/>
        </w:rPr>
      </w:pPr>
      <w:r w:rsidRPr="004C1E10">
        <w:rPr>
          <w:snapToGrid w:val="0"/>
          <w:szCs w:val="22"/>
        </w:rPr>
        <w:t>Внедрены ли в вашей стране механизмы для информирования потенциальных пользователей традиционных знаний, связанных с генетическими ресурсами, об их обязанностях, как это предусмотрено статьей 12.2? (вопрос 41)</w:t>
      </w:r>
    </w:p>
    <w:p w:rsidR="000E3A47" w:rsidRPr="004C1E10" w:rsidRDefault="002605FB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>В общей сложности 19 Сторон и два государства, не являющихся Сторонами, указали, что они создали механизмы для информирования потенциальных пользователей традиционных знаний, связанных с генетическими ресурсами, об их обязательствах, в то время как 28 Сторон сообщили, что не создали таких механизмов.</w:t>
      </w:r>
    </w:p>
    <w:p w:rsidR="00CE0F53" w:rsidRPr="004C1E10" w:rsidRDefault="00CE0F5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 xml:space="preserve">Среди стран, </w:t>
      </w:r>
      <w:r w:rsidR="004C3142" w:rsidRPr="004C1E10">
        <w:t xml:space="preserve">ответивших </w:t>
      </w:r>
      <w:r w:rsidRPr="004C1E10">
        <w:t>«да» на этот вопрос, некоторые</w:t>
      </w:r>
      <w:r w:rsidR="00BF0242" w:rsidRPr="004C1E10">
        <w:t xml:space="preserve"> страны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38"/>
      </w:r>
      <w:r w:rsidRPr="004C1E10">
        <w:t xml:space="preserve"> указали, что они планируют рассмотреть этот вопрос или уже решили его в рамках своих мер в отношении ДГРСИВ.</w:t>
      </w:r>
    </w:p>
    <w:p w:rsidR="00CE0F53" w:rsidRPr="004C1E10" w:rsidRDefault="00CE0F5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 xml:space="preserve">Ряд стран </w:t>
      </w:r>
      <w:r w:rsidR="004C3142" w:rsidRPr="004C1E10">
        <w:t>сообщили</w:t>
      </w:r>
      <w:r w:rsidRPr="004C1E10">
        <w:t xml:space="preserve"> о мероприятиях, проводимых для информирования потенциальных пользователей об их обязательствах, таких как мероприятия по повышению осведомленности 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39"/>
      </w:r>
      <w:r w:rsidRPr="004C1E10">
        <w:t xml:space="preserve"> или разработка и реализация плана в области коммуникации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40"/>
      </w:r>
      <w:r w:rsidR="00BF0242" w:rsidRPr="004C1E10">
        <w:t xml:space="preserve">. </w:t>
      </w:r>
      <w:r w:rsidRPr="004C1E10">
        <w:t>Другие страны указали об использовании Механизма посредничества по ДГРСИВ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41"/>
      </w:r>
      <w:r w:rsidR="00BF0242" w:rsidRPr="004C1E10">
        <w:t>,</w:t>
      </w:r>
      <w:r w:rsidRPr="004C1E10">
        <w:t xml:space="preserve"> веб-сайтов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42"/>
      </w:r>
      <w:r w:rsidRPr="004C1E10">
        <w:t xml:space="preserve"> или национальных информационных центров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43"/>
      </w:r>
      <w:r w:rsidRPr="004C1E10">
        <w:t xml:space="preserve"> для информирования пользователей традиционных знаний об их обязательствах.</w:t>
      </w:r>
    </w:p>
    <w:p w:rsidR="00CE0F53" w:rsidRPr="004C1E10" w:rsidRDefault="00CE0F5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 xml:space="preserve">Среди стран, </w:t>
      </w:r>
      <w:r w:rsidR="004C3142" w:rsidRPr="004C1E10">
        <w:t>ответивших «нет»</w:t>
      </w:r>
      <w:r w:rsidRPr="004C1E10">
        <w:t>, некоторые страны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44"/>
      </w:r>
      <w:r w:rsidRPr="004C1E10">
        <w:t xml:space="preserve"> указали, что они планируют рассмотреть этот вопрос. Тем не менее, две страны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45"/>
      </w:r>
      <w:r w:rsidRPr="004C1E10">
        <w:t xml:space="preserve"> сообщили о проведении мероприятий по повышению уровня информированности, и две страны поделились своими планами по созданию национального механизма посредничества по ДГРСИВ или других типов информационных платформ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46"/>
      </w:r>
      <w:r w:rsidRPr="004C1E10">
        <w:t>.</w:t>
      </w:r>
    </w:p>
    <w:p w:rsidR="00CE0F53" w:rsidRPr="004C1E10" w:rsidRDefault="00CE0F53" w:rsidP="00D35D9A">
      <w:pPr>
        <w:pStyle w:val="Heading3"/>
        <w:keepNext w:val="0"/>
        <w:numPr>
          <w:ilvl w:val="1"/>
          <w:numId w:val="1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Calibri"/>
          <w:snapToGrid w:val="0"/>
          <w:kern w:val="22"/>
          <w:szCs w:val="22"/>
        </w:rPr>
      </w:pPr>
      <w:r w:rsidRPr="004C1E10">
        <w:rPr>
          <w:snapToGrid w:val="0"/>
          <w:szCs w:val="22"/>
        </w:rPr>
        <w:t>Поддерживает ли ваша страна разработку коренными и местными общинами общинных</w:t>
      </w:r>
      <w:r w:rsidR="00BF0242" w:rsidRPr="004C1E10">
        <w:rPr>
          <w:snapToGrid w:val="0"/>
          <w:szCs w:val="22"/>
        </w:rPr>
        <w:t xml:space="preserve"> </w:t>
      </w:r>
      <w:r w:rsidRPr="004C1E10">
        <w:rPr>
          <w:snapToGrid w:val="0"/>
          <w:szCs w:val="22"/>
        </w:rPr>
        <w:t>протоколов, минимальных требований для взаимосогласованных условий и типовых договорных положений, предусмотренные в статье 12.3? (вопрос 42)</w:t>
      </w:r>
    </w:p>
    <w:p w:rsidR="00506D19" w:rsidRPr="004C1E10" w:rsidRDefault="00FD71E0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>В общей сложности 30 Сторон и одно государство, не являющееся Стороной, ответили, что они поддерживают разработку общинных протоколов; 27 Сторон и одно государство, не являющееся Стороной, указали, что они поддерживают разработку минимальных требований для взаимосогласованных условий; и 22 Стороны и одно государство, не являющееся Стороной, поддерживают разработку типовых договорных положений.</w:t>
      </w:r>
    </w:p>
    <w:p w:rsidR="00E61005" w:rsidRPr="004C1E10" w:rsidRDefault="005A318B" w:rsidP="00BF0242">
      <w:pPr>
        <w:pStyle w:val="Heading3"/>
        <w:numPr>
          <w:ilvl w:val="0"/>
          <w:numId w:val="13"/>
        </w:numPr>
        <w:suppressLineNumbers/>
        <w:tabs>
          <w:tab w:val="clear" w:pos="567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jc w:val="left"/>
        <w:rPr>
          <w:rFonts w:eastAsia="Calibri"/>
          <w:snapToGrid w:val="0"/>
          <w:kern w:val="22"/>
          <w:szCs w:val="22"/>
        </w:rPr>
      </w:pPr>
      <w:r w:rsidRPr="004C1E10">
        <w:rPr>
          <w:snapToGrid w:val="0"/>
          <w:szCs w:val="22"/>
        </w:rPr>
        <w:lastRenderedPageBreak/>
        <w:t xml:space="preserve">Дополнительная информация: краткое изложение основных трудностей и проблем </w:t>
      </w:r>
      <w:r w:rsidR="00BF0242" w:rsidRPr="004C1E10">
        <w:rPr>
          <w:snapToGrid w:val="0"/>
          <w:szCs w:val="22"/>
        </w:rPr>
        <w:br/>
      </w:r>
      <w:r w:rsidRPr="004C1E10">
        <w:rPr>
          <w:snapToGrid w:val="0"/>
          <w:szCs w:val="22"/>
        </w:rPr>
        <w:t>(вопрос 44)</w:t>
      </w:r>
    </w:p>
    <w:p w:rsidR="00506D19" w:rsidRPr="004C1E10" w:rsidRDefault="005A318B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>Сторонам было предложено кратко описать основные трудности и проблемы в реализации мер, касающихся традиционных знаний, связанных с генетическими ресурсами:</w:t>
      </w:r>
      <w:r w:rsidR="00BF0242" w:rsidRPr="004C1E10">
        <w:t xml:space="preserve"> </w:t>
      </w:r>
      <w:r w:rsidRPr="004C1E10">
        <w:t>Ряд стран указали на необходимость повышения уровня осведомленности и наращивания потенциала носителей традиционных знаний, и отметили, что отсутствие надлежащих инструментов и ограниченный доступ к информации представляют собой дополнительную проблему.</w:t>
      </w:r>
    </w:p>
    <w:p w:rsidR="00506D19" w:rsidRPr="004C1E10" w:rsidRDefault="00506D1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>Некоторые страны сообщили о трудностях в выявлении различных групп коренных народов и местных общин, понимании того, как они организованы, и о возможности увязать традиционные знания с носителями таких знаний.</w:t>
      </w:r>
    </w:p>
    <w:p w:rsidR="00506D19" w:rsidRPr="004C1E10" w:rsidRDefault="00506D1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>Несколько стран подчеркнули важность документирования генетических ресурсов, традиционных знаний и их использования, в частности, ввиду утраты традиционных знаний. В некоторых странах возникли трудности с рассмотрением взаимосвязи между традиционными знаниями и правами интеллектуальной собственности.</w:t>
      </w:r>
    </w:p>
    <w:p w:rsidR="00AB4512" w:rsidRPr="004C1E10" w:rsidRDefault="00506D1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kern w:val="22"/>
          <w:szCs w:val="22"/>
        </w:rPr>
      </w:pPr>
      <w:r w:rsidRPr="004C1E10">
        <w:t>Другие выявленные проблемы</w:t>
      </w:r>
      <w:r w:rsidR="004C3142" w:rsidRPr="004C1E10">
        <w:t xml:space="preserve"> включали в себя</w:t>
      </w:r>
      <w:r w:rsidRPr="004C1E10">
        <w:t>: а) сопротивление предприятий заключению соглашений о совместном использовании выгод с носителями традиционных знаний; b) прозрачность общинных протоколов для пользователей; и c) потребность в юридической экспертизе контрактов, касающихся традиционных знаний.</w:t>
      </w:r>
    </w:p>
    <w:p w:rsidR="00095A23" w:rsidRPr="004C1E10" w:rsidRDefault="00095A23" w:rsidP="00BF0242">
      <w:pPr>
        <w:pStyle w:val="Heading2"/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snapToGrid w:val="0"/>
          <w:kern w:val="22"/>
          <w:szCs w:val="22"/>
        </w:rPr>
      </w:pPr>
      <w:r w:rsidRPr="004C1E10">
        <w:rPr>
          <w:snapToGrid w:val="0"/>
          <w:szCs w:val="22"/>
        </w:rPr>
        <w:t xml:space="preserve">Краткое изложение информации, имеющей отношение к статье 11 Нагойского протокола, </w:t>
      </w:r>
      <w:r w:rsidR="00C26BF0" w:rsidRPr="004C1E10">
        <w:rPr>
          <w:snapToGrid w:val="0"/>
          <w:szCs w:val="22"/>
        </w:rPr>
        <w:t>подготовленной на базе</w:t>
      </w:r>
      <w:r w:rsidRPr="004C1E10">
        <w:rPr>
          <w:snapToGrid w:val="0"/>
          <w:szCs w:val="22"/>
        </w:rPr>
        <w:t xml:space="preserve"> </w:t>
      </w:r>
      <w:r w:rsidR="00C26BF0" w:rsidRPr="004C1E10">
        <w:rPr>
          <w:snapToGrid w:val="0"/>
          <w:szCs w:val="22"/>
        </w:rPr>
        <w:t xml:space="preserve">данных </w:t>
      </w:r>
      <w:r w:rsidRPr="004C1E10">
        <w:rPr>
          <w:snapToGrid w:val="0"/>
          <w:szCs w:val="22"/>
        </w:rPr>
        <w:t>промежуточных национальных доклад</w:t>
      </w:r>
      <w:r w:rsidR="00C26BF0" w:rsidRPr="004C1E10">
        <w:rPr>
          <w:snapToGrid w:val="0"/>
          <w:szCs w:val="22"/>
        </w:rPr>
        <w:t>ов</w:t>
      </w:r>
      <w:r w:rsidRPr="004C1E10">
        <w:rPr>
          <w:snapToGrid w:val="0"/>
          <w:szCs w:val="22"/>
        </w:rPr>
        <w:t xml:space="preserve"> и Механизм</w:t>
      </w:r>
      <w:r w:rsidR="00C26BF0" w:rsidRPr="004C1E10">
        <w:rPr>
          <w:snapToGrid w:val="0"/>
          <w:szCs w:val="22"/>
        </w:rPr>
        <w:t>а</w:t>
      </w:r>
      <w:r w:rsidRPr="004C1E10">
        <w:rPr>
          <w:snapToGrid w:val="0"/>
          <w:szCs w:val="22"/>
        </w:rPr>
        <w:t xml:space="preserve"> посредничества для регулирования доступа к генетическим ресурсам и совместного использования выгод </w:t>
      </w:r>
    </w:p>
    <w:p w:rsidR="00095A23" w:rsidRPr="004C1E10" w:rsidRDefault="00A9380D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соответствии с</w:t>
      </w:r>
      <w:r w:rsidR="00095A23" w:rsidRPr="004C1E10">
        <w:t xml:space="preserve"> пункт</w:t>
      </w:r>
      <w:r w:rsidRPr="004C1E10">
        <w:t>ом</w:t>
      </w:r>
      <w:r w:rsidR="00095A23" w:rsidRPr="004C1E10">
        <w:t xml:space="preserve"> 6 a) решения по статье 10 Исполнительному секретарю </w:t>
      </w:r>
      <w:r w:rsidRPr="004C1E10">
        <w:t xml:space="preserve">было </w:t>
      </w:r>
      <w:r w:rsidR="00095A23" w:rsidRPr="004C1E10">
        <w:t>поруч</w:t>
      </w:r>
      <w:r w:rsidRPr="004C1E10">
        <w:t>ено</w:t>
      </w:r>
      <w:r w:rsidR="00095A23" w:rsidRPr="004C1E10">
        <w:t xml:space="preserve"> обобщить информацию, представленную в промежуточных национальных докладах и в Механизм</w:t>
      </w:r>
      <w:r w:rsidR="005B6577" w:rsidRPr="004C1E10">
        <w:t>е</w:t>
      </w:r>
      <w:r w:rsidR="00095A23" w:rsidRPr="004C1E10">
        <w:t xml:space="preserve"> посредничества для регулирования доступа к генетическим ресурсам и совместного использования выгод, которая имеет отношение к статье 10.</w:t>
      </w:r>
    </w:p>
    <w:p w:rsidR="00693113" w:rsidRPr="004C1E10" w:rsidRDefault="0069311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Вопросы, касающиеся генетических ресурсов и традиционных знаний, связанных с генетическими ресурсами, которые могут</w:t>
      </w:r>
      <w:r w:rsidR="00BF0242" w:rsidRPr="004C1E10">
        <w:t xml:space="preserve"> </w:t>
      </w:r>
      <w:r w:rsidRPr="004C1E10">
        <w:t>встречаться in</w:t>
      </w:r>
      <w:r w:rsidR="009B3E26" w:rsidRPr="00BD7B2D">
        <w:t>-</w:t>
      </w:r>
      <w:r w:rsidRPr="004C1E10">
        <w:t>situ на территории более одной Стороны, часто возникают при обсуждении статьи 10 Нагойского протокола</w:t>
      </w:r>
      <w:r w:rsidRPr="004C1E10">
        <w:rPr>
          <w:rStyle w:val="FootnoteReference"/>
          <w:kern w:val="22"/>
          <w:sz w:val="22"/>
          <w:szCs w:val="22"/>
        </w:rPr>
        <w:footnoteReference w:id="47"/>
      </w:r>
      <w:r w:rsidRPr="004C1E10">
        <w:t>. Учитывая, что этот вопрос подпадает под действие статьи 11 Протокола о трансграничном сотрудничестве, ниже приводится соответствующая информация об осуществлении статьи 11.</w:t>
      </w:r>
    </w:p>
    <w:p w:rsidR="00E11C13" w:rsidRPr="004C1E10" w:rsidRDefault="00E11C13" w:rsidP="00BF0242">
      <w:pPr>
        <w:pStyle w:val="Heading3"/>
        <w:keepNext w:val="0"/>
        <w:numPr>
          <w:ilvl w:val="0"/>
          <w:numId w:val="18"/>
        </w:numPr>
        <w:suppressLineNumbers/>
        <w:tabs>
          <w:tab w:val="clear" w:pos="567"/>
          <w:tab w:val="left" w:pos="709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14" w:hanging="357"/>
        <w:jc w:val="both"/>
        <w:rPr>
          <w:snapToGrid w:val="0"/>
          <w:kern w:val="22"/>
          <w:szCs w:val="22"/>
        </w:rPr>
      </w:pPr>
      <w:r w:rsidRPr="004C1E10">
        <w:rPr>
          <w:snapToGrid w:val="0"/>
          <w:szCs w:val="22"/>
        </w:rPr>
        <w:t>Стремится ли ваша страна к сотрудничеству с участием заинтересованных коренных и местных общин в целях выполнения обязательств в рамках Протокола в случаях, когда аналогичные генетические ресурсы встречаются in-situ на территории более чем одной Стороны, как это предусмотрено статьей 11.1? (вопрос 48 формы представления промежуточных национальных докладов)</w:t>
      </w:r>
    </w:p>
    <w:p w:rsidR="00F74E03" w:rsidRPr="004C1E10" w:rsidRDefault="00AC1CB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общей сложности 30 Сторон и одно государство, не являющееся Стороной, ответили, что они стремятся к сотрудничеству, а 39 Сторон и 5 государств, не являющихся Сторонами, ответили, что они не делают этого.</w:t>
      </w:r>
    </w:p>
    <w:p w:rsidR="00F74E03" w:rsidRPr="004C1E10" w:rsidRDefault="00E11C13" w:rsidP="00D35D9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i/>
          <w:kern w:val="22"/>
          <w:szCs w:val="22"/>
        </w:rPr>
      </w:pPr>
      <w:r w:rsidRPr="004C1E10">
        <w:rPr>
          <w:i/>
          <w:szCs w:val="22"/>
        </w:rPr>
        <w:t xml:space="preserve">a) Страны, </w:t>
      </w:r>
      <w:r w:rsidR="00AC7C25" w:rsidRPr="004C1E10">
        <w:rPr>
          <w:i/>
          <w:szCs w:val="22"/>
        </w:rPr>
        <w:t>ответившие</w:t>
      </w:r>
      <w:r w:rsidRPr="004C1E10">
        <w:rPr>
          <w:i/>
          <w:szCs w:val="22"/>
        </w:rPr>
        <w:t xml:space="preserve"> «да»</w:t>
      </w:r>
    </w:p>
    <w:p w:rsidR="00F74E03" w:rsidRPr="004C1E10" w:rsidRDefault="00E11C1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Некоторые страны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48"/>
      </w:r>
      <w:r w:rsidRPr="004C1E10">
        <w:t xml:space="preserve"> ответили, что в случае необходимости они </w:t>
      </w:r>
      <w:r w:rsidR="005B6577" w:rsidRPr="004C1E10">
        <w:t>готовы</w:t>
      </w:r>
      <w:r w:rsidRPr="004C1E10">
        <w:t xml:space="preserve"> к сотрудничеству, и две из них отметили, что ситуация решается в каждом конкретном случае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49"/>
      </w:r>
      <w:r w:rsidRPr="004C1E10">
        <w:t>. Некоторые страны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50"/>
      </w:r>
      <w:r w:rsidRPr="004C1E10">
        <w:t xml:space="preserve"> </w:t>
      </w:r>
      <w:r w:rsidR="005B6577" w:rsidRPr="004C1E10">
        <w:t>указали</w:t>
      </w:r>
      <w:r w:rsidRPr="004C1E10">
        <w:t>, что они планируют включить этот аспект в свои меры в отношении ДГРСИВ.</w:t>
      </w:r>
    </w:p>
    <w:p w:rsidR="00E11C13" w:rsidRPr="004C1E10" w:rsidRDefault="00E11C1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lastRenderedPageBreak/>
        <w:t>Одна страна</w:t>
      </w:r>
      <w:r w:rsidRPr="004C1E10">
        <w:rPr>
          <w:kern w:val="22"/>
          <w:szCs w:val="22"/>
          <w:vertAlign w:val="superscript"/>
        </w:rPr>
        <w:footnoteReference w:id="51"/>
      </w:r>
      <w:r w:rsidRPr="004C1E10">
        <w:t xml:space="preserve"> предложила, чтобы этот вопрос мог быть рассмотрен региональными экономическими организациями</w:t>
      </w:r>
      <w:r w:rsidR="00AC7C25" w:rsidRPr="004C1E10">
        <w:t xml:space="preserve"> в рамках</w:t>
      </w:r>
      <w:r w:rsidRPr="004C1E10">
        <w:t xml:space="preserve"> многосторонних соглашений, а другая страна</w:t>
      </w:r>
      <w:r w:rsidRPr="004C1E10">
        <w:rPr>
          <w:kern w:val="22"/>
          <w:szCs w:val="22"/>
          <w:vertAlign w:val="superscript"/>
        </w:rPr>
        <w:footnoteReference w:id="52"/>
      </w:r>
      <w:r w:rsidRPr="004C1E10">
        <w:t xml:space="preserve"> пояснила, что в рамках регионального проекта по Нагойскому протоколу планируется унифицировать региональный механизм посредничества по ДГРСИВ для всех территорий.</w:t>
      </w:r>
    </w:p>
    <w:p w:rsidR="00E11C13" w:rsidRPr="004C1E10" w:rsidRDefault="00E11C1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Несколько стран</w:t>
      </w:r>
      <w:r w:rsidRPr="004C1E10">
        <w:rPr>
          <w:kern w:val="22"/>
          <w:szCs w:val="22"/>
          <w:vertAlign w:val="superscript"/>
        </w:rPr>
        <w:footnoteReference w:id="53"/>
      </w:r>
      <w:r w:rsidRPr="004C1E10">
        <w:t xml:space="preserve"> представили информацию о других инициативах, организациях и инструментах сотрудничества, в которых они принимают участие, отметив, что опыт, приобретенный в рамках этих инициатив, может быть полезен для трансграничного сотрудничества в контексте Нагойского протокола</w:t>
      </w:r>
      <w:r w:rsidRPr="004C1E10">
        <w:rPr>
          <w:kern w:val="22"/>
          <w:szCs w:val="22"/>
          <w:vertAlign w:val="superscript"/>
        </w:rPr>
        <w:footnoteReference w:id="54"/>
      </w:r>
      <w:r w:rsidRPr="004C1E10">
        <w:t>. В частности:</w:t>
      </w:r>
    </w:p>
    <w:p w:rsidR="00E11C13" w:rsidRPr="004C1E10" w:rsidRDefault="00E11C13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Уганда пояснила, что сотрудничество осуществлялось в рамках</w:t>
      </w:r>
      <w:r w:rsidR="00BF0242" w:rsidRPr="004C1E10">
        <w:t xml:space="preserve"> </w:t>
      </w:r>
      <w:r w:rsidRPr="004C1E10">
        <w:t>Общинного протокола об охране окружающей среды и рациональном использовании природных ресурсов в Восточной Африке, в котором содержатся положения о ДГРСИВ</w:t>
      </w:r>
      <w:r w:rsidRPr="004C1E10">
        <w:rPr>
          <w:kern w:val="22"/>
          <w:szCs w:val="22"/>
          <w:vertAlign w:val="superscript"/>
        </w:rPr>
        <w:footnoteReference w:id="55"/>
      </w:r>
      <w:r w:rsidRPr="004C1E10">
        <w:t xml:space="preserve">, </w:t>
      </w:r>
      <w:r w:rsidR="00AC7C25" w:rsidRPr="004C1E10">
        <w:t>а также</w:t>
      </w:r>
      <w:r w:rsidRPr="004C1E10">
        <w:t xml:space="preserve"> в рамках ряда трансграничных проектов, программ и соглашений между Угандой и соседними странами</w:t>
      </w:r>
      <w:r w:rsidRPr="004C1E10">
        <w:rPr>
          <w:kern w:val="22"/>
          <w:szCs w:val="22"/>
          <w:vertAlign w:val="superscript"/>
        </w:rPr>
        <w:footnoteReference w:id="56"/>
      </w:r>
      <w:r w:rsidRPr="004C1E10">
        <w:t>;</w:t>
      </w:r>
    </w:p>
    <w:p w:rsidR="00E11C13" w:rsidRPr="004C1E10" w:rsidRDefault="00E11C13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Индия сообщила о проектах сотрудничества с другими странами региона, таких как ландшафтный проект Кайлаша (трансграничное священное место) и Большой морской экосистемный проект</w:t>
      </w:r>
      <w:r w:rsidR="005B6577" w:rsidRPr="004C1E10">
        <w:t xml:space="preserve"> в </w:t>
      </w:r>
      <w:r w:rsidRPr="004C1E10">
        <w:t>Бенгальско</w:t>
      </w:r>
      <w:r w:rsidR="005B6577" w:rsidRPr="004C1E10">
        <w:t>м</w:t>
      </w:r>
      <w:r w:rsidRPr="004C1E10">
        <w:t xml:space="preserve"> залив</w:t>
      </w:r>
      <w:r w:rsidR="005B6577" w:rsidRPr="004C1E10">
        <w:t>е</w:t>
      </w:r>
      <w:r w:rsidRPr="004C1E10">
        <w:t xml:space="preserve"> (охраняемый морской и прибрежный район);</w:t>
      </w:r>
    </w:p>
    <w:p w:rsidR="00E11C13" w:rsidRPr="004C1E10" w:rsidRDefault="00E11C13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Беларусь реализует совместные проекты в рамках Программы трансграничного сотрудничества (Польша-Беларусь-Украина 2014-2020 гг.).</w:t>
      </w:r>
    </w:p>
    <w:p w:rsidR="00E11C13" w:rsidRPr="004C1E10" w:rsidRDefault="00E11C13" w:rsidP="00D35D9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i/>
          <w:kern w:val="22"/>
          <w:szCs w:val="22"/>
        </w:rPr>
      </w:pPr>
      <w:r w:rsidRPr="004C1E10">
        <w:rPr>
          <w:i/>
          <w:szCs w:val="22"/>
        </w:rPr>
        <w:t>b) Страны, ответившие «нет»</w:t>
      </w:r>
    </w:p>
    <w:p w:rsidR="00E11C13" w:rsidRPr="004C1E10" w:rsidRDefault="00E11C1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Некоторые страны 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57"/>
      </w:r>
      <w:r w:rsidRPr="004C1E10">
        <w:t xml:space="preserve"> пояснили, что данный вопрос для них не применим, поскольку у них нет требований к доступу и/или в их странах нет коренных народов и местных общин. Некоторые страны 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58"/>
      </w:r>
      <w:r w:rsidRPr="004C1E10">
        <w:t xml:space="preserve"> отметили, что в случае необходимости они </w:t>
      </w:r>
      <w:r w:rsidR="005B6577" w:rsidRPr="004C1E10">
        <w:t>готовы</w:t>
      </w:r>
      <w:r w:rsidRPr="004C1E10">
        <w:t xml:space="preserve"> к сотрудничеству, а другие страны пояснили, что они планируют включить этот аспект в свои меры </w:t>
      </w:r>
      <w:r w:rsidR="005B6577" w:rsidRPr="004C1E10">
        <w:t xml:space="preserve">по </w:t>
      </w:r>
      <w:r w:rsidRPr="004C1E10">
        <w:t>ДГРСИВ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59"/>
      </w:r>
      <w:r w:rsidRPr="004C1E10">
        <w:t>. Некоторые из них представили информацию об опыте управления региональными парками или другими проектами регионального сотрудничества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60"/>
      </w:r>
      <w:r w:rsidRPr="004C1E10">
        <w:t>.</w:t>
      </w:r>
    </w:p>
    <w:p w:rsidR="00E11C13" w:rsidRPr="004C1E10" w:rsidRDefault="00E11C1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Была упомянута субрегиональная стратегия по ДГРСИВ, разработанная Комиссией по лесам Центральной Африки (КОМИФАК), </w:t>
      </w:r>
      <w:r w:rsidR="005B6577" w:rsidRPr="004C1E10">
        <w:t>а</w:t>
      </w:r>
      <w:r w:rsidRPr="004C1E10">
        <w:t xml:space="preserve"> одна страна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61"/>
      </w:r>
      <w:r w:rsidRPr="004C1E10">
        <w:t xml:space="preserve"> указала, что для решения этого вопроса планируется провести проект в рамках ГЭФ-7 с национальным и субрегиональным компонентом.</w:t>
      </w:r>
    </w:p>
    <w:p w:rsidR="00E11C13" w:rsidRPr="004C1E10" w:rsidRDefault="00E11C13" w:rsidP="00BF0242">
      <w:pPr>
        <w:pStyle w:val="Heading3"/>
        <w:keepNext w:val="0"/>
        <w:numPr>
          <w:ilvl w:val="0"/>
          <w:numId w:val="19"/>
        </w:numPr>
        <w:suppressLineNumbers/>
        <w:tabs>
          <w:tab w:val="clear" w:pos="567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snapToGrid w:val="0"/>
          <w:kern w:val="22"/>
          <w:szCs w:val="22"/>
        </w:rPr>
      </w:pPr>
      <w:r w:rsidRPr="004C1E10">
        <w:rPr>
          <w:snapToGrid w:val="0"/>
          <w:szCs w:val="22"/>
        </w:rPr>
        <w:t>Сотрудничает ли ваша страна в целях осуществления Протокола в тех случаях, когда аналогичные традиционные знания, связанные с генетическими ресурсами, являются достоянием одной или нескольких коренных и местных общин на территории нескольких Сторон, как это предусмотрено статьей 11.2? (вопрос 49)</w:t>
      </w:r>
    </w:p>
    <w:p w:rsidR="00E11C13" w:rsidRPr="004C1E10" w:rsidRDefault="00900D50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lastRenderedPageBreak/>
        <w:t xml:space="preserve">В общей сложности 27 Сторон ответили, что они стремятся </w:t>
      </w:r>
      <w:r w:rsidRPr="004C1E10">
        <w:rPr>
          <w:color w:val="00000A"/>
          <w:szCs w:val="22"/>
        </w:rPr>
        <w:t>к сотрудничеству, а 21</w:t>
      </w:r>
      <w:r w:rsidR="005B6577" w:rsidRPr="004C1E10">
        <w:rPr>
          <w:color w:val="00000A"/>
          <w:szCs w:val="22"/>
        </w:rPr>
        <w:t> </w:t>
      </w:r>
      <w:r w:rsidRPr="004C1E10">
        <w:rPr>
          <w:color w:val="00000A"/>
          <w:szCs w:val="22"/>
        </w:rPr>
        <w:t>Сторона и одно государство, не являющееся Стороной, ответили, что они этого не делают, 21</w:t>
      </w:r>
      <w:r w:rsidR="005B6577" w:rsidRPr="004C1E10">
        <w:rPr>
          <w:color w:val="00000A"/>
          <w:szCs w:val="22"/>
        </w:rPr>
        <w:t> </w:t>
      </w:r>
      <w:r w:rsidRPr="004C1E10">
        <w:rPr>
          <w:color w:val="00000A"/>
          <w:szCs w:val="22"/>
        </w:rPr>
        <w:t>Сторона и 5 государств, не являющихся Сторонами, ответили, что этот вопрос к ним не применим.</w:t>
      </w:r>
    </w:p>
    <w:p w:rsidR="00E11C13" w:rsidRPr="004C1E10" w:rsidRDefault="00E11C13" w:rsidP="00D35D9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rPr>
          <w:i/>
          <w:szCs w:val="22"/>
        </w:rPr>
        <w:t>a) Страны, ответившие «да»</w:t>
      </w:r>
    </w:p>
    <w:p w:rsidR="00E11C13" w:rsidRPr="004C1E10" w:rsidRDefault="00E11C1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Несколько стран сообщили, что при необходимости они будут стремиться к сотрудничеству</w:t>
      </w:r>
      <w:r w:rsidRPr="004C1E10">
        <w:rPr>
          <w:rFonts w:eastAsia="Calibri"/>
          <w:kern w:val="22"/>
          <w:szCs w:val="22"/>
          <w:vertAlign w:val="superscript"/>
        </w:rPr>
        <w:footnoteReference w:id="62"/>
      </w:r>
      <w:r w:rsidRPr="004C1E10">
        <w:t>, а другие страны пояснили, что они планируют включить этот аспект в свои меры по ДГРСИВ</w:t>
      </w:r>
      <w:r w:rsidRPr="004C1E10">
        <w:rPr>
          <w:rFonts w:eastAsia="Calibri"/>
          <w:kern w:val="22"/>
          <w:szCs w:val="22"/>
          <w:vertAlign w:val="superscript"/>
        </w:rPr>
        <w:footnoteReference w:id="63"/>
      </w:r>
      <w:r w:rsidRPr="004C1E10">
        <w:t>.</w:t>
      </w:r>
    </w:p>
    <w:p w:rsidR="00E11C13" w:rsidRPr="004C1E10" w:rsidRDefault="00E11C1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Некоторые страны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64"/>
      </w:r>
      <w:r w:rsidRPr="004C1E10">
        <w:t xml:space="preserve"> представили информацию о других инициативах, организациях и инструментах сотрудничества, в которых они принимают участие. В частности:</w:t>
      </w:r>
    </w:p>
    <w:p w:rsidR="00E11C13" w:rsidRPr="004C1E10" w:rsidRDefault="00E11C13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Кения указала, что на платформах регионального сотрудничества предпринимаются постоянные усилия по разработке надлежащих протоколов по управлению ресурсами и их использованию с учетом требований Нагойского протокола по статье</w:t>
      </w:r>
      <w:r w:rsidR="00BF0242" w:rsidRPr="004C1E10">
        <w:t> </w:t>
      </w:r>
      <w:r w:rsidRPr="004C1E10">
        <w:t>11.2 (например, проект по управлению биоразнообразием округа Буся);</w:t>
      </w:r>
    </w:p>
    <w:p w:rsidR="00E11C13" w:rsidRPr="004C1E10" w:rsidRDefault="00E11C13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Судан указал, что планирует выполнять положения этой статьи в соответствии со Стратегией доступа к генетическим ресурсам и совместного использования выгод Межправительственного органа по вопросам развития (МОВР);</w:t>
      </w:r>
    </w:p>
    <w:p w:rsidR="00E11C13" w:rsidRPr="004C1E10" w:rsidRDefault="00E11C13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Того пояснила, что существуют механизмы, укрепляющие исторические связи между различными общинами, которые разделяют общие культурные ценности, как например, народы эве, проживающие в районах Бенина, Ганы и Того.</w:t>
      </w:r>
    </w:p>
    <w:p w:rsidR="00E11C13" w:rsidRPr="004C1E10" w:rsidRDefault="00E11C13" w:rsidP="00D35D9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rPr>
          <w:i/>
          <w:szCs w:val="22"/>
        </w:rPr>
        <w:t>b) Страны, ответившие «</w:t>
      </w:r>
      <w:r w:rsidR="005B6577" w:rsidRPr="004C1E10">
        <w:rPr>
          <w:i/>
          <w:szCs w:val="22"/>
        </w:rPr>
        <w:t>н</w:t>
      </w:r>
      <w:r w:rsidRPr="004C1E10">
        <w:rPr>
          <w:i/>
          <w:szCs w:val="22"/>
        </w:rPr>
        <w:t>ет» или «</w:t>
      </w:r>
      <w:r w:rsidR="005B6577" w:rsidRPr="004C1E10">
        <w:rPr>
          <w:i/>
          <w:szCs w:val="22"/>
        </w:rPr>
        <w:t>н</w:t>
      </w:r>
      <w:r w:rsidRPr="004C1E10">
        <w:rPr>
          <w:i/>
          <w:szCs w:val="22"/>
        </w:rPr>
        <w:t>е применимо»</w:t>
      </w:r>
    </w:p>
    <w:p w:rsidR="00E11C13" w:rsidRPr="004C1E10" w:rsidRDefault="00E11C13" w:rsidP="004C1E10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Одна страна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65"/>
      </w:r>
      <w:r w:rsidRPr="004C1E10">
        <w:t xml:space="preserve"> заявила, что в случае необходимости он</w:t>
      </w:r>
      <w:r w:rsidR="005B6577" w:rsidRPr="004C1E10">
        <w:t>а</w:t>
      </w:r>
      <w:r w:rsidRPr="004C1E10">
        <w:t xml:space="preserve"> готовы к сотрудничеству, а ряд других стран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66"/>
      </w:r>
      <w:r w:rsidRPr="004C1E10">
        <w:t xml:space="preserve"> пояснили, что они планируют включить этот аспект в свои меры по ДГРСИВ. В этой связи одна страна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67"/>
      </w:r>
      <w:r w:rsidRPr="004C1E10">
        <w:t xml:space="preserve"> пояснила, что осуществление статьи 11.2 Протокола будет осуществляться в соответствии с Руководящими принципами Африканского союза по скоординированному осуществлению Нагойского протокола. Еще одна страна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68"/>
      </w:r>
      <w:r w:rsidRPr="004C1E10">
        <w:t xml:space="preserve"> дополнительно определила региональную стратегию ДГРСИВ для КОМИФАК и Договор об учреждении Восточноафриканского сообщества в качестве соответствующих рамок для рассмотрения этого вопроса.</w:t>
      </w:r>
    </w:p>
    <w:p w:rsidR="00E11C13" w:rsidRPr="004C1E10" w:rsidRDefault="00E11C1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Две страны</w:t>
      </w:r>
      <w:r w:rsidRPr="004C1E10">
        <w:rPr>
          <w:rStyle w:val="FootnoteReference"/>
          <w:rFonts w:eastAsia="Calibri"/>
          <w:kern w:val="22"/>
          <w:sz w:val="22"/>
          <w:szCs w:val="22"/>
        </w:rPr>
        <w:footnoteReference w:id="69"/>
      </w:r>
      <w:r w:rsidRPr="004C1E10">
        <w:t xml:space="preserve"> отметили, что ситуация еще не представилась, а две другие страны</w:t>
      </w:r>
      <w:r w:rsidR="00BF0242" w:rsidRPr="004C1E10">
        <w:rPr>
          <w:vertAlign w:val="superscript"/>
        </w:rPr>
        <w:footnoteReference w:id="70"/>
      </w:r>
      <w:r w:rsidRPr="004C1E10">
        <w:t xml:space="preserve"> сообщили, что они уже сотрудничают по данному направлению. </w:t>
      </w:r>
    </w:p>
    <w:p w:rsidR="00E11C13" w:rsidRPr="004C1E10" w:rsidRDefault="00E11C13" w:rsidP="00D35D9A">
      <w:pPr>
        <w:pStyle w:val="Heading3"/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hanging="720"/>
        <w:rPr>
          <w:bCs/>
          <w:iCs w:val="0"/>
          <w:snapToGrid w:val="0"/>
          <w:kern w:val="22"/>
          <w:szCs w:val="22"/>
        </w:rPr>
      </w:pPr>
      <w:r w:rsidRPr="004C1E10">
        <w:rPr>
          <w:bCs/>
          <w:iCs w:val="0"/>
          <w:snapToGrid w:val="0"/>
          <w:szCs w:val="22"/>
        </w:rPr>
        <w:t xml:space="preserve">Дополнительная информация: краткое изложение основных трудностей и проблем </w:t>
      </w:r>
      <w:r w:rsidR="00EF41CA" w:rsidRPr="004C1E10">
        <w:rPr>
          <w:bCs/>
          <w:iCs w:val="0"/>
          <w:snapToGrid w:val="0"/>
          <w:szCs w:val="22"/>
        </w:rPr>
        <w:br/>
      </w:r>
      <w:r w:rsidRPr="004C1E10">
        <w:rPr>
          <w:bCs/>
          <w:iCs w:val="0"/>
          <w:snapToGrid w:val="0"/>
          <w:szCs w:val="22"/>
        </w:rPr>
        <w:t>(вопрос 50)</w:t>
      </w:r>
    </w:p>
    <w:p w:rsidR="00E11C13" w:rsidRPr="004C1E10" w:rsidRDefault="00300CE2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В целом на данный вопрос ответила 21 страна. В дополнение к сквозным трудностям, выявленным в связи с осуществлением различных аспектов Протокола (например, отсутствие потенциала и финансовых ресурсов, необходимость повышения </w:t>
      </w:r>
      <w:r w:rsidR="007F2B1E" w:rsidRPr="004C1E10">
        <w:t xml:space="preserve">уровня </w:t>
      </w:r>
      <w:r w:rsidRPr="004C1E10">
        <w:t xml:space="preserve">осведомленности и т. д.), некоторые страны отметили, что реализация этой статьи сопряжена с трудностями, поскольку страны осуществляют Протокол в различных темпах и используют различные подходы в своем </w:t>
      </w:r>
      <w:r w:rsidRPr="004C1E10">
        <w:lastRenderedPageBreak/>
        <w:t>законодательстве, а некоторые респонденты отметили, что многие страны еще не ратифицировали Протокол.</w:t>
      </w:r>
    </w:p>
    <w:p w:rsidR="00E11C13" w:rsidRPr="004C1E10" w:rsidRDefault="00E11C1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Ряд стран отметили, что потребуется укрепить потенциал региональных структур с целью </w:t>
      </w:r>
      <w:r w:rsidR="00EF41CA" w:rsidRPr="004C1E10">
        <w:t>предоставления возможности</w:t>
      </w:r>
      <w:r w:rsidRPr="004C1E10">
        <w:t xml:space="preserve"> координировать реализацию Протокола. В этой связи одна страна указала, что региональная политика ДГРСИВ не была в полной мере реализована на национальном уровне. Ряд стран отметили необходимость в финансовых ресурсах для поддержки трансграничного сотрудничества.</w:t>
      </w:r>
    </w:p>
    <w:p w:rsidR="00E11C13" w:rsidRPr="004C1E10" w:rsidRDefault="00E11C1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Некоторые страны указали, что еще не было выявлено ни одного случая доступа к генетическим ресурсам или соответствующим традиционным знаниям, находящимся на территории более чем одной страны, и что необходимо накопить больше опыта по этому вопросу. Была подчеркнута важность обмена информацией и опытом. По мнению одной страны, опыт, накопленный в рамках другого субрегионального и двустороннего проекта, может иметь важное значение для оказания содействия в осуществлении статьи 11 Нагойского протокола.</w:t>
      </w:r>
    </w:p>
    <w:p w:rsidR="00E11C13" w:rsidRPr="004C1E10" w:rsidRDefault="00E11C1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Ряд стран также упомянули о необходимости выявления и документирования общих традиционных знаний, а одна страна указала, что соответствующие традиционные знания уже частично документированы или широко распространены.</w:t>
      </w:r>
    </w:p>
    <w:p w:rsidR="001F2CA6" w:rsidRPr="004C1E10" w:rsidRDefault="0041742C" w:rsidP="007F2B1E">
      <w:pPr>
        <w:pStyle w:val="Heading1"/>
        <w:numPr>
          <w:ilvl w:val="0"/>
          <w:numId w:val="7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282"/>
        <w:jc w:val="both"/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</w:pPr>
      <w:r w:rsidRPr="004C1E10">
        <w:rPr>
          <w:rFonts w:ascii="Times New Roman Bold" w:hAnsi="Times New Roman Bold"/>
          <w:caps w:val="0"/>
          <w:snapToGrid w:val="0"/>
          <w:szCs w:val="22"/>
        </w:rPr>
        <w:t>ИНФОРМАЦИЯ О СИТУАЦИЯХ, ПРИ КОТОРЫХ НЕВОЗМОЖНО ПРЕДОСТАВИТЬ ИЛИ ПОЛУЧИТЬ ПРЕДВАРИТЕЛЬНОЕ ОБОСНОВАННОЕ СОГЛАСИЕ</w:t>
      </w:r>
    </w:p>
    <w:p w:rsidR="009266C4" w:rsidRPr="004C1E10" w:rsidRDefault="00E31D1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соответствии с пунктом 4 решения NP-2/10 в ряде материалов были представлены мнения и информация о ситуациях, при которых невозможно предоставить или получить предварительное обоснованное согласие.</w:t>
      </w:r>
    </w:p>
    <w:p w:rsidR="00FB5224" w:rsidRPr="004C1E10" w:rsidRDefault="00215AE7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четырех представлениях</w:t>
      </w:r>
      <w:r w:rsidR="009266C4" w:rsidRPr="004C1E10">
        <w:rPr>
          <w:rStyle w:val="FootnoteReference"/>
          <w:kern w:val="22"/>
          <w:sz w:val="22"/>
          <w:szCs w:val="22"/>
        </w:rPr>
        <w:footnoteReference w:id="71"/>
      </w:r>
      <w:r w:rsidRPr="004C1E10">
        <w:t xml:space="preserve"> было указано, что они не выявили ситуаций, в которых невозможно было предоставить или получить предварительное обоснованное согласие. В одном из них</w:t>
      </w:r>
      <w:r w:rsidR="009266C4" w:rsidRPr="004C1E10">
        <w:rPr>
          <w:rStyle w:val="FootnoteReference"/>
          <w:kern w:val="22"/>
          <w:sz w:val="22"/>
          <w:szCs w:val="22"/>
        </w:rPr>
        <w:footnoteReference w:id="72"/>
      </w:r>
      <w:r w:rsidRPr="004C1E10">
        <w:t xml:space="preserve"> признавалось, что с получением предварительного обоснованного согласия могут возникнуть практические сложности в связи с проблемами, касающимися осуществления Протокола на национальном уровне, однако по мнению страны, это имеет отношение к статье 10. Одна Сторона</w:t>
      </w:r>
      <w:r w:rsidR="009266C4" w:rsidRPr="004C1E10">
        <w:rPr>
          <w:rStyle w:val="FootnoteReference"/>
          <w:kern w:val="22"/>
          <w:sz w:val="22"/>
          <w:szCs w:val="22"/>
        </w:rPr>
        <w:footnoteReference w:id="73"/>
      </w:r>
      <w:r w:rsidRPr="004C1E10">
        <w:t xml:space="preserve"> представила пример своих Руководящих указаний за 2014 год по регулированию доступа к биологическим ресурсам и связанным с ними знаниям и совместное использование выгод, которые были приняты в рамках Закон</w:t>
      </w:r>
      <w:r w:rsidR="00EF41CA" w:rsidRPr="004C1E10">
        <w:t>а</w:t>
      </w:r>
      <w:r w:rsidRPr="004C1E10">
        <w:t xml:space="preserve"> о биологическом разнообразии. В этих Руководящих указаниях предусматривается, что в случаях, когда бенефициары не определены, получаемые от коммерческого применения денежные выгоды будут использоваться для поддержки сохранения и устойчивого использования биоразнообразия и для содействия обеспечению средств к существованию местного населения, проживающего в районе, где был</w:t>
      </w:r>
      <w:r w:rsidR="007F2B1E" w:rsidRPr="004C1E10">
        <w:t>и</w:t>
      </w:r>
      <w:r w:rsidRPr="004C1E10">
        <w:t xml:space="preserve"> получены биологические ресурсы.</w:t>
      </w:r>
    </w:p>
    <w:p w:rsidR="00215AE7" w:rsidRPr="004C1E10" w:rsidRDefault="00215AE7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Другая Сторона</w:t>
      </w:r>
      <w:r w:rsidRPr="004C1E10">
        <w:rPr>
          <w:rStyle w:val="FootnoteReference"/>
          <w:kern w:val="22"/>
          <w:sz w:val="22"/>
          <w:szCs w:val="22"/>
        </w:rPr>
        <w:footnoteReference w:id="74"/>
      </w:r>
      <w:r w:rsidRPr="004C1E10">
        <w:t xml:space="preserve"> предложила некоторые гипотетические ситуации, в которых невозможно предоставить или получить предварительное обоснованное согласие: a) если доступ запрашивается для генетического ресурса </w:t>
      </w:r>
      <w:r w:rsidRPr="004C1E10">
        <w:rPr>
          <w:i/>
          <w:iCs/>
          <w:szCs w:val="22"/>
        </w:rPr>
        <w:t>ex</w:t>
      </w:r>
      <w:r w:rsidR="004C1E10">
        <w:rPr>
          <w:i/>
          <w:iCs/>
          <w:szCs w:val="22"/>
        </w:rPr>
        <w:t>-</w:t>
      </w:r>
      <w:r w:rsidRPr="004C1E10">
        <w:rPr>
          <w:i/>
          <w:iCs/>
          <w:szCs w:val="22"/>
        </w:rPr>
        <w:t>situ</w:t>
      </w:r>
      <w:r w:rsidRPr="004C1E10">
        <w:t xml:space="preserve"> и в результате на дату депо</w:t>
      </w:r>
      <w:r w:rsidR="007F2B1E" w:rsidRPr="004C1E10">
        <w:t xml:space="preserve">нирования </w:t>
      </w:r>
      <w:r w:rsidRPr="004C1E10">
        <w:t>отсутствует точная информация о стране происхождения генетического ресурса; b) если доступ к традиционным знаниям связан с генетическими ресурсами, но первоначальными носителями таких знаний являются исчезнувшие коренные народы или местные общины; c) если требуется доступ к очищенной ДНК/РНК, которой обладает Сторона, у которой нет точной документации о происхождении указанного генетического материала.</w:t>
      </w:r>
    </w:p>
    <w:p w:rsidR="00FB5224" w:rsidRPr="004C1E10" w:rsidRDefault="009266C4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lastRenderedPageBreak/>
        <w:t xml:space="preserve">Ряд исследовательских организаций и фондов </w:t>
      </w:r>
      <w:r w:rsidRPr="004C1E10">
        <w:rPr>
          <w:i/>
          <w:iCs/>
          <w:szCs w:val="22"/>
        </w:rPr>
        <w:t xml:space="preserve">ex-situ </w:t>
      </w:r>
      <w:r w:rsidRPr="004C1E10">
        <w:t>представили</w:t>
      </w:r>
      <w:r w:rsidR="00BF0242" w:rsidRPr="004C1E10">
        <w:t xml:space="preserve"> </w:t>
      </w:r>
      <w:r w:rsidRPr="004C1E10">
        <w:t>информацию об опыте получения предварительного обоснованного согласия. Некоторые примеры этого опыта включают в себя:</w:t>
      </w:r>
    </w:p>
    <w:p w:rsidR="007C1FA1" w:rsidRPr="004C1E10" w:rsidRDefault="0083626C" w:rsidP="00D35D9A">
      <w:pPr>
        <w:pStyle w:val="Para1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09"/>
        <w:rPr>
          <w:kern w:val="22"/>
          <w:szCs w:val="22"/>
        </w:rPr>
      </w:pPr>
      <w:r w:rsidRPr="004C1E10">
        <w:t>п</w:t>
      </w:r>
      <w:r w:rsidR="007C1FA1" w:rsidRPr="004C1E10">
        <w:t xml:space="preserve">роблемы получения предварительного обоснованного согласия и необходимых разрешений из-за отсутствия мер и/или институциональных механизмов в некоторых странах; отсутствие ответов или длительные задержки с получением ответов от национальных координационных центров; процедуры получения предварительного обоснованного согласия носят бюрократический характер и </w:t>
      </w:r>
      <w:r w:rsidRPr="004C1E10">
        <w:t>занимают</w:t>
      </w:r>
      <w:r w:rsidR="007C1FA1" w:rsidRPr="004C1E10">
        <w:t xml:space="preserve"> нескольк</w:t>
      </w:r>
      <w:r w:rsidRPr="004C1E10">
        <w:t>о</w:t>
      </w:r>
      <w:r w:rsidR="007C1FA1" w:rsidRPr="004C1E10">
        <w:t xml:space="preserve"> месяцев</w:t>
      </w:r>
      <w:r w:rsidR="00457EF1" w:rsidRPr="004C1E10">
        <w:rPr>
          <w:rStyle w:val="FootnoteReference"/>
          <w:kern w:val="22"/>
          <w:sz w:val="22"/>
          <w:szCs w:val="22"/>
        </w:rPr>
        <w:footnoteReference w:id="75"/>
      </w:r>
      <w:r w:rsidR="007C1FA1" w:rsidRPr="004C1E10">
        <w:t>;</w:t>
      </w:r>
    </w:p>
    <w:p w:rsidR="00457EF1" w:rsidRPr="004C1E10" w:rsidRDefault="0083626C" w:rsidP="00D35D9A">
      <w:pPr>
        <w:pStyle w:val="Para1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09"/>
        <w:rPr>
          <w:kern w:val="22"/>
          <w:szCs w:val="22"/>
        </w:rPr>
      </w:pPr>
      <w:r w:rsidRPr="004C1E10">
        <w:t>р</w:t>
      </w:r>
      <w:r w:rsidR="00457EF1" w:rsidRPr="004C1E10">
        <w:t>абота с местными партнерами в целом способствовала процессам получения предварительного обоснованного согласия</w:t>
      </w:r>
      <w:r w:rsidR="00FF7DB9" w:rsidRPr="004C1E10">
        <w:rPr>
          <w:rStyle w:val="FootnoteReference"/>
          <w:kern w:val="22"/>
          <w:sz w:val="22"/>
          <w:szCs w:val="22"/>
        </w:rPr>
        <w:footnoteReference w:id="76"/>
      </w:r>
      <w:r w:rsidR="00457EF1" w:rsidRPr="004C1E10">
        <w:t>;</w:t>
      </w:r>
    </w:p>
    <w:p w:rsidR="00457EF1" w:rsidRPr="004C1E10" w:rsidRDefault="0083626C" w:rsidP="00D35D9A">
      <w:pPr>
        <w:pStyle w:val="Para1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09"/>
        <w:rPr>
          <w:kern w:val="22"/>
          <w:szCs w:val="22"/>
        </w:rPr>
      </w:pPr>
      <w:r w:rsidRPr="004C1E10">
        <w:t>н</w:t>
      </w:r>
      <w:r w:rsidR="00457EF1" w:rsidRPr="004C1E10">
        <w:t>еобходимость идентификации образцов, страна происхождения которых неизвестна</w:t>
      </w:r>
      <w:r w:rsidR="00FF7DB9" w:rsidRPr="004C1E10">
        <w:rPr>
          <w:rStyle w:val="FootnoteReference"/>
          <w:kern w:val="22"/>
          <w:sz w:val="22"/>
          <w:szCs w:val="22"/>
        </w:rPr>
        <w:footnoteReference w:id="77"/>
      </w:r>
      <w:r w:rsidR="00457EF1" w:rsidRPr="004C1E10">
        <w:t>;</w:t>
      </w:r>
    </w:p>
    <w:p w:rsidR="00457EF1" w:rsidRPr="004C1E10" w:rsidRDefault="0083626C" w:rsidP="00D35D9A">
      <w:pPr>
        <w:pStyle w:val="Para1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09"/>
        <w:rPr>
          <w:kern w:val="22"/>
          <w:szCs w:val="22"/>
        </w:rPr>
      </w:pPr>
      <w:r w:rsidRPr="004C1E10">
        <w:t>т</w:t>
      </w:r>
      <w:r w:rsidR="00457EF1" w:rsidRPr="004C1E10">
        <w:t>рудности объяснения документов местным жителям при проведении полевых работ с генетическими ресурсами и связанными с ними традиционными знаниями</w:t>
      </w:r>
      <w:r w:rsidR="00FF7DB9" w:rsidRPr="004C1E10">
        <w:rPr>
          <w:rStyle w:val="FootnoteReference"/>
          <w:kern w:val="22"/>
          <w:sz w:val="22"/>
          <w:szCs w:val="22"/>
        </w:rPr>
        <w:footnoteReference w:id="78"/>
      </w:r>
      <w:r w:rsidR="00457EF1" w:rsidRPr="004C1E10">
        <w:t>.</w:t>
      </w:r>
    </w:p>
    <w:p w:rsidR="00FF7DB9" w:rsidRPr="004C1E10" w:rsidRDefault="00FF7DB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некоторых материалах также содержится информация о предварительном обоснованном согласии и их коллекциях, в том числе:</w:t>
      </w:r>
    </w:p>
    <w:p w:rsidR="001D3DB1" w:rsidRPr="004C1E10" w:rsidRDefault="001D3DB1" w:rsidP="00D35D9A">
      <w:pPr>
        <w:pStyle w:val="Para1"/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09"/>
        <w:rPr>
          <w:kern w:val="22"/>
          <w:szCs w:val="22"/>
        </w:rPr>
      </w:pPr>
      <w:r w:rsidRPr="004C1E10">
        <w:t>Одна микробная коллекция</w:t>
      </w:r>
      <w:r w:rsidRPr="004C1E10">
        <w:rPr>
          <w:rStyle w:val="FootnoteReference"/>
          <w:kern w:val="22"/>
          <w:sz w:val="22"/>
          <w:szCs w:val="22"/>
        </w:rPr>
        <w:footnoteReference w:id="79"/>
      </w:r>
      <w:r w:rsidRPr="004C1E10">
        <w:t xml:space="preserve"> описала действия по получению предварительного обоснованного согласия с целью депонирования в коллекцию новых бактериальных видов. На сегодняшний день не было получено действительного предварительного обоснованного согласия от депозитария и, как следствие депонирование многих видов было отклонено;</w:t>
      </w:r>
    </w:p>
    <w:p w:rsidR="00FC48D1" w:rsidRPr="004C1E10" w:rsidRDefault="00FC48D1" w:rsidP="00D35D9A">
      <w:pPr>
        <w:pStyle w:val="Para1"/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09"/>
        <w:rPr>
          <w:kern w:val="22"/>
          <w:szCs w:val="22"/>
        </w:rPr>
      </w:pPr>
      <w:r w:rsidRPr="004C1E10">
        <w:t>Другая коллекция</w:t>
      </w:r>
      <w:r w:rsidR="00957556" w:rsidRPr="004C1E10">
        <w:rPr>
          <w:rStyle w:val="FootnoteReference"/>
          <w:kern w:val="22"/>
          <w:sz w:val="22"/>
          <w:szCs w:val="22"/>
        </w:rPr>
        <w:footnoteReference w:id="80"/>
      </w:r>
      <w:r w:rsidRPr="004C1E10">
        <w:t xml:space="preserve"> пояснила, каким образом различать две категории образцов в коллекции:</w:t>
      </w:r>
    </w:p>
    <w:p w:rsidR="00FC48D1" w:rsidRPr="004C1E10" w:rsidRDefault="00FC48D1" w:rsidP="00D35D9A">
      <w:pPr>
        <w:pStyle w:val="Para1"/>
        <w:numPr>
          <w:ilvl w:val="1"/>
          <w:numId w:val="2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hanging="630"/>
        <w:rPr>
          <w:kern w:val="22"/>
          <w:szCs w:val="22"/>
        </w:rPr>
      </w:pPr>
      <w:r w:rsidRPr="004C1E10">
        <w:t xml:space="preserve">Первая категория </w:t>
      </w:r>
      <w:r w:rsidR="00BF0242" w:rsidRPr="004C1E10">
        <w:t>–</w:t>
      </w:r>
      <w:r w:rsidRPr="004C1E10">
        <w:t xml:space="preserve"> это</w:t>
      </w:r>
      <w:r w:rsidR="00BF0242" w:rsidRPr="004C1E10">
        <w:t xml:space="preserve"> </w:t>
      </w:r>
      <w:r w:rsidRPr="004C1E10">
        <w:t>собранные недавно образцы из страны происхождения, которая ратифицировала Протокол. Их ДНК извлекается только при получении предварительного обоснованного согласия;</w:t>
      </w:r>
    </w:p>
    <w:p w:rsidR="00FB5224" w:rsidRPr="004C1E10" w:rsidRDefault="00FC48D1" w:rsidP="00D35D9A">
      <w:pPr>
        <w:pStyle w:val="Para1"/>
        <w:numPr>
          <w:ilvl w:val="1"/>
          <w:numId w:val="2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hanging="630"/>
        <w:rPr>
          <w:kern w:val="22"/>
          <w:szCs w:val="22"/>
        </w:rPr>
      </w:pPr>
      <w:r w:rsidRPr="004C1E10">
        <w:t xml:space="preserve">Вторая категория </w:t>
      </w:r>
      <w:r w:rsidR="00BF0242" w:rsidRPr="004C1E10">
        <w:t>–</w:t>
      </w:r>
      <w:r w:rsidRPr="004C1E10">
        <w:t xml:space="preserve"> это</w:t>
      </w:r>
      <w:r w:rsidR="00BF0242" w:rsidRPr="004C1E10">
        <w:t xml:space="preserve"> </w:t>
      </w:r>
      <w:r w:rsidRPr="004C1E10">
        <w:t>образцы из страны происхождения, которая не ратифицировала Протокол в момент их добавления в коллекцию, или образцы были добавлены в коллекцию до вступления в силу Нагойского протокола в Германии. В отношении этих образцов нет необходимости в получении каких-либо разрешений</w:t>
      </w:r>
      <w:r w:rsidR="004C1E10">
        <w:t>,</w:t>
      </w:r>
      <w:r w:rsidRPr="004C1E10">
        <w:t xml:space="preserve"> и ДНК может извлекаться.</w:t>
      </w:r>
    </w:p>
    <w:p w:rsidR="00957556" w:rsidRPr="004C1E10" w:rsidRDefault="00957556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еще одних материалах</w:t>
      </w:r>
      <w:r w:rsidRPr="004C1E10">
        <w:rPr>
          <w:rStyle w:val="FootnoteReference"/>
          <w:kern w:val="22"/>
          <w:sz w:val="22"/>
          <w:szCs w:val="22"/>
        </w:rPr>
        <w:footnoteReference w:id="81"/>
      </w:r>
      <w:r w:rsidRPr="004C1E10">
        <w:t xml:space="preserve"> представлена информация сообщества коллекций культур. В них указывается, что невозможно предоставить или получить предварительное обоснованное согласие при отсутствии документации о дате или месте сбора проб или при наличии единственной информации о том, что образец депонирован до вступления в силу Протокола. Сообщество поясняет, что их кодекс поведения включает «процедуру регуляризации», которая позволяет коллекциям культур принимать такие материалы при поддержке связи с соответствующим компетентным органом.</w:t>
      </w:r>
    </w:p>
    <w:p w:rsidR="000E646E" w:rsidRPr="004C1E10" w:rsidRDefault="00783324" w:rsidP="00D35D9A">
      <w:pPr>
        <w:pStyle w:val="Heading1"/>
        <w:numPr>
          <w:ilvl w:val="0"/>
          <w:numId w:val="7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jc w:val="left"/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</w:pPr>
      <w:r w:rsidRPr="004C1E10">
        <w:rPr>
          <w:rFonts w:ascii="Times New Roman Bold" w:hAnsi="Times New Roman Bold"/>
          <w:caps w:val="0"/>
          <w:snapToGrid w:val="0"/>
          <w:szCs w:val="22"/>
        </w:rPr>
        <w:lastRenderedPageBreak/>
        <w:t>ИНФОРМАЦИЯ О НАЧИНАНИЯХ В РАМКАХ СООТВЕТСТВУЮЩИХ МЕЖДУНАРОДНЫХ ПРОЦЕССОВ</w:t>
      </w:r>
    </w:p>
    <w:p w:rsidR="00A62143" w:rsidRPr="004C1E10" w:rsidRDefault="005A318B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соответствии с пунктом 6 b) решения NP-2/10 в данном разделе представлена информация о начинаниях в рамках соответствующих международных процессов и организаций для обеспечения информационной поддержки будущих дискуссий по статье 10. В этом разделе содержится информация о последних начинаниях в рамках других многосторонних механизмов, подготовленная Исполнительным секретарем или полученная из представленных материалов. Дополнительную информацию можно найти в документе «Исследование опыта, накопленного в процессе разработки и осуществления Нагойского протокола и других многосторонних механизмов, и потенциальной значимости текущей работы, проводимой в рамках других процессов, включая тематические исследования», которая была подготовлена по поручению Исполнительного секретаря в соответствии с решением NP-1/10 и рассмотрена на совещании группы экспертов по осуществлению статьи 10 в 2016 году</w:t>
      </w:r>
      <w:r w:rsidR="00E13252" w:rsidRPr="004C1E10">
        <w:rPr>
          <w:rStyle w:val="FootnoteReference"/>
          <w:kern w:val="22"/>
          <w:sz w:val="22"/>
          <w:szCs w:val="22"/>
        </w:rPr>
        <w:footnoteReference w:id="82"/>
      </w:r>
      <w:r w:rsidRPr="004C1E10">
        <w:t>.</w:t>
      </w:r>
    </w:p>
    <w:p w:rsidR="00FB5224" w:rsidRPr="004C1E10" w:rsidRDefault="00FB5224" w:rsidP="0083626C">
      <w:pPr>
        <w:pStyle w:val="Heading2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22"/>
          <w:szCs w:val="22"/>
        </w:rPr>
      </w:pPr>
      <w:r w:rsidRPr="004C1E10">
        <w:rPr>
          <w:snapToGrid w:val="0"/>
          <w:kern w:val="22"/>
          <w:szCs w:val="22"/>
        </w:rPr>
        <w:t>Международный договор о растительных генетических ресурсах для производства продовольствия и ведения сельского хозяйства</w:t>
      </w:r>
    </w:p>
    <w:p w:rsidR="00AE37E9" w:rsidRPr="004C1E10" w:rsidRDefault="00574687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В декабре 2017 года секретариат Международного договора о растительных генетических ресурсах для производства продовольствия и ведения сельского хозяйства </w:t>
      </w:r>
      <w:r w:rsidR="00797BB4" w:rsidRPr="004C1E10">
        <w:t xml:space="preserve">объявил о начале </w:t>
      </w:r>
      <w:r w:rsidRPr="004C1E10">
        <w:t>проведени</w:t>
      </w:r>
      <w:r w:rsidR="00797BB4" w:rsidRPr="004C1E10">
        <w:t>я</w:t>
      </w:r>
      <w:r w:rsidRPr="004C1E10">
        <w:t xml:space="preserve"> четверто</w:t>
      </w:r>
      <w:r w:rsidR="00797BB4" w:rsidRPr="004C1E10">
        <w:t xml:space="preserve">го конкурса проектов </w:t>
      </w:r>
      <w:r w:rsidRPr="004C1E10">
        <w:t xml:space="preserve">Фонда </w:t>
      </w:r>
      <w:r w:rsidR="00EF41CA" w:rsidRPr="004C1E10">
        <w:t>совместного использования выгод</w:t>
      </w:r>
      <w:r w:rsidRPr="004C1E10">
        <w:t xml:space="preserve">. Цель </w:t>
      </w:r>
      <w:r w:rsidR="00797BB4" w:rsidRPr="004C1E10">
        <w:t>четвертого конкурса проектов</w:t>
      </w:r>
      <w:r w:rsidRPr="004C1E10">
        <w:t xml:space="preserve"> заключается в том, чтобы «позволить фермерам во всем мире использовать и сохранять адаптированные сорта</w:t>
      </w:r>
      <w:r w:rsidR="00D95320" w:rsidRPr="004C1E10">
        <w:t xml:space="preserve"> для</w:t>
      </w:r>
      <w:r w:rsidRPr="004C1E10">
        <w:t xml:space="preserve"> повышени</w:t>
      </w:r>
      <w:r w:rsidR="00D95320" w:rsidRPr="004C1E10">
        <w:t>я</w:t>
      </w:r>
      <w:r w:rsidRPr="004C1E10">
        <w:t xml:space="preserve"> производительности и доходов на фермах, увеличению доступности богатых питательными веществами продуктов питания, снижению неблагоприятного воздействия на окружающую среду и повышению устойчивости к сбоям в производстве»</w:t>
      </w:r>
      <w:r w:rsidR="00AE37E9" w:rsidRPr="004C1E10">
        <w:rPr>
          <w:rStyle w:val="FootnoteReference"/>
          <w:kern w:val="22"/>
          <w:sz w:val="22"/>
          <w:szCs w:val="22"/>
        </w:rPr>
        <w:footnoteReference w:id="83"/>
      </w:r>
      <w:r w:rsidRPr="004C1E10">
        <w:t xml:space="preserve">. Ожидается, что в рамках </w:t>
      </w:r>
      <w:r w:rsidR="00797BB4" w:rsidRPr="004C1E10">
        <w:t xml:space="preserve">четвертого конкурса </w:t>
      </w:r>
      <w:r w:rsidRPr="004C1E10">
        <w:t>в проекты будет инвестировано более 5 млн долл. США. На сегодняшний день Фонд совместного использования выгод поддерживается за счет добровольных взносов, поскольку коммерческие выгоды, связанные с использованием генетических ресурсов растений в Многосторонней системе доступа и совместного использования выгод, еще не получены.</w:t>
      </w:r>
    </w:p>
    <w:p w:rsidR="00AE37E9" w:rsidRPr="004C1E10" w:rsidRDefault="00AE37E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Дискуссии о расширении функционирования Многосторонней системы доступа к генетическим ресурсам и совместного использования выгод в рамках Договора продолжаются с 2013 года, когда Управляющий орган Договора учредил Специальную рабочую группу открытого состава по активизации функционирования Многосторонней системы доступа и совместного использования выгод («Рабочая группа») с целью разработки мер, направленных на:</w:t>
      </w:r>
    </w:p>
    <w:p w:rsidR="00AE37E9" w:rsidRPr="004C1E10" w:rsidRDefault="00AE37E9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расширение пользовательских платежей и взносов в Фонд совместного использования выгод на устойчивой и предсказуемой долгосрочной основе;</w:t>
      </w:r>
    </w:p>
    <w:p w:rsidR="00AE37E9" w:rsidRPr="004C1E10" w:rsidRDefault="00AE37E9" w:rsidP="00D35D9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укрепление функционирования Многосторонней системы путем принятия дополнительных мер</w:t>
      </w:r>
      <w:r w:rsidRPr="004C1E10">
        <w:rPr>
          <w:rStyle w:val="FootnoteReference"/>
          <w:kern w:val="22"/>
          <w:sz w:val="22"/>
          <w:szCs w:val="22"/>
        </w:rPr>
        <w:footnoteReference w:id="84"/>
      </w:r>
      <w:r w:rsidRPr="004C1E10">
        <w:t>.</w:t>
      </w:r>
    </w:p>
    <w:p w:rsidR="00AE37E9" w:rsidRPr="004C1E10" w:rsidRDefault="00AE37E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С этой целью Рабочая группа рассмотрела изменения в стандартном соглашении о передаче материала, а также возможные изменения в сфере охвата Многосторонней системы.</w:t>
      </w:r>
    </w:p>
    <w:p w:rsidR="000E646E" w:rsidRPr="004C1E10" w:rsidRDefault="00AE37E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На своей седьмой сессии Управляющий орган Договора продлил мандат Рабочей группы (резолюция 2/2017). В межсессионный период запланированы два совещания Рабочей группы: одно </w:t>
      </w:r>
      <w:r w:rsidR="00EF41CA" w:rsidRPr="004C1E10">
        <w:t>–</w:t>
      </w:r>
      <w:r w:rsidRPr="004C1E10">
        <w:t xml:space="preserve"> в</w:t>
      </w:r>
      <w:r w:rsidR="00EF41CA" w:rsidRPr="004C1E10">
        <w:t xml:space="preserve"> </w:t>
      </w:r>
      <w:r w:rsidRPr="004C1E10">
        <w:t xml:space="preserve">октябре 2018 года и одно </w:t>
      </w:r>
      <w:r w:rsidR="00EF41CA" w:rsidRPr="004C1E10">
        <w:t>–</w:t>
      </w:r>
      <w:r w:rsidRPr="004C1E10">
        <w:t xml:space="preserve"> в</w:t>
      </w:r>
      <w:r w:rsidR="00EF41CA" w:rsidRPr="004C1E10">
        <w:t xml:space="preserve"> </w:t>
      </w:r>
      <w:r w:rsidRPr="004C1E10">
        <w:t>первом квартале 2019 года.</w:t>
      </w:r>
    </w:p>
    <w:p w:rsidR="00FB5224" w:rsidRPr="004C1E10" w:rsidRDefault="00FB5224" w:rsidP="00D35D9A">
      <w:pPr>
        <w:pStyle w:val="Heading2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hanging="432"/>
        <w:jc w:val="left"/>
        <w:rPr>
          <w:snapToGrid w:val="0"/>
          <w:kern w:val="22"/>
          <w:szCs w:val="22"/>
        </w:rPr>
      </w:pPr>
      <w:r w:rsidRPr="004C1E10">
        <w:rPr>
          <w:snapToGrid w:val="0"/>
          <w:kern w:val="22"/>
          <w:szCs w:val="22"/>
        </w:rPr>
        <w:t xml:space="preserve">Генеральная Ассамблея Организации Объединенных Наций - Международный юридически обязательный документ о сохранении и устойчивом использовании морского биологического разнообразия в районах за пределами действия </w:t>
      </w:r>
      <w:r w:rsidRPr="004C1E10">
        <w:rPr>
          <w:snapToGrid w:val="0"/>
          <w:kern w:val="22"/>
          <w:szCs w:val="22"/>
        </w:rPr>
        <w:lastRenderedPageBreak/>
        <w:t xml:space="preserve">национальной юрисдикции на базе Конвенции Организации Объединенных Наций по морскому праву </w:t>
      </w:r>
    </w:p>
    <w:p w:rsidR="00FB5224" w:rsidRPr="004C1E10" w:rsidRDefault="00FB5224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своей резолюции 69/292 Генеральная Ассамблея постановила разработать международный юридически обязательный документ о сохранении и устойчивом использовании морского биоразнообразия в районах за пределами действия национальной юрисдикции в соответствии с Конвенцией Организации Объединенных Наций по морскому праву. С этой целью Генеральная Ассамблея также постановила учредить Подготовительный комитет для разработки существенных рекомендаций Генеральной Ассамблее по элементам проекта текста международного юридически обязательного документа в соответствии с Конвенцией по морскому праву.</w:t>
      </w:r>
    </w:p>
    <w:p w:rsidR="00FB5224" w:rsidRPr="004C1E10" w:rsidRDefault="00AE37E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Подготовительный комитет завершил свою работу 21 июля 2017 года принятием своего доклада, включая рекомендации Генеральной Ассамблее по элементам проекта текста в рамках Конвенции по морскому праву </w:t>
      </w:r>
      <w:r w:rsidR="00797BB4" w:rsidRPr="004C1E10">
        <w:rPr>
          <w:kern w:val="22"/>
          <w:szCs w:val="22"/>
        </w:rPr>
        <w:t>(</w:t>
      </w:r>
      <w:hyperlink r:id="rId12" w:history="1">
        <w:r w:rsidR="00797BB4" w:rsidRPr="004C1E10">
          <w:rPr>
            <w:rStyle w:val="Hyperlink"/>
            <w:kern w:val="22"/>
            <w:szCs w:val="22"/>
          </w:rPr>
          <w:t>A/AC.287/2017/PC.4/2</w:t>
        </w:r>
      </w:hyperlink>
      <w:r w:rsidRPr="004C1E10">
        <w:t>). Вопросы, связанные с доступом к генетическим ресурсам и совместным использованием выгод от применения морских генетических ресурсов в районах, находящихся за пределами национальной юрисдикции,</w:t>
      </w:r>
      <w:r w:rsidR="00BF0242" w:rsidRPr="004C1E10">
        <w:t xml:space="preserve"> </w:t>
      </w:r>
      <w:r w:rsidRPr="004C1E10">
        <w:t xml:space="preserve">находятся в процессе рассмотрения государствами-членами, что отражено в рекомендациях Подготовительного комитета (раздел III вышеупомянутого доклада) и в различных обзорах и неофициальных документах Председателя, </w:t>
      </w:r>
      <w:r w:rsidR="002C058D" w:rsidRPr="004C1E10">
        <w:t>разработан</w:t>
      </w:r>
      <w:r w:rsidRPr="004C1E10">
        <w:t xml:space="preserve">ных в рамках </w:t>
      </w:r>
      <w:r w:rsidR="00EF41CA" w:rsidRPr="004C1E10">
        <w:t xml:space="preserve">деятельности </w:t>
      </w:r>
      <w:r w:rsidRPr="004C1E10">
        <w:t>Подготовительного комитета.</w:t>
      </w:r>
    </w:p>
    <w:p w:rsidR="00FB5224" w:rsidRPr="004C1E10" w:rsidRDefault="00FB5224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На своей 72-й сессии Генеральная Ассамблея Организации Объединенных Наций приняла резолюцию </w:t>
      </w:r>
      <w:hyperlink r:id="rId13" w:history="1">
        <w:r w:rsidR="002C058D" w:rsidRPr="004C1E10">
          <w:rPr>
            <w:rStyle w:val="Hyperlink"/>
            <w:kern w:val="22"/>
            <w:szCs w:val="22"/>
          </w:rPr>
          <w:t>72/249</w:t>
        </w:r>
      </w:hyperlink>
      <w:r w:rsidRPr="004C1E10">
        <w:t xml:space="preserve"> о международном юридически обязательном документе о сохранении и устойчивом использовании морского биологического разнообразия в районах за пределами действия национальной юрисдикции на базе Конвенции Организации Объединенных Наций по морскому праву. В этой резолюции Генеральная Ассамблея постановила созвать конференцию для подготовки текста документа в кратчайшие сроки. В ходе переговоров будут рассмотрены темы, указанные в пакете, согласованном в 2011 году, которые включают в себя вопросы о морских генетических ресурсах и о распределении выгод</w:t>
      </w:r>
      <w:r w:rsidRPr="004C1E10">
        <w:rPr>
          <w:rStyle w:val="FootnoteReference"/>
          <w:kern w:val="22"/>
          <w:sz w:val="22"/>
          <w:szCs w:val="22"/>
        </w:rPr>
        <w:footnoteReference w:id="85"/>
      </w:r>
      <w:r w:rsidRPr="004C1E10">
        <w:t xml:space="preserve">. Конференция будет созываться в течение четырех сессий по 10 рабочих дней, первая конференция состоится в сентябре 2018 года, вторая и третья </w:t>
      </w:r>
      <w:r w:rsidR="00EF41CA" w:rsidRPr="004C1E10">
        <w:t>–</w:t>
      </w:r>
      <w:r w:rsidRPr="004C1E10">
        <w:t xml:space="preserve"> в</w:t>
      </w:r>
      <w:r w:rsidR="00EF41CA" w:rsidRPr="004C1E10">
        <w:t xml:space="preserve"> </w:t>
      </w:r>
      <w:r w:rsidRPr="004C1E10">
        <w:t xml:space="preserve">2019 году, а четвертая </w:t>
      </w:r>
      <w:r w:rsidR="00EF41CA" w:rsidRPr="004C1E10">
        <w:t>–</w:t>
      </w:r>
      <w:r w:rsidRPr="004C1E10">
        <w:t xml:space="preserve"> в</w:t>
      </w:r>
      <w:r w:rsidR="00EF41CA" w:rsidRPr="004C1E10">
        <w:t xml:space="preserve"> </w:t>
      </w:r>
      <w:r w:rsidRPr="004C1E10">
        <w:t>первой половине 2020 года.</w:t>
      </w:r>
    </w:p>
    <w:p w:rsidR="00FB5224" w:rsidRPr="004C1E10" w:rsidRDefault="00FB5224" w:rsidP="00D35D9A">
      <w:pPr>
        <w:pStyle w:val="Heading2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 w:rsidRPr="004C1E10">
        <w:rPr>
          <w:snapToGrid w:val="0"/>
          <w:szCs w:val="22"/>
        </w:rPr>
        <w:t>Всемирная организация здравоохранения</w:t>
      </w:r>
    </w:p>
    <w:p w:rsidR="00AE37E9" w:rsidRPr="004C1E10" w:rsidRDefault="00AE37E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В 2011 году Всемирная ассамблея здравоохранения приняла </w:t>
      </w:r>
      <w:r w:rsidR="00797BB4" w:rsidRPr="004C1E10">
        <w:t>Механизм</w:t>
      </w:r>
      <w:r w:rsidRPr="004C1E10">
        <w:t xml:space="preserve"> обеспечени</w:t>
      </w:r>
      <w:r w:rsidR="00797BB4" w:rsidRPr="004C1E10">
        <w:t>я</w:t>
      </w:r>
      <w:r w:rsidRPr="004C1E10">
        <w:t xml:space="preserve"> готовности к пандемии гриппа</w:t>
      </w:r>
      <w:r w:rsidR="002C058D" w:rsidRPr="004C1E10">
        <w:t xml:space="preserve"> для</w:t>
      </w:r>
      <w:r w:rsidRPr="004C1E10">
        <w:t xml:space="preserve"> обмен</w:t>
      </w:r>
      <w:r w:rsidR="002C058D" w:rsidRPr="004C1E10">
        <w:t>а</w:t>
      </w:r>
      <w:r w:rsidRPr="004C1E10">
        <w:t xml:space="preserve"> вирусами гриппа и доступ</w:t>
      </w:r>
      <w:r w:rsidR="002C058D" w:rsidRPr="004C1E10">
        <w:t>а</w:t>
      </w:r>
      <w:r w:rsidRPr="004C1E10">
        <w:t xml:space="preserve"> к вакцинам и другим преимуществам («Механизм ГПГ»).</w:t>
      </w:r>
    </w:p>
    <w:p w:rsidR="00AE37E9" w:rsidRPr="004C1E10" w:rsidRDefault="00AE37E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В разделе 7.4 Механизма ГПГ рассматривается его мониторинг и обзор и в частности предусматривается, что </w:t>
      </w:r>
      <w:r w:rsidR="00797BB4" w:rsidRPr="004C1E10">
        <w:t>Механизм ГПГ</w:t>
      </w:r>
      <w:r w:rsidRPr="004C1E10">
        <w:t xml:space="preserve"> и приложения к не</w:t>
      </w:r>
      <w:r w:rsidR="00797BB4" w:rsidRPr="004C1E10">
        <w:t>му</w:t>
      </w:r>
      <w:r w:rsidRPr="004C1E10">
        <w:t xml:space="preserve"> будут рассмотрены к 2016 году с целью предложить изменения, отражающие новые обстоятельства при их наличии, Всемирной ассамблее здравоохранения в 2017 году (раздел 7.4.2). Группа по проведению обзора, созданная для </w:t>
      </w:r>
      <w:r w:rsidR="00EF41CA" w:rsidRPr="004C1E10">
        <w:t>осуществления этой деятельности</w:t>
      </w:r>
      <w:r w:rsidRPr="004C1E10">
        <w:t>, представила свой окончательный доклад Генеральному директору ВОЗ в октябре 2016 года для рассмотрения на 140-й сессии Исполнительного совета ВОЗ и на 70-й сессии Всемирной ассамблеи здравоохранения, состоявшейся в мае 2017 года.</w:t>
      </w:r>
    </w:p>
    <w:p w:rsidR="00AE37E9" w:rsidRPr="004C1E10" w:rsidRDefault="00AE37E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 xml:space="preserve">Среди прочего, в обзоре Механизма ГПГ были рассмотрены вопросы </w:t>
      </w:r>
      <w:r w:rsidR="00EF41CA" w:rsidRPr="004C1E10">
        <w:t>его</w:t>
      </w:r>
      <w:r w:rsidRPr="004C1E10">
        <w:t xml:space="preserve"> расширения на сезонный грипп и данные генетической последовательности.</w:t>
      </w:r>
    </w:p>
    <w:p w:rsidR="00AE37E9" w:rsidRPr="004C1E10" w:rsidRDefault="00AE37E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lastRenderedPageBreak/>
        <w:t>После рассмотрения доклада 70-я сессия Всемирной ассамблеи здравоохранения приняла решение WHA70 (10). Это решение включало предложение Генеральному директору в отношении рекомендаций Группы по проведению обзора, касающихся данных о сезонном гриппе и генетической последовательности, провести тщательн</w:t>
      </w:r>
      <w:r w:rsidR="002C058D" w:rsidRPr="004C1E10">
        <w:t>ый</w:t>
      </w:r>
      <w:r w:rsidRPr="004C1E10">
        <w:t xml:space="preserve"> и вдумчивый анализ возникших вопросов, включая последствия</w:t>
      </w:r>
      <w:r w:rsidR="00BF0242" w:rsidRPr="004C1E10">
        <w:t xml:space="preserve"> </w:t>
      </w:r>
      <w:r w:rsidRPr="004C1E10">
        <w:t>применения или неприменения возможных подходов (п</w:t>
      </w:r>
      <w:r w:rsidR="002C058D" w:rsidRPr="004C1E10">
        <w:t>ункт</w:t>
      </w:r>
      <w:r w:rsidRPr="004C1E10">
        <w:t> 8</w:t>
      </w:r>
      <w:r w:rsidR="00454B31" w:rsidRPr="004C1E10">
        <w:t> </w:t>
      </w:r>
      <w:r w:rsidRPr="004C1E10">
        <w:t>b)</w:t>
      </w:r>
      <w:r w:rsidR="002C058D" w:rsidRPr="004C1E10">
        <w:t>)</w:t>
      </w:r>
      <w:r w:rsidRPr="004C1E10">
        <w:t xml:space="preserve"> Всемирная ассамблея здравоохранения также предложила Генерально</w:t>
      </w:r>
      <w:r w:rsidR="00797BB4" w:rsidRPr="004C1E10">
        <w:t>му</w:t>
      </w:r>
      <w:r w:rsidRPr="004C1E10">
        <w:t xml:space="preserve"> директор</w:t>
      </w:r>
      <w:r w:rsidR="00797BB4" w:rsidRPr="004C1E10">
        <w:t>у</w:t>
      </w:r>
      <w:r w:rsidRPr="004C1E10">
        <w:t xml:space="preserve"> продолжить консультации с секретариатом Конвенции о биологическом разнообразии (п</w:t>
      </w:r>
      <w:r w:rsidR="002C058D" w:rsidRPr="004C1E10">
        <w:t>ункт</w:t>
      </w:r>
      <w:r w:rsidRPr="004C1E10">
        <w:t> 8</w:t>
      </w:r>
      <w:r w:rsidR="00454B31" w:rsidRPr="004C1E10">
        <w:t> </w:t>
      </w:r>
      <w:r w:rsidRPr="004C1E10">
        <w:t>f)</w:t>
      </w:r>
      <w:r w:rsidR="002C058D" w:rsidRPr="004C1E10">
        <w:t>)</w:t>
      </w:r>
      <w:r w:rsidRPr="004C1E10">
        <w:t>.</w:t>
      </w:r>
    </w:p>
    <w:p w:rsidR="00AE37E9" w:rsidRPr="004C1E10" w:rsidRDefault="00AE37E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Для</w:t>
      </w:r>
      <w:r w:rsidR="00BF0242" w:rsidRPr="004C1E10">
        <w:t xml:space="preserve"> </w:t>
      </w:r>
      <w:r w:rsidRPr="004C1E10">
        <w:t>выполнения просьбы, содержащейся в пункте 8</w:t>
      </w:r>
      <w:r w:rsidR="00454B31" w:rsidRPr="004C1E10">
        <w:t> </w:t>
      </w:r>
      <w:r w:rsidRPr="004C1E10">
        <w:t xml:space="preserve">b), Генеральный директор инициировал анализ для рассмотрения последствий применения или неприменения возможных подходов к: a) включению сезонных вирусов гриппа в Механизм ГПГ; и b) данным генетической последовательности в Механизме ГПГ. В настоящее время идет </w:t>
      </w:r>
      <w:r w:rsidR="002A1F36" w:rsidRPr="004C1E10">
        <w:t>подготовка этого</w:t>
      </w:r>
      <w:r w:rsidRPr="004C1E10">
        <w:t xml:space="preserve"> анализа, </w:t>
      </w:r>
      <w:r w:rsidR="00EF41CA" w:rsidRPr="004C1E10">
        <w:t xml:space="preserve">его </w:t>
      </w:r>
      <w:r w:rsidRPr="004C1E10">
        <w:t>проект планируется выпустить в сентябре/октябре 2018 года</w:t>
      </w:r>
      <w:r w:rsidRPr="004C1E10">
        <w:rPr>
          <w:rStyle w:val="FootnoteReference"/>
          <w:kern w:val="22"/>
          <w:sz w:val="22"/>
          <w:szCs w:val="22"/>
        </w:rPr>
        <w:footnoteReference w:id="86"/>
      </w:r>
      <w:r w:rsidRPr="004C1E10">
        <w:t>.</w:t>
      </w:r>
    </w:p>
    <w:p w:rsidR="00FB5224" w:rsidRPr="004C1E10" w:rsidRDefault="00AE37E9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Кроме того, Генеральный директор подготовил доклад о прогрессе в осуществлении решения WHA70</w:t>
      </w:r>
      <w:r w:rsidR="00EF41CA" w:rsidRPr="004C1E10">
        <w:t> </w:t>
      </w:r>
      <w:r w:rsidRPr="004C1E10">
        <w:t>(10)</w:t>
      </w:r>
      <w:r w:rsidR="00EF41CA" w:rsidRPr="004C1E10">
        <w:t xml:space="preserve"> для</w:t>
      </w:r>
      <w:r w:rsidRPr="004C1E10">
        <w:t xml:space="preserve"> рассмотрен</w:t>
      </w:r>
      <w:r w:rsidR="00EF41CA" w:rsidRPr="004C1E10">
        <w:t>ия</w:t>
      </w:r>
      <w:r w:rsidRPr="004C1E10">
        <w:t xml:space="preserve"> на 71-й</w:t>
      </w:r>
      <w:r w:rsidR="00BF0242" w:rsidRPr="004C1E10">
        <w:t xml:space="preserve"> </w:t>
      </w:r>
      <w:r w:rsidRPr="004C1E10">
        <w:t>сессии Всемир</w:t>
      </w:r>
      <w:r w:rsidR="00797BB4" w:rsidRPr="004C1E10">
        <w:t xml:space="preserve">ной ассамблеи здравоохранения, </w:t>
      </w:r>
      <w:r w:rsidRPr="004C1E10">
        <w:t>состоявшейся 21-26 мая 2018 года</w:t>
      </w:r>
      <w:r w:rsidRPr="004C1E10">
        <w:rPr>
          <w:rStyle w:val="FootnoteReference"/>
          <w:kern w:val="22"/>
          <w:sz w:val="22"/>
          <w:szCs w:val="22"/>
        </w:rPr>
        <w:footnoteReference w:id="87"/>
      </w:r>
      <w:r w:rsidRPr="004C1E10">
        <w:t>.</w:t>
      </w:r>
    </w:p>
    <w:p w:rsidR="000E646E" w:rsidRPr="004C1E10" w:rsidRDefault="00BA40CC" w:rsidP="00D35D9A">
      <w:pPr>
        <w:pStyle w:val="Heading1"/>
        <w:numPr>
          <w:ilvl w:val="0"/>
          <w:numId w:val="7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</w:pPr>
      <w:r w:rsidRPr="004C1E10">
        <w:rPr>
          <w:rFonts w:ascii="Times New Roman Bold" w:hAnsi="Times New Roman Bold"/>
          <w:caps w:val="0"/>
          <w:snapToGrid w:val="0"/>
          <w:szCs w:val="22"/>
        </w:rPr>
        <w:t>МНЕНИЯ ПО ПОВОДУ ДАЛЬНЕЙШЕГО ОСУЩЕСТВЛЕНИЯ СТАТЬИ 10</w:t>
      </w:r>
    </w:p>
    <w:p w:rsidR="00020EFF" w:rsidRPr="004C1E10" w:rsidRDefault="00020EFF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материалах были представлены различные предложения о дальнейших действиях в отношении осуществления статьи 10. Полный сборник материалов представлен на интернете</w:t>
      </w:r>
      <w:r w:rsidR="00DC4ECA" w:rsidRPr="004C1E10">
        <w:rPr>
          <w:rStyle w:val="FootnoteReference"/>
          <w:kern w:val="22"/>
          <w:sz w:val="22"/>
          <w:szCs w:val="22"/>
        </w:rPr>
        <w:footnoteReference w:id="88"/>
      </w:r>
      <w:r w:rsidRPr="004C1E10">
        <w:t>, а их основные тезисы приведены ниже.</w:t>
      </w:r>
    </w:p>
    <w:p w:rsidR="00AA5872" w:rsidRPr="004C1E10" w:rsidRDefault="008907D0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некоторых материалах</w:t>
      </w:r>
      <w:r w:rsidRPr="004C1E10">
        <w:rPr>
          <w:rStyle w:val="FootnoteReference"/>
          <w:kern w:val="22"/>
          <w:sz w:val="22"/>
          <w:szCs w:val="22"/>
        </w:rPr>
        <w:footnoteReference w:id="89"/>
      </w:r>
      <w:r w:rsidRPr="004C1E10">
        <w:t xml:space="preserve"> высказывалось мнение о том, что наличие генетических ресурсов и связанных с ними традиционных знаний в трансграничных районах (на территории двух или более стран) не будет способствовать</w:t>
      </w:r>
      <w:r w:rsidR="00BF0242" w:rsidRPr="004C1E10">
        <w:t xml:space="preserve"> </w:t>
      </w:r>
      <w:r w:rsidRPr="004C1E10">
        <w:t>необходимости создания глобального многостороннего механизма совместного использования выгод. В них отмечалось, что при возможности следует соблюдать двусторонний подход к доступу к генетическим ресурсам и совместному использованию выгод, который является стандартным подходом к ДГРСИВ в соответствии с Нагойским протоколом, как это признано в решении NP-2/10. Одна Сторона</w:t>
      </w:r>
      <w:r w:rsidR="00D23D98" w:rsidRPr="004C1E10">
        <w:rPr>
          <w:rStyle w:val="FootnoteReference"/>
          <w:kern w:val="22"/>
          <w:sz w:val="22"/>
          <w:szCs w:val="22"/>
        </w:rPr>
        <w:footnoteReference w:id="90"/>
      </w:r>
      <w:r w:rsidRPr="004C1E10">
        <w:t xml:space="preserve"> указала, что необходимость в глобальном многостороннем механизме совместного использования выгод может быть обоснована только в ситуациях, когда страны происхождения не могут быть идентифицированы после принятия разумных усилий, и в ситуациях, когда невозможно предоставить или получить предварительное обоснованное согласие.</w:t>
      </w:r>
      <w:r w:rsidR="00BF0242" w:rsidRPr="004C1E10">
        <w:t xml:space="preserve"> </w:t>
      </w:r>
    </w:p>
    <w:p w:rsidR="00020EFF" w:rsidRPr="004C1E10" w:rsidRDefault="00AA5872" w:rsidP="004C1E10">
      <w:pPr>
        <w:pStyle w:val="Para1"/>
        <w:rPr>
          <w:kern w:val="22"/>
          <w:szCs w:val="22"/>
        </w:rPr>
      </w:pPr>
      <w:r w:rsidRPr="004C1E10">
        <w:t>Одна Сторона</w:t>
      </w:r>
      <w:r w:rsidR="000068E8" w:rsidRPr="004C1E10">
        <w:rPr>
          <w:rStyle w:val="FootnoteReference"/>
          <w:kern w:val="22"/>
          <w:sz w:val="22"/>
          <w:szCs w:val="22"/>
        </w:rPr>
        <w:footnoteReference w:id="91"/>
      </w:r>
      <w:r w:rsidRPr="004C1E10">
        <w:t xml:space="preserve"> выразила мнение о том, что создание глобального многостороннего механизма совместного использования выгод не должно затрагивать суверенные права стран на их генетические ресурсы. Аналогичным образом, другая Сторона</w:t>
      </w:r>
      <w:r w:rsidRPr="004C1E10">
        <w:rPr>
          <w:rStyle w:val="FootnoteReference"/>
          <w:kern w:val="22"/>
          <w:sz w:val="22"/>
          <w:szCs w:val="22"/>
        </w:rPr>
        <w:footnoteReference w:id="92"/>
      </w:r>
      <w:r w:rsidRPr="004C1E10">
        <w:t xml:space="preserve"> подняла вопрос о связи между национальным законодательством и глобальным многосторонним механизмом совместного использования выгод, поскольку в соответствии с суверенными правами стран на свои генетические ресурсы они должны иметь возможность выбирать, какие генетические ресурсы будут включены в многосторонний механизм и в каких ситуациях.</w:t>
      </w:r>
      <w:r w:rsidR="00BF0242" w:rsidRPr="004C1E10">
        <w:t xml:space="preserve"> </w:t>
      </w:r>
      <w:r w:rsidRPr="004C1E10">
        <w:t>Одна Сторона также заявила, что глобальный многосторонний механизм совместного использования выгод не будет применяться в географических районах, которые регулируются другими международными документами или являются предметом текущих многосторонних переговоров.</w:t>
      </w:r>
    </w:p>
    <w:p w:rsidR="00D804A5" w:rsidRPr="004C1E10" w:rsidRDefault="00C32D8A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Некоторые респонденты</w:t>
      </w:r>
      <w:r w:rsidR="00020EFF" w:rsidRPr="004C1E10">
        <w:rPr>
          <w:rStyle w:val="FootnoteReference"/>
          <w:kern w:val="22"/>
          <w:sz w:val="22"/>
          <w:szCs w:val="22"/>
        </w:rPr>
        <w:footnoteReference w:id="93"/>
      </w:r>
      <w:r w:rsidRPr="004C1E10">
        <w:t xml:space="preserve"> выразили мнение о том, что в первую очередь следует определить необходимость в глобальном многостороннем механизме совместного использования </w:t>
      </w:r>
      <w:r w:rsidRPr="004C1E10">
        <w:lastRenderedPageBreak/>
        <w:t>выгод, и было предложено</w:t>
      </w:r>
      <w:r w:rsidR="00375D1D" w:rsidRPr="004C1E10">
        <w:rPr>
          <w:vertAlign w:val="superscript"/>
        </w:rPr>
        <w:footnoteReference w:id="94"/>
      </w:r>
      <w:r w:rsidR="00375D1D" w:rsidRPr="004C1E10">
        <w:t xml:space="preserve"> </w:t>
      </w:r>
      <w:r w:rsidRPr="004C1E10">
        <w:t>продолжить обсуждение ситуаций, в которых невозможно предоставить или получить предварительное обоснованное согласие, с тем чтобы определить, существует ли необходимость в глобальном многостороннем механизме совместного использования выгод.</w:t>
      </w:r>
      <w:r w:rsidR="00BF0242" w:rsidRPr="004C1E10">
        <w:t xml:space="preserve"> </w:t>
      </w:r>
    </w:p>
    <w:p w:rsidR="00C95948" w:rsidRPr="004C1E10" w:rsidRDefault="00A6214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Было высказано мнение</w:t>
      </w:r>
      <w:r w:rsidR="00C95948" w:rsidRPr="004C1E10">
        <w:rPr>
          <w:rStyle w:val="FootnoteReference"/>
          <w:kern w:val="22"/>
          <w:sz w:val="22"/>
          <w:szCs w:val="22"/>
        </w:rPr>
        <w:footnoteReference w:id="95"/>
      </w:r>
      <w:r w:rsidRPr="004C1E10">
        <w:t xml:space="preserve"> о необходимости изучения вопроса о том, является ли глобальный многосторонний механизм совместного использования выгод приемлемым вариантом для стран, которые еще не разработали свои национальные меры в области ДГРСИВ, в то время как другой респондент указал, что глобальный многосторонний механизм совместного использования выгод не может применяться в таких ситуациях и что такие ситуации следует скорее рассматривать в рамках деятельности по созданию потенциала</w:t>
      </w:r>
      <w:r w:rsidR="00CF4895" w:rsidRPr="004C1E10">
        <w:rPr>
          <w:rStyle w:val="FootnoteReference"/>
          <w:kern w:val="22"/>
          <w:sz w:val="22"/>
          <w:szCs w:val="22"/>
        </w:rPr>
        <w:footnoteReference w:id="96"/>
      </w:r>
      <w:r w:rsidRPr="004C1E10">
        <w:t>. Аналогичным образом, было высказано мнение о том</w:t>
      </w:r>
      <w:r w:rsidR="005164EC" w:rsidRPr="004C1E10">
        <w:rPr>
          <w:rStyle w:val="FootnoteReference"/>
          <w:kern w:val="22"/>
          <w:sz w:val="22"/>
          <w:szCs w:val="22"/>
        </w:rPr>
        <w:footnoteReference w:id="97"/>
      </w:r>
      <w:r w:rsidRPr="004C1E10">
        <w:t xml:space="preserve">, что в настоящее время основное внимание следует уделять реализации двустороннего подхода к Протоколу и что необходимость создания глобального многостороннего механизма совместного использования выгод не может и не должна решаться до </w:t>
      </w:r>
      <w:r w:rsidR="002A1F36" w:rsidRPr="004C1E10">
        <w:t xml:space="preserve">введение в действие </w:t>
      </w:r>
      <w:r w:rsidRPr="004C1E10">
        <w:t>двусторонн</w:t>
      </w:r>
      <w:r w:rsidR="002A1F36" w:rsidRPr="004C1E10">
        <w:t>ей</w:t>
      </w:r>
      <w:r w:rsidRPr="004C1E10">
        <w:t xml:space="preserve"> систем</w:t>
      </w:r>
      <w:r w:rsidR="002A1F36" w:rsidRPr="004C1E10">
        <w:t>ы</w:t>
      </w:r>
      <w:r w:rsidRPr="004C1E10">
        <w:t>.</w:t>
      </w:r>
    </w:p>
    <w:p w:rsidR="00653BA2" w:rsidRPr="004C1E10" w:rsidRDefault="00653BA2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двух материалах</w:t>
      </w:r>
      <w:r w:rsidRPr="004C1E10">
        <w:rPr>
          <w:rStyle w:val="FootnoteReference"/>
          <w:kern w:val="22"/>
          <w:sz w:val="22"/>
          <w:szCs w:val="22"/>
        </w:rPr>
        <w:footnoteReference w:id="98"/>
      </w:r>
      <w:r w:rsidRPr="004C1E10">
        <w:t xml:space="preserve"> было предложено принять к сведению информацию и</w:t>
      </w:r>
      <w:r w:rsidR="00BF0242" w:rsidRPr="004C1E10">
        <w:t xml:space="preserve"> </w:t>
      </w:r>
      <w:r w:rsidRPr="004C1E10">
        <w:t xml:space="preserve">полезный опыт на примере других многосторонних систем, таких как Международный договор о генетических растительных ресурсах для производства продовольствия и ведения сельского хозяйства (Договор) или </w:t>
      </w:r>
      <w:r w:rsidR="001D0396" w:rsidRPr="004C1E10">
        <w:t xml:space="preserve">Механизм </w:t>
      </w:r>
      <w:r w:rsidRPr="004C1E10">
        <w:t>по обеспечению готовности к пандемии гриппа: обмен вирусами гриппа и доступ к вакцинам и другим преимуществам (Механизм ГПГ). Можно отметить, что в соответствии с решением NP-1/10, упомянутым в пункте 65 выше, было подготовлено исследование, посвященное, в частности, опыту работы с другими многосторонними механизмами, включая Договор и Механизм ГПГ.</w:t>
      </w:r>
    </w:p>
    <w:p w:rsidR="00AA5872" w:rsidRPr="004C1E10" w:rsidRDefault="00AA5872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 одном из представлений</w:t>
      </w:r>
      <w:r w:rsidRPr="004C1E10">
        <w:rPr>
          <w:rStyle w:val="FootnoteReference"/>
          <w:kern w:val="22"/>
          <w:sz w:val="22"/>
          <w:szCs w:val="22"/>
        </w:rPr>
        <w:footnoteReference w:id="99"/>
      </w:r>
      <w:r w:rsidRPr="004C1E10">
        <w:t xml:space="preserve"> была рассмотрена концепция «ограниченной открытости», которая могла бы применяться к традиционным знаниям, связанным с генетическими ресурсами, предложенная в качестве меры по содействию осуществлению статьи 10.</w:t>
      </w:r>
    </w:p>
    <w:p w:rsidR="00AA5872" w:rsidRPr="004C1E10" w:rsidRDefault="00EB1B2C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Некоторые Стороны</w:t>
      </w:r>
      <w:r w:rsidRPr="004C1E10">
        <w:rPr>
          <w:rStyle w:val="FootnoteReference"/>
          <w:kern w:val="22"/>
          <w:sz w:val="22"/>
          <w:szCs w:val="22"/>
        </w:rPr>
        <w:footnoteReference w:id="100"/>
      </w:r>
      <w:r w:rsidRPr="004C1E10">
        <w:t xml:space="preserve"> отметили целесообразность рассмотрения вопроса о том, может ли и каким образом глобальный многосторонний механизм совместного использования выгод содействовать сохранению и устойчивому использованию биоразнообразия.</w:t>
      </w:r>
      <w:r w:rsidR="00BF0242" w:rsidRPr="004C1E10">
        <w:t xml:space="preserve"> </w:t>
      </w:r>
      <w:r w:rsidRPr="004C1E10">
        <w:t>Были предложены различные аспекты, такие как схемы оказания технической помощи, налаживания международного сотрудничества, обмена информацией, передачи технологий и создания потенциала.</w:t>
      </w:r>
    </w:p>
    <w:p w:rsidR="00EB1B2C" w:rsidRPr="004C1E10" w:rsidRDefault="00EB1B2C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Одна Сторона</w:t>
      </w:r>
      <w:r w:rsidR="00391F17" w:rsidRPr="004C1E10">
        <w:rPr>
          <w:rStyle w:val="FootnoteReference"/>
          <w:kern w:val="22"/>
          <w:sz w:val="22"/>
          <w:szCs w:val="22"/>
        </w:rPr>
        <w:footnoteReference w:id="101"/>
      </w:r>
      <w:r w:rsidRPr="004C1E10">
        <w:t xml:space="preserve"> выделила другие области, в которых следует рассмотреть вопрос о пользе глобального многостороннего механизма совместного использования выгод, включая использование информации о цифровой последовательности в случае отсутствия информации о стране происхождения или в случае нескольких стран происхождения, а также в качестве инструмента для обеспечение соблюдения национального законодательства и во избежание определенных вопросов, подпадающих под юрисдикцию с более удобным законодательством.</w:t>
      </w:r>
    </w:p>
    <w:p w:rsidR="00645275" w:rsidRPr="004C1E10" w:rsidRDefault="00645275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Одна Сторона</w:t>
      </w:r>
      <w:r w:rsidRPr="004C1E10">
        <w:rPr>
          <w:rStyle w:val="FootnoteReference"/>
          <w:kern w:val="22"/>
          <w:sz w:val="22"/>
          <w:szCs w:val="22"/>
        </w:rPr>
        <w:footnoteReference w:id="102"/>
      </w:r>
      <w:r w:rsidRPr="004C1E10">
        <w:t xml:space="preserve"> отметила, что осуществление Нагойского протокола и изучение полезного опыта, который является постоянным процессом, могут сопровождаться обсуждением потенциальных ситуаций, способствующих созданию глобального многостороннего механизма совместного использования выгод, и возможных условий создания такого механизма.</w:t>
      </w:r>
      <w:r w:rsidR="00BF0242" w:rsidRPr="004C1E10">
        <w:t xml:space="preserve"> </w:t>
      </w:r>
      <w:r w:rsidRPr="004C1E10">
        <w:t xml:space="preserve">Еще одна </w:t>
      </w:r>
      <w:r w:rsidRPr="004C1E10">
        <w:lastRenderedPageBreak/>
        <w:t>Сторона</w:t>
      </w:r>
      <w:r w:rsidRPr="004C1E10">
        <w:rPr>
          <w:rStyle w:val="FootnoteReference"/>
          <w:kern w:val="22"/>
          <w:sz w:val="22"/>
          <w:szCs w:val="22"/>
        </w:rPr>
        <w:footnoteReference w:id="103"/>
      </w:r>
      <w:r w:rsidRPr="004C1E10">
        <w:t xml:space="preserve"> считает целесообразным выявлять случаи и сценарии генетических ресурсов или связанных с ними традиционных знаний, которые могли бы стать объектом такого механизма, и его последствия для национального законодательства.</w:t>
      </w:r>
    </w:p>
    <w:p w:rsidR="00AC3573" w:rsidRPr="004C1E10" w:rsidRDefault="00645275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Для оказания содействия в этом направлении одна из Сторон</w:t>
      </w:r>
      <w:r w:rsidR="00375D1D" w:rsidRPr="004C1E10">
        <w:rPr>
          <w:vertAlign w:val="superscript"/>
        </w:rPr>
        <w:footnoteReference w:id="104"/>
      </w:r>
      <w:r w:rsidRPr="004C1E10">
        <w:t xml:space="preserve"> предложила вернуться к обсуждению технических вопросов на основе списков тем, которые необходимо проанализировать</w:t>
      </w:r>
      <w:r w:rsidR="00A62143" w:rsidRPr="004C1E10">
        <w:rPr>
          <w:rStyle w:val="FootnoteReference"/>
          <w:kern w:val="22"/>
          <w:sz w:val="22"/>
          <w:szCs w:val="22"/>
        </w:rPr>
        <w:footnoteReference w:id="105"/>
      </w:r>
      <w:r w:rsidRPr="004C1E10">
        <w:t>.</w:t>
      </w:r>
    </w:p>
    <w:p w:rsidR="00645275" w:rsidRPr="004C1E10" w:rsidRDefault="00AC3573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Одна организация</w:t>
      </w:r>
      <w:r w:rsidRPr="004C1E10">
        <w:rPr>
          <w:rStyle w:val="FootnoteReference"/>
          <w:kern w:val="22"/>
          <w:sz w:val="22"/>
          <w:szCs w:val="22"/>
        </w:rPr>
        <w:footnoteReference w:id="106"/>
      </w:r>
      <w:r w:rsidRPr="004C1E10">
        <w:t xml:space="preserve"> предположила, что в тех случаях, когда страна происхождения микроорганизма не может быть однозначно определена, глобальный многосторонний механизм совместного использования выгод может оказаться полезным при условии его экономической эффективности.</w:t>
      </w:r>
    </w:p>
    <w:p w:rsidR="00D71387" w:rsidRPr="004C1E10" w:rsidRDefault="004C6D52" w:rsidP="00D35D9A">
      <w:pPr>
        <w:pStyle w:val="Heading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</w:pPr>
      <w:r w:rsidRPr="004C1E10">
        <w:rPr>
          <w:rFonts w:ascii="Times New Roman Bold" w:hAnsi="Times New Roman Bold"/>
          <w:caps w:val="0"/>
          <w:snapToGrid w:val="0"/>
          <w:szCs w:val="22"/>
        </w:rPr>
        <w:t>ПРЕДЛАГАЕМЫЕ РЕКОМЕНДАЦИИ</w:t>
      </w:r>
    </w:p>
    <w:p w:rsidR="00D71387" w:rsidRPr="004C1E10" w:rsidRDefault="00501330" w:rsidP="00D35D9A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4C1E10">
        <w:t>Вспомогательный орган по осуществлению</w:t>
      </w:r>
      <w:r w:rsidR="00BF0242" w:rsidRPr="004C1E10">
        <w:t>,</w:t>
      </w:r>
      <w:r w:rsidRPr="004C1E10">
        <w:t xml:space="preserve"> возможно</w:t>
      </w:r>
      <w:r w:rsidR="00BF0242" w:rsidRPr="004C1E10">
        <w:t>,</w:t>
      </w:r>
      <w:r w:rsidRPr="004C1E10">
        <w:t xml:space="preserve"> пожелает рассмотреть вышеприведенную информацию и в соответствии с пунктом 7 решения NP-2/10 изучить необходимость создания глобального многостороннего механизма совместного использования выгод и </w:t>
      </w:r>
      <w:r w:rsidR="001D0396" w:rsidRPr="004C1E10">
        <w:t>подготовить</w:t>
      </w:r>
      <w:r w:rsidRPr="004C1E10">
        <w:t xml:space="preserve"> рекомендации для их изучения Конференцией Сторон, выступающей в качестве </w:t>
      </w:r>
      <w:r w:rsidR="001D0396" w:rsidRPr="004C1E10">
        <w:t>с</w:t>
      </w:r>
      <w:r w:rsidRPr="004C1E10">
        <w:t>овещания Сторон Нагойского протокола, на ее третьем совещании.</w:t>
      </w:r>
    </w:p>
    <w:p w:rsidR="00736BC2" w:rsidRDefault="00736BC2" w:rsidP="00D35D9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snapToGrid w:val="0"/>
          <w:kern w:val="22"/>
          <w:szCs w:val="22"/>
          <w:lang w:val="en-CA"/>
        </w:rPr>
      </w:pPr>
    </w:p>
    <w:p w:rsidR="00BD7B2D" w:rsidRPr="00D35D9A" w:rsidRDefault="00BD7B2D" w:rsidP="00BD7B2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snapToGrid w:val="0"/>
          <w:kern w:val="22"/>
          <w:szCs w:val="22"/>
        </w:rPr>
      </w:pPr>
      <w:bookmarkStart w:id="1" w:name="OLE_LINK1"/>
      <w:r w:rsidRPr="00D35D9A">
        <w:rPr>
          <w:snapToGrid w:val="0"/>
          <w:kern w:val="22"/>
          <w:szCs w:val="22"/>
        </w:rPr>
        <w:t>__________</w:t>
      </w:r>
    </w:p>
    <w:p w:rsidR="00BD7B2D" w:rsidRDefault="00BD7B2D" w:rsidP="00D35D9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snapToGrid w:val="0"/>
          <w:kern w:val="22"/>
          <w:szCs w:val="22"/>
          <w:lang w:val="en-CA"/>
        </w:rPr>
      </w:pPr>
      <w:bookmarkStart w:id="2" w:name="_GoBack"/>
      <w:bookmarkEnd w:id="1"/>
      <w:bookmarkEnd w:id="2"/>
    </w:p>
    <w:p w:rsidR="00BD7B2D" w:rsidRPr="00BD7B2D" w:rsidRDefault="00BD7B2D" w:rsidP="00D35D9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snapToGrid w:val="0"/>
          <w:kern w:val="22"/>
          <w:szCs w:val="22"/>
          <w:lang w:val="en-CA"/>
        </w:rPr>
      </w:pPr>
    </w:p>
    <w:sectPr w:rsidR="00BD7B2D" w:rsidRPr="00BD7B2D" w:rsidSect="00CA1572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411" w:rsidRDefault="00572411">
      <w:r>
        <w:separator/>
      </w:r>
    </w:p>
  </w:endnote>
  <w:endnote w:type="continuationSeparator" w:id="0">
    <w:p w:rsidR="00572411" w:rsidRDefault="0057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76" w:rsidRDefault="00762776" w:rsidP="00D35D9A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76" w:rsidRDefault="00762776" w:rsidP="00D35D9A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76" w:rsidRDefault="00762776" w:rsidP="00D35D9A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411" w:rsidRDefault="00572411">
      <w:r>
        <w:separator/>
      </w:r>
    </w:p>
  </w:footnote>
  <w:footnote w:type="continuationSeparator" w:id="0">
    <w:p w:rsidR="00572411" w:rsidRDefault="00572411">
      <w:r>
        <w:continuationSeparator/>
      </w:r>
    </w:p>
  </w:footnote>
  <w:footnote w:id="1">
    <w:p w:rsidR="00BF0242" w:rsidRPr="00D35D9A" w:rsidRDefault="00BF024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35D9A">
        <w:rPr>
          <w:rStyle w:val="FootnoteReference"/>
          <w:snapToGrid w:val="0"/>
          <w:kern w:val="18"/>
          <w:szCs w:val="18"/>
        </w:rPr>
        <w:t>*</w:t>
      </w:r>
      <w:r w:rsidRPr="00D35D9A">
        <w:rPr>
          <w:snapToGrid w:val="0"/>
          <w:kern w:val="18"/>
          <w:szCs w:val="18"/>
        </w:rPr>
        <w:t xml:space="preserve"> </w:t>
      </w:r>
      <w:hyperlink r:id="rId1" w:history="1">
        <w:r w:rsidRPr="00D35D9A">
          <w:rPr>
            <w:rStyle w:val="Hyperlink"/>
            <w:snapToGrid w:val="0"/>
            <w:kern w:val="18"/>
            <w:szCs w:val="18"/>
          </w:rPr>
          <w:t>CBD/SBI/2/1</w:t>
        </w:r>
      </w:hyperlink>
      <w:r w:rsidRPr="00D35D9A">
        <w:rPr>
          <w:snapToGrid w:val="0"/>
          <w:kern w:val="18"/>
          <w:szCs w:val="18"/>
        </w:rPr>
        <w:t>.</w:t>
      </w:r>
    </w:p>
  </w:footnote>
  <w:footnote w:id="2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t>https://www.cbd.int/doc/notifications/2017/ntf-2017-017-absch-en.pdf</w:t>
      </w:r>
      <w:r>
        <w:rPr>
          <w:snapToGrid w:val="0"/>
          <w:szCs w:val="18"/>
        </w:rPr>
        <w:t xml:space="preserve"> </w:t>
      </w:r>
    </w:p>
  </w:footnote>
  <w:footnote w:id="3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t>https://www.cbd.int/doc/notifications/2017/ntf-2017-094-abs-en.pdf</w:t>
      </w:r>
      <w:r>
        <w:rPr>
          <w:snapToGrid w:val="0"/>
          <w:szCs w:val="18"/>
        </w:rPr>
        <w:t xml:space="preserve"> </w:t>
      </w:r>
    </w:p>
  </w:footnote>
  <w:footnote w:id="4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 w:rsidRPr="00941AE5">
        <w:rPr>
          <w:snapToGrid w:val="0"/>
          <w:szCs w:val="18"/>
        </w:rPr>
        <w:t>https://www.cbd.int/abs/submissions-np-2-10/default.shtml</w:t>
      </w:r>
      <w:r>
        <w:t>.</w:t>
      </w:r>
      <w:r>
        <w:rPr>
          <w:snapToGrid w:val="0"/>
          <w:szCs w:val="18"/>
        </w:rPr>
        <w:t xml:space="preserve"> </w:t>
      </w:r>
    </w:p>
  </w:footnote>
  <w:footnote w:id="5">
    <w:p w:rsidR="00653BA2" w:rsidRPr="00BF0242" w:rsidRDefault="00653BA2" w:rsidP="00DB3719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rFonts w:eastAsia="Calibri"/>
          <w:kern w:val="18"/>
          <w:sz w:val="18"/>
        </w:rPr>
      </w:pPr>
      <w:r>
        <w:rPr>
          <w:rStyle w:val="FootnoteReference"/>
          <w:kern w:val="18"/>
        </w:rPr>
        <w:footnoteRef/>
      </w:r>
      <w:r w:rsidR="00BF0242" w:rsidRPr="00BD7B2D">
        <w:t xml:space="preserve"> </w:t>
      </w:r>
      <w:r w:rsidRPr="00BF0242">
        <w:rPr>
          <w:sz w:val="18"/>
        </w:rPr>
        <w:t>Албания, Антигуа и Барбуда, Бенин, Буркина-Фасо, Бурунди, Бутан, Гондурас, Демократическая Республика Конго, Индия, Индонезия, Кения, Кыргызстан, Лаосская Народно-Демократическая Республика, Мадагаскар, Малави, Мальта, Нидерланды, Норвегия, Панама, Перу, Свазиленд, Финляндия, Швейцария, Эфиопия, Южная Африка, Япония.</w:t>
      </w:r>
    </w:p>
  </w:footnote>
  <w:footnote w:id="6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Кения, Кыргызстан, Лаосская Народно-Демократическая Республика, Мадагаскар, Норвегия, Перу.</w:t>
      </w:r>
    </w:p>
  </w:footnote>
  <w:footnote w:id="7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Албания, Бурунди, Марокко.</w:t>
      </w:r>
    </w:p>
  </w:footnote>
  <w:footnote w:id="8">
    <w:p w:rsidR="00BF0242" w:rsidRPr="00D35D9A" w:rsidRDefault="00BF024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Болгария, Руанда.</w:t>
      </w:r>
    </w:p>
  </w:footnote>
  <w:footnote w:id="9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Китай</w:t>
      </w:r>
      <w:r w:rsidR="00797BB4">
        <w:rPr>
          <w:snapToGrid w:val="0"/>
          <w:szCs w:val="18"/>
        </w:rPr>
        <w:t>.</w:t>
      </w:r>
    </w:p>
  </w:footnote>
  <w:footnote w:id="10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 w:rsidR="00797BB4">
        <w:rPr>
          <w:snapToGrid w:val="0"/>
          <w:szCs w:val="18"/>
        </w:rPr>
        <w:t>Куба.</w:t>
      </w:r>
    </w:p>
  </w:footnote>
  <w:footnote w:id="11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 xml:space="preserve">Беларусь, Ботсвана, Гвинея-Бисау, Казахстан, Камерун, Китай, Коморские </w:t>
      </w:r>
      <w:r w:rsidR="00110174">
        <w:rPr>
          <w:snapToGrid w:val="0"/>
          <w:szCs w:val="18"/>
        </w:rPr>
        <w:t>О</w:t>
      </w:r>
      <w:r>
        <w:rPr>
          <w:snapToGrid w:val="0"/>
          <w:szCs w:val="18"/>
        </w:rPr>
        <w:t>строва, Мексика, Монголия, Нигер, Пакистан, Сан-Томе и Принсипи, Сенегал, Судан, Уругвай.</w:t>
      </w:r>
    </w:p>
  </w:footnote>
  <w:footnote w:id="12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Перу</w:t>
      </w:r>
      <w:r w:rsidR="00797BB4">
        <w:rPr>
          <w:snapToGrid w:val="0"/>
          <w:szCs w:val="18"/>
        </w:rPr>
        <w:t>.</w:t>
      </w:r>
    </w:p>
  </w:footnote>
  <w:footnote w:id="13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rStyle w:val="FootnoteReference"/>
          <w:snapToGrid w:val="0"/>
          <w:kern w:val="18"/>
          <w:szCs w:val="18"/>
          <w:vertAlign w:val="baseline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rStyle w:val="FootnoteReference"/>
          <w:snapToGrid w:val="0"/>
          <w:szCs w:val="18"/>
        </w:rPr>
        <w:t xml:space="preserve"> </w:t>
      </w:r>
      <w:r>
        <w:rPr>
          <w:snapToGrid w:val="0"/>
          <w:szCs w:val="18"/>
        </w:rPr>
        <w:t>Бенин, Бутан, Лаосская Народно-Демократическая Республика, Мавритания, Сан-Томе и Принсипи.</w:t>
      </w:r>
    </w:p>
  </w:footnote>
  <w:footnote w:id="14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rStyle w:val="FootnoteReference"/>
          <w:snapToGrid w:val="0"/>
          <w:kern w:val="18"/>
          <w:szCs w:val="18"/>
          <w:vertAlign w:val="baseline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rStyle w:val="FootnoteReference"/>
          <w:snapToGrid w:val="0"/>
          <w:szCs w:val="18"/>
        </w:rPr>
        <w:t xml:space="preserve"> </w:t>
      </w:r>
      <w:r>
        <w:rPr>
          <w:snapToGrid w:val="0"/>
          <w:szCs w:val="18"/>
        </w:rPr>
        <w:t>Албания, Бенин</w:t>
      </w:r>
      <w:r w:rsidR="00797BB4">
        <w:rPr>
          <w:snapToGrid w:val="0"/>
          <w:szCs w:val="18"/>
        </w:rPr>
        <w:t>.</w:t>
      </w:r>
    </w:p>
  </w:footnote>
  <w:footnote w:id="15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Лаосская Народно-Демократическая Республика</w:t>
      </w:r>
      <w:r w:rsidR="00797BB4">
        <w:rPr>
          <w:snapToGrid w:val="0"/>
          <w:szCs w:val="18"/>
        </w:rPr>
        <w:t>.</w:t>
      </w:r>
    </w:p>
  </w:footnote>
  <w:footnote w:id="16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Бенин</w:t>
      </w:r>
      <w:r w:rsidR="00797BB4">
        <w:rPr>
          <w:snapToGrid w:val="0"/>
          <w:szCs w:val="18"/>
        </w:rPr>
        <w:t>.</w:t>
      </w:r>
    </w:p>
  </w:footnote>
  <w:footnote w:id="17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Гвинея-Бисау</w:t>
      </w:r>
      <w:r w:rsidR="00797BB4">
        <w:rPr>
          <w:snapToGrid w:val="0"/>
          <w:szCs w:val="18"/>
        </w:rPr>
        <w:t>.</w:t>
      </w:r>
    </w:p>
  </w:footnote>
  <w:footnote w:id="18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Бенин</w:t>
      </w:r>
      <w:r w:rsidR="00797BB4">
        <w:rPr>
          <w:snapToGrid w:val="0"/>
          <w:szCs w:val="18"/>
        </w:rPr>
        <w:t>.</w:t>
      </w:r>
    </w:p>
  </w:footnote>
  <w:footnote w:id="19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 w:rsidR="00797BB4" w:rsidRPr="00797BB4">
        <w:rPr>
          <w:snapToGrid w:val="0"/>
          <w:szCs w:val="18"/>
        </w:rPr>
        <w:t>Куба</w:t>
      </w:r>
      <w:r w:rsidR="00797BB4">
        <w:rPr>
          <w:snapToGrid w:val="0"/>
          <w:szCs w:val="18"/>
        </w:rPr>
        <w:t>, Южная Африка.</w:t>
      </w:r>
    </w:p>
  </w:footnote>
  <w:footnote w:id="20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Куба</w:t>
      </w:r>
      <w:r w:rsidR="00797BB4">
        <w:rPr>
          <w:snapToGrid w:val="0"/>
          <w:szCs w:val="18"/>
        </w:rPr>
        <w:t>.</w:t>
      </w:r>
    </w:p>
  </w:footnote>
  <w:footnote w:id="21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Венесуэла (Боливарианская Республика)</w:t>
      </w:r>
      <w:r w:rsidR="00797BB4">
        <w:rPr>
          <w:snapToGrid w:val="0"/>
          <w:szCs w:val="18"/>
        </w:rPr>
        <w:t>.</w:t>
      </w:r>
    </w:p>
  </w:footnote>
  <w:footnote w:id="22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Антигуа и Барбуда, Бельгия, Болгария, Венгрия, Вьетнам, Германия, Дания, Испания, Мальта, Нидерланды, Перу, Польша, Португалия, Словакия, Соединенное Королевство Великобритании и Северной Ирландии, Финляндия, Франция, Чешская Республика, Швеция, Эстония.</w:t>
      </w:r>
    </w:p>
  </w:footnote>
  <w:footnote w:id="23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Албания</w:t>
      </w:r>
      <w:r w:rsidR="00797BB4">
        <w:rPr>
          <w:snapToGrid w:val="0"/>
          <w:szCs w:val="18"/>
        </w:rPr>
        <w:t>.</w:t>
      </w:r>
    </w:p>
  </w:footnote>
  <w:footnote w:id="24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 xml:space="preserve">Буркина-Фасо, Бенин, Ботсвана, Гвинея, Гвинея-Бисау, Демократическая </w:t>
      </w:r>
      <w:r>
        <w:rPr>
          <w:snapToGrid w:val="0"/>
          <w:szCs w:val="18"/>
        </w:rPr>
        <w:t>Республика Конго, Камерун, Кот-д'Ивуар, Индия, Лаосская Народно-Демократическая Республика, Пакистан, Эфиопия, Южная Африка.</w:t>
      </w:r>
    </w:p>
  </w:footnote>
  <w:footnote w:id="25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Руанда.</w:t>
      </w:r>
    </w:p>
  </w:footnote>
  <w:footnote w:id="26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Того.</w:t>
      </w:r>
    </w:p>
  </w:footnote>
  <w:footnote w:id="27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Бурунди, Бутан, Кения, Мадагаскар, Мальта, Уганда, Финляндия, Швейцария, Швеция, Япония.</w:t>
      </w:r>
    </w:p>
  </w:footnote>
  <w:footnote w:id="28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Испания, Марокко, Нидерланды, Норвегия, Португалия, Япония.</w:t>
      </w:r>
    </w:p>
  </w:footnote>
  <w:footnote w:id="29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Антигуа и Барбуда, Бенин, Буркина-Фасо, Бутан, Демократическая Республика Конго, Индия, Кения, Мадагаскар, Марокко, Мексика, Норвегия, Панама, Перу, Свазиленд, Финляндия, Франция, Эфиопия.</w:t>
      </w:r>
    </w:p>
  </w:footnote>
  <w:footnote w:id="30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Мексика</w:t>
      </w:r>
      <w:r w:rsidR="001D322E">
        <w:rPr>
          <w:snapToGrid w:val="0"/>
          <w:szCs w:val="18"/>
        </w:rPr>
        <w:t>.</w:t>
      </w:r>
    </w:p>
  </w:footnote>
  <w:footnote w:id="31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Бенин, Индия, Китай, Норвегия, Перу, Финляндия.</w:t>
      </w:r>
    </w:p>
  </w:footnote>
  <w:footnote w:id="32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 xml:space="preserve">Бурунди, Гвинея, Гвинея-Бисау, </w:t>
      </w:r>
      <w:r>
        <w:rPr>
          <w:snapToGrid w:val="0"/>
          <w:szCs w:val="18"/>
        </w:rPr>
        <w:t>Доминиканская Республика, Камерун, Кот-д'Ивуар, Монголия, Нигер, Пакистан, Сенегал, Судан, Того.</w:t>
      </w:r>
    </w:p>
  </w:footnote>
  <w:footnote w:id="33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Бенин, Демократическая Республика Конго, Камерун, Кения.</w:t>
      </w:r>
    </w:p>
  </w:footnote>
  <w:footnote w:id="34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Бутан, Индия, Перу, Свазиленд, Эфиопия.</w:t>
      </w:r>
    </w:p>
  </w:footnote>
  <w:footnote w:id="35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Бенин</w:t>
      </w:r>
    </w:p>
  </w:footnote>
  <w:footnote w:id="36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Буркина-Фасо, Бурунди, Демократическая Республика Конго, Малави, Мексика, Уганда, Швеция.</w:t>
      </w:r>
    </w:p>
  </w:footnote>
  <w:footnote w:id="37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Ботсвана, Гвинея, Гвинея-Бисау, Кот-д'Ивуар, Мавритания, Монголия, Нигер, Пакистан, Судан, Уругвай.</w:t>
      </w:r>
    </w:p>
  </w:footnote>
  <w:footnote w:id="38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Бенин, Буркина-Фасо, Индия, Камерун, Малави, Марокко, Эфиопия, Южная Африка.</w:t>
      </w:r>
    </w:p>
  </w:footnote>
  <w:footnote w:id="39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Антигуа и Барбуда, Бенин, Бутан, Индия, Перу, Эфиопия.</w:t>
      </w:r>
    </w:p>
  </w:footnote>
  <w:footnote w:id="40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Бенин</w:t>
      </w:r>
      <w:r w:rsidR="00797BB4">
        <w:rPr>
          <w:snapToGrid w:val="0"/>
          <w:szCs w:val="18"/>
        </w:rPr>
        <w:t>.</w:t>
      </w:r>
    </w:p>
  </w:footnote>
  <w:footnote w:id="41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Бурунди, Индия, Камерун, Кения, Китай.</w:t>
      </w:r>
    </w:p>
  </w:footnote>
  <w:footnote w:id="42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Индия, Коморские Острова, Норвегия, Эфиопия.</w:t>
      </w:r>
    </w:p>
  </w:footnote>
  <w:footnote w:id="43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Финляндия.</w:t>
      </w:r>
    </w:p>
  </w:footnote>
  <w:footnote w:id="44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 xml:space="preserve">Ботсвана, Доминиканская Республика, </w:t>
      </w:r>
      <w:r>
        <w:rPr>
          <w:snapToGrid w:val="0"/>
          <w:szCs w:val="18"/>
        </w:rPr>
        <w:t>Китай, Коморские Острова, Кот-д'Ивуар, Лаосская Народно-Демократическая Республика, Мексика, Сенегал, Того, Уругвай.</w:t>
      </w:r>
    </w:p>
  </w:footnote>
  <w:footnote w:id="45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Мексика, Нигер.</w:t>
      </w:r>
    </w:p>
  </w:footnote>
  <w:footnote w:id="46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Китай, Коморские Острова.</w:t>
      </w:r>
    </w:p>
  </w:footnote>
  <w:footnote w:id="47">
    <w:p w:rsidR="00693113" w:rsidRPr="00D35D9A" w:rsidRDefault="00693113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t>В качестве примера см. материалы, представленные Мексикой</w:t>
      </w:r>
      <w:r w:rsidR="00375D1D">
        <w:t xml:space="preserve">, </w:t>
      </w:r>
      <w:r>
        <w:t xml:space="preserve">и доклад о работе совещания Группы экспертов по статье 10 Нагойского протокола регулирования доступа к генетическим ресурсам и совместного </w:t>
      </w:r>
      <w:r>
        <w:t>использования выгод (</w:t>
      </w:r>
      <w:hyperlink r:id="rId2" w:history="1">
        <w:r w:rsidRPr="00110174">
          <w:rPr>
            <w:rStyle w:val="Hyperlink"/>
          </w:rPr>
          <w:t>UNEP/CBD/NP/COP-MOP/2/10</w:t>
        </w:r>
      </w:hyperlink>
      <w:r>
        <w:t>),</w:t>
      </w:r>
      <w:r>
        <w:rPr>
          <w:snapToGrid w:val="0"/>
          <w:szCs w:val="18"/>
        </w:rPr>
        <w:t> пункты 32-34.</w:t>
      </w:r>
    </w:p>
  </w:footnote>
  <w:footnote w:id="48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Беларусь, Вьетнам, Мальта, Норвегия, Франция.</w:t>
      </w:r>
    </w:p>
  </w:footnote>
  <w:footnote w:id="49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Мальта, Франция.</w:t>
      </w:r>
    </w:p>
  </w:footnote>
  <w:footnote w:id="50">
    <w:p w:rsidR="00653BA2" w:rsidRPr="00D35D9A" w:rsidRDefault="00653BA2" w:rsidP="00BF024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>Буркина-Фасо, Монголия, Пакистан, Южная Африка.</w:t>
      </w:r>
    </w:p>
  </w:footnote>
  <w:footnote w:id="51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Малави.</w:t>
      </w:r>
    </w:p>
  </w:footnote>
  <w:footnote w:id="52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Антигуа и Барбуда.</w:t>
      </w:r>
    </w:p>
  </w:footnote>
  <w:footnote w:id="53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Камерун, Кения, Коморские Острова, Мавритания, Мексика, Сенегал, Уганда.</w:t>
      </w:r>
    </w:p>
  </w:footnote>
  <w:footnote w:id="54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Мексика.</w:t>
      </w:r>
    </w:p>
  </w:footnote>
  <w:footnote w:id="55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3 апреля 2006 года Кения, Объединенная Республика Танзания и Уганда подписали Протокол об охране окружающей среды и рациональном использовании природных ресурсов.</w:t>
      </w:r>
    </w:p>
  </w:footnote>
  <w:footnote w:id="56">
    <w:p w:rsidR="00653BA2" w:rsidRPr="00D35D9A" w:rsidRDefault="00653BA2" w:rsidP="00797BB4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 xml:space="preserve">Например, проект по охране окружающей среды озера Виктория (Уганда, Кения, Объединенная Республика Танзания); Организация по рыболовству озера Виктория (Уганда, Кения, Объединенная Республика </w:t>
      </w:r>
      <w:r>
        <w:rPr>
          <w:snapToGrid w:val="0"/>
          <w:szCs w:val="18"/>
        </w:rPr>
        <w:t xml:space="preserve">Танзания); Трансграничное сотрудничество Вирунга (Уганда, Демократическая Республика Конго, Руанда и Объединенная Республика Танзания); Человек и биосферный заповедник (для горы Эльгон </w:t>
      </w:r>
      <w:r w:rsidR="005B6577">
        <w:rPr>
          <w:snapToGrid w:val="0"/>
          <w:szCs w:val="18"/>
        </w:rPr>
        <w:t>–</w:t>
      </w:r>
      <w:r>
        <w:rPr>
          <w:snapToGrid w:val="0"/>
          <w:szCs w:val="18"/>
        </w:rPr>
        <w:t xml:space="preserve"> Уганда</w:t>
      </w:r>
      <w:r w:rsidR="005B6577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и Кения); и Совместное трансграничное управление дикой природой (Уганда и Южный Судан).</w:t>
      </w:r>
    </w:p>
  </w:footnote>
  <w:footnote w:id="57">
    <w:p w:rsidR="00653BA2" w:rsidRPr="00D35D9A" w:rsidRDefault="00653BA2" w:rsidP="00797BB4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Болгария, Германия, Европейский союз, Нидерланды, Польша, Республика Молдова, Словакия, Соединенное Королевство Великобритании и Северной Ирландии, Финляндия.</w:t>
      </w:r>
    </w:p>
  </w:footnote>
  <w:footnote w:id="58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rStyle w:val="FootnoteReference"/>
          <w:snapToGrid w:val="0"/>
          <w:kern w:val="18"/>
          <w:szCs w:val="18"/>
          <w:vertAlign w:val="baseline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rStyle w:val="FootnoteReference"/>
          <w:snapToGrid w:val="0"/>
          <w:szCs w:val="18"/>
        </w:rPr>
        <w:t xml:space="preserve"> </w:t>
      </w:r>
      <w:r>
        <w:rPr>
          <w:snapToGrid w:val="0"/>
          <w:szCs w:val="18"/>
        </w:rPr>
        <w:t>Бурунди, Швеция.</w:t>
      </w:r>
    </w:p>
  </w:footnote>
  <w:footnote w:id="59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rStyle w:val="FootnoteReference"/>
          <w:snapToGrid w:val="0"/>
          <w:kern w:val="18"/>
          <w:szCs w:val="18"/>
          <w:vertAlign w:val="baseline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rStyle w:val="FootnoteReference"/>
          <w:snapToGrid w:val="0"/>
          <w:szCs w:val="18"/>
        </w:rPr>
        <w:t xml:space="preserve"> </w:t>
      </w:r>
      <w:r>
        <w:rPr>
          <w:snapToGrid w:val="0"/>
          <w:szCs w:val="18"/>
        </w:rPr>
        <w:t>Ботсвана, Гвинея-Бисау, Мадагаскар, Мексика, Нигер, Панама, Уругвай, Эфиопия.</w:t>
      </w:r>
    </w:p>
  </w:footnote>
  <w:footnote w:id="60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Бурунди, Гвинея,</w:t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Кот-д'Ивуар,</w:t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Судан, Того.</w:t>
      </w:r>
    </w:p>
  </w:footnote>
  <w:footnote w:id="61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Бенин.</w:t>
      </w:r>
    </w:p>
  </w:footnote>
  <w:footnote w:id="62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Бутан, Малави, Норвегия, Пакистан, Франция.</w:t>
      </w:r>
    </w:p>
  </w:footnote>
  <w:footnote w:id="63">
    <w:p w:rsidR="00653BA2" w:rsidRPr="00D35D9A" w:rsidRDefault="00653BA2" w:rsidP="00BF024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18"/>
          <w:sz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 w:val="18"/>
          <w:szCs w:val="18"/>
        </w:rPr>
        <w:t xml:space="preserve"> Ботсвана, Буркина-Фасо, Гвинея-Бисау, Монголия, Судан, Южная Африка.</w:t>
      </w:r>
    </w:p>
  </w:footnote>
  <w:footnote w:id="64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Буркина-Фасо, Индия, Камерун, Кения, Коморские Острова, Мавритания.</w:t>
      </w:r>
    </w:p>
  </w:footnote>
  <w:footnote w:id="65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rStyle w:val="FootnoteReference"/>
          <w:snapToGrid w:val="0"/>
          <w:kern w:val="18"/>
          <w:szCs w:val="18"/>
          <w:vertAlign w:val="baseline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rStyle w:val="FootnoteReference"/>
          <w:snapToGrid w:val="0"/>
          <w:szCs w:val="18"/>
        </w:rPr>
        <w:t xml:space="preserve"> </w:t>
      </w:r>
      <w:r>
        <w:rPr>
          <w:snapToGrid w:val="0"/>
          <w:szCs w:val="18"/>
        </w:rPr>
        <w:t>Швеция.</w:t>
      </w:r>
    </w:p>
  </w:footnote>
  <w:footnote w:id="66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rStyle w:val="FootnoteReference"/>
          <w:snapToGrid w:val="0"/>
          <w:kern w:val="18"/>
          <w:szCs w:val="18"/>
          <w:vertAlign w:val="baseline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rStyle w:val="FootnoteReference"/>
          <w:snapToGrid w:val="0"/>
          <w:szCs w:val="18"/>
        </w:rPr>
        <w:t xml:space="preserve"> </w:t>
      </w:r>
      <w:r>
        <w:rPr>
          <w:snapToGrid w:val="0"/>
          <w:szCs w:val="18"/>
        </w:rPr>
        <w:t>Мадагаскар, Нигер, Панама, Уругвай, Эфиопия.</w:t>
      </w:r>
    </w:p>
  </w:footnote>
  <w:footnote w:id="67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Нигер.</w:t>
      </w:r>
    </w:p>
  </w:footnote>
  <w:footnote w:id="68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Бурунди.</w:t>
      </w:r>
    </w:p>
  </w:footnote>
  <w:footnote w:id="69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Индонезия, Марокко.</w:t>
      </w:r>
    </w:p>
  </w:footnote>
  <w:footnote w:id="70">
    <w:p w:rsidR="00BF0242" w:rsidRPr="00D35D9A" w:rsidRDefault="00BF024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Гвинея, Кот-д'Ивуар.</w:t>
      </w:r>
    </w:p>
  </w:footnote>
  <w:footnote w:id="71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Индия, Мексика, Международная торговая </w:t>
      </w:r>
      <w:r>
        <w:rPr>
          <w:snapToGrid w:val="0"/>
          <w:szCs w:val="18"/>
        </w:rPr>
        <w:t>палата, Японская ассоциация биоиндустрии.</w:t>
      </w:r>
    </w:p>
  </w:footnote>
  <w:footnote w:id="72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Международная торговая палата</w:t>
      </w:r>
      <w:r w:rsidR="00797BB4">
        <w:rPr>
          <w:snapToGrid w:val="0"/>
          <w:szCs w:val="18"/>
        </w:rPr>
        <w:t>.</w:t>
      </w:r>
    </w:p>
  </w:footnote>
  <w:footnote w:id="73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Индия.</w:t>
      </w:r>
    </w:p>
  </w:footnote>
  <w:footnote w:id="74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Мексика.</w:t>
      </w:r>
    </w:p>
  </w:footnote>
  <w:footnote w:id="75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Гётеборгский ботанический сад, Международная сеть обмена растений, Leibniz Institute DSMZ GmbH, Зоологический исследовательский музей Бонна.</w:t>
      </w:r>
    </w:p>
  </w:footnote>
  <w:footnote w:id="76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Гётеборгский ботанический сад.</w:t>
      </w:r>
    </w:p>
  </w:footnote>
  <w:footnote w:id="77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Зоологический исследовательский музей Бонна.</w:t>
      </w:r>
    </w:p>
  </w:footnote>
  <w:footnote w:id="78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Гётеборгский ботанический сад.</w:t>
      </w:r>
    </w:p>
  </w:footnote>
  <w:footnote w:id="79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Leibniz </w:t>
      </w:r>
      <w:r>
        <w:rPr>
          <w:snapToGrid w:val="0"/>
          <w:szCs w:val="18"/>
        </w:rPr>
        <w:t>Institute DSMZ GmbH.</w:t>
      </w:r>
    </w:p>
  </w:footnote>
  <w:footnote w:id="80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Зоологический исследовательский музей Бонна.</w:t>
      </w:r>
    </w:p>
  </w:footnote>
  <w:footnote w:id="81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Всемирная федерация коллекций культур.</w:t>
      </w:r>
    </w:p>
  </w:footnote>
  <w:footnote w:id="82">
    <w:p w:rsidR="00E13252" w:rsidRPr="00BD7B2D" w:rsidRDefault="00E1325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 w:rsidRPr="00797BB4">
        <w:rPr>
          <w:snapToGrid w:val="0"/>
          <w:szCs w:val="18"/>
        </w:rPr>
        <w:t>https://www.cbd.int/doc/meetings/abs/abs-a10em-2016-01/official/abs-a10em-2016-01-02-en.pdf</w:t>
      </w:r>
      <w:r>
        <w:t xml:space="preserve"> </w:t>
      </w:r>
    </w:p>
  </w:footnote>
  <w:footnote w:id="83">
    <w:p w:rsidR="00AE37E9" w:rsidRPr="00797BB4" w:rsidRDefault="00AE37E9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 w:rsidRPr="00797BB4">
        <w:t>http://www.fao.org/fileadmin/user_upload/faoweb/plant-treaty/cfp4/cfp_4_2017_0_en.pdf</w:t>
      </w:r>
      <w:r>
        <w:rPr>
          <w:snapToGrid w:val="0"/>
          <w:szCs w:val="18"/>
        </w:rPr>
        <w:t xml:space="preserve"> </w:t>
      </w:r>
    </w:p>
  </w:footnote>
  <w:footnote w:id="84">
    <w:p w:rsidR="00AE37E9" w:rsidRPr="00D35D9A" w:rsidRDefault="00AE37E9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Резолюция 2/2013, </w:t>
      </w:r>
      <w:hyperlink r:id="rId3" w:history="1">
        <w:r w:rsidR="00797BB4">
          <w:rPr>
            <w:rStyle w:val="Hyperlink"/>
            <w:snapToGrid w:val="0"/>
            <w:szCs w:val="18"/>
          </w:rPr>
          <w:t>http://www.fao.org/3/a-be595r.pdf</w:t>
        </w:r>
      </w:hyperlink>
      <w:r>
        <w:rPr>
          <w:snapToGrid w:val="0"/>
          <w:szCs w:val="18"/>
        </w:rPr>
        <w:t xml:space="preserve">. </w:t>
      </w:r>
    </w:p>
  </w:footnote>
  <w:footnote w:id="85">
    <w:p w:rsidR="00653BA2" w:rsidRPr="00D35D9A" w:rsidRDefault="00653BA2" w:rsidP="00797BB4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В рамках пакета, согласованного в 2011 году, были</w:t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 xml:space="preserve">рассмотрены следующие темы: «сохранение и устойчивое использование морского биологического разнообразия за пределами действия национальной юрисдикции, в частности, в совокупности и в целом, морских генетических ресурсов, включая вопросы совместного использования выгод, </w:t>
      </w:r>
      <w:r>
        <w:rPr>
          <w:snapToGrid w:val="0"/>
          <w:szCs w:val="18"/>
        </w:rPr>
        <w:t>меры, такие как зонально привязанные инструменты хозяйствования, включая морские охраняемые районы, и экологические экспертизы, наращивание потенциала и передачу морской технологии». См.</w:t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материалы Отдела Организации Объединенных Наций по вопросам океана и морскому праву.</w:t>
      </w:r>
    </w:p>
  </w:footnote>
  <w:footnote w:id="86">
    <w:p w:rsidR="00AE37E9" w:rsidRPr="00D35D9A" w:rsidRDefault="00AE37E9" w:rsidP="00797BB4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right="-138"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Для получения дополнительной информации о процессе см.</w:t>
      </w:r>
      <w:r w:rsidR="00797BB4">
        <w:rPr>
          <w:snapToGrid w:val="0"/>
          <w:szCs w:val="18"/>
        </w:rPr>
        <w:t xml:space="preserve"> </w:t>
      </w:r>
      <w:hyperlink r:id="rId4" w:history="1">
        <w:r w:rsidR="00797BB4">
          <w:rPr>
            <w:rStyle w:val="Hyperlink"/>
            <w:snapToGrid w:val="0"/>
            <w:szCs w:val="18"/>
          </w:rPr>
          <w:t>http://www.who.int/influenza/pip/Documents_WHA70108b/en/</w:t>
        </w:r>
      </w:hyperlink>
      <w:r>
        <w:t xml:space="preserve"> </w:t>
      </w:r>
    </w:p>
  </w:footnote>
  <w:footnote w:id="87">
    <w:p w:rsidR="00AE37E9" w:rsidRPr="00BD7B2D" w:rsidRDefault="00AE37E9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См.</w:t>
      </w:r>
      <w:r>
        <w:t xml:space="preserve"> </w:t>
      </w:r>
      <w:hyperlink r:id="rId5" w:history="1">
        <w:r w:rsidR="00797BB4">
          <w:rPr>
            <w:rStyle w:val="Hyperlink"/>
            <w:snapToGrid w:val="0"/>
            <w:szCs w:val="18"/>
          </w:rPr>
          <w:t>http://apps.who.int/gb/ebwha/pdf_files/WHA71/A71_24-ru.pdf</w:t>
        </w:r>
      </w:hyperlink>
      <w:r>
        <w:t xml:space="preserve"> </w:t>
      </w:r>
    </w:p>
  </w:footnote>
  <w:footnote w:id="88">
    <w:p w:rsidR="00DC4ECA" w:rsidRPr="00BD7B2D" w:rsidRDefault="00DC4ECA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 w:rsidRPr="00797BB4">
        <w:rPr>
          <w:snapToGrid w:val="0"/>
          <w:szCs w:val="18"/>
        </w:rPr>
        <w:t>https://www.cbd.int/abs/submissions-np-2-10/default.shtml</w:t>
      </w:r>
      <w:r w:rsidR="00797BB4">
        <w:t xml:space="preserve"> </w:t>
      </w:r>
    </w:p>
  </w:footnote>
  <w:footnote w:id="89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Индия, Япония.</w:t>
      </w:r>
    </w:p>
  </w:footnote>
  <w:footnote w:id="90">
    <w:p w:rsidR="00D23D98" w:rsidRPr="00D35D9A" w:rsidRDefault="00D23D98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Индия.</w:t>
      </w:r>
    </w:p>
  </w:footnote>
  <w:footnote w:id="91">
    <w:p w:rsidR="000068E8" w:rsidRPr="00D35D9A" w:rsidRDefault="000068E8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Мексика.</w:t>
      </w:r>
    </w:p>
  </w:footnote>
  <w:footnote w:id="92">
    <w:p w:rsidR="00AA5872" w:rsidRPr="00D35D9A" w:rsidRDefault="00AA587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Аргентина.</w:t>
      </w:r>
    </w:p>
  </w:footnote>
  <w:footnote w:id="93">
    <w:p w:rsidR="00653BA2" w:rsidRPr="00D35D9A" w:rsidRDefault="00653BA2" w:rsidP="00375D1D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Индия, Японская ассоциация биопромышленности.</w:t>
      </w:r>
    </w:p>
  </w:footnote>
  <w:footnote w:id="94">
    <w:p w:rsidR="00375D1D" w:rsidRPr="00D35D9A" w:rsidRDefault="00375D1D" w:rsidP="00375D1D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 w:rsidRPr="00D35D9A">
        <w:rPr>
          <w:rStyle w:val="FootnoteReference"/>
          <w:snapToGrid w:val="0"/>
          <w:kern w:val="18"/>
          <w:szCs w:val="18"/>
        </w:rPr>
        <w:footnoteRef/>
      </w:r>
      <w:r w:rsidRPr="00D35D9A">
        <w:rPr>
          <w:snapToGrid w:val="0"/>
          <w:kern w:val="18"/>
          <w:szCs w:val="18"/>
        </w:rPr>
        <w:t xml:space="preserve"> </w:t>
      </w:r>
      <w:r w:rsidRPr="00375D1D">
        <w:rPr>
          <w:snapToGrid w:val="0"/>
          <w:kern w:val="18"/>
          <w:szCs w:val="18"/>
        </w:rPr>
        <w:t>Японская ассоциация биопромышленности</w:t>
      </w:r>
      <w:r w:rsidRPr="00D35D9A">
        <w:rPr>
          <w:snapToGrid w:val="0"/>
          <w:kern w:val="18"/>
          <w:szCs w:val="18"/>
        </w:rPr>
        <w:t>.</w:t>
      </w:r>
    </w:p>
  </w:footnote>
  <w:footnote w:id="95">
    <w:p w:rsidR="00653BA2" w:rsidRPr="00D35D9A" w:rsidRDefault="00653BA2" w:rsidP="00375D1D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Аргентина.</w:t>
      </w:r>
    </w:p>
  </w:footnote>
  <w:footnote w:id="96">
    <w:p w:rsidR="00CF4895" w:rsidRPr="00D35D9A" w:rsidRDefault="00CF4895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Япония. См. пункт</w:t>
      </w:r>
      <w:r w:rsidR="00BF0242"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60 выше.</w:t>
      </w:r>
    </w:p>
  </w:footnote>
  <w:footnote w:id="97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</w:t>
      </w:r>
      <w:r>
        <w:rPr>
          <w:snapToGrid w:val="0"/>
          <w:szCs w:val="18"/>
        </w:rPr>
        <w:t>ICC.</w:t>
      </w:r>
    </w:p>
  </w:footnote>
  <w:footnote w:id="98">
    <w:p w:rsidR="00653BA2" w:rsidRPr="00D35D9A" w:rsidRDefault="00653BA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Аргентина, Мексика.</w:t>
      </w:r>
    </w:p>
  </w:footnote>
  <w:footnote w:id="99">
    <w:p w:rsidR="00AA5872" w:rsidRPr="00D35D9A" w:rsidRDefault="00AA5872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Джозеф Генри Фогель.</w:t>
      </w:r>
    </w:p>
  </w:footnote>
  <w:footnote w:id="100">
    <w:p w:rsidR="00EB1B2C" w:rsidRPr="00D35D9A" w:rsidRDefault="00EB1B2C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Аргентина, Индия, Мексика.</w:t>
      </w:r>
    </w:p>
  </w:footnote>
  <w:footnote w:id="101">
    <w:p w:rsidR="00391F17" w:rsidRPr="00D35D9A" w:rsidRDefault="00391F17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Аргентина.</w:t>
      </w:r>
    </w:p>
  </w:footnote>
  <w:footnote w:id="102">
    <w:p w:rsidR="00645275" w:rsidRPr="00D35D9A" w:rsidRDefault="00645275" w:rsidP="00BF0242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Индия.</w:t>
      </w:r>
    </w:p>
  </w:footnote>
  <w:footnote w:id="103">
    <w:p w:rsidR="00645275" w:rsidRPr="00D35D9A" w:rsidRDefault="00645275" w:rsidP="00375D1D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Аргентина.</w:t>
      </w:r>
    </w:p>
  </w:footnote>
  <w:footnote w:id="104">
    <w:p w:rsidR="00375D1D" w:rsidRPr="00D35D9A" w:rsidRDefault="00375D1D" w:rsidP="00375D1D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 w:rsidRPr="00D35D9A">
        <w:rPr>
          <w:rStyle w:val="FootnoteReference"/>
          <w:snapToGrid w:val="0"/>
          <w:kern w:val="18"/>
          <w:szCs w:val="18"/>
        </w:rPr>
        <w:footnoteRef/>
      </w:r>
      <w:r w:rsidRPr="00D35D9A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</w:rPr>
        <w:t>Мексика.</w:t>
      </w:r>
    </w:p>
  </w:footnote>
  <w:footnote w:id="105">
    <w:p w:rsidR="00A62143" w:rsidRPr="00D35D9A" w:rsidRDefault="00A62143" w:rsidP="00375D1D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См. </w:t>
      </w:r>
      <w:r>
        <w:rPr>
          <w:snapToGrid w:val="0"/>
          <w:szCs w:val="18"/>
        </w:rPr>
        <w:t>решение XI/1 B и приложение I к нему.</w:t>
      </w:r>
    </w:p>
  </w:footnote>
  <w:footnote w:id="106">
    <w:p w:rsidR="00AC3573" w:rsidRPr="00D35D9A" w:rsidRDefault="00AC3573" w:rsidP="00D35D9A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FootnoteReference"/>
          <w:snapToGrid w:val="0"/>
          <w:kern w:val="18"/>
          <w:szCs w:val="18"/>
        </w:rPr>
        <w:footnoteRef/>
      </w:r>
      <w:r>
        <w:rPr>
          <w:snapToGrid w:val="0"/>
          <w:szCs w:val="18"/>
        </w:rPr>
        <w:t xml:space="preserve"> Всемирная федерация коллекций культур.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Предмет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53BA2" w:rsidRPr="00762776" w:rsidRDefault="00653BA2" w:rsidP="00D35D9A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left"/>
          <w:rPr>
            <w:noProof/>
            <w:kern w:val="22"/>
          </w:rPr>
        </w:pPr>
        <w:r w:rsidRPr="00762776">
          <w:rPr>
            <w:noProof/>
            <w:kern w:val="22"/>
          </w:rPr>
          <w:t>CBD/SBI/2/5</w:t>
        </w:r>
      </w:p>
    </w:sdtContent>
  </w:sdt>
  <w:p w:rsidR="00653BA2" w:rsidRPr="00762776" w:rsidRDefault="00941AE5" w:rsidP="00D35D9A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</w:rPr>
    </w:pPr>
    <w:r>
      <w:t>Страница</w:t>
    </w:r>
    <w:r w:rsidR="00653BA2">
      <w:t xml:space="preserve"> </w:t>
    </w:r>
    <w:r w:rsidR="0046496E" w:rsidRPr="00762776">
      <w:fldChar w:fldCharType="begin"/>
    </w:r>
    <w:r w:rsidR="00653BA2" w:rsidRPr="00D35D9A">
      <w:instrText xml:space="preserve"> PAGE   \* MERGEFORMAT </w:instrText>
    </w:r>
    <w:r w:rsidR="0046496E" w:rsidRPr="00762776">
      <w:fldChar w:fldCharType="separate"/>
    </w:r>
    <w:r w:rsidR="00BD7B2D">
      <w:rPr>
        <w:noProof/>
      </w:rPr>
      <w:t>16</w:t>
    </w:r>
    <w:r w:rsidR="0046496E" w:rsidRPr="00762776">
      <w:fldChar w:fldCharType="end"/>
    </w:r>
  </w:p>
  <w:p w:rsidR="00653BA2" w:rsidRPr="00762776" w:rsidRDefault="00653BA2" w:rsidP="00D35D9A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Предмет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53BA2" w:rsidRPr="00057B5B" w:rsidRDefault="00653BA2" w:rsidP="00D35D9A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right"/>
          <w:rPr>
            <w:noProof/>
            <w:kern w:val="22"/>
          </w:rPr>
        </w:pPr>
        <w:r w:rsidRPr="00057B5B">
          <w:rPr>
            <w:noProof/>
            <w:kern w:val="22"/>
          </w:rPr>
          <w:t>CBD/SBI/2/5</w:t>
        </w:r>
      </w:p>
    </w:sdtContent>
  </w:sdt>
  <w:p w:rsidR="00653BA2" w:rsidRPr="00057B5B" w:rsidRDefault="00941AE5" w:rsidP="00D35D9A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  <w:r w:rsidRPr="00941AE5">
      <w:t xml:space="preserve">Страница </w:t>
    </w:r>
    <w:r w:rsidR="0046496E" w:rsidRPr="00057B5B">
      <w:fldChar w:fldCharType="begin"/>
    </w:r>
    <w:r w:rsidR="00653BA2" w:rsidRPr="00D35D9A">
      <w:instrText xml:space="preserve"> PAGE   \* MERGEFORMAT </w:instrText>
    </w:r>
    <w:r w:rsidR="0046496E" w:rsidRPr="00057B5B">
      <w:fldChar w:fldCharType="separate"/>
    </w:r>
    <w:r w:rsidR="00BD7B2D">
      <w:rPr>
        <w:noProof/>
      </w:rPr>
      <w:t>15</w:t>
    </w:r>
    <w:r w:rsidR="0046496E" w:rsidRPr="00057B5B">
      <w:fldChar w:fldCharType="end"/>
    </w:r>
  </w:p>
  <w:p w:rsidR="00653BA2" w:rsidRPr="00AA4B03" w:rsidRDefault="00653BA2" w:rsidP="00D35D9A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791"/>
    <w:multiLevelType w:val="hybridMultilevel"/>
    <w:tmpl w:val="CB24B1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59BF"/>
    <w:multiLevelType w:val="multilevel"/>
    <w:tmpl w:val="BE02EF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E21DBC"/>
    <w:multiLevelType w:val="hybridMultilevel"/>
    <w:tmpl w:val="2342E4EC"/>
    <w:lvl w:ilvl="0" w:tplc="E7C89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10F5"/>
    <w:multiLevelType w:val="multilevel"/>
    <w:tmpl w:val="76C86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CDC10D1"/>
    <w:multiLevelType w:val="multilevel"/>
    <w:tmpl w:val="6BE00D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CE3046C"/>
    <w:multiLevelType w:val="multilevel"/>
    <w:tmpl w:val="A72CC6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2AF76FB"/>
    <w:multiLevelType w:val="multilevel"/>
    <w:tmpl w:val="0BAE89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1FA3D95"/>
    <w:multiLevelType w:val="multilevel"/>
    <w:tmpl w:val="D73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28E491C"/>
    <w:multiLevelType w:val="multilevel"/>
    <w:tmpl w:val="ACB4241C"/>
    <w:lvl w:ilvl="0">
      <w:start w:val="27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position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0" w:firstLine="0"/>
      </w:pPr>
      <w:rPr>
        <w:rFonts w:hint="default"/>
        <w:b w:val="0"/>
        <w:color w:val="000000"/>
        <w:position w:val="0"/>
      </w:rPr>
    </w:lvl>
    <w:lvl w:ilvl="2">
      <w:start w:val="1"/>
      <w:numFmt w:val="lowerRoman"/>
      <w:lvlText w:val="(%3)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/>
        <w:iCs/>
        <w:color w:val="000000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9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3E2D0275"/>
    <w:multiLevelType w:val="multilevel"/>
    <w:tmpl w:val="4D564CD2"/>
    <w:lvl w:ilvl="0">
      <w:start w:val="28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position w:val="0"/>
        <w:sz w:val="22"/>
        <w:szCs w:val="22"/>
      </w:rPr>
    </w:lvl>
    <w:lvl w:ilvl="1">
      <w:start w:val="3"/>
      <w:numFmt w:val="lowerLetter"/>
      <w:lvlText w:val="(%2)"/>
      <w:lvlJc w:val="left"/>
      <w:pPr>
        <w:ind w:left="0" w:firstLine="0"/>
      </w:pPr>
      <w:rPr>
        <w:rFonts w:hint="default"/>
        <w:b w:val="0"/>
        <w:color w:val="000000"/>
        <w:position w:val="0"/>
      </w:rPr>
    </w:lvl>
    <w:lvl w:ilvl="2">
      <w:start w:val="1"/>
      <w:numFmt w:val="lowerRoman"/>
      <w:lvlText w:val="(%3)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/>
        <w:iCs/>
        <w:color w:val="000000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1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7280A2D"/>
    <w:multiLevelType w:val="hybridMultilevel"/>
    <w:tmpl w:val="41EED9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E0442B4"/>
    <w:multiLevelType w:val="multilevel"/>
    <w:tmpl w:val="9E2A1B2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04525DA"/>
    <w:multiLevelType w:val="multilevel"/>
    <w:tmpl w:val="91F62D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4C667D7"/>
    <w:multiLevelType w:val="hybridMultilevel"/>
    <w:tmpl w:val="065C48AE"/>
    <w:lvl w:ilvl="0" w:tplc="2B64F4D2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00263C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13193"/>
    <w:multiLevelType w:val="hybridMultilevel"/>
    <w:tmpl w:val="B7EEDA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D6374"/>
    <w:multiLevelType w:val="hybridMultilevel"/>
    <w:tmpl w:val="D450B2D2"/>
    <w:lvl w:ilvl="0" w:tplc="ADAC2B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B6C75"/>
    <w:multiLevelType w:val="multilevel"/>
    <w:tmpl w:val="92960D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  <w:color w:val="auto"/>
      </w:rPr>
    </w:lvl>
  </w:abstractNum>
  <w:abstractNum w:abstractNumId="21" w15:restartNumberingAfterBreak="0">
    <w:nsid w:val="6D935F74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6139A"/>
    <w:multiLevelType w:val="hybridMultilevel"/>
    <w:tmpl w:val="8E142910"/>
    <w:lvl w:ilvl="0" w:tplc="B7F855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02EC5"/>
    <w:multiLevelType w:val="hybridMultilevel"/>
    <w:tmpl w:val="C2DE6D7C"/>
    <w:lvl w:ilvl="0" w:tplc="2B64F4D2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4"/>
  </w:num>
  <w:num w:numId="5">
    <w:abstractNumId w:val="13"/>
  </w:num>
  <w:num w:numId="6">
    <w:abstractNumId w:val="22"/>
  </w:num>
  <w:num w:numId="7">
    <w:abstractNumId w:val="17"/>
  </w:num>
  <w:num w:numId="8">
    <w:abstractNumId w:val="24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8"/>
  </w:num>
  <w:num w:numId="15">
    <w:abstractNumId w:val="10"/>
  </w:num>
  <w:num w:numId="16">
    <w:abstractNumId w:val="20"/>
  </w:num>
  <w:num w:numId="17">
    <w:abstractNumId w:val="14"/>
  </w:num>
  <w:num w:numId="18">
    <w:abstractNumId w:val="7"/>
  </w:num>
  <w:num w:numId="19">
    <w:abstractNumId w:val="6"/>
  </w:num>
  <w:num w:numId="20">
    <w:abstractNumId w:val="14"/>
  </w:num>
  <w:num w:numId="21">
    <w:abstractNumId w:val="2"/>
  </w:num>
  <w:num w:numId="22">
    <w:abstractNumId w:val="19"/>
  </w:num>
  <w:num w:numId="23">
    <w:abstractNumId w:val="21"/>
  </w:num>
  <w:num w:numId="24">
    <w:abstractNumId w:val="1"/>
  </w:num>
  <w:num w:numId="25">
    <w:abstractNumId w:val="23"/>
  </w:num>
  <w:num w:numId="26">
    <w:abstractNumId w:val="18"/>
  </w:num>
  <w:num w:numId="27">
    <w:abstractNumId w:val="0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B3B"/>
    <w:rsid w:val="000068E8"/>
    <w:rsid w:val="00011AF1"/>
    <w:rsid w:val="00015C7A"/>
    <w:rsid w:val="000164EF"/>
    <w:rsid w:val="00020EFF"/>
    <w:rsid w:val="000219AC"/>
    <w:rsid w:val="00031D24"/>
    <w:rsid w:val="00037873"/>
    <w:rsid w:val="00054381"/>
    <w:rsid w:val="00056996"/>
    <w:rsid w:val="00057B5B"/>
    <w:rsid w:val="00066DCE"/>
    <w:rsid w:val="000700A1"/>
    <w:rsid w:val="000711E1"/>
    <w:rsid w:val="00073708"/>
    <w:rsid w:val="00082159"/>
    <w:rsid w:val="00095A23"/>
    <w:rsid w:val="000B172A"/>
    <w:rsid w:val="000B54D6"/>
    <w:rsid w:val="000C4896"/>
    <w:rsid w:val="000E3A47"/>
    <w:rsid w:val="000E637D"/>
    <w:rsid w:val="000E646E"/>
    <w:rsid w:val="000E7E6A"/>
    <w:rsid w:val="000F63AB"/>
    <w:rsid w:val="00110174"/>
    <w:rsid w:val="00114510"/>
    <w:rsid w:val="001169BF"/>
    <w:rsid w:val="00121780"/>
    <w:rsid w:val="0012214B"/>
    <w:rsid w:val="00143A68"/>
    <w:rsid w:val="00143CF1"/>
    <w:rsid w:val="001468A5"/>
    <w:rsid w:val="0015691F"/>
    <w:rsid w:val="0016282D"/>
    <w:rsid w:val="00162D68"/>
    <w:rsid w:val="00165CA7"/>
    <w:rsid w:val="00166367"/>
    <w:rsid w:val="00192E06"/>
    <w:rsid w:val="001A04C1"/>
    <w:rsid w:val="001A5072"/>
    <w:rsid w:val="001D0396"/>
    <w:rsid w:val="001D322E"/>
    <w:rsid w:val="001D3DB1"/>
    <w:rsid w:val="001F2CA6"/>
    <w:rsid w:val="001F6379"/>
    <w:rsid w:val="00204415"/>
    <w:rsid w:val="00207A6E"/>
    <w:rsid w:val="00212209"/>
    <w:rsid w:val="002139A9"/>
    <w:rsid w:val="00214CC6"/>
    <w:rsid w:val="00215AE7"/>
    <w:rsid w:val="00224B92"/>
    <w:rsid w:val="00230899"/>
    <w:rsid w:val="002357E1"/>
    <w:rsid w:val="00242386"/>
    <w:rsid w:val="0024291A"/>
    <w:rsid w:val="00245240"/>
    <w:rsid w:val="00252897"/>
    <w:rsid w:val="002605FB"/>
    <w:rsid w:val="00297F5D"/>
    <w:rsid w:val="002A1F36"/>
    <w:rsid w:val="002B0942"/>
    <w:rsid w:val="002C058D"/>
    <w:rsid w:val="002C4BDB"/>
    <w:rsid w:val="002E0627"/>
    <w:rsid w:val="002E3A52"/>
    <w:rsid w:val="002F0FC0"/>
    <w:rsid w:val="002F5B80"/>
    <w:rsid w:val="00300CE2"/>
    <w:rsid w:val="003210FF"/>
    <w:rsid w:val="00325DE3"/>
    <w:rsid w:val="003266C5"/>
    <w:rsid w:val="00331350"/>
    <w:rsid w:val="00336766"/>
    <w:rsid w:val="003432F8"/>
    <w:rsid w:val="00351DAA"/>
    <w:rsid w:val="0035216D"/>
    <w:rsid w:val="003634D3"/>
    <w:rsid w:val="00363C4F"/>
    <w:rsid w:val="003708D7"/>
    <w:rsid w:val="00375D1D"/>
    <w:rsid w:val="00380FE2"/>
    <w:rsid w:val="00383A6B"/>
    <w:rsid w:val="00391F17"/>
    <w:rsid w:val="00393423"/>
    <w:rsid w:val="003A2709"/>
    <w:rsid w:val="003B10B9"/>
    <w:rsid w:val="003C113F"/>
    <w:rsid w:val="003C5241"/>
    <w:rsid w:val="003E2DAE"/>
    <w:rsid w:val="003F0F9A"/>
    <w:rsid w:val="003F3576"/>
    <w:rsid w:val="003F6E44"/>
    <w:rsid w:val="004039CF"/>
    <w:rsid w:val="00406BC6"/>
    <w:rsid w:val="0041742C"/>
    <w:rsid w:val="004420C9"/>
    <w:rsid w:val="0044424E"/>
    <w:rsid w:val="00454B31"/>
    <w:rsid w:val="00457EF1"/>
    <w:rsid w:val="0046496E"/>
    <w:rsid w:val="00470D71"/>
    <w:rsid w:val="00471D56"/>
    <w:rsid w:val="004A614D"/>
    <w:rsid w:val="004B597A"/>
    <w:rsid w:val="004B62FA"/>
    <w:rsid w:val="004B6759"/>
    <w:rsid w:val="004C1E10"/>
    <w:rsid w:val="004C3142"/>
    <w:rsid w:val="004C31DD"/>
    <w:rsid w:val="004C6D52"/>
    <w:rsid w:val="004D4F2B"/>
    <w:rsid w:val="004D570F"/>
    <w:rsid w:val="004F3D7C"/>
    <w:rsid w:val="00500530"/>
    <w:rsid w:val="00501330"/>
    <w:rsid w:val="005032C9"/>
    <w:rsid w:val="00506D19"/>
    <w:rsid w:val="00515326"/>
    <w:rsid w:val="00515E84"/>
    <w:rsid w:val="005164EC"/>
    <w:rsid w:val="00516C26"/>
    <w:rsid w:val="00517AAB"/>
    <w:rsid w:val="005261E1"/>
    <w:rsid w:val="005440A6"/>
    <w:rsid w:val="0055471A"/>
    <w:rsid w:val="00563099"/>
    <w:rsid w:val="00572411"/>
    <w:rsid w:val="00574687"/>
    <w:rsid w:val="00577179"/>
    <w:rsid w:val="005955D2"/>
    <w:rsid w:val="00597C8C"/>
    <w:rsid w:val="005A318B"/>
    <w:rsid w:val="005A4284"/>
    <w:rsid w:val="005B29FE"/>
    <w:rsid w:val="005B6577"/>
    <w:rsid w:val="005B7F33"/>
    <w:rsid w:val="005D139C"/>
    <w:rsid w:val="005D33AD"/>
    <w:rsid w:val="005D3FA7"/>
    <w:rsid w:val="005D5725"/>
    <w:rsid w:val="005D7223"/>
    <w:rsid w:val="005E13A2"/>
    <w:rsid w:val="005F4C74"/>
    <w:rsid w:val="00616940"/>
    <w:rsid w:val="006260D5"/>
    <w:rsid w:val="00634F88"/>
    <w:rsid w:val="00645275"/>
    <w:rsid w:val="006507F2"/>
    <w:rsid w:val="00653BA2"/>
    <w:rsid w:val="0066608E"/>
    <w:rsid w:val="00690847"/>
    <w:rsid w:val="00693113"/>
    <w:rsid w:val="006B074E"/>
    <w:rsid w:val="006B2BD5"/>
    <w:rsid w:val="006C68FD"/>
    <w:rsid w:val="006D082C"/>
    <w:rsid w:val="006D0E3D"/>
    <w:rsid w:val="006E139E"/>
    <w:rsid w:val="006F284C"/>
    <w:rsid w:val="006F7227"/>
    <w:rsid w:val="00702366"/>
    <w:rsid w:val="007123E3"/>
    <w:rsid w:val="007163BC"/>
    <w:rsid w:val="00730A4B"/>
    <w:rsid w:val="00730AE3"/>
    <w:rsid w:val="00735CDF"/>
    <w:rsid w:val="00736BC2"/>
    <w:rsid w:val="00747736"/>
    <w:rsid w:val="00750201"/>
    <w:rsid w:val="00750D42"/>
    <w:rsid w:val="00762776"/>
    <w:rsid w:val="00765C58"/>
    <w:rsid w:val="00771327"/>
    <w:rsid w:val="00771C00"/>
    <w:rsid w:val="00783324"/>
    <w:rsid w:val="0079325E"/>
    <w:rsid w:val="00797BB4"/>
    <w:rsid w:val="007A3426"/>
    <w:rsid w:val="007B1587"/>
    <w:rsid w:val="007C1FA1"/>
    <w:rsid w:val="007C5285"/>
    <w:rsid w:val="007C633B"/>
    <w:rsid w:val="007D0EBA"/>
    <w:rsid w:val="007D3182"/>
    <w:rsid w:val="007F2B1E"/>
    <w:rsid w:val="007F3AA1"/>
    <w:rsid w:val="00814630"/>
    <w:rsid w:val="00825524"/>
    <w:rsid w:val="0083211E"/>
    <w:rsid w:val="0083626C"/>
    <w:rsid w:val="00840537"/>
    <w:rsid w:val="0084166D"/>
    <w:rsid w:val="00843843"/>
    <w:rsid w:val="00843FF1"/>
    <w:rsid w:val="0084734E"/>
    <w:rsid w:val="008624BB"/>
    <w:rsid w:val="00870D40"/>
    <w:rsid w:val="0087328C"/>
    <w:rsid w:val="00877AFA"/>
    <w:rsid w:val="008907D0"/>
    <w:rsid w:val="00895144"/>
    <w:rsid w:val="008A7321"/>
    <w:rsid w:val="008B2873"/>
    <w:rsid w:val="008B4FA7"/>
    <w:rsid w:val="008C013C"/>
    <w:rsid w:val="008C1E35"/>
    <w:rsid w:val="008D5AA2"/>
    <w:rsid w:val="008D6D1C"/>
    <w:rsid w:val="008D75A0"/>
    <w:rsid w:val="008E5F84"/>
    <w:rsid w:val="008E7500"/>
    <w:rsid w:val="008E7A9C"/>
    <w:rsid w:val="00900D50"/>
    <w:rsid w:val="009067F8"/>
    <w:rsid w:val="00913626"/>
    <w:rsid w:val="00914EC3"/>
    <w:rsid w:val="00922CEF"/>
    <w:rsid w:val="00922EAD"/>
    <w:rsid w:val="009266C4"/>
    <w:rsid w:val="0092794B"/>
    <w:rsid w:val="00941AE5"/>
    <w:rsid w:val="00952F73"/>
    <w:rsid w:val="00953856"/>
    <w:rsid w:val="009554D5"/>
    <w:rsid w:val="00957556"/>
    <w:rsid w:val="00964C06"/>
    <w:rsid w:val="00971EDF"/>
    <w:rsid w:val="00981EB1"/>
    <w:rsid w:val="009872AB"/>
    <w:rsid w:val="00997B63"/>
    <w:rsid w:val="009B3E26"/>
    <w:rsid w:val="009B5E1D"/>
    <w:rsid w:val="009D2F92"/>
    <w:rsid w:val="009D5A1E"/>
    <w:rsid w:val="009E2B79"/>
    <w:rsid w:val="009E63AF"/>
    <w:rsid w:val="009F0DF8"/>
    <w:rsid w:val="009F1C4C"/>
    <w:rsid w:val="00A04629"/>
    <w:rsid w:val="00A10051"/>
    <w:rsid w:val="00A1535F"/>
    <w:rsid w:val="00A20F36"/>
    <w:rsid w:val="00A22AF4"/>
    <w:rsid w:val="00A25AB5"/>
    <w:rsid w:val="00A30DAD"/>
    <w:rsid w:val="00A31418"/>
    <w:rsid w:val="00A455CD"/>
    <w:rsid w:val="00A46753"/>
    <w:rsid w:val="00A55748"/>
    <w:rsid w:val="00A56573"/>
    <w:rsid w:val="00A62143"/>
    <w:rsid w:val="00A71CF9"/>
    <w:rsid w:val="00A86F9E"/>
    <w:rsid w:val="00A875D3"/>
    <w:rsid w:val="00A9380D"/>
    <w:rsid w:val="00A97E13"/>
    <w:rsid w:val="00AA014E"/>
    <w:rsid w:val="00AA2FAB"/>
    <w:rsid w:val="00AA4B03"/>
    <w:rsid w:val="00AA5872"/>
    <w:rsid w:val="00AB392F"/>
    <w:rsid w:val="00AB4512"/>
    <w:rsid w:val="00AC1CB3"/>
    <w:rsid w:val="00AC1E69"/>
    <w:rsid w:val="00AC3573"/>
    <w:rsid w:val="00AC4B84"/>
    <w:rsid w:val="00AC5D1C"/>
    <w:rsid w:val="00AC7C25"/>
    <w:rsid w:val="00AD5DFD"/>
    <w:rsid w:val="00AE37E9"/>
    <w:rsid w:val="00AE3EC1"/>
    <w:rsid w:val="00B23B4A"/>
    <w:rsid w:val="00B271A0"/>
    <w:rsid w:val="00B3299A"/>
    <w:rsid w:val="00B46B8C"/>
    <w:rsid w:val="00B51F7C"/>
    <w:rsid w:val="00B56B11"/>
    <w:rsid w:val="00B75DE9"/>
    <w:rsid w:val="00B83871"/>
    <w:rsid w:val="00B85F9B"/>
    <w:rsid w:val="00BA1498"/>
    <w:rsid w:val="00BA3233"/>
    <w:rsid w:val="00BA40CC"/>
    <w:rsid w:val="00BB41E8"/>
    <w:rsid w:val="00BC527F"/>
    <w:rsid w:val="00BD7B2D"/>
    <w:rsid w:val="00BE37A4"/>
    <w:rsid w:val="00BE45DE"/>
    <w:rsid w:val="00BF0242"/>
    <w:rsid w:val="00C05456"/>
    <w:rsid w:val="00C076A9"/>
    <w:rsid w:val="00C15BBB"/>
    <w:rsid w:val="00C26BF0"/>
    <w:rsid w:val="00C278E9"/>
    <w:rsid w:val="00C31FC0"/>
    <w:rsid w:val="00C32D8A"/>
    <w:rsid w:val="00C3485D"/>
    <w:rsid w:val="00C34C37"/>
    <w:rsid w:val="00C37FF1"/>
    <w:rsid w:val="00C43DE5"/>
    <w:rsid w:val="00C46523"/>
    <w:rsid w:val="00C507CD"/>
    <w:rsid w:val="00C541D4"/>
    <w:rsid w:val="00C74A1F"/>
    <w:rsid w:val="00C85EA4"/>
    <w:rsid w:val="00C912FE"/>
    <w:rsid w:val="00C95948"/>
    <w:rsid w:val="00CA1572"/>
    <w:rsid w:val="00CA6B87"/>
    <w:rsid w:val="00CC1A9A"/>
    <w:rsid w:val="00CC1EFC"/>
    <w:rsid w:val="00CC2031"/>
    <w:rsid w:val="00CD30EB"/>
    <w:rsid w:val="00CE0F53"/>
    <w:rsid w:val="00CE51C3"/>
    <w:rsid w:val="00CF4895"/>
    <w:rsid w:val="00CF4F69"/>
    <w:rsid w:val="00D15589"/>
    <w:rsid w:val="00D15EEA"/>
    <w:rsid w:val="00D22AE8"/>
    <w:rsid w:val="00D22D61"/>
    <w:rsid w:val="00D23D98"/>
    <w:rsid w:val="00D35D9A"/>
    <w:rsid w:val="00D41C4D"/>
    <w:rsid w:val="00D427B8"/>
    <w:rsid w:val="00D432AD"/>
    <w:rsid w:val="00D439B0"/>
    <w:rsid w:val="00D50AE8"/>
    <w:rsid w:val="00D51069"/>
    <w:rsid w:val="00D51687"/>
    <w:rsid w:val="00D61027"/>
    <w:rsid w:val="00D637A2"/>
    <w:rsid w:val="00D65783"/>
    <w:rsid w:val="00D71387"/>
    <w:rsid w:val="00D804A5"/>
    <w:rsid w:val="00D85C17"/>
    <w:rsid w:val="00D878D4"/>
    <w:rsid w:val="00D95320"/>
    <w:rsid w:val="00D9537D"/>
    <w:rsid w:val="00DB3719"/>
    <w:rsid w:val="00DC4ECA"/>
    <w:rsid w:val="00DD52CC"/>
    <w:rsid w:val="00DE308B"/>
    <w:rsid w:val="00E11C13"/>
    <w:rsid w:val="00E13252"/>
    <w:rsid w:val="00E13C3E"/>
    <w:rsid w:val="00E31D13"/>
    <w:rsid w:val="00E33580"/>
    <w:rsid w:val="00E37A7A"/>
    <w:rsid w:val="00E445B3"/>
    <w:rsid w:val="00E47630"/>
    <w:rsid w:val="00E47CFA"/>
    <w:rsid w:val="00E53D99"/>
    <w:rsid w:val="00E55B3B"/>
    <w:rsid w:val="00E55E91"/>
    <w:rsid w:val="00E61005"/>
    <w:rsid w:val="00E636EC"/>
    <w:rsid w:val="00E96F5C"/>
    <w:rsid w:val="00EA45CD"/>
    <w:rsid w:val="00EA58FD"/>
    <w:rsid w:val="00EA7525"/>
    <w:rsid w:val="00EB1B2C"/>
    <w:rsid w:val="00EC0891"/>
    <w:rsid w:val="00EC7A67"/>
    <w:rsid w:val="00ED3F34"/>
    <w:rsid w:val="00ED7E04"/>
    <w:rsid w:val="00EE51DB"/>
    <w:rsid w:val="00EF41CA"/>
    <w:rsid w:val="00EF647E"/>
    <w:rsid w:val="00F13DC0"/>
    <w:rsid w:val="00F14485"/>
    <w:rsid w:val="00F16F02"/>
    <w:rsid w:val="00F26A60"/>
    <w:rsid w:val="00F27014"/>
    <w:rsid w:val="00F35B08"/>
    <w:rsid w:val="00F465B6"/>
    <w:rsid w:val="00F64CB9"/>
    <w:rsid w:val="00F67181"/>
    <w:rsid w:val="00F677EB"/>
    <w:rsid w:val="00F747CF"/>
    <w:rsid w:val="00F74A85"/>
    <w:rsid w:val="00F74E03"/>
    <w:rsid w:val="00F77628"/>
    <w:rsid w:val="00F80A58"/>
    <w:rsid w:val="00F838DD"/>
    <w:rsid w:val="00F94D0D"/>
    <w:rsid w:val="00F95AC2"/>
    <w:rsid w:val="00FB1237"/>
    <w:rsid w:val="00FB3B70"/>
    <w:rsid w:val="00FB5224"/>
    <w:rsid w:val="00FC48D1"/>
    <w:rsid w:val="00FC6159"/>
    <w:rsid w:val="00FD061C"/>
    <w:rsid w:val="00FD71E0"/>
    <w:rsid w:val="00FE68A5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190B941F"/>
  <w15:docId w15:val="{A6CD8E11-4877-42E0-A266-E3829EE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Heading2"/>
    <w:qFormat/>
    <w:rsid w:val="003266C5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3266C5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3266C5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3266C5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rsid w:val="003266C5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266C5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3266C5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3266C5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6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6C5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FootnoteTextChar"/>
    <w:uiPriority w:val="99"/>
    <w:qFormat/>
    <w:rsid w:val="003266C5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rsid w:val="003266C5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semiHidden/>
    <w:rsid w:val="003266C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266C5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sid w:val="00EF647E"/>
    <w:rPr>
      <w:sz w:val="18"/>
      <w:u w:val="none"/>
      <w:vertAlign w:val="superscript"/>
    </w:rPr>
  </w:style>
  <w:style w:type="paragraph" w:styleId="BodyTextIndent">
    <w:name w:val="Body Text Indent"/>
    <w:basedOn w:val="Normal"/>
    <w:rsid w:val="003266C5"/>
    <w:pPr>
      <w:spacing w:before="120" w:after="120"/>
      <w:ind w:left="1440" w:hanging="720"/>
      <w:jc w:val="left"/>
    </w:pPr>
  </w:style>
  <w:style w:type="character" w:styleId="PageNumber">
    <w:name w:val="page number"/>
    <w:rsid w:val="003266C5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3266C5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3266C5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3266C5"/>
    <w:pPr>
      <w:ind w:left="170" w:right="3119" w:hanging="170"/>
      <w:jc w:val="left"/>
    </w:pPr>
  </w:style>
  <w:style w:type="paragraph" w:customStyle="1" w:styleId="Para3">
    <w:name w:val="Para3"/>
    <w:basedOn w:val="Normal"/>
    <w:rsid w:val="003266C5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3266C5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3266C5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3266C5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3266C5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3266C5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3266C5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3266C5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3266C5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3266C5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3266C5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sid w:val="003266C5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rsid w:val="003266C5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sid w:val="003266C5"/>
    <w:rPr>
      <w:vertAlign w:val="superscript"/>
    </w:rPr>
  </w:style>
  <w:style w:type="paragraph" w:styleId="EndnoteText">
    <w:name w:val="endnote text"/>
    <w:basedOn w:val="Normal"/>
    <w:semiHidden/>
    <w:rsid w:val="003266C5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rsid w:val="003266C5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3266C5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3266C5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rsid w:val="003266C5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ru-RU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ru-RU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537D"/>
    <w:rPr>
      <w:sz w:val="22"/>
      <w:szCs w:val="24"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ru-RU"/>
    </w:rPr>
  </w:style>
  <w:style w:type="paragraph" w:styleId="Revision">
    <w:name w:val="Revision"/>
    <w:hidden/>
    <w:uiPriority w:val="99"/>
    <w:semiHidden/>
    <w:rsid w:val="00D9537D"/>
    <w:rPr>
      <w:sz w:val="22"/>
      <w:szCs w:val="24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"/>
    <w:locked/>
    <w:rsid w:val="00F74E03"/>
    <w:rPr>
      <w:snapToGrid w:val="0"/>
      <w:sz w:val="22"/>
      <w:szCs w:val="18"/>
      <w:lang w:val="ru-RU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74E03"/>
    <w:pPr>
      <w:pBdr>
        <w:top w:val="nil"/>
        <w:left w:val="nil"/>
        <w:bottom w:val="nil"/>
        <w:right w:val="nil"/>
        <w:between w:val="nil"/>
        <w:bar w:val="nil"/>
      </w:pBdr>
      <w:spacing w:after="200"/>
      <w:jc w:val="center"/>
    </w:pPr>
    <w:rPr>
      <w:rFonts w:eastAsia="Arial Unicode MS" w:hAnsi="Arial Unicode MS" w:cs="Arial Unicode MS"/>
      <w:b/>
      <w:bCs/>
      <w:szCs w:val="18"/>
      <w:u w:color="000000"/>
      <w:bdr w:val="nil"/>
    </w:rPr>
  </w:style>
  <w:style w:type="character" w:customStyle="1" w:styleId="CaptionChar">
    <w:name w:val="Caption Char"/>
    <w:link w:val="Caption"/>
    <w:uiPriority w:val="35"/>
    <w:rsid w:val="00F74E03"/>
    <w:rPr>
      <w:rFonts w:eastAsia="Arial Unicode MS" w:hAnsi="Arial Unicode MS" w:cs="Arial Unicode MS"/>
      <w:b/>
      <w:bCs/>
      <w:sz w:val="22"/>
      <w:szCs w:val="18"/>
      <w:u w:color="000000"/>
      <w:bdr w:val="nil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12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n.org/fr/documents/view_doc.asp?symbol=A/RES/72/249&amp;TYPE=&amp;referer=http://www.un.org/fr/ga/72/resolutions.shtml&amp;Lang=R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ndocs.org/ru/A/AC.287/2017/PC.4/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np-mop-02/np-mop-02-dec-10-ru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3/a-be595r.pdf" TargetMode="External"/><Relationship Id="rId2" Type="http://schemas.openxmlformats.org/officeDocument/2006/relationships/hyperlink" Target="https://www.cbd.int/doc/meetings/abs/np-mop-02/official/np-mop-02-10-ru.pdf" TargetMode="External"/><Relationship Id="rId1" Type="http://schemas.openxmlformats.org/officeDocument/2006/relationships/hyperlink" Target="https://www.cbd.int/doc/c/6ce5/878e/5ffa49887c20c19961fe040a/sbi-02-01-ru.pdf" TargetMode="External"/><Relationship Id="rId5" Type="http://schemas.openxmlformats.org/officeDocument/2006/relationships/hyperlink" Target="http://apps.who.int/gb/ebwha/pdf_files/WHA71/A71_24-ru.pdf" TargetMode="External"/><Relationship Id="rId4" Type="http://schemas.openxmlformats.org/officeDocument/2006/relationships/hyperlink" Target="http://www.who.int/influenza/pip/Documents_WHA70108b/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PlaceholderText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29AF"/>
    <w:rsid w:val="00015BC6"/>
    <w:rsid w:val="001659B5"/>
    <w:rsid w:val="001B29AF"/>
    <w:rsid w:val="0037757D"/>
    <w:rsid w:val="0038678D"/>
    <w:rsid w:val="004704A2"/>
    <w:rsid w:val="004A69EC"/>
    <w:rsid w:val="005A38C6"/>
    <w:rsid w:val="006A309E"/>
    <w:rsid w:val="007E501A"/>
    <w:rsid w:val="0083264A"/>
    <w:rsid w:val="00A23447"/>
    <w:rsid w:val="00A27574"/>
    <w:rsid w:val="00A54A73"/>
    <w:rsid w:val="00B36C7B"/>
    <w:rsid w:val="00BA1AF3"/>
    <w:rsid w:val="00BB2CFE"/>
    <w:rsid w:val="00C71C37"/>
    <w:rsid w:val="00D5481D"/>
    <w:rsid w:val="00E2156A"/>
    <w:rsid w:val="00E47C6A"/>
    <w:rsid w:val="00EC17B5"/>
    <w:rsid w:val="00F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015B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2A7A6-B631-4A5F-A2E2-15AD48E3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823</TotalTime>
  <Pages>17</Pages>
  <Words>7212</Words>
  <Characters>41112</Characters>
  <Application>Microsoft Office Word</Application>
  <DocSecurity>0</DocSecurity>
  <Lines>342</Lines>
  <Paragraphs>96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Глобальный многосторонний механизм совместного использования выгод (статья 10 Нагойского протокола) </vt:lpstr>
      <vt:lpstr>Global multilateral benefit-sharing mechanism (Article 10 of the Nagoya Protocol)</vt:lpstr>
    </vt:vector>
  </TitlesOfParts>
  <Company>Biodiversity</Company>
  <LinksUpToDate>false</LinksUpToDate>
  <CharactersWithSpaces>48228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Глобальный многосторонний механизм совместного использования выгод (статья 10 Нагойского протокола) </dc:title>
  <dc:subject>CBD/SBI/2/5</dc:subject>
  <dc:creator>SCBD</dc:creator>
  <cp:lastModifiedBy>Teresa Mazza</cp:lastModifiedBy>
  <cp:revision>26</cp:revision>
  <cp:lastPrinted>2018-06-08T10:13:00Z</cp:lastPrinted>
  <dcterms:created xsi:type="dcterms:W3CDTF">2018-06-05T07:38:00Z</dcterms:created>
  <dcterms:modified xsi:type="dcterms:W3CDTF">2018-06-08T18:39:00Z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ВСПОМОГАТЕЛЬНЫЙ ОРГАН ПО ОСУЩЕСТВЛЕНИЮ </vt:lpwstr>
  </property>
</Properties>
</file>