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434"/>
        <w:gridCol w:w="7939"/>
      </w:tblGrid>
      <w:tr w:rsidR="00645C96" w:rsidRPr="00D8684A" w14:paraId="6DC61EFE" w14:textId="77777777" w:rsidTr="00327873">
        <w:trPr>
          <w:trHeight w:val="850"/>
        </w:trPr>
        <w:tc>
          <w:tcPr>
            <w:tcW w:w="975" w:type="dxa"/>
            <w:vAlign w:val="bottom"/>
          </w:tcPr>
          <w:p w14:paraId="6D5444A7" w14:textId="77777777" w:rsidR="00645C96" w:rsidRPr="00D8684A" w:rsidRDefault="00645C96" w:rsidP="00316D3C">
            <w:pPr>
              <w:pStyle w:val="AASmallLogo"/>
            </w:pPr>
            <w:bookmarkStart w:id="0" w:name="_Hlk137651738"/>
            <w:r>
              <w:rPr>
                <w:noProof/>
              </w:rPr>
              <w:drawing>
                <wp:inline distT="0" distB="0" distL="0" distR="0" wp14:anchorId="73C9A736" wp14:editId="56F0E38D">
                  <wp:extent cx="474727" cy="402337"/>
                  <wp:effectExtent l="0" t="0" r="1905" b="0"/>
                  <wp:docPr id="1244614358"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244614358" name="Picture 1" descr="A black background with a black square&#10;&#10;AI-generated content may be incorrect."/>
                          <pic:cNvPicPr/>
                        </pic:nvPicPr>
                        <pic:blipFill>
                          <a:blip r:embed="rId11"/>
                          <a:stretch>
                            <a:fillRect/>
                          </a:stretch>
                        </pic:blipFill>
                        <pic:spPr>
                          <a:xfrm>
                            <a:off x="0" y="0"/>
                            <a:ext cx="474727" cy="402337"/>
                          </a:xfrm>
                          <a:prstGeom prst="rect">
                            <a:avLst/>
                          </a:prstGeom>
                        </pic:spPr>
                      </pic:pic>
                    </a:graphicData>
                  </a:graphic>
                </wp:inline>
              </w:drawing>
            </w:r>
            <w:r>
              <w:t xml:space="preserve"> </w:t>
            </w:r>
          </w:p>
          <w:p w14:paraId="54DAABCF" w14:textId="77777777" w:rsidR="00645C96" w:rsidRPr="00D8684A" w:rsidRDefault="00645C96" w:rsidP="00316D3C">
            <w:pPr>
              <w:pStyle w:val="AASmallLogo"/>
            </w:pPr>
          </w:p>
        </w:tc>
        <w:tc>
          <w:tcPr>
            <w:tcW w:w="1434" w:type="dxa"/>
            <w:noWrap/>
            <w:vAlign w:val="bottom"/>
          </w:tcPr>
          <w:p w14:paraId="63FE08D3" w14:textId="168470EE" w:rsidR="00645C96" w:rsidRPr="00D8684A" w:rsidRDefault="00432EB2" w:rsidP="00316D3C">
            <w:pPr>
              <w:pStyle w:val="AASmallLogo"/>
            </w:pPr>
            <w:r w:rsidRPr="00FD55E9">
              <w:rPr>
                <w:noProof/>
                <w:lang w:val="fr-FR" w:eastAsia="fr-CA"/>
                <w14:ligatures w14:val="standardContextual"/>
              </w:rPr>
              <w:drawing>
                <wp:inline distT="0" distB="0" distL="0" distR="0" wp14:anchorId="71ED0D69" wp14:editId="2E2862C4">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645C96">
              <w:t xml:space="preserve"> </w:t>
            </w:r>
          </w:p>
          <w:p w14:paraId="23A584AF" w14:textId="77777777" w:rsidR="00645C96" w:rsidRPr="00D8684A" w:rsidRDefault="00645C96" w:rsidP="00316D3C">
            <w:pPr>
              <w:pStyle w:val="AASmallLogo"/>
            </w:pPr>
          </w:p>
        </w:tc>
        <w:tc>
          <w:tcPr>
            <w:tcW w:w="7939" w:type="dxa"/>
            <w:vAlign w:val="bottom"/>
          </w:tcPr>
          <w:p w14:paraId="1FDFF4FC" w14:textId="799FCCA8" w:rsidR="00645C96" w:rsidRPr="00D8684A" w:rsidRDefault="00645C96" w:rsidP="00172A80">
            <w:pPr>
              <w:pStyle w:val="ABSymbol"/>
            </w:pPr>
            <w:r>
              <w:rPr>
                <w:sz w:val="40"/>
              </w:rPr>
              <w:t>CBD</w:t>
            </w:r>
            <w:r>
              <w:t>/SBI/6/L.1</w:t>
            </w:r>
          </w:p>
        </w:tc>
      </w:tr>
    </w:tbl>
    <w:p w14:paraId="649FDFFF" w14:textId="77777777" w:rsidR="00645C96" w:rsidRPr="00D8684A" w:rsidRDefault="00645C96" w:rsidP="00645C96">
      <w:pPr>
        <w:pStyle w:val="AISpace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645C96" w:rsidRPr="00D8684A" w14:paraId="472176D7" w14:textId="77777777" w:rsidTr="00327873">
        <w:trPr>
          <w:trHeight w:val="1814"/>
        </w:trPr>
        <w:tc>
          <w:tcPr>
            <w:tcW w:w="7370" w:type="dxa"/>
          </w:tcPr>
          <w:p w14:paraId="64611EDD" w14:textId="07E8C8CE" w:rsidR="00645C96" w:rsidRPr="00D8684A" w:rsidRDefault="00432EB2" w:rsidP="00316D3C">
            <w:pPr>
              <w:pStyle w:val="ACLargeLogo"/>
            </w:pPr>
            <w:r w:rsidRPr="00FD55E9">
              <w:rPr>
                <w:noProof/>
                <w:lang w:val="fr-FR" w:eastAsia="fr-CA"/>
                <w14:ligatures w14:val="standardContextual"/>
              </w:rPr>
              <w:drawing>
                <wp:inline distT="0" distB="0" distL="0" distR="0" wp14:anchorId="086C3E36" wp14:editId="3B9B5A03">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645C96">
              <w:t xml:space="preserve"> </w:t>
            </w:r>
          </w:p>
          <w:p w14:paraId="7CE9ED55" w14:textId="77777777" w:rsidR="00645C96" w:rsidRPr="00D8684A" w:rsidRDefault="00645C96" w:rsidP="00316D3C">
            <w:pPr>
              <w:pStyle w:val="ACLargeLogo"/>
            </w:pPr>
          </w:p>
        </w:tc>
        <w:tc>
          <w:tcPr>
            <w:tcW w:w="2978" w:type="dxa"/>
          </w:tcPr>
          <w:p w14:paraId="2871A4C9" w14:textId="77777777" w:rsidR="00432EB2" w:rsidRPr="006C2DAC" w:rsidRDefault="00432EB2" w:rsidP="00432EB2">
            <w:pPr>
              <w:pStyle w:val="AEDistrNormal"/>
            </w:pPr>
            <w:r>
              <w:t>Distr. : limitée</w:t>
            </w:r>
          </w:p>
          <w:p w14:paraId="2ACB8332" w14:textId="12F70AE1" w:rsidR="00432EB2" w:rsidRPr="006C2DAC" w:rsidRDefault="00432EB2" w:rsidP="00432EB2">
            <w:pPr>
              <w:pStyle w:val="AEDistrNormal"/>
            </w:pPr>
            <w:r>
              <w:t>19 février 2026</w:t>
            </w:r>
          </w:p>
          <w:p w14:paraId="5C74D646" w14:textId="77777777" w:rsidR="00432EB2" w:rsidRPr="006C2DAC" w:rsidRDefault="00432EB2" w:rsidP="00432EB2">
            <w:pPr>
              <w:pStyle w:val="AEDistrNormal6pt"/>
            </w:pPr>
            <w:r>
              <w:t>Français</w:t>
            </w:r>
            <w:r>
              <w:br/>
              <w:t>Original : anglais</w:t>
            </w:r>
          </w:p>
          <w:p w14:paraId="3772B89F" w14:textId="77777777" w:rsidR="00645C96" w:rsidRPr="00D8684A" w:rsidRDefault="00645C96" w:rsidP="00316D3C">
            <w:pPr>
              <w:pStyle w:val="AEDistrNormal6pt"/>
            </w:pPr>
          </w:p>
        </w:tc>
      </w:tr>
    </w:tbl>
    <w:p w14:paraId="69D8F018" w14:textId="77777777" w:rsidR="00645C96" w:rsidRPr="00D8684A" w:rsidRDefault="00645C96" w:rsidP="00645C96">
      <w:pPr>
        <w:pStyle w:val="AISpace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645C96" w:rsidRPr="00D8684A" w14:paraId="4BE6E41A" w14:textId="77777777" w:rsidTr="00327873">
        <w:trPr>
          <w:trHeight w:val="57"/>
        </w:trPr>
        <w:tc>
          <w:tcPr>
            <w:tcW w:w="6094" w:type="dxa"/>
          </w:tcPr>
          <w:p w14:paraId="427FA854" w14:textId="77777777" w:rsidR="00645C96" w:rsidRPr="00D8684A" w:rsidRDefault="00645C96" w:rsidP="00316D3C">
            <w:pPr>
              <w:pStyle w:val="AFCorN12Bold"/>
            </w:pPr>
            <w:r>
              <w:t xml:space="preserve">Organe subsidiaire chargé de l’application </w:t>
            </w:r>
          </w:p>
          <w:p w14:paraId="36696FAA" w14:textId="77777777" w:rsidR="00645C96" w:rsidRPr="00D8684A" w:rsidRDefault="00645C96" w:rsidP="00316D3C">
            <w:pPr>
              <w:pStyle w:val="AFCorNBold"/>
            </w:pPr>
            <w:r>
              <w:t xml:space="preserve">Sixième réunion </w:t>
            </w:r>
          </w:p>
          <w:p w14:paraId="05ED9BBC" w14:textId="77777777" w:rsidR="00645C96" w:rsidRPr="00D8684A" w:rsidRDefault="00645C96" w:rsidP="00316D3C">
            <w:pPr>
              <w:pStyle w:val="AFCorNNormal"/>
            </w:pPr>
            <w:r>
              <w:t xml:space="preserve">Rome, </w:t>
            </w:r>
            <w:r>
              <w:rPr>
                <w:snapToGrid w:val="0"/>
              </w:rPr>
              <w:t>16-19 février 2026</w:t>
            </w:r>
          </w:p>
          <w:p w14:paraId="077C4003" w14:textId="53FEFD98" w:rsidR="00645C96" w:rsidRPr="00D8684A" w:rsidRDefault="00A47478" w:rsidP="00316D3C">
            <w:pPr>
              <w:pStyle w:val="AFCorNNormal"/>
            </w:pPr>
            <w:r>
              <w:t>Point 12 de l’ordre du jour</w:t>
            </w:r>
          </w:p>
          <w:p w14:paraId="44B055DB" w14:textId="2B425E69" w:rsidR="00645C96" w:rsidRPr="00D8684A" w:rsidRDefault="006E308A" w:rsidP="00172A80">
            <w:pPr>
              <w:pStyle w:val="AFCorNBold"/>
              <w:spacing w:after="120"/>
            </w:pPr>
            <w:r>
              <w:t>Adoption du rapport</w:t>
            </w:r>
          </w:p>
        </w:tc>
        <w:tc>
          <w:tcPr>
            <w:tcW w:w="4254" w:type="dxa"/>
          </w:tcPr>
          <w:p w14:paraId="3BDA9730" w14:textId="77777777" w:rsidR="00645C96" w:rsidRPr="00D8684A" w:rsidRDefault="00645C96" w:rsidP="00316D3C">
            <w:pPr>
              <w:pStyle w:val="CBDNormal"/>
              <w:jc w:val="left"/>
            </w:pPr>
          </w:p>
        </w:tc>
      </w:tr>
    </w:tbl>
    <w:bookmarkEnd w:id="0"/>
    <w:p w14:paraId="1774132B" w14:textId="3A93F7FD" w:rsidR="00A96B21" w:rsidRPr="00432EB2" w:rsidRDefault="00EE4339" w:rsidP="00172A80">
      <w:pPr>
        <w:pStyle w:val="CBDTitle"/>
      </w:pPr>
      <w:sdt>
        <w:sdtPr>
          <w:alias w:val="Titr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EndPr/>
        <w:sdtContent>
          <w:r w:rsidR="00432EB2" w:rsidRPr="00432EB2">
            <w:t>Projet de rapport de la réunion</w:t>
          </w:r>
        </w:sdtContent>
      </w:sdt>
    </w:p>
    <w:p w14:paraId="15B4DE54" w14:textId="2940A26D" w:rsidR="00FA18C9" w:rsidRPr="00D8684A" w:rsidRDefault="00647829" w:rsidP="00172A80">
      <w:pPr>
        <w:pStyle w:val="CBDH1"/>
        <w:ind w:firstLine="0"/>
      </w:pPr>
      <w:r>
        <w:t>Introduction</w:t>
      </w:r>
    </w:p>
    <w:p w14:paraId="332C06F6" w14:textId="5A86AC57" w:rsidR="00063AC9" w:rsidRPr="00D8684A" w:rsidRDefault="00063AC9" w:rsidP="00C77DEF">
      <w:pPr>
        <w:pStyle w:val="CBDNormalNumber"/>
      </w:pPr>
      <w:r>
        <w:t>La sixième réunion de l</w:t>
      </w:r>
      <w:r w:rsidR="00432EB2">
        <w:t>’</w:t>
      </w:r>
      <w:r>
        <w:t>Organe subsidiaire chargé de l</w:t>
      </w:r>
      <w:r w:rsidR="00432EB2">
        <w:t>’</w:t>
      </w:r>
      <w:r>
        <w:t>application s</w:t>
      </w:r>
      <w:r w:rsidR="00432EB2">
        <w:t>’</w:t>
      </w:r>
      <w:r>
        <w:t>est tenue à Rome, du 16 au 19 février 2026. Ont participé à la réunion [--] Parties et [--] États non-Parties à la Convention sur la diversité biologique.</w:t>
      </w:r>
    </w:p>
    <w:p w14:paraId="5A246681" w14:textId="2746ECAA" w:rsidR="0057693B" w:rsidRPr="00D8684A" w:rsidRDefault="00685DEC" w:rsidP="005F2747">
      <w:pPr>
        <w:pStyle w:val="CBDAgendaItem0"/>
        <w:rPr>
          <w:rFonts w:hint="eastAsia"/>
        </w:rPr>
      </w:pPr>
      <w:r>
        <w:t xml:space="preserve">Point 1 </w:t>
      </w:r>
      <w:r>
        <w:br/>
        <w:t>Ouverture de la réunion</w:t>
      </w:r>
    </w:p>
    <w:p w14:paraId="3B1B57C6" w14:textId="7037B5FE" w:rsidR="006525CE" w:rsidRPr="00D8684A" w:rsidRDefault="006525CE" w:rsidP="00C77DEF">
      <w:pPr>
        <w:pStyle w:val="CBDNormalNumber"/>
      </w:pPr>
      <w:r>
        <w:t xml:space="preserve">La réunion a été déclarée ouverte à 10 h 15 le 16 février 2026 par la présidente, Clarissa Nina (Brésil). </w:t>
      </w:r>
    </w:p>
    <w:p w14:paraId="10997855" w14:textId="5661AF47" w:rsidR="001D4AEB" w:rsidRPr="00D8684A" w:rsidRDefault="001D4AEB" w:rsidP="00C77DEF">
      <w:pPr>
        <w:pStyle w:val="CBDNormalNumber"/>
      </w:pPr>
      <w:r>
        <w:t>Après avoir souhaité la bienvenue aux participants à Rome, la présidente a rappelé qu</w:t>
      </w:r>
      <w:r w:rsidR="00432EB2">
        <w:t>’</w:t>
      </w:r>
      <w:r>
        <w:t>il ne restait plus que quelques années avant 2030, échéance convenue pour la réalisation des 23 cibles du Cadre mondial de la biodiversité de Kunming-Montréal. L</w:t>
      </w:r>
      <w:r w:rsidR="00432EB2">
        <w:t>’</w:t>
      </w:r>
      <w:r>
        <w:t>Organe subsidiaire avait pour mission d</w:t>
      </w:r>
      <w:r w:rsidR="00432EB2">
        <w:t>’</w:t>
      </w:r>
      <w:r>
        <w:t>impulser des actions nationales à la hauteur des ambitions de la Convention. La réunion actuelle s</w:t>
      </w:r>
      <w:r w:rsidR="00432EB2">
        <w:t>’</w:t>
      </w:r>
      <w:r>
        <w:t>inscrivait dans un cycle intense de travaux intergouvernementaux entrepris en prévision de la dix-septième réunion de la Conférence des Parties, qui se tiendra prochainement à Yerevan. Le temps était un facteur clé. En conséquence, afin d</w:t>
      </w:r>
      <w:r w:rsidR="00432EB2">
        <w:t>’</w:t>
      </w:r>
      <w:r>
        <w:t>améliorer l</w:t>
      </w:r>
      <w:r w:rsidR="00432EB2">
        <w:t>’</w:t>
      </w:r>
      <w:r>
        <w:t>efficacité de la réunion, il avait été décidé d</w:t>
      </w:r>
      <w:r w:rsidR="00432EB2">
        <w:t>’</w:t>
      </w:r>
      <w:r>
        <w:t>appliquer la modalité pilote de communication anticipée des déclarations, qui avait été introduite à la vingt-septième réunion de l</w:t>
      </w:r>
      <w:r w:rsidR="00432EB2">
        <w:t>’</w:t>
      </w:r>
      <w:r>
        <w:t>Organe subsidiaire chargé de fournir des avis scientifiques, techniques et technologiques, pour tous les points importants inscrits à l</w:t>
      </w:r>
      <w:r w:rsidR="00432EB2">
        <w:t>’</w:t>
      </w:r>
      <w:r>
        <w:t>ordre du jour de la présente réunion. Par ailleurs, outre la publication en temps opportun des documents de travail et d</w:t>
      </w:r>
      <w:r w:rsidR="00432EB2">
        <w:t>’</w:t>
      </w:r>
      <w:r>
        <w:t>information avant les sessions, le secrétariat avait raccourci la longueur des documents et commencé à inclure le coût des recommandations. Les représentants ont été exhortés à mettre à profit chaque minute de la réunion et à faire preuve de détermination et de sagesse pour surmonter leurs divergences et trouver un terrain d</w:t>
      </w:r>
      <w:r w:rsidR="00432EB2">
        <w:t>’</w:t>
      </w:r>
      <w:r>
        <w:t>entente, dans l</w:t>
      </w:r>
      <w:r w:rsidR="00432EB2">
        <w:t>’</w:t>
      </w:r>
      <w:r>
        <w:t xml:space="preserve">intérêt commun. </w:t>
      </w:r>
    </w:p>
    <w:p w14:paraId="4C79B61F" w14:textId="6DA384A5" w:rsidR="00F37397" w:rsidRPr="00D8684A" w:rsidRDefault="00A02CE2" w:rsidP="00C77DEF">
      <w:pPr>
        <w:pStyle w:val="CBDNormalNumber"/>
        <w:rPr>
          <w:b/>
          <w:iCs/>
          <w:szCs w:val="24"/>
        </w:rPr>
      </w:pPr>
      <w:r>
        <w:t>Des déclarations liminaires</w:t>
      </w:r>
      <w:r w:rsidRPr="00D8684A">
        <w:rPr>
          <w:rStyle w:val="FootnoteReference"/>
        </w:rPr>
        <w:footnoteReference w:id="1"/>
      </w:r>
      <w:r>
        <w:t xml:space="preserve"> ont été faites par Jaime Gnecco, </w:t>
      </w:r>
      <w:r>
        <w:rPr>
          <w:shd w:val="clear" w:color="auto" w:fill="FFFFFF"/>
        </w:rPr>
        <w:t>ministre</w:t>
      </w:r>
      <w:r>
        <w:t xml:space="preserve"> plénipotentiaire </w:t>
      </w:r>
      <w:r>
        <w:rPr>
          <w:shd w:val="clear" w:color="auto" w:fill="FFFFFF"/>
        </w:rPr>
        <w:t>et représentant permanent adjoint de la Colombie auprès de l</w:t>
      </w:r>
      <w:r w:rsidR="00432EB2">
        <w:rPr>
          <w:shd w:val="clear" w:color="auto" w:fill="FFFFFF"/>
        </w:rPr>
        <w:t>’</w:t>
      </w:r>
      <w:r>
        <w:rPr>
          <w:shd w:val="clear" w:color="auto" w:fill="FFFFFF"/>
        </w:rPr>
        <w:t>Organisation des Nations Unies pour l</w:t>
      </w:r>
      <w:r w:rsidR="00432EB2">
        <w:rPr>
          <w:shd w:val="clear" w:color="auto" w:fill="FFFFFF"/>
        </w:rPr>
        <w:t>’</w:t>
      </w:r>
      <w:r>
        <w:rPr>
          <w:shd w:val="clear" w:color="auto" w:fill="FFFFFF"/>
        </w:rPr>
        <w:t>alimentation et l</w:t>
      </w:r>
      <w:r w:rsidR="00432EB2">
        <w:rPr>
          <w:shd w:val="clear" w:color="auto" w:fill="FFFFFF"/>
        </w:rPr>
        <w:t>’</w:t>
      </w:r>
      <w:r>
        <w:rPr>
          <w:shd w:val="clear" w:color="auto" w:fill="FFFFFF"/>
        </w:rPr>
        <w:t xml:space="preserve">agriculture (FAO), </w:t>
      </w:r>
      <w:r>
        <w:t xml:space="preserve">au nom de la Présidente de la seizième réunion de la </w:t>
      </w:r>
      <w:r>
        <w:lastRenderedPageBreak/>
        <w:t>Conférence des Parties, Irene Vélez Torres, et par Astrid Schomaker, Secrétaire exécutive de la Convention.</w:t>
      </w:r>
    </w:p>
    <w:p w14:paraId="48159910" w14:textId="39E8087F" w:rsidR="000F195E" w:rsidRPr="00D8684A" w:rsidRDefault="000F195E" w:rsidP="00C77DEF">
      <w:pPr>
        <w:pStyle w:val="CBDNormalNumber"/>
        <w:rPr>
          <w:b/>
          <w:iCs/>
          <w:szCs w:val="24"/>
        </w:rPr>
      </w:pPr>
      <w:r>
        <w:t xml:space="preserve">Dans son allocution, le </w:t>
      </w:r>
      <w:r>
        <w:rPr>
          <w:shd w:val="clear" w:color="auto" w:fill="FFFFFF"/>
        </w:rPr>
        <w:t>représentant permanent adjoint de la Colombie</w:t>
      </w:r>
      <w:r>
        <w:t xml:space="preserve"> a déclaré que, pour son pays, la seizième réunion de la Conférence des Parties avait marqué un tournant décisif dans la sensibilisation nationale à la crise de la biodiversité. Il a noté avec satisfaction que la plupart des Parties avaient soumis des objectifs nationaux actualisés pour leurs stratégies et plans d’action nationaux pour la biodiversité. Il a toutefois exhorté les Parties à soumettre également leurs septièmes rapports nationaux avant la date limite du 28 février 2026, de manière à fournir les informations nécessaires à l</w:t>
      </w:r>
      <w:r w:rsidR="00432EB2">
        <w:t>’</w:t>
      </w:r>
      <w:r>
        <w:t>élaboration du rapport mondial sur les progrès collectifs réalisés dans la mise en œuvre du Cadre. Malgré un déclin accéléré de la biodiversité et des preuves scientifiques évidentes de la nécessité d</w:t>
      </w:r>
      <w:r w:rsidR="00432EB2">
        <w:t>’</w:t>
      </w:r>
      <w:r>
        <w:t>investir pour assurer un avenir durable à tous, le monde a continué à privilégier les dépenses militaires. Après l</w:t>
      </w:r>
      <w:r w:rsidR="00432EB2">
        <w:t>’</w:t>
      </w:r>
      <w:r>
        <w:t>établissement en 2025 d</w:t>
      </w:r>
      <w:r w:rsidR="00432EB2">
        <w:t>’</w:t>
      </w:r>
      <w:r>
        <w:t>une feuille de route pour les travaux relatifs à la mobilisation des ressources jusqu</w:t>
      </w:r>
      <w:r w:rsidR="00432EB2">
        <w:t>’</w:t>
      </w:r>
      <w:r>
        <w:t>en 2030, les Parties ont été encouragées à prendre des mesures audacieuses afin que la Conférence des Parties puisse, à sa dix-septième réunion, réaliser des progrès significatifs dans la mise en œuvre de la cible 19 du Cadre. À cet égard, il a souligné que des mécanismes fiables de renforcement des capacités, fondés sur la confiance et l</w:t>
      </w:r>
      <w:r w:rsidR="00432EB2">
        <w:t>’</w:t>
      </w:r>
      <w:r>
        <w:t>apprentissage mutuel, étaient nécessaires pour assurer le succès de la conservation de la biodiversité au niveau international. Il a également informé les participants que la Colombie, qui prône un renforcement des synergies entre les programmes en matière de biodiversité et de climat, allait organiser les 28 et 29 avril 2026 la première conférence sur la transition vers l</w:t>
      </w:r>
      <w:r w:rsidR="00432EB2">
        <w:t>’</w:t>
      </w:r>
      <w:r>
        <w:t>abandon des combustibles fossiles, en collaboration avec le Royaume des Pays-Bas. La conférence présentera différentes pistes pour un avenir décarboné, notamment le recours à des solutions fondées sur la nature et la bioéconomie. En conclusion, il a exhorté les représentants à négocier de bonne foi et à mettre à profit le peu de temps disponible pour parvenir à des solutions, afin de répondre aux attentes du monde entier et faire de Yerevan un véritable succès.</w:t>
      </w:r>
    </w:p>
    <w:p w14:paraId="512611B9" w14:textId="3B52C337" w:rsidR="00A73BC5" w:rsidRPr="00D8684A" w:rsidRDefault="00864635" w:rsidP="0084701F">
      <w:pPr>
        <w:pStyle w:val="CBDNormalNumber"/>
      </w:pPr>
      <w:r>
        <w:t xml:space="preserve">La Secrétaire exécutive a remercié la </w:t>
      </w:r>
      <w:r>
        <w:rPr>
          <w:shd w:val="clear" w:color="auto" w:fill="FFFFFF"/>
        </w:rPr>
        <w:t>FAO</w:t>
      </w:r>
      <w:r>
        <w:t xml:space="preserve"> d</w:t>
      </w:r>
      <w:r w:rsidR="00432EB2">
        <w:t>’</w:t>
      </w:r>
      <w:r>
        <w:t>accueillir la réunion et a salué la présence des présidences actuelles et à venir de la Conférence des Parties. Remerciant les différents gouvernements qui ont apporté leur soutien financier pour permettre la participation des Parties et des représentants des peuples autochtones et communautés locales, elle a encouragé d</w:t>
      </w:r>
      <w:r w:rsidR="00432EB2">
        <w:t>’</w:t>
      </w:r>
      <w:r>
        <w:t>autres donateurs potentiels à soutenir les nombreuses réunions qui se tiendront dans les mois à venir, et ceux qui sont susceptibles de bénéficier d</w:t>
      </w:r>
      <w:r w:rsidR="00432EB2">
        <w:t>’</w:t>
      </w:r>
      <w:r>
        <w:t>un soutien à explorer toutes les sources possibles d</w:t>
      </w:r>
      <w:r w:rsidR="00432EB2">
        <w:t>’</w:t>
      </w:r>
      <w:r>
        <w:t>aide financière. La sixième réunion de l</w:t>
      </w:r>
      <w:r w:rsidR="00432EB2">
        <w:t>’</w:t>
      </w:r>
      <w:r>
        <w:t>Organe subsidiaire a marqué une étape importante sur la voie de la réussite de la dix-septième réunion de la Conférence des Parties. Bien que la biodiversité ait gagné en importance dans les programmes du secteur privé et des ministres des Finances, pour chaque dollar investi dans sa protection, 30 dollars étaient encore investis dans des activités qui lui étaient préjudiciables. Elle a donc exhorté les participants à maintenir un esprit de consensus et à s</w:t>
      </w:r>
      <w:r w:rsidR="00432EB2">
        <w:t>’</w:t>
      </w:r>
      <w:r>
        <w:t>appuyer sur les progrès accomplis depuis la seizième réunion de la Conférence des Parties. Elle espérait que l</w:t>
      </w:r>
      <w:r w:rsidR="00432EB2">
        <w:t>’</w:t>
      </w:r>
      <w:r>
        <w:t>analyse par le secrétariat des stratégies et plans d’action nationaux pour la biodiversité et de leurs objectifs nationaux stimulerait une vague d</w:t>
      </w:r>
      <w:r w:rsidR="00432EB2">
        <w:t>’</w:t>
      </w:r>
      <w:r>
        <w:t>ambition nationale visant à atteindre les 23 cibles du Cadre. Elle a souligné l</w:t>
      </w:r>
      <w:r w:rsidR="00432EB2">
        <w:t>’</w:t>
      </w:r>
      <w:r>
        <w:t>importance d</w:t>
      </w:r>
      <w:r w:rsidR="00432EB2">
        <w:t>’</w:t>
      </w:r>
      <w:r>
        <w:t>accélérer la mobilisation des ressources, de veiller à ce que les stratégies et plans d’action nationaux pour la biodiversité tiennent compte de la dimension de genre et de renforcer la coopération avec d</w:t>
      </w:r>
      <w:r w:rsidR="00432EB2">
        <w:t>’</w:t>
      </w:r>
      <w:r>
        <w:t>autres conventions afin d</w:t>
      </w:r>
      <w:r w:rsidR="00432EB2">
        <w:t>’</w:t>
      </w:r>
      <w:r>
        <w:t>accélérer l</w:t>
      </w:r>
      <w:r w:rsidR="00432EB2">
        <w:t>’</w:t>
      </w:r>
      <w:r>
        <w:t>action engagée face aux crises environnementales interconnectées, d</w:t>
      </w:r>
      <w:r w:rsidR="00432EB2">
        <w:t>’</w:t>
      </w:r>
      <w:r>
        <w:t>accroître l</w:t>
      </w:r>
      <w:r w:rsidR="00432EB2">
        <w:t>’</w:t>
      </w:r>
      <w:r>
        <w:t>efficacité et de réduire la charge de travail liée à l</w:t>
      </w:r>
      <w:r w:rsidR="00432EB2">
        <w:t>’</w:t>
      </w:r>
      <w:r>
        <w:t>établissement de rapports pour les pays. Abordant la question de l</w:t>
      </w:r>
      <w:r w:rsidR="00432EB2">
        <w:t>’</w:t>
      </w:r>
      <w:r>
        <w:t>examen fonctionnel demandé par la Conférence des Parties à sa quinzième réunion, elle a déclaré que le secrétariat poursuivrait ses efforts pour améliorer son efficacité et son efficience afin de mieux appuyer les travaux menés jusqu</w:t>
      </w:r>
      <w:r w:rsidR="00432EB2">
        <w:t>’</w:t>
      </w:r>
      <w:r>
        <w:t>en 2030 et au-delà. Faisant écho aux déclarations liminaires précédentes, elle a exhorté les Parties, alors qu</w:t>
      </w:r>
      <w:r w:rsidR="00432EB2">
        <w:t>’</w:t>
      </w:r>
      <w:r>
        <w:t>elles entamaient leurs discussions, à ne pas oublier que le bien-être des populations et de la planète était en jeu.</w:t>
      </w:r>
    </w:p>
    <w:p w14:paraId="7CB52B6A" w14:textId="237AAA6D" w:rsidR="00647829" w:rsidRPr="00D8684A" w:rsidRDefault="00351901" w:rsidP="003E6D19">
      <w:pPr>
        <w:pStyle w:val="CBDAgendaItem0"/>
        <w:rPr>
          <w:rFonts w:hint="eastAsia"/>
        </w:rPr>
      </w:pPr>
      <w:r>
        <w:lastRenderedPageBreak/>
        <w:t xml:space="preserve">Point 2 </w:t>
      </w:r>
      <w:r>
        <w:br/>
        <w:t>Questions d</w:t>
      </w:r>
      <w:r w:rsidR="00432EB2">
        <w:t>’</w:t>
      </w:r>
      <w:r>
        <w:t>organisation : adoption de l</w:t>
      </w:r>
      <w:r w:rsidR="00432EB2">
        <w:t>’</w:t>
      </w:r>
      <w:r>
        <w:t>ordre du jour et organisation des travaux</w:t>
      </w:r>
    </w:p>
    <w:p w14:paraId="28A55582" w14:textId="1E070CFF" w:rsidR="0001576F" w:rsidRPr="00D8684A" w:rsidRDefault="00440B8E" w:rsidP="00052F01">
      <w:pPr>
        <w:pStyle w:val="CBDNormalNumber"/>
      </w:pPr>
      <w:r>
        <w:t>À sa première séance plénière, le 16 février, l</w:t>
      </w:r>
      <w:r w:rsidR="00432EB2">
        <w:t>’</w:t>
      </w:r>
      <w:r>
        <w:t xml:space="preserve">Organe subsidiaire a décidé que Bilal Qtishat (Jordanie) exercerait les fonctions de rapporteur de la réunion. </w:t>
      </w:r>
    </w:p>
    <w:p w14:paraId="685C86E8" w14:textId="77777777" w:rsidR="0001576F" w:rsidRPr="00D8684A" w:rsidRDefault="0001576F" w:rsidP="0001576F">
      <w:pPr>
        <w:pStyle w:val="CBDNormalNumber"/>
      </w:pPr>
      <w:r>
        <w:t>Le Rapporteur a exprimé ses remerciements au nom de tous les participants.</w:t>
      </w:r>
    </w:p>
    <w:p w14:paraId="7749D265" w14:textId="647AD967" w:rsidR="0001576F" w:rsidRPr="00D8684A" w:rsidRDefault="0001576F" w:rsidP="009567E0">
      <w:pPr>
        <w:pStyle w:val="CBDNormalNumber"/>
        <w:rPr>
          <w:b/>
          <w:iCs/>
          <w:szCs w:val="24"/>
        </w:rPr>
      </w:pPr>
      <w:r>
        <w:t>Au cours de la même session, l</w:t>
      </w:r>
      <w:r w:rsidR="00432EB2">
        <w:t>’</w:t>
      </w:r>
      <w:r>
        <w:t>Organe subsidiaire a examiné l</w:t>
      </w:r>
      <w:r w:rsidR="00432EB2">
        <w:t>’</w:t>
      </w:r>
      <w:r>
        <w:t>ordre du jour provisoire de la réunion</w:t>
      </w:r>
      <w:r w:rsidR="00961909" w:rsidRPr="00D8684A">
        <w:rPr>
          <w:rStyle w:val="FootnoteReference"/>
        </w:rPr>
        <w:footnoteReference w:id="2"/>
      </w:r>
      <w:r>
        <w:t xml:space="preserve"> et les annotations à cet ordre du jour</w:t>
      </w:r>
      <w:r w:rsidRPr="00D8684A">
        <w:rPr>
          <w:rStyle w:val="FootnoteReference"/>
        </w:rPr>
        <w:footnoteReference w:id="3"/>
      </w:r>
      <w:r>
        <w:t>, ainsi que la proposition d</w:t>
      </w:r>
      <w:r w:rsidR="00432EB2">
        <w:t>’</w:t>
      </w:r>
      <w:r>
        <w:t>organisation des travaux figurant à l</w:t>
      </w:r>
      <w:r w:rsidR="00432EB2">
        <w:t>’</w:t>
      </w:r>
      <w:r>
        <w:t>annexe I de la note de scénario</w:t>
      </w:r>
      <w:r w:rsidR="00F37397" w:rsidRPr="00D8684A">
        <w:rPr>
          <w:rStyle w:val="FootnoteReference"/>
          <w:szCs w:val="24"/>
        </w:rPr>
        <w:footnoteReference w:id="4"/>
      </w:r>
      <w:r>
        <w:t>.</w:t>
      </w:r>
    </w:p>
    <w:p w14:paraId="18745A58" w14:textId="5B8B4F7F" w:rsidR="0001576F" w:rsidRPr="00D8684A" w:rsidRDefault="0001576F" w:rsidP="009567E0">
      <w:pPr>
        <w:pStyle w:val="CBDNormalNumber"/>
        <w:rPr>
          <w:b/>
          <w:iCs/>
          <w:szCs w:val="24"/>
        </w:rPr>
      </w:pPr>
      <w:r>
        <w:t>Les représentants des Parties suivantes ont fait des déclarations : Burundi (au nom des États d</w:t>
      </w:r>
      <w:r w:rsidR="00432EB2">
        <w:t>’</w:t>
      </w:r>
      <w:r>
        <w:t>Afrique), Chine, Égypte, Fédération de Russie, Fidji (au nom des petits États insulaires en développement du Pacifique) et Jamaïque (au nom des États d</w:t>
      </w:r>
      <w:r w:rsidR="00432EB2">
        <w:t>’</w:t>
      </w:r>
      <w:r>
        <w:t>Amérique latine et des Caraïbes).</w:t>
      </w:r>
    </w:p>
    <w:p w14:paraId="1E379549" w14:textId="210309B3" w:rsidR="0001576F" w:rsidRPr="00D8684A" w:rsidRDefault="0001576F" w:rsidP="009567E0">
      <w:pPr>
        <w:pStyle w:val="CBDNormalNumber"/>
        <w:rPr>
          <w:b/>
          <w:iCs/>
          <w:szCs w:val="24"/>
        </w:rPr>
      </w:pPr>
      <w:r>
        <w:t>La Secrétaire exécutive et la présidente ont répondu aux commentaires.</w:t>
      </w:r>
    </w:p>
    <w:p w14:paraId="437F75A5" w14:textId="18F859C5" w:rsidR="00440B8E" w:rsidRPr="00D8684A" w:rsidRDefault="0001576F" w:rsidP="009567E0">
      <w:pPr>
        <w:pStyle w:val="CBDNormalNumber"/>
        <w:rPr>
          <w:b/>
          <w:iCs/>
          <w:szCs w:val="24"/>
        </w:rPr>
      </w:pPr>
      <w:r>
        <w:t xml:space="preserve">L’Organe subsidiaire a adopté l’ordre du jour suivant, sur la base de l’ordre du jour provisoire : </w:t>
      </w:r>
    </w:p>
    <w:p w14:paraId="2ADC7FC2" w14:textId="77777777" w:rsidR="00646138" w:rsidRPr="00D8684A" w:rsidRDefault="00646138" w:rsidP="00646138">
      <w:pPr>
        <w:pStyle w:val="CBDNormalNoNumber"/>
        <w:tabs>
          <w:tab w:val="clear" w:pos="567"/>
          <w:tab w:val="clear" w:pos="1134"/>
        </w:tabs>
        <w:ind w:left="1701" w:hanging="567"/>
        <w:rPr>
          <w:rFonts w:cstheme="majorBidi"/>
          <w:kern w:val="2"/>
        </w:rPr>
      </w:pPr>
      <w:r>
        <w:t>1.</w:t>
      </w:r>
      <w:r>
        <w:tab/>
        <w:t>Ouverture de la réunion.</w:t>
      </w:r>
    </w:p>
    <w:p w14:paraId="681DFD2E" w14:textId="0A219E57" w:rsidR="00646138" w:rsidRPr="00D8684A" w:rsidRDefault="00646138" w:rsidP="00646138">
      <w:pPr>
        <w:pStyle w:val="CBDNormalNoNumber"/>
        <w:tabs>
          <w:tab w:val="clear" w:pos="567"/>
          <w:tab w:val="clear" w:pos="1134"/>
        </w:tabs>
        <w:ind w:left="1701" w:hanging="567"/>
      </w:pPr>
      <w:r>
        <w:t>2.</w:t>
      </w:r>
      <w:r>
        <w:tab/>
        <w:t>Questions d</w:t>
      </w:r>
      <w:r w:rsidR="00432EB2">
        <w:t>’</w:t>
      </w:r>
      <w:r>
        <w:t>organisation : adoption de l</w:t>
      </w:r>
      <w:r w:rsidR="00432EB2">
        <w:t>’</w:t>
      </w:r>
      <w:r>
        <w:t>ordre du jour et organisation des travaux.</w:t>
      </w:r>
    </w:p>
    <w:p w14:paraId="6186C765" w14:textId="77777777" w:rsidR="00646138" w:rsidRPr="00D8684A" w:rsidRDefault="00646138" w:rsidP="00646138">
      <w:pPr>
        <w:pStyle w:val="CBDNormalNoNumber"/>
        <w:tabs>
          <w:tab w:val="clear" w:pos="567"/>
          <w:tab w:val="clear" w:pos="1134"/>
        </w:tabs>
        <w:ind w:left="1701" w:hanging="567"/>
      </w:pPr>
      <w:r>
        <w:t>3.</w:t>
      </w:r>
      <w:r>
        <w:tab/>
        <w:t>Mobilisation des ressources et mécanisme de financement :</w:t>
      </w:r>
    </w:p>
    <w:p w14:paraId="0A9C46EF" w14:textId="1ACDECEC" w:rsidR="00646138" w:rsidRPr="00D8684A" w:rsidRDefault="00646138" w:rsidP="00646138">
      <w:pPr>
        <w:pStyle w:val="CBDNormalNoNumber"/>
        <w:tabs>
          <w:tab w:val="clear" w:pos="567"/>
          <w:tab w:val="clear" w:pos="1134"/>
          <w:tab w:val="clear" w:pos="1701"/>
        </w:tabs>
        <w:ind w:left="2268" w:hanging="567"/>
      </w:pPr>
      <w:r>
        <w:t>a)</w:t>
      </w:r>
      <w:r>
        <w:tab/>
        <w:t>Mobilisation des ressources</w:t>
      </w:r>
      <w:r w:rsidR="00432EB2">
        <w:t> </w:t>
      </w:r>
      <w:r>
        <w:t>;</w:t>
      </w:r>
    </w:p>
    <w:p w14:paraId="2859FF1D" w14:textId="77777777" w:rsidR="00646138" w:rsidRPr="00D8684A" w:rsidRDefault="00646138" w:rsidP="00646138">
      <w:pPr>
        <w:pStyle w:val="CBDNormalNoNumber"/>
        <w:tabs>
          <w:tab w:val="clear" w:pos="567"/>
          <w:tab w:val="clear" w:pos="1134"/>
          <w:tab w:val="clear" w:pos="1701"/>
        </w:tabs>
        <w:ind w:left="2268" w:hanging="567"/>
      </w:pPr>
      <w:r>
        <w:t>b)</w:t>
      </w:r>
      <w:r>
        <w:tab/>
        <w:t>Mécanisme de financement.</w:t>
      </w:r>
    </w:p>
    <w:p w14:paraId="1F9CCF88" w14:textId="6DE749C6" w:rsidR="00646138" w:rsidRPr="00D8684A" w:rsidRDefault="00646138" w:rsidP="00646138">
      <w:pPr>
        <w:pStyle w:val="CBDNormalNoNumber"/>
        <w:tabs>
          <w:tab w:val="clear" w:pos="567"/>
          <w:tab w:val="clear" w:pos="1134"/>
        </w:tabs>
        <w:ind w:left="1701" w:hanging="567"/>
      </w:pPr>
      <w:r>
        <w:t>4.</w:t>
      </w:r>
      <w:r>
        <w:tab/>
        <w:t>Planification, suivi, établissement de rapports et examen : mise à jour des stratégies et plans d</w:t>
      </w:r>
      <w:r w:rsidR="00432EB2">
        <w:t>’</w:t>
      </w:r>
      <w:r>
        <w:t>action nationaux pour la biodiversité, des cibles nationales et des rapports nationaux.</w:t>
      </w:r>
    </w:p>
    <w:p w14:paraId="5DD25FA2" w14:textId="77777777" w:rsidR="00646138" w:rsidRPr="00D8684A" w:rsidRDefault="00646138" w:rsidP="00646138">
      <w:pPr>
        <w:pStyle w:val="CBDNormalNoNumber"/>
        <w:tabs>
          <w:tab w:val="clear" w:pos="567"/>
          <w:tab w:val="clear" w:pos="1134"/>
        </w:tabs>
        <w:ind w:left="1701" w:hanging="567"/>
      </w:pPr>
      <w:r>
        <w:t>5.</w:t>
      </w:r>
      <w:r>
        <w:tab/>
        <w:t>Plan d’action pour l’égalité des sexes.</w:t>
      </w:r>
    </w:p>
    <w:p w14:paraId="6AABB1C6" w14:textId="77777777" w:rsidR="00646138" w:rsidRPr="00D8684A" w:rsidRDefault="00646138" w:rsidP="00646138">
      <w:pPr>
        <w:pStyle w:val="CBDNormalNoNumber"/>
        <w:tabs>
          <w:tab w:val="clear" w:pos="567"/>
          <w:tab w:val="clear" w:pos="1134"/>
        </w:tabs>
        <w:ind w:left="1701" w:hanging="567"/>
      </w:pPr>
      <w:r>
        <w:t>6.</w:t>
      </w:r>
      <w:r>
        <w:tab/>
        <w:t>Création et renforcement des capacités et coopération technique et scientifique.</w:t>
      </w:r>
    </w:p>
    <w:p w14:paraId="57CFF6A9" w14:textId="77777777" w:rsidR="00646138" w:rsidRPr="00D8684A" w:rsidRDefault="00646138" w:rsidP="00646138">
      <w:pPr>
        <w:pStyle w:val="CBDNormalNoNumber"/>
        <w:tabs>
          <w:tab w:val="clear" w:pos="567"/>
          <w:tab w:val="clear" w:pos="1134"/>
        </w:tabs>
        <w:ind w:left="1701" w:hanging="567"/>
      </w:pPr>
      <w:r>
        <w:t>7.</w:t>
      </w:r>
      <w:r>
        <w:tab/>
        <w:t>Coopération avec d’autres conventions et organisations internationales.</w:t>
      </w:r>
    </w:p>
    <w:p w14:paraId="6036834A" w14:textId="4D284A1B" w:rsidR="00646138" w:rsidRPr="00D8684A" w:rsidRDefault="00646138" w:rsidP="00646138">
      <w:pPr>
        <w:pStyle w:val="CBDNormalNoNumber"/>
        <w:tabs>
          <w:tab w:val="clear" w:pos="567"/>
          <w:tab w:val="clear" w:pos="1134"/>
        </w:tabs>
        <w:ind w:left="1701" w:hanging="567"/>
      </w:pPr>
      <w:r>
        <w:t>8.</w:t>
      </w:r>
      <w:r>
        <w:tab/>
        <w:t>Instruments internationaux spécialisés relatifs à l’accès et au partage des avantages dans le contexte du paragraphe 4 de l</w:t>
      </w:r>
      <w:r w:rsidR="00432EB2">
        <w:t>’</w:t>
      </w:r>
      <w:r>
        <w:t>article 4 du Protocole de Nagoya.</w:t>
      </w:r>
    </w:p>
    <w:p w14:paraId="26579C2E" w14:textId="7DF5012B" w:rsidR="00646138" w:rsidRPr="00D8684A" w:rsidRDefault="00646138" w:rsidP="00646138">
      <w:pPr>
        <w:pStyle w:val="CBDNormalNoNumber"/>
        <w:tabs>
          <w:tab w:val="clear" w:pos="567"/>
          <w:tab w:val="clear" w:pos="1134"/>
        </w:tabs>
        <w:ind w:left="1701" w:hanging="567"/>
      </w:pPr>
      <w:r>
        <w:t>9.</w:t>
      </w:r>
      <w:r>
        <w:tab/>
        <w:t>Examen de l</w:t>
      </w:r>
      <w:r w:rsidR="00432EB2">
        <w:t>’</w:t>
      </w:r>
      <w:r>
        <w:t>efficacité des processus au titre de la Convention et de ses Protocoles.</w:t>
      </w:r>
    </w:p>
    <w:p w14:paraId="0A0F5294" w14:textId="77777777" w:rsidR="00646138" w:rsidRPr="00D8684A" w:rsidRDefault="00646138" w:rsidP="00646138">
      <w:pPr>
        <w:pStyle w:val="CBDNormalNoNumber"/>
        <w:tabs>
          <w:tab w:val="clear" w:pos="567"/>
          <w:tab w:val="clear" w:pos="1134"/>
        </w:tabs>
        <w:ind w:left="1701" w:hanging="567"/>
      </w:pPr>
      <w:r>
        <w:t>10.</w:t>
      </w:r>
      <w:r>
        <w:tab/>
        <w:t>Questions administratives et budgétaires : examen fonctionnel du secrétariat.</w:t>
      </w:r>
    </w:p>
    <w:p w14:paraId="08DF9E48" w14:textId="77777777" w:rsidR="00646138" w:rsidRPr="00D8684A" w:rsidRDefault="00646138" w:rsidP="00646138">
      <w:pPr>
        <w:pStyle w:val="CBDNormalNoNumber"/>
        <w:tabs>
          <w:tab w:val="clear" w:pos="567"/>
          <w:tab w:val="clear" w:pos="1134"/>
        </w:tabs>
        <w:ind w:left="1701" w:hanging="567"/>
      </w:pPr>
      <w:r>
        <w:t>11.</w:t>
      </w:r>
      <w:r>
        <w:tab/>
        <w:t>Autres questions.</w:t>
      </w:r>
    </w:p>
    <w:p w14:paraId="05C7F193" w14:textId="77777777" w:rsidR="00646138" w:rsidRPr="00D8684A" w:rsidRDefault="00646138" w:rsidP="00646138">
      <w:pPr>
        <w:pStyle w:val="CBDNormalNoNumber"/>
        <w:tabs>
          <w:tab w:val="clear" w:pos="567"/>
          <w:tab w:val="clear" w:pos="1134"/>
        </w:tabs>
        <w:ind w:left="1701" w:hanging="567"/>
      </w:pPr>
      <w:r>
        <w:t>12.</w:t>
      </w:r>
      <w:r>
        <w:tab/>
        <w:t>Adoption du rapport.</w:t>
      </w:r>
    </w:p>
    <w:p w14:paraId="209E4EB5" w14:textId="41B53210" w:rsidR="00540E67" w:rsidRPr="00D8684A" w:rsidRDefault="00646138" w:rsidP="00646138">
      <w:pPr>
        <w:pStyle w:val="CBDNormalNoNumber"/>
        <w:tabs>
          <w:tab w:val="clear" w:pos="567"/>
          <w:tab w:val="clear" w:pos="1134"/>
        </w:tabs>
        <w:ind w:left="1701" w:hanging="567"/>
      </w:pPr>
      <w:r>
        <w:t>13.</w:t>
      </w:r>
      <w:r>
        <w:tab/>
        <w:t>Clôture de la réunion.</w:t>
      </w:r>
    </w:p>
    <w:p w14:paraId="67FF995B" w14:textId="166BE292" w:rsidR="0001576F" w:rsidRPr="00D8684A" w:rsidRDefault="00192EDE" w:rsidP="0001576F">
      <w:pPr>
        <w:pStyle w:val="CBDNormalNumber"/>
      </w:pPr>
      <w:r>
        <w:t>L</w:t>
      </w:r>
      <w:r w:rsidR="00432EB2">
        <w:t>’</w:t>
      </w:r>
      <w:r>
        <w:t>Organe subsidiaire a également approuvé la proposition d</w:t>
      </w:r>
      <w:r w:rsidR="00432EB2">
        <w:t>’</w:t>
      </w:r>
      <w:r>
        <w:t>organisation des travaux.</w:t>
      </w:r>
    </w:p>
    <w:p w14:paraId="6DF6E8E5" w14:textId="6B00E868" w:rsidR="005D28DC" w:rsidRPr="00D8684A" w:rsidRDefault="0038499C" w:rsidP="00172A80">
      <w:pPr>
        <w:pStyle w:val="CBDAgendaItem0"/>
        <w:rPr>
          <w:rFonts w:hint="eastAsia"/>
        </w:rPr>
      </w:pPr>
      <w:r>
        <w:lastRenderedPageBreak/>
        <w:t xml:space="preserve">Point 3 </w:t>
      </w:r>
      <w:r>
        <w:br/>
        <w:t>Mobilisation des ressources et mécanisme de financement</w:t>
      </w:r>
    </w:p>
    <w:p w14:paraId="70B2C7BB" w14:textId="6C575F75" w:rsidR="00335843" w:rsidRPr="00D8684A" w:rsidRDefault="005F6AEF" w:rsidP="00172A80">
      <w:pPr>
        <w:pStyle w:val="CBDAgendaItem0"/>
        <w:rPr>
          <w:rFonts w:hint="eastAsia"/>
        </w:rPr>
      </w:pPr>
      <w:r>
        <w:t>a)</w:t>
      </w:r>
      <w:r>
        <w:tab/>
        <w:t>Mobilisation des ressources</w:t>
      </w:r>
    </w:p>
    <w:p w14:paraId="6FC2718B" w14:textId="290B8C28" w:rsidR="008130CA" w:rsidRPr="00D8684A" w:rsidRDefault="008D373E" w:rsidP="008130CA">
      <w:pPr>
        <w:pStyle w:val="CBDNormalNumber"/>
        <w:rPr>
          <w:rFonts w:eastAsiaTheme="minorEastAsia"/>
        </w:rPr>
      </w:pPr>
      <w:r>
        <w:t>L</w:t>
      </w:r>
      <w:r w:rsidR="00432EB2">
        <w:t>’</w:t>
      </w:r>
      <w:r>
        <w:t>Organe subsidiaire a examiné le sous-point 3 a) de l</w:t>
      </w:r>
      <w:r w:rsidR="00432EB2">
        <w:t>’</w:t>
      </w:r>
      <w:r>
        <w:t>ordre du jour à sa première séance plénière. Il était saisi d</w:t>
      </w:r>
      <w:r w:rsidR="00432EB2">
        <w:t>’</w:t>
      </w:r>
      <w:r>
        <w:t>une note du secrétariat composée d</w:t>
      </w:r>
      <w:r w:rsidR="00432EB2">
        <w:t>’</w:t>
      </w:r>
      <w:r>
        <w:t>un résumé des principaux résultats de trois études et d</w:t>
      </w:r>
      <w:r w:rsidR="00432EB2">
        <w:t>’</w:t>
      </w:r>
      <w:r>
        <w:t>un aperçu des travaux menés en prévision de sa septième réunion, ainsi que d</w:t>
      </w:r>
      <w:r w:rsidR="00432EB2">
        <w:t>’</w:t>
      </w:r>
      <w:r>
        <w:t>un projet de recommandation</w:t>
      </w:r>
      <w:r w:rsidR="008130CA" w:rsidRPr="00D8684A">
        <w:rPr>
          <w:rStyle w:val="FootnoteReference"/>
          <w:rFonts w:eastAsiaTheme="minorEastAsia"/>
        </w:rPr>
        <w:footnoteReference w:id="5"/>
      </w:r>
      <w:r>
        <w:t>. Les documents d</w:t>
      </w:r>
      <w:r w:rsidR="00432EB2">
        <w:t>’</w:t>
      </w:r>
      <w:r>
        <w:t>information suivants ont également été publiés en rapport avec le sous-point 3 a) : une étude sur la relation entre la viabilité de la dette et la mise en œuvre de la Convention</w:t>
      </w:r>
      <w:r w:rsidR="009112DB" w:rsidRPr="00D8684A">
        <w:rPr>
          <w:rStyle w:val="FootnoteReference"/>
          <w:rFonts w:eastAsiaTheme="minorEastAsia"/>
        </w:rPr>
        <w:footnoteReference w:id="6"/>
      </w:r>
      <w:r>
        <w:t>, une étude sur la relation entre la biodiversité et le financement de l</w:t>
      </w:r>
      <w:r w:rsidR="00432EB2">
        <w:t>’</w:t>
      </w:r>
      <w:r>
        <w:t>action climatique</w:t>
      </w:r>
      <w:r w:rsidR="009112DB" w:rsidRPr="00D8684A">
        <w:rPr>
          <w:rStyle w:val="FootnoteReference"/>
          <w:rFonts w:eastAsiaTheme="minorEastAsia"/>
        </w:rPr>
        <w:footnoteReference w:id="7"/>
      </w:r>
      <w:r>
        <w:t>, une note du secrétariat sur la communication anticipée des déclarations pour la présente réunion</w:t>
      </w:r>
      <w:r w:rsidR="009112DB" w:rsidRPr="00D8684A">
        <w:rPr>
          <w:rStyle w:val="FootnoteReference"/>
          <w:rFonts w:eastAsiaTheme="minorEastAsia"/>
        </w:rPr>
        <w:footnoteReference w:id="8"/>
      </w:r>
      <w:r>
        <w:t xml:space="preserve"> et une étude sur la manière dont les orientations relatives aux mesures de sauvegarde dans les mécanismes de financement de la biodiversité adoptées dans les décisions XII/3 et 14/15 ont été mises en œuvre, identifiant les bonnes pratiques et les enseignements tirés, ainsi que les possibilités d</w:t>
      </w:r>
      <w:r w:rsidR="00432EB2">
        <w:t>’</w:t>
      </w:r>
      <w:r>
        <w:t>améliorer la mise en œuvre des orientations</w:t>
      </w:r>
      <w:r w:rsidR="009112DB" w:rsidRPr="00D8684A">
        <w:rPr>
          <w:rStyle w:val="FootnoteReference"/>
          <w:rFonts w:eastAsiaTheme="minorEastAsia"/>
        </w:rPr>
        <w:footnoteReference w:id="9"/>
      </w:r>
      <w:r>
        <w:t>.</w:t>
      </w:r>
    </w:p>
    <w:p w14:paraId="5DFF7343" w14:textId="49A35EE7" w:rsidR="00BA160A" w:rsidRPr="00D8684A" w:rsidRDefault="00BA160A" w:rsidP="008130CA">
      <w:pPr>
        <w:pStyle w:val="CBDNormalNumber"/>
        <w:rPr>
          <w:rFonts w:eastAsiaTheme="minorEastAsia"/>
        </w:rPr>
      </w:pPr>
      <w:r>
        <w:t>Les anciens coprésidents du Comité consultatif sur la mobilisation des ressources, Ines Verleye (Belgique) et Patrick Luna (Brésil), qui avaient également coprésidé un atelier sur la mobilisation des ressources organisé du 10 au 13 février 2026 au siège de l</w:t>
      </w:r>
      <w:r w:rsidR="00432EB2">
        <w:t>’</w:t>
      </w:r>
      <w:r>
        <w:t>Organisation des Nations Unies pour l</w:t>
      </w:r>
      <w:r w:rsidR="00432EB2">
        <w:t>’</w:t>
      </w:r>
      <w:r>
        <w:t>alimentation et l</w:t>
      </w:r>
      <w:r w:rsidR="00432EB2">
        <w:t>’</w:t>
      </w:r>
      <w:r>
        <w:t>agriculture, ont rendu compte des résultats de cet atelier.</w:t>
      </w:r>
    </w:p>
    <w:p w14:paraId="0568C367" w14:textId="7D1CF174" w:rsidR="00541E16" w:rsidRPr="00D8684A" w:rsidRDefault="008D338F" w:rsidP="008130CA">
      <w:pPr>
        <w:pStyle w:val="CBDNormalNumber"/>
        <w:rPr>
          <w:rFonts w:eastAsiaTheme="minorEastAsia"/>
        </w:rPr>
      </w:pPr>
      <w:r>
        <w:t>Conformément aux modalités pilotes relatives à la communication anticipée des déclarations</w:t>
      </w:r>
      <w:r w:rsidRPr="00D8684A">
        <w:rPr>
          <w:rStyle w:val="FootnoteReference"/>
          <w:rFonts w:eastAsiaTheme="minorEastAsia"/>
        </w:rPr>
        <w:footnoteReference w:id="10"/>
      </w:r>
      <w:r>
        <w:t>, l</w:t>
      </w:r>
      <w:r w:rsidR="00432EB2">
        <w:t>’</w:t>
      </w:r>
      <w:r>
        <w:t>Organe subsidiaire a décidé que les déclarations soumises par les Parties suivantes, qui figuraient dans le document d</w:t>
      </w:r>
      <w:r w:rsidR="00432EB2">
        <w:t>’</w:t>
      </w:r>
      <w:r>
        <w:t>information</w:t>
      </w:r>
      <w:r w:rsidR="00432EB2">
        <w:t> </w:t>
      </w:r>
      <w:hyperlink r:id="rId14" w:history="1">
        <w:r>
          <w:rPr>
            <w:rStyle w:val="Hyperlink"/>
          </w:rPr>
          <w:t>CBD/SBI/6/INF/17</w:t>
        </w:r>
      </w:hyperlink>
      <w:r>
        <w:t xml:space="preserve"> et étaient représentées à la première séance plénière, seraient formellement consignées comme déclarations soumises au titre du sous-point 3 a) de l</w:t>
      </w:r>
      <w:r w:rsidR="00432EB2">
        <w:t>’</w:t>
      </w:r>
      <w:r>
        <w:t>ordre du jour : Brésil, Canada, Chypre (au nom de l</w:t>
      </w:r>
      <w:r w:rsidR="00432EB2">
        <w:t>’</w:t>
      </w:r>
      <w:r>
        <w:t>Union européenne), Colombie, Costa Rica, Côte d</w:t>
      </w:r>
      <w:r w:rsidR="00432EB2">
        <w:t>’</w:t>
      </w:r>
      <w:r>
        <w:t>Ivoire, Cuba, Gabon, Guatemala, Japon, Maroc, Niger, Norvège, Pérou, Philippines, République démocratique du Congo, Royaume-Uni de Grande-Bretagne et d</w:t>
      </w:r>
      <w:r w:rsidR="00432EB2">
        <w:t>’</w:t>
      </w:r>
      <w:r>
        <w:t>Irlande du Nord et Suisse.</w:t>
      </w:r>
    </w:p>
    <w:p w14:paraId="06A13501" w14:textId="5D8CF4C9" w:rsidR="00150C53" w:rsidRPr="00D8684A" w:rsidRDefault="00150C53" w:rsidP="00150C53">
      <w:pPr>
        <w:pStyle w:val="CBDNormalNumber"/>
      </w:pPr>
      <w:r>
        <w:t>L</w:t>
      </w:r>
      <w:r w:rsidR="00432EB2">
        <w:t>’</w:t>
      </w:r>
      <w:r>
        <w:t>Organe subsidiaire a également décidé que les déclarations soumises par les observateurs suivants, qui figuraient dans le document d</w:t>
      </w:r>
      <w:r w:rsidR="00432EB2">
        <w:t>’</w:t>
      </w:r>
      <w:r>
        <w:t>information</w:t>
      </w:r>
      <w:r w:rsidR="00432EB2">
        <w:t> </w:t>
      </w:r>
      <w:hyperlink r:id="rId15" w:history="1">
        <w:r>
          <w:rPr>
            <w:rStyle w:val="Hyperlink"/>
          </w:rPr>
          <w:t>CBD/SBI/6/INF/17</w:t>
        </w:r>
      </w:hyperlink>
      <w:r>
        <w:t xml:space="preserve"> et étaient représentés à la première séance plénière, seraient formellement consignées comme déclarations soumises officiellement au titre du sous-point 3 a) de l</w:t>
      </w:r>
      <w:r w:rsidR="00432EB2">
        <w:t>’</w:t>
      </w:r>
      <w:r>
        <w:t>ordre du jour : Caucus des femmes de la CDB, Centre de résilience de Stockholm, Conservation International, Fonds mondial pour la nature, Forum international des peuples autochtones sur la biodiversité, Haut-Commissariat des Nations Unies aux droits de l</w:t>
      </w:r>
      <w:r w:rsidR="00432EB2">
        <w:t>’</w:t>
      </w:r>
      <w:r>
        <w:t>homme (HCDH), Rainforest Action Network, Réseau mondial des jeunes pour la biodiversité, secrétariat du Traité international sur les ressources phytogénétiques pour l</w:t>
      </w:r>
      <w:r w:rsidR="00432EB2">
        <w:t>’</w:t>
      </w:r>
      <w:r>
        <w:t>alimentation et l</w:t>
      </w:r>
      <w:r w:rsidR="00432EB2">
        <w:t>’</w:t>
      </w:r>
      <w:r>
        <w:t>agriculture, Programme des Nations Unies pour l</w:t>
      </w:r>
      <w:r w:rsidR="00432EB2">
        <w:t>’</w:t>
      </w:r>
      <w:r>
        <w:t>environnement (PNUE), Third World Network et Union internationale pour la conservation de la nature.</w:t>
      </w:r>
    </w:p>
    <w:p w14:paraId="674D06D0" w14:textId="1282D253" w:rsidR="00BD1B5A" w:rsidRPr="00D8684A" w:rsidRDefault="00150C53" w:rsidP="00BD1B5A">
      <w:pPr>
        <w:pStyle w:val="CBDNormalNumber"/>
      </w:pPr>
      <w:r>
        <w:t>Les représentants des Parties suivantes ont fait des déclarations : Afrique du Sud, Arabie saoudite, Argentine, Arménie, Brésil, Cameroun, Chine, Colombie, Costa Rica, Cuba, Équateur, Égypte, Fédération de Russie, Fidji (au nom des petits États insulaires en développement du Pacifique), Guatemala, Inde, Indonésie, Iran (République islamique d</w:t>
      </w:r>
      <w:r w:rsidR="00432EB2">
        <w:t>’</w:t>
      </w:r>
      <w:r>
        <w:t>), Jordanie, Kenya, Malaisie, Mexique, Nouvelle-Zélande, Nigeria, Pérou et République démocratique du Congo (au nom des États d</w:t>
      </w:r>
      <w:r w:rsidR="00432EB2">
        <w:t>’</w:t>
      </w:r>
      <w:r>
        <w:t>Afrique).</w:t>
      </w:r>
    </w:p>
    <w:p w14:paraId="216370F9" w14:textId="47EB5385" w:rsidR="004214EA" w:rsidRPr="00D8684A" w:rsidRDefault="004214EA" w:rsidP="004214EA">
      <w:pPr>
        <w:pStyle w:val="CBDNormalNumber"/>
      </w:pPr>
      <w:r>
        <w:lastRenderedPageBreak/>
        <w:t>Une représentante de CBD Alliance a également présenté une déclaration.</w:t>
      </w:r>
    </w:p>
    <w:p w14:paraId="577826E9" w14:textId="489C0CDB" w:rsidR="00E808E7" w:rsidRPr="00E00BBE" w:rsidRDefault="004214EA" w:rsidP="00F3762A">
      <w:pPr>
        <w:pStyle w:val="CBDNormalNumber"/>
        <w:rPr>
          <w:rFonts w:eastAsiaTheme="minorEastAsia"/>
        </w:rPr>
      </w:pPr>
      <w:r>
        <w:t>Suite à l</w:t>
      </w:r>
      <w:r w:rsidR="00432EB2">
        <w:t>’</w:t>
      </w:r>
      <w:r>
        <w:t>échange de points de vue, la présidente a fait savoir qu</w:t>
      </w:r>
      <w:r w:rsidR="00432EB2">
        <w:t>’</w:t>
      </w:r>
      <w:r>
        <w:t>elle préparerait une version révisée du projet de recommandation, en consultation avec le secrétariat, pour examen par l</w:t>
      </w:r>
      <w:r w:rsidR="00432EB2">
        <w:t>’</w:t>
      </w:r>
      <w:r>
        <w:t xml:space="preserve">Organe subsidiaire, en tenant compte des points de vue exprimés ou soutenus par les Parties. </w:t>
      </w:r>
    </w:p>
    <w:p w14:paraId="19F1EE75" w14:textId="4621BE9D" w:rsidR="00E00BBE" w:rsidRPr="00E00BBE" w:rsidRDefault="00E00BBE" w:rsidP="00E00BBE">
      <w:pPr>
        <w:pStyle w:val="CBDNormalNumber"/>
        <w:rPr>
          <w:rFonts w:eastAsiaTheme="minorEastAsia"/>
        </w:rPr>
      </w:pPr>
      <w:r>
        <w:t xml:space="preserve">À sa cinquième séance plénière, le 18 février, l’Organe subsidiaire a examiné un projet de recommandation révisé présenté par la présidente. </w:t>
      </w:r>
    </w:p>
    <w:p w14:paraId="0162C74C" w14:textId="77777777" w:rsidR="00E00BBE" w:rsidRPr="00E00BBE" w:rsidRDefault="00E00BBE" w:rsidP="00E00BBE">
      <w:pPr>
        <w:pStyle w:val="CBDNormalNumber"/>
        <w:rPr>
          <w:rFonts w:eastAsiaTheme="minorEastAsia"/>
        </w:rPr>
      </w:pPr>
      <w:r>
        <w:t xml:space="preserve">Les représentants des Parties suivantes ont fait des déclarations : Afrique du Sud, Argentine, Australie, Brésil, Cameroun, Canada, Chine, Cuba, Fidji, Ghana, Jamaïque, Nigeria, Norvège, Pérou, Royaume-Uni, Suisse, Togo, Union européenne et Zimbabwe (au nom des États d’Afrique). </w:t>
      </w:r>
    </w:p>
    <w:p w14:paraId="4C8A6717" w14:textId="4F446177" w:rsidR="00E00BBE" w:rsidRPr="00D8684A" w:rsidRDefault="00E00BBE" w:rsidP="00E00BBE">
      <w:pPr>
        <w:pStyle w:val="CBDNormalNumber"/>
        <w:rPr>
          <w:rFonts w:eastAsiaTheme="minorEastAsia"/>
        </w:rPr>
      </w:pPr>
      <w:r>
        <w:t>L’Organe subsidiaire a convenu de convoquer un petit groupe, modéré par la représentante de la Jamaïque, pour qu’il organise des discussions informelles sur le paragraphe 4 du projet de recommandation.</w:t>
      </w:r>
    </w:p>
    <w:p w14:paraId="67F2C958" w14:textId="7E1F1F68" w:rsidR="002270C4" w:rsidRDefault="002270C4" w:rsidP="008130CA">
      <w:pPr>
        <w:pStyle w:val="CBDNormalNumber"/>
        <w:rPr>
          <w:rFonts w:eastAsiaTheme="minorEastAsia"/>
        </w:rPr>
      </w:pPr>
      <w:r>
        <w:t>À sa sixième séance plénière, le 18 février, l’Organe subsidiaire a écouté un rapport de la représentante de la Jamaïque au sujet de résultat des discussions informelles du petit groupe.</w:t>
      </w:r>
    </w:p>
    <w:p w14:paraId="70F2E585" w14:textId="77777777" w:rsidR="009C295F" w:rsidRPr="00AB5F5A" w:rsidRDefault="009C295F" w:rsidP="009C295F">
      <w:pPr>
        <w:pStyle w:val="CBDNormalNumber"/>
      </w:pPr>
      <w:r>
        <w:t>Les représentants des Parties suivantes ont fait des déclarations : Argentine, Australie, Brésil, Canada, Chine, Colombie, Côte d’Ivoire, Cuba, Fédération de Russie, Fidji, Gabon, Inde, Iran (République islamique d’), Jamaïque, Japon, Kenya, Nigeria, Norvège, République démocratique du Congo, Royaume-Uni, Sénégal, Suisse, Togo, Union européenne et Zimbabwe.</w:t>
      </w:r>
    </w:p>
    <w:p w14:paraId="1C1BCF92" w14:textId="613B4398" w:rsidR="00DA383A" w:rsidRPr="00144946" w:rsidRDefault="002A0AF8" w:rsidP="008130CA">
      <w:pPr>
        <w:pStyle w:val="CBDNormalNumber"/>
        <w:rPr>
          <w:rFonts w:eastAsiaTheme="minorEastAsia"/>
        </w:rPr>
      </w:pPr>
      <w:r>
        <w:t>L’Organe subsidiaire a convenu de convoquer un petit groupe, modéré par le représentant des Fidji, pour qu’il organise des discussions informelles sur le paragraphe 5 du projet de recommandation.</w:t>
      </w:r>
    </w:p>
    <w:p w14:paraId="73D350F4" w14:textId="352EEEDA" w:rsidR="00E827AA" w:rsidRPr="002316A9" w:rsidRDefault="002E7F67" w:rsidP="008130CA">
      <w:pPr>
        <w:pStyle w:val="CBDNormalNumber"/>
        <w:rPr>
          <w:rFonts w:eastAsiaTheme="minorEastAsia"/>
        </w:rPr>
      </w:pPr>
      <w:r>
        <w:t>L’Organe subsidiaire a également convenu que les Parties intéressées organiseraient des discussions informelles au sujet des paragraphes 6 et 7 du projet de recommandation.</w:t>
      </w:r>
    </w:p>
    <w:p w14:paraId="7C81F05A" w14:textId="4E5132EF" w:rsidR="002A59D0" w:rsidRPr="00D8684A" w:rsidRDefault="002A59D0" w:rsidP="008130CA">
      <w:pPr>
        <w:pStyle w:val="CBDNormalNumber"/>
        <w:rPr>
          <w:rFonts w:eastAsiaTheme="minorEastAsia"/>
        </w:rPr>
      </w:pPr>
      <w:r>
        <w:t>[à terminer]</w:t>
      </w:r>
    </w:p>
    <w:p w14:paraId="19803898" w14:textId="52097227" w:rsidR="0063495A" w:rsidRPr="00D8684A" w:rsidRDefault="003D4825" w:rsidP="00172A80">
      <w:pPr>
        <w:pStyle w:val="CBDAgendaItem0"/>
        <w:rPr>
          <w:rFonts w:asciiTheme="minorHAnsi" w:hAnsiTheme="minorHAnsi"/>
        </w:rPr>
      </w:pPr>
      <w:r>
        <w:t>b)</w:t>
      </w:r>
      <w:r>
        <w:tab/>
        <w:t>Mécanisme de financement</w:t>
      </w:r>
    </w:p>
    <w:p w14:paraId="7DB4F4CC" w14:textId="6FC3FB22" w:rsidR="004F0DE2" w:rsidRPr="00D8684A" w:rsidRDefault="004F0DE2" w:rsidP="004F0DE2">
      <w:pPr>
        <w:pStyle w:val="CBDNormalNumber"/>
      </w:pPr>
      <w:r>
        <w:t>L</w:t>
      </w:r>
      <w:r w:rsidR="00432EB2">
        <w:t>’</w:t>
      </w:r>
      <w:r>
        <w:t>Organe subsidiaire a examiné le sous-point 3 b) de l</w:t>
      </w:r>
      <w:r w:rsidR="00432EB2">
        <w:t>’</w:t>
      </w:r>
      <w:r>
        <w:t>ordre du jour à sa première séance plénière. Il était saisi d</w:t>
      </w:r>
      <w:r w:rsidR="00432EB2">
        <w:t>’</w:t>
      </w:r>
      <w:r>
        <w:t>une note du secrétariat sur le mécanisme de financement</w:t>
      </w:r>
      <w:r w:rsidRPr="00D8684A">
        <w:rPr>
          <w:rStyle w:val="FootnoteReference"/>
          <w:rFonts w:eastAsiaTheme="minorEastAsia"/>
        </w:rPr>
        <w:footnoteReference w:id="11"/>
      </w:r>
      <w:r>
        <w:t>, qui comprenait un projet de recommandation. Les documents d</w:t>
      </w:r>
      <w:r w:rsidR="00432EB2">
        <w:t>’</w:t>
      </w:r>
      <w:r>
        <w:t>information suivants ont également été publiés en rapport avec le sous-point 3 b) : un rapport sur l</w:t>
      </w:r>
      <w:r w:rsidR="00432EB2">
        <w:t>’</w:t>
      </w:r>
      <w:r>
        <w:t>évaluation du montant des fonds nécessaires à la mise en œuvre de la Convention et de ses Protocoles pour la neuvième période de reconstitution du Fonds pour l</w:t>
      </w:r>
      <w:r w:rsidR="00432EB2">
        <w:t>’</w:t>
      </w:r>
      <w:r>
        <w:t>environnement mondial et une note du secrétariat sur la communication anticipée des déclarations pour la présente réunion</w:t>
      </w:r>
      <w:r w:rsidRPr="00D8684A">
        <w:rPr>
          <w:rStyle w:val="FootnoteReference"/>
        </w:rPr>
        <w:footnoteReference w:id="12"/>
      </w:r>
      <w:r>
        <w:t xml:space="preserve"> et une note du secrétariat sur la communication anticipée des déclarations pour la présente réunion</w:t>
      </w:r>
      <w:r w:rsidRPr="00D8684A">
        <w:rPr>
          <w:rStyle w:val="FootnoteReference"/>
          <w:rFonts w:eastAsiaTheme="minorEastAsia"/>
        </w:rPr>
        <w:footnoteReference w:id="13"/>
      </w:r>
      <w:r>
        <w:t>.</w:t>
      </w:r>
    </w:p>
    <w:p w14:paraId="1F56E8B7" w14:textId="6F125FEC" w:rsidR="00766AAE" w:rsidRPr="00D8684A" w:rsidRDefault="00645263" w:rsidP="004F0DE2">
      <w:pPr>
        <w:pStyle w:val="CBDNormalNumber"/>
      </w:pPr>
      <w:r>
        <w:t>Conformément aux modalités pilotes relatives à la communication anticipée des déclarations, l</w:t>
      </w:r>
      <w:r w:rsidR="00432EB2">
        <w:t>’</w:t>
      </w:r>
      <w:r>
        <w:t>Organe subsidiaire a décidé que les déclarations soumises par les Parties suivantes qui figuraient dans le document d</w:t>
      </w:r>
      <w:r w:rsidR="00432EB2">
        <w:t>’</w:t>
      </w:r>
      <w:r>
        <w:t>information</w:t>
      </w:r>
      <w:r w:rsidR="00432EB2">
        <w:t> </w:t>
      </w:r>
      <w:hyperlink r:id="rId16" w:history="1">
        <w:r>
          <w:rPr>
            <w:rStyle w:val="Hyperlink"/>
          </w:rPr>
          <w:t>CBD/SBI/6/INF/17</w:t>
        </w:r>
      </w:hyperlink>
      <w:r>
        <w:t xml:space="preserve"> et étaient représentées à la première séance plénière, seraient formellement consignées comme déclarations soumises officiellement au titre du sous-point 3 b) de l</w:t>
      </w:r>
      <w:r w:rsidR="00432EB2">
        <w:t>’</w:t>
      </w:r>
      <w:r>
        <w:t>ordre du jour : Australie, Canada, Chypre (au nom de l</w:t>
      </w:r>
      <w:r w:rsidR="00432EB2">
        <w:t>’</w:t>
      </w:r>
      <w:r>
        <w:t>Union européenne), Colombie, Côte d’Ivoire, Cuba, Guatemala, Japon, Maroc, Niger, Norvège, Pérou, Philippines, République démocratique du Congo, Royaume-Uni et Suisse.</w:t>
      </w:r>
    </w:p>
    <w:p w14:paraId="133FD80E" w14:textId="4CB9300B" w:rsidR="009A0594" w:rsidRPr="00D8684A" w:rsidRDefault="009A0594" w:rsidP="00975297">
      <w:pPr>
        <w:pStyle w:val="CBDNormalNumber"/>
      </w:pPr>
      <w:r>
        <w:t>L</w:t>
      </w:r>
      <w:r w:rsidR="00432EB2">
        <w:t>’</w:t>
      </w:r>
      <w:r>
        <w:t>Organe subsidiaire a également décidé que les déclarations soumises par les observateurs suivants, qui figuraient dans le document d</w:t>
      </w:r>
      <w:r w:rsidR="00432EB2">
        <w:t>’</w:t>
      </w:r>
      <w:r>
        <w:t>information</w:t>
      </w:r>
      <w:r w:rsidR="00432EB2">
        <w:t> </w:t>
      </w:r>
      <w:hyperlink r:id="rId17" w:history="1">
        <w:r>
          <w:rPr>
            <w:rStyle w:val="Hyperlink"/>
          </w:rPr>
          <w:t>CBD/SBI/6/INF/17</w:t>
        </w:r>
      </w:hyperlink>
      <w:r>
        <w:t xml:space="preserve"> et étaient représentés à la première séance plénière, seraient formellement consignées comme déclarations soumises </w:t>
      </w:r>
      <w:r>
        <w:lastRenderedPageBreak/>
        <w:t>officiellement au titre du sous-point 3 b) de l</w:t>
      </w:r>
      <w:r w:rsidR="00432EB2">
        <w:t>’</w:t>
      </w:r>
      <w:r>
        <w:t>ordre du jour : Caucus des femmes de la CDB, Centre de résilience de Stockholm, Fonds mondial pour la nature, Forum international des peuples autochtones sur la biodiversité, HCDH, PNUE et Réseau mondial des jeunes pour la biodiversité.</w:t>
      </w:r>
    </w:p>
    <w:p w14:paraId="58122BD5" w14:textId="5F6AB066" w:rsidR="0097612C" w:rsidRPr="00D8684A" w:rsidRDefault="00150C53" w:rsidP="0097612C">
      <w:pPr>
        <w:pStyle w:val="CBDNormalNumber"/>
      </w:pPr>
      <w:r>
        <w:t>Les représentants des Parties suivantes ont fait des déclarations : Argentine, Brésil, Colombie, Costa Rica, Fidji (au nom des petits États insulaires en développement du Pacifique), Guatemala et Jordanie.</w:t>
      </w:r>
    </w:p>
    <w:p w14:paraId="0CBB5CBD" w14:textId="422CE4F7" w:rsidR="009D6854" w:rsidRPr="00D8684A" w:rsidRDefault="00B04A51" w:rsidP="004F0DE2">
      <w:pPr>
        <w:pStyle w:val="CBDNormalNumber"/>
      </w:pPr>
      <w:r>
        <w:t>À sa deuxième séance plénière, le 16 février, l</w:t>
      </w:r>
      <w:r w:rsidR="00432EB2">
        <w:t>’</w:t>
      </w:r>
      <w:r>
        <w:t>Organe subsidiaire a repris l</w:t>
      </w:r>
      <w:r w:rsidR="00432EB2">
        <w:t>’</w:t>
      </w:r>
      <w:r>
        <w:t>examen du sous-point 3 b).</w:t>
      </w:r>
    </w:p>
    <w:p w14:paraId="1CBB31B9" w14:textId="29FAC376" w:rsidR="00883454" w:rsidRPr="00D8684A" w:rsidRDefault="00F637BF" w:rsidP="004F0DE2">
      <w:pPr>
        <w:pStyle w:val="CBDNormalNumber"/>
      </w:pPr>
      <w:r>
        <w:t>Les représentants des Parties suivantes ont fait des déclarations : Chine, Cuba, Émirats arabes unis, Fédération de Russie, Ghana, Inde, Jamaïque, Kenya, Lesotho, Malaisie, Mexique, Nouvelle-Zélande, Sainte-Lucie et Zimbabwe.</w:t>
      </w:r>
    </w:p>
    <w:p w14:paraId="5915E14F" w14:textId="437023C4" w:rsidR="00845AD0" w:rsidRPr="00D8684A" w:rsidRDefault="00470405" w:rsidP="004F0DE2">
      <w:pPr>
        <w:pStyle w:val="CBDNormalNumber"/>
      </w:pPr>
      <w:r>
        <w:t>La représentante du Forum international des peuples autochtones sur la biodiversité a aussi fait une déclaration.</w:t>
      </w:r>
    </w:p>
    <w:p w14:paraId="2F8230E3" w14:textId="1DCEF4A6" w:rsidR="001C20D1" w:rsidRPr="00D8684A" w:rsidRDefault="001C20D1" w:rsidP="001C20D1">
      <w:pPr>
        <w:pStyle w:val="CBDNormalNumber"/>
        <w:rPr>
          <w:rFonts w:eastAsiaTheme="minorEastAsia"/>
        </w:rPr>
      </w:pPr>
      <w:r>
        <w:t>Suite à l</w:t>
      </w:r>
      <w:r w:rsidR="00432EB2">
        <w:t>’</w:t>
      </w:r>
      <w:r>
        <w:t>échange de points de vue, la présidente a fait savoir qu</w:t>
      </w:r>
      <w:r w:rsidR="00432EB2">
        <w:t>’</w:t>
      </w:r>
      <w:r>
        <w:t>elle préparerait une version révisée du projet de recommandation, en consultation avec le secrétariat, pour examen par l</w:t>
      </w:r>
      <w:r w:rsidR="00432EB2">
        <w:t>’</w:t>
      </w:r>
      <w:r>
        <w:t xml:space="preserve">Organe subsidiaire, en tenant compte des points de vue exprimés ou soutenus par les Parties. </w:t>
      </w:r>
    </w:p>
    <w:p w14:paraId="52C678F1" w14:textId="77777777" w:rsidR="00FA5B30" w:rsidRPr="00D8684A" w:rsidRDefault="00FA5B30" w:rsidP="00FA5B30">
      <w:pPr>
        <w:pStyle w:val="CBDNormalNumber"/>
      </w:pPr>
      <w:r>
        <w:t>[à terminer]</w:t>
      </w:r>
    </w:p>
    <w:p w14:paraId="3C9B0354" w14:textId="15D4AB74" w:rsidR="00930FB1" w:rsidRPr="00D8684A" w:rsidRDefault="00335843" w:rsidP="00172A80">
      <w:pPr>
        <w:pStyle w:val="CBDAgendaItem0"/>
        <w:rPr>
          <w:rFonts w:hint="eastAsia"/>
        </w:rPr>
      </w:pPr>
      <w:r>
        <w:t>Point 4</w:t>
      </w:r>
      <w:r>
        <w:br/>
        <w:t>Planification, suivi, établissement de rapports et examen : mise à jour des stratégies et plans d</w:t>
      </w:r>
      <w:r w:rsidR="00432EB2">
        <w:t>’</w:t>
      </w:r>
      <w:r>
        <w:t>action nationaux pour la biodiversité, des cibles nationales et des rapports nationaux</w:t>
      </w:r>
    </w:p>
    <w:p w14:paraId="0176409E" w14:textId="566B3970" w:rsidR="0027695E" w:rsidRPr="00D8684A" w:rsidRDefault="0027695E" w:rsidP="00FA5B30">
      <w:pPr>
        <w:pStyle w:val="CBDNormalNumber"/>
      </w:pPr>
      <w:r>
        <w:t>L’Organe subsidiaire s’est penché sur le point 4 de l’ordre du jour lors de sa deuxième séance plénière. Il était saisi d</w:t>
      </w:r>
      <w:r w:rsidR="00432EB2">
        <w:t>’</w:t>
      </w:r>
      <w:r>
        <w:t>une mise à jour des stratégies et plans d’action nationaux pour la biodiversité, des cibles nationales et des rapports nationaux</w:t>
      </w:r>
      <w:r w:rsidRPr="00D8684A">
        <w:rPr>
          <w:rStyle w:val="FootnoteReference"/>
        </w:rPr>
        <w:footnoteReference w:id="14"/>
      </w:r>
      <w:r>
        <w:t>, qui comportait un projet de recommandation. Les documents d</w:t>
      </w:r>
      <w:r w:rsidR="00432EB2">
        <w:t>’</w:t>
      </w:r>
      <w:r>
        <w:t>information suivants ont également été publiés en rapport avec le point 4 : un aperçu des lacunes des Parties en matière de capacités technologiques, techniques et institutionnelles</w:t>
      </w:r>
      <w:r w:rsidRPr="00D8684A">
        <w:rPr>
          <w:rStyle w:val="FootnoteReference"/>
        </w:rPr>
        <w:footnoteReference w:id="15"/>
      </w:r>
      <w:r>
        <w:t>, une analyse des stratégies et plans d</w:t>
      </w:r>
      <w:r w:rsidR="00432EB2">
        <w:t>’</w:t>
      </w:r>
      <w:r>
        <w:t>action nationaux pour la biodiversité et des cibles nationales définies par les Parties conformément au Cadre mondial de la biodiversité de Kunming-Montréal</w:t>
      </w:r>
      <w:r w:rsidRPr="00D8684A">
        <w:rPr>
          <w:rStyle w:val="FootnoteReference"/>
        </w:rPr>
        <w:footnoteReference w:id="16"/>
      </w:r>
      <w:r>
        <w:t>, un résumé des principales conclusions des dialogues régionaux et infrarégionaux sur la surveillance et la communication d</w:t>
      </w:r>
      <w:r w:rsidR="00432EB2">
        <w:t>’</w:t>
      </w:r>
      <w:r>
        <w:t>informations sur la biodiversité</w:t>
      </w:r>
      <w:r w:rsidRPr="00D8684A">
        <w:rPr>
          <w:rStyle w:val="FootnoteReference"/>
        </w:rPr>
        <w:footnoteReference w:id="17"/>
      </w:r>
      <w:r>
        <w:t>, un résumé des informations pertinentes pour la préparation du rapport et de l</w:t>
      </w:r>
      <w:r w:rsidR="00432EB2">
        <w:t>’</w:t>
      </w:r>
      <w:r>
        <w:t>examen mondiaux de la mise en œuvre du Cadre</w:t>
      </w:r>
      <w:r w:rsidRPr="00D8684A">
        <w:rPr>
          <w:rStyle w:val="FootnoteReference"/>
        </w:rPr>
        <w:footnoteReference w:id="18"/>
      </w:r>
      <w:r>
        <w:t>, une mise à jour sur le développement de l</w:t>
      </w:r>
      <w:r w:rsidR="00432EB2">
        <w:t>’</w:t>
      </w:r>
      <w:r>
        <w:t>outil de suivi des décisions</w:t>
      </w:r>
      <w:r w:rsidRPr="00D8684A">
        <w:rPr>
          <w:rStyle w:val="FootnoteReference"/>
        </w:rPr>
        <w:footnoteReference w:id="19"/>
      </w:r>
      <w:r>
        <w:t>, une note du secrétariat sur les progrès accomplis dans la mise en œuvre du mécanisme facultatif d</w:t>
      </w:r>
      <w:r w:rsidR="00432EB2">
        <w:t>’</w:t>
      </w:r>
      <w:r>
        <w:t>examen de la Convention par les pairs</w:t>
      </w:r>
      <w:r w:rsidRPr="00D8684A">
        <w:rPr>
          <w:rStyle w:val="FootnoteReference"/>
        </w:rPr>
        <w:footnoteReference w:id="20"/>
      </w:r>
      <w:r>
        <w:t xml:space="preserve"> et une note du secrétariat sur la communication anticipée des déclarations pour la présente réunion</w:t>
      </w:r>
      <w:r w:rsidRPr="00D8684A">
        <w:rPr>
          <w:rStyle w:val="FootnoteReference"/>
          <w:rFonts w:eastAsiaTheme="minorEastAsia"/>
        </w:rPr>
        <w:footnoteReference w:id="21"/>
      </w:r>
      <w:r>
        <w:t xml:space="preserve">. </w:t>
      </w:r>
    </w:p>
    <w:p w14:paraId="3729F4FA" w14:textId="5F3832D9" w:rsidR="00883BEB" w:rsidRPr="00D8684A" w:rsidRDefault="00645263" w:rsidP="00883BEB">
      <w:pPr>
        <w:pStyle w:val="CBDNormalNumber"/>
      </w:pPr>
      <w:r>
        <w:t>Conformément aux modalités pilotes relatives à la communication anticipée des déclarations, l</w:t>
      </w:r>
      <w:r w:rsidR="00432EB2">
        <w:t>’</w:t>
      </w:r>
      <w:r>
        <w:t>Organe subsidiaire a décidé que les déclarations soumises par les Parties suivantes qui figuraient dans le document d</w:t>
      </w:r>
      <w:r w:rsidR="00432EB2">
        <w:t>’</w:t>
      </w:r>
      <w:r>
        <w:t>information</w:t>
      </w:r>
      <w:r w:rsidR="00432EB2">
        <w:t> </w:t>
      </w:r>
      <w:hyperlink r:id="rId18" w:history="1">
        <w:r>
          <w:rPr>
            <w:rStyle w:val="Hyperlink"/>
          </w:rPr>
          <w:t>CBD/SBI/6/INF/17</w:t>
        </w:r>
      </w:hyperlink>
      <w:r>
        <w:t xml:space="preserve"> et étaient représentées à la deuxième séance plénière, seraient formellement consignées comme déclarations soumises officiellement au titre du point 4 de l</w:t>
      </w:r>
      <w:r w:rsidR="00432EB2">
        <w:t>’</w:t>
      </w:r>
      <w:r>
        <w:t>ordre du jour : Brésil, Colombie, Côte d’Ivoire, Chypre (au nom de l</w:t>
      </w:r>
      <w:r w:rsidR="00432EB2">
        <w:t>’</w:t>
      </w:r>
      <w:r>
        <w:t>Union européenne), Guatemala, Japon, Jordanie, Maroc, Népal, Niger, Norvège, Pérou, Philippines, Seychelles et Suisse.</w:t>
      </w:r>
    </w:p>
    <w:p w14:paraId="7E644F2F" w14:textId="47342269" w:rsidR="00150C53" w:rsidRPr="00D8684A" w:rsidRDefault="00150C53" w:rsidP="00150C53">
      <w:pPr>
        <w:pStyle w:val="CBDNormalNumber"/>
      </w:pPr>
      <w:r>
        <w:lastRenderedPageBreak/>
        <w:t>L</w:t>
      </w:r>
      <w:r w:rsidR="00432EB2">
        <w:t>’</w:t>
      </w:r>
      <w:r>
        <w:t>Organe subsidiaire a également décidé que les déclarations soumises par les observateurs suivants qui figuraient dans le document d</w:t>
      </w:r>
      <w:r w:rsidR="00432EB2">
        <w:t>’</w:t>
      </w:r>
      <w:r>
        <w:t>information</w:t>
      </w:r>
      <w:r w:rsidR="00432EB2">
        <w:t> </w:t>
      </w:r>
      <w:hyperlink r:id="rId19" w:history="1">
        <w:r>
          <w:rPr>
            <w:rStyle w:val="Hyperlink"/>
          </w:rPr>
          <w:t>CBD/SBI/6/INF/17</w:t>
        </w:r>
      </w:hyperlink>
      <w:r>
        <w:t xml:space="preserve"> et étaient représentés à la deuxième séance plénière, seraient formellement consignées comme déclarations soumises officiellement au titre du point 4 de l</w:t>
      </w:r>
      <w:r w:rsidR="00432EB2">
        <w:t>’</w:t>
      </w:r>
      <w:r>
        <w:t>ordre du jour : BirdLife International, Caucus des femmes de la CDB, Conservation International, Fonds mondial pour la nature, Forum international des peuples autochtones sur la biodiversité, HCDH, PNUE, Programme des Nations Unies pour le développement (PNUD), Réseau mondial des jeunes pour la biodiversité, secrétariat de la Convention sur le commerce international des espèces de faune et de flore sauvages menacées d’extinction et secrétariat du Traité international sur les ressources phytogénétiques pour l</w:t>
      </w:r>
      <w:r w:rsidR="00432EB2">
        <w:t>’</w:t>
      </w:r>
      <w:r>
        <w:t>alimentation et l</w:t>
      </w:r>
      <w:r w:rsidR="00432EB2">
        <w:t>’</w:t>
      </w:r>
      <w:r>
        <w:t>agriculture.</w:t>
      </w:r>
    </w:p>
    <w:p w14:paraId="3C13BC18" w14:textId="5F2BBFF1" w:rsidR="00DD4DFA" w:rsidRPr="00D8684A" w:rsidRDefault="00150C53" w:rsidP="00883BEB">
      <w:pPr>
        <w:pStyle w:val="CBDNormalNumber"/>
      </w:pPr>
      <w:r>
        <w:t>Les représentants des Parties suivantes ont fait des déclarations : Arabie saoudite, Afrique du Sud (au nom des États d</w:t>
      </w:r>
      <w:r w:rsidR="00432EB2">
        <w:t>’</w:t>
      </w:r>
      <w:r>
        <w:t>Afrique), Argentine, Bhoutan, Bosnie-Herzégovine, Brésil, Burkina Faso, Colombie, Djibouti, Égypte, Fidji (au nom des petits États insulaires en développement du Pacifique), Guatemala, Îles Cook, Inde, Iran (République islamique d</w:t>
      </w:r>
      <w:r w:rsidR="00432EB2">
        <w:t>’</w:t>
      </w:r>
      <w:r>
        <w:t>), Kenya, Mexique, Nouvelle-Zélande, République démocratique du Congo, République démocratique populaire lao et Sainte-Lucie.</w:t>
      </w:r>
    </w:p>
    <w:p w14:paraId="05B754F5" w14:textId="2F28A1F1" w:rsidR="00403C61" w:rsidRPr="00D8684A" w:rsidRDefault="00403C61" w:rsidP="00403C61">
      <w:pPr>
        <w:pStyle w:val="CBDNormalNumber"/>
        <w:rPr>
          <w:rFonts w:eastAsiaTheme="minorEastAsia"/>
        </w:rPr>
      </w:pPr>
      <w:r>
        <w:t>Suite à l</w:t>
      </w:r>
      <w:r w:rsidR="00432EB2">
        <w:t>’</w:t>
      </w:r>
      <w:r>
        <w:t>échange de points de vue, la présidente a fait savoir qu</w:t>
      </w:r>
      <w:r w:rsidR="00432EB2">
        <w:t>’</w:t>
      </w:r>
      <w:r>
        <w:t>elle préparerait une version révisée du projet de recommandation, en consultation avec le secrétariat, pour examen par l</w:t>
      </w:r>
      <w:r w:rsidR="00432EB2">
        <w:t>’</w:t>
      </w:r>
      <w:r>
        <w:t xml:space="preserve">Organe subsidiaire, en tenant compte des points de vue exprimés ou soutenus par les Parties. </w:t>
      </w:r>
    </w:p>
    <w:p w14:paraId="142E51FB" w14:textId="0D5C01CD" w:rsidR="00A86440" w:rsidRPr="00D8684A" w:rsidRDefault="00A86440" w:rsidP="00A86440">
      <w:pPr>
        <w:pStyle w:val="CBDNormalNumber"/>
        <w:rPr>
          <w:i/>
          <w:iCs/>
        </w:rPr>
      </w:pPr>
      <w:r>
        <w:t xml:space="preserve">À sa cinquième séance plénière, le 17 février, l’Organe subsidiaire a examiné un projet de recommandation révisé présenté par la présidente. </w:t>
      </w:r>
    </w:p>
    <w:p w14:paraId="4402AB06" w14:textId="1E7C8AAD" w:rsidR="00A5408E" w:rsidRPr="00D8684A" w:rsidRDefault="00A5408E" w:rsidP="00A5408E">
      <w:pPr>
        <w:pStyle w:val="CBDNormalNumber"/>
      </w:pPr>
      <w:r>
        <w:t>Les représentants des Parties suivantes ont fait des déclarations : Afrique du Sud, Arabie saoudite, Argentine, Australie, Brésil, Cameroun, Canada, Chili, Colombie, Costa Rica, Cuba, Fédération de Russie, Fidji, Ghana, Guatemala, Inde, Iran (République islamique d’), Jamaïque, Kenya, Maroc, Nigeria, République démocratique du Congo, Royaume-Uni, Suisse, Togo et Union européenne.</w:t>
      </w:r>
    </w:p>
    <w:p w14:paraId="50299DB4" w14:textId="77777777" w:rsidR="00E56681" w:rsidRPr="00D8684A" w:rsidRDefault="00E56681" w:rsidP="00E56681">
      <w:pPr>
        <w:pStyle w:val="CBDNormalNumber"/>
      </w:pPr>
      <w:r>
        <w:t>La représentante du Forum international des peuples autochtones sur la biodiversité a aussi fait une déclaration.</w:t>
      </w:r>
    </w:p>
    <w:p w14:paraId="065A4DC7" w14:textId="0F63B04D" w:rsidR="00A93620" w:rsidRPr="00D8684A" w:rsidRDefault="00A93620" w:rsidP="00A93620">
      <w:pPr>
        <w:pStyle w:val="CBDNormalNumber"/>
      </w:pPr>
      <w:r>
        <w:t>À l’issue de l’échange de vues, l’Organe subsidiaire a convenu que la présidente organiserait des consultations informelles au sujet des paragraphes 9 et 10 du projet de recommandation.</w:t>
      </w:r>
    </w:p>
    <w:p w14:paraId="78DCDC51" w14:textId="147762CD" w:rsidR="00774368" w:rsidRDefault="00AA5B53" w:rsidP="00FA5B30">
      <w:pPr>
        <w:pStyle w:val="CBDNormalNumber"/>
      </w:pPr>
      <w:r>
        <w:t>À sa sixième séance plénière, la présidente a rendu compte des résultats des consultations informelles.</w:t>
      </w:r>
    </w:p>
    <w:p w14:paraId="79F35DEC" w14:textId="4315FC95" w:rsidR="00454B3F" w:rsidRPr="00AB5F5A" w:rsidRDefault="00454B3F" w:rsidP="00454B3F">
      <w:pPr>
        <w:pStyle w:val="CBDNormalNumber"/>
      </w:pPr>
      <w:r>
        <w:t>Les représentants des Parties suivantes ont fait des déclarations : Australie, Brésil, Canada, Colombie, Côte d’Ivoire, Fédération de Russie, Fidji, Iran (République islamique d’), Mexique, Nouvelle-Zélande, République démocratique du Congo et Royaume-Uni.</w:t>
      </w:r>
    </w:p>
    <w:p w14:paraId="73DA4C62" w14:textId="4C3DADAE" w:rsidR="002104EB" w:rsidRPr="001E6A01" w:rsidRDefault="00417F75" w:rsidP="00FA5B30">
      <w:pPr>
        <w:pStyle w:val="CBDNormalNumber"/>
      </w:pPr>
      <w:r>
        <w:t>L’Organe subsidiaire a convenu que la présidente organiserait des consultations informelles avec la République islamique d’Iran et les autres Parties intéressées pour résoudre les questions en suspens.</w:t>
      </w:r>
    </w:p>
    <w:p w14:paraId="5F6A0139" w14:textId="13EF01B5" w:rsidR="00FA5B30" w:rsidRPr="00D8684A" w:rsidRDefault="00FA5B30" w:rsidP="00FA5B30">
      <w:pPr>
        <w:pStyle w:val="CBDNormalNumber"/>
      </w:pPr>
      <w:r>
        <w:t>[à terminer]</w:t>
      </w:r>
    </w:p>
    <w:p w14:paraId="28BA64BE" w14:textId="480C1EFC" w:rsidR="4095A489" w:rsidRPr="00D8684A" w:rsidRDefault="00335843" w:rsidP="00172A80">
      <w:pPr>
        <w:pStyle w:val="CBDAgendaItem0"/>
        <w:rPr>
          <w:rFonts w:hint="eastAsia"/>
        </w:rPr>
      </w:pPr>
      <w:r>
        <w:t>Point</w:t>
      </w:r>
      <w:r w:rsidR="00432EB2">
        <w:rPr>
          <w:rFonts w:hint="eastAsia"/>
        </w:rPr>
        <w:t> </w:t>
      </w:r>
      <w:r>
        <w:t xml:space="preserve">5 </w:t>
      </w:r>
      <w:r>
        <w:br/>
        <w:t>Plan d’action pour l’égalité des sexes</w:t>
      </w:r>
    </w:p>
    <w:p w14:paraId="61F501A4" w14:textId="6384F502" w:rsidR="00EF4BDD" w:rsidRPr="00D8684A" w:rsidRDefault="00EF4BDD" w:rsidP="00EF4BDD">
      <w:pPr>
        <w:pStyle w:val="CBDNormalNumber"/>
      </w:pPr>
      <w:r>
        <w:t>L’Organe subsidiaire s’est penché sur le point 5 de l’ordre du jour lors de sa deuxième séance plénière. Il était saisi d</w:t>
      </w:r>
      <w:r w:rsidR="00432EB2">
        <w:t>’</w:t>
      </w:r>
      <w:r>
        <w:t>une note du secrétariat sur l</w:t>
      </w:r>
      <w:r w:rsidR="00432EB2">
        <w:t>’</w:t>
      </w:r>
      <w:r>
        <w:t>examen de mi-parcours de la mise en œuvre du Plan d’action pour l’égalité des sexes</w:t>
      </w:r>
      <w:r w:rsidR="00432EB2">
        <w:t> </w:t>
      </w:r>
      <w:r>
        <w:t>2023-2030</w:t>
      </w:r>
      <w:r w:rsidRPr="00D8684A">
        <w:rPr>
          <w:rStyle w:val="FootnoteReference"/>
        </w:rPr>
        <w:footnoteReference w:id="22"/>
      </w:r>
      <w:r>
        <w:t xml:space="preserve">, qui comprenait un projet de recommandation. Un </w:t>
      </w:r>
      <w:r>
        <w:lastRenderedPageBreak/>
        <w:t>document d</w:t>
      </w:r>
      <w:r w:rsidR="00432EB2">
        <w:t>’</w:t>
      </w:r>
      <w:r>
        <w:t>information a également été publié concernant le point 5, relatif à la communication anticipée des déclarations pour la présente réunion</w:t>
      </w:r>
      <w:r w:rsidRPr="00D8684A">
        <w:rPr>
          <w:rStyle w:val="FootnoteReference"/>
          <w:rFonts w:eastAsiaTheme="minorEastAsia"/>
        </w:rPr>
        <w:footnoteReference w:id="23"/>
      </w:r>
      <w:r>
        <w:t>.</w:t>
      </w:r>
    </w:p>
    <w:p w14:paraId="1942CFAE" w14:textId="77595598" w:rsidR="008D1EC1" w:rsidRPr="00D8684A" w:rsidRDefault="006C2DAC" w:rsidP="00E23F9F">
      <w:pPr>
        <w:pStyle w:val="CBDNormalNumber"/>
      </w:pPr>
      <w:r>
        <w:t>Conformément aux modalités pilotes relatives à la communication anticipée des déclarations, l</w:t>
      </w:r>
      <w:r w:rsidR="00432EB2">
        <w:t>’</w:t>
      </w:r>
      <w:r>
        <w:t>Organe subsidiaire a décidé que les déclarations soumises par les Parties suivantes qui figuraient dans le document d</w:t>
      </w:r>
      <w:r w:rsidR="00432EB2">
        <w:t>’</w:t>
      </w:r>
      <w:r>
        <w:t>information</w:t>
      </w:r>
      <w:r w:rsidR="00432EB2">
        <w:t> </w:t>
      </w:r>
      <w:hyperlink r:id="rId20" w:history="1">
        <w:r>
          <w:rPr>
            <w:rStyle w:val="Hyperlink"/>
          </w:rPr>
          <w:t>CBD/SBI/6/INF/17</w:t>
        </w:r>
      </w:hyperlink>
      <w:r>
        <w:t xml:space="preserve"> et étaient représentées à la deuxième séance plénière, seraient formellement consignées comme déclarations soumises officiellement au titre du point 5 de l</w:t>
      </w:r>
      <w:r w:rsidR="00432EB2">
        <w:t>’</w:t>
      </w:r>
      <w:r>
        <w:t>ordre du jour : Arménie, Australie, Brésil, Canada, Chypre (au nom de l</w:t>
      </w:r>
      <w:r w:rsidR="00432EB2">
        <w:t>’</w:t>
      </w:r>
      <w:r>
        <w:t>Union européenne), Colombie, Côte d’Ivoire (au nom des États d</w:t>
      </w:r>
      <w:r w:rsidR="00432EB2">
        <w:t>’</w:t>
      </w:r>
      <w:r>
        <w:t>Afrique), Guatemala, Islande, Jordanie, Maroc, Norvège, Nouvelle-Zélande, Pérou et Royaume-Uni.</w:t>
      </w:r>
    </w:p>
    <w:p w14:paraId="16FB808B" w14:textId="57C7E8CB" w:rsidR="005D0EA4" w:rsidRPr="00D8684A" w:rsidRDefault="005D0EA4" w:rsidP="00FA5B30">
      <w:pPr>
        <w:pStyle w:val="CBDNormalNumber"/>
      </w:pPr>
      <w:r>
        <w:t>L</w:t>
      </w:r>
      <w:r w:rsidR="00432EB2">
        <w:t>’</w:t>
      </w:r>
      <w:r>
        <w:t>Organe subsidiaire a également décidé que les déclarations soumises par les observateurs suivants qui figuraient dans le document d</w:t>
      </w:r>
      <w:r w:rsidR="00432EB2">
        <w:t>’</w:t>
      </w:r>
      <w:r>
        <w:t>information</w:t>
      </w:r>
      <w:r w:rsidR="00432EB2">
        <w:t> </w:t>
      </w:r>
      <w:hyperlink r:id="rId21" w:history="1">
        <w:r>
          <w:rPr>
            <w:rStyle w:val="Hyperlink"/>
          </w:rPr>
          <w:t>CBD/SBI/6/INF/17</w:t>
        </w:r>
      </w:hyperlink>
      <w:r>
        <w:t xml:space="preserve"> et étaient représentés à la deuxième séance plénière, seraient formellement consignées comme déclarations soumises officiellement au titre du point 5 de l</w:t>
      </w:r>
      <w:r w:rsidR="00432EB2">
        <w:t>’</w:t>
      </w:r>
      <w:r>
        <w:t>ordre du jour : Alliance of Bioversity International &amp; International Center for Tropical Agriculture, Caucus des femmes de la CDB, Centre de résilience de Stockholm, Fonds mondial pour la nature, Forum international des peuples autochtones sur la biodiversité, HCDH, PNUD et PNUE.</w:t>
      </w:r>
    </w:p>
    <w:p w14:paraId="108DA694" w14:textId="2CF15637" w:rsidR="00150C53" w:rsidRPr="00D8684A" w:rsidRDefault="00150C53" w:rsidP="00150C53">
      <w:pPr>
        <w:pStyle w:val="CBDNormalNumber"/>
      </w:pPr>
      <w:r>
        <w:t>Les représentants des Parties suivantes ont fait des déclarations : Brésil, Burkina Faso, Colombie, Côte d’Ivoire (au nom des États d</w:t>
      </w:r>
      <w:r w:rsidR="00432EB2">
        <w:t>’</w:t>
      </w:r>
      <w:r>
        <w:t>Afrique), Fédération de Russie, Fidji (au nom des petits États insulaires en développement du Pacifique), Guatemala, Inde, Malawi, Mexique, Pérou, et Zimbabwe.</w:t>
      </w:r>
    </w:p>
    <w:p w14:paraId="225F7133" w14:textId="49F9F1AC" w:rsidR="007C2F82" w:rsidRPr="00D8684A" w:rsidRDefault="007C2F82" w:rsidP="00FA5B30">
      <w:pPr>
        <w:pStyle w:val="CBDNormalNumber"/>
      </w:pPr>
      <w:r>
        <w:t>Une déclaration a également été faite par un représentant de l</w:t>
      </w:r>
      <w:r w:rsidR="00432EB2">
        <w:t>’</w:t>
      </w:r>
      <w:r>
        <w:t>agence des Nations Unies pour l</w:t>
      </w:r>
      <w:r w:rsidR="00432EB2">
        <w:t>’</w:t>
      </w:r>
      <w:r>
        <w:t>égalité des sexes et l</w:t>
      </w:r>
      <w:r w:rsidR="00432EB2">
        <w:t>’</w:t>
      </w:r>
      <w:r>
        <w:t>autonomisation des femmes (ONU Femmes).</w:t>
      </w:r>
    </w:p>
    <w:p w14:paraId="59F832C6" w14:textId="21991D78" w:rsidR="007E64D0" w:rsidRPr="00D8684A" w:rsidRDefault="007E64D0" w:rsidP="00FA5B30">
      <w:pPr>
        <w:pStyle w:val="CBDNormalNumber"/>
      </w:pPr>
      <w:r>
        <w:t>Des déclarations ont été faites également par des représentants du Caucus des femmes de la CDB, du Forum international des peuples autochtones sur la biodiversité, du Réseau mondial des jeunes pour la biodiversité et du secrétariat de l</w:t>
      </w:r>
      <w:r w:rsidR="00432EB2">
        <w:t>’</w:t>
      </w:r>
      <w:r>
        <w:t>Initiative de la coopération sur la santé et la biodiversité.</w:t>
      </w:r>
    </w:p>
    <w:p w14:paraId="0C96C443" w14:textId="3583D7C3" w:rsidR="00F50382" w:rsidRPr="00E00BBE" w:rsidRDefault="00F50382" w:rsidP="00F50382">
      <w:pPr>
        <w:pStyle w:val="CBDNormalNumber"/>
        <w:rPr>
          <w:rFonts w:eastAsiaTheme="minorEastAsia"/>
        </w:rPr>
      </w:pPr>
      <w:r>
        <w:t>Suite à l</w:t>
      </w:r>
      <w:r w:rsidR="00432EB2">
        <w:t>’</w:t>
      </w:r>
      <w:r>
        <w:t>échange de points de vue, la présidente a fait savoir qu</w:t>
      </w:r>
      <w:r w:rsidR="00432EB2">
        <w:t>’</w:t>
      </w:r>
      <w:r>
        <w:t>elle préparerait une version révisée du projet de recommandation, en consultation avec le secrétariat, pour examen par l</w:t>
      </w:r>
      <w:r w:rsidR="00432EB2">
        <w:t>’</w:t>
      </w:r>
      <w:r>
        <w:t xml:space="preserve">Organe subsidiaire, en tenant compte des points de vue exprimés ou soutenus par les Parties. </w:t>
      </w:r>
    </w:p>
    <w:p w14:paraId="21F47C8B" w14:textId="53258393" w:rsidR="00E00BBE" w:rsidRPr="00E00BBE" w:rsidRDefault="00E00BBE" w:rsidP="00E00BBE">
      <w:pPr>
        <w:pStyle w:val="CBDNormalNumber"/>
        <w:rPr>
          <w:rFonts w:eastAsiaTheme="minorEastAsia"/>
        </w:rPr>
      </w:pPr>
      <w:r>
        <w:t xml:space="preserve">À sa cinquième séance plénière, l’Organe subsidiaire a examiné un projet de recommandation révisé présenté par la présidente. </w:t>
      </w:r>
    </w:p>
    <w:p w14:paraId="3B5AA3DB" w14:textId="3698F307" w:rsidR="00E00BBE" w:rsidRPr="00E00BBE" w:rsidRDefault="00E00BBE" w:rsidP="00E00BBE">
      <w:pPr>
        <w:pStyle w:val="CBDNormalNumber"/>
        <w:rPr>
          <w:rFonts w:eastAsiaTheme="minorEastAsia"/>
        </w:rPr>
      </w:pPr>
      <w:r>
        <w:t>Les représentants des Parties suivantes ont fait des déclarations : Australie, Cameroun, Canada, Côte d’Ivoire (au nom des États d’Afrique), Cuba, Fédération de Russie, Ghana, Guatemala, Îles Cook (au nom des petits États insulaires en développement du Pacifique)</w:t>
      </w:r>
      <w:r w:rsidR="00432EB2">
        <w:t>,</w:t>
      </w:r>
      <w:r>
        <w:t xml:space="preserve"> Inde, Iran (République islamique d’), Jordanie, Mexique, Niger, Norvège, Palaos (au nom des petits États insulaires en développement du Pacifique), Royaume-Uni, Sénégal, Suisse, Togo et Union européenne.</w:t>
      </w:r>
    </w:p>
    <w:p w14:paraId="7000226F" w14:textId="1E759A94" w:rsidR="00E00BBE" w:rsidRPr="00D8684A" w:rsidRDefault="00E00BBE" w:rsidP="00E00BBE">
      <w:pPr>
        <w:pStyle w:val="CBDNormalNumber"/>
        <w:rPr>
          <w:rFonts w:eastAsiaTheme="minorEastAsia"/>
        </w:rPr>
      </w:pPr>
      <w:r>
        <w:t>L’Organe subsidiaire a convenu de convoquer un petit groupe de Parties intéressées, modéré par la représentante de la Côte d’Ivoire, pour qu’il organise des discussions informelles sur le paragraphe 3 du projet de recommandation.</w:t>
      </w:r>
    </w:p>
    <w:p w14:paraId="4BD59DAB" w14:textId="6E4B7995" w:rsidR="00FA5B30" w:rsidRPr="00D8684A" w:rsidRDefault="00FA5B30" w:rsidP="00FA5B30">
      <w:pPr>
        <w:pStyle w:val="CBDNormalNumber"/>
      </w:pPr>
      <w:r>
        <w:t>[à terminer]</w:t>
      </w:r>
    </w:p>
    <w:p w14:paraId="2C8E9509" w14:textId="71283642" w:rsidR="00396D87" w:rsidRPr="00D8684A" w:rsidRDefault="00335843" w:rsidP="00172A80">
      <w:pPr>
        <w:pStyle w:val="CBDAgendaItem0"/>
        <w:rPr>
          <w:rFonts w:hint="eastAsia"/>
        </w:rPr>
      </w:pPr>
      <w:r>
        <w:t xml:space="preserve">Point 6 </w:t>
      </w:r>
      <w:r>
        <w:br/>
        <w:t xml:space="preserve">Création et renforcement des capacités et coopération technique et scientifique </w:t>
      </w:r>
    </w:p>
    <w:p w14:paraId="2EEA7296" w14:textId="7D693345" w:rsidR="00975DB5" w:rsidRPr="00D8684A" w:rsidRDefault="00975DB5" w:rsidP="00975DB5">
      <w:pPr>
        <w:pStyle w:val="CBDNormalNumber"/>
        <w:rPr>
          <w:rFonts w:asciiTheme="majorBidi" w:eastAsia="Aptos" w:hAnsiTheme="majorBidi" w:cstheme="majorBidi"/>
        </w:rPr>
      </w:pPr>
      <w:r>
        <w:t>L’Organe subsidiaire s’est penché sur le point 6 de l’ordre du jour lors de sa deuxième séance plénière. Il était saisi d</w:t>
      </w:r>
      <w:r w:rsidR="00432EB2">
        <w:t>’</w:t>
      </w:r>
      <w:r>
        <w:t xml:space="preserve">une note du secrétariat sur la création et le renforcement des capacités et la </w:t>
      </w:r>
      <w:r>
        <w:lastRenderedPageBreak/>
        <w:t>coopération technique et scientifique</w:t>
      </w:r>
      <w:r w:rsidRPr="00D8684A">
        <w:rPr>
          <w:rStyle w:val="FootnoteReference"/>
          <w:rFonts w:asciiTheme="majorBidi" w:eastAsia="Aptos" w:hAnsiTheme="majorBidi"/>
        </w:rPr>
        <w:footnoteReference w:id="24"/>
      </w:r>
      <w:r>
        <w:t>,</w:t>
      </w:r>
      <w:r>
        <w:rPr>
          <w:rFonts w:asciiTheme="majorBidi" w:hAnsiTheme="majorBidi"/>
        </w:rPr>
        <w:t xml:space="preserve"> qui comportait des éléments d</w:t>
      </w:r>
      <w:r w:rsidR="00432EB2">
        <w:rPr>
          <w:rFonts w:asciiTheme="majorBidi" w:hAnsiTheme="majorBidi"/>
        </w:rPr>
        <w:t>’</w:t>
      </w:r>
      <w:r>
        <w:rPr>
          <w:rFonts w:asciiTheme="majorBidi" w:hAnsiTheme="majorBidi"/>
        </w:rPr>
        <w:t xml:space="preserve">un projet de recommandation. </w:t>
      </w:r>
      <w:r>
        <w:t>Les documents d</w:t>
      </w:r>
      <w:r w:rsidR="00432EB2">
        <w:t>’</w:t>
      </w:r>
      <w:r>
        <w:t>information suivants ont également été publiés au titre du point 6 : un aperçu des lacunes des Parties en matière de capacités technologiques, techniques et institutionnelles</w:t>
      </w:r>
      <w:r w:rsidRPr="00D8684A">
        <w:rPr>
          <w:rStyle w:val="FootnoteReference"/>
        </w:rPr>
        <w:footnoteReference w:id="25"/>
      </w:r>
      <w:r>
        <w:t>, des orientations actualisées concernant les centres régionaux et infrarégionaux d</w:t>
      </w:r>
      <w:r w:rsidR="00432EB2">
        <w:t>’</w:t>
      </w:r>
      <w:r>
        <w:t>appui à la coopération technique et scientifique pour l</w:t>
      </w:r>
      <w:r w:rsidR="00432EB2">
        <w:t>’</w:t>
      </w:r>
      <w:r>
        <w:t>élaboration de leurs plans de travail</w:t>
      </w:r>
      <w:r w:rsidRPr="00D8684A">
        <w:rPr>
          <w:rStyle w:val="FootnoteReference"/>
          <w:rFonts w:asciiTheme="majorBidi" w:eastAsia="Aptos" w:hAnsiTheme="majorBidi"/>
        </w:rPr>
        <w:footnoteReference w:id="26"/>
      </w:r>
      <w:r>
        <w:rPr>
          <w:rFonts w:asciiTheme="majorBidi" w:hAnsiTheme="majorBidi"/>
        </w:rPr>
        <w:t xml:space="preserve">, </w:t>
      </w:r>
      <w:r>
        <w:t>une analyse des stratégies et plans d’action nationaux pour la biodiversité et des cibles nationales définies par les Parties conformément au Cadre mondial de la biodiversité de Kunming-Montréal</w:t>
      </w:r>
      <w:r w:rsidRPr="00D8684A">
        <w:rPr>
          <w:rStyle w:val="FootnoteReference"/>
        </w:rPr>
        <w:footnoteReference w:id="27"/>
      </w:r>
      <w:r>
        <w:t>, ainsi qu</w:t>
      </w:r>
      <w:r w:rsidR="00432EB2">
        <w:t>’</w:t>
      </w:r>
      <w:r>
        <w:t>une note du Secrétariat sur la communication anticipée des déclarations pour la présente réunion</w:t>
      </w:r>
      <w:r w:rsidRPr="00D8684A">
        <w:rPr>
          <w:rStyle w:val="FootnoteReference"/>
          <w:rFonts w:eastAsiaTheme="minorEastAsia"/>
        </w:rPr>
        <w:footnoteReference w:id="28"/>
      </w:r>
      <w:r>
        <w:t>.</w:t>
      </w:r>
    </w:p>
    <w:p w14:paraId="6FEC74A6" w14:textId="03C33DB9" w:rsidR="00871171" w:rsidRPr="00D8684A" w:rsidRDefault="006C2DAC" w:rsidP="00975DB5">
      <w:pPr>
        <w:pStyle w:val="CBDNormalNumber"/>
        <w:rPr>
          <w:rFonts w:asciiTheme="majorBidi" w:eastAsia="Aptos" w:hAnsiTheme="majorBidi" w:cstheme="majorBidi"/>
        </w:rPr>
      </w:pPr>
      <w:r>
        <w:t>Conformément aux modalités pilotes relatives à la communication anticipée des déclarations, l</w:t>
      </w:r>
      <w:r w:rsidR="00432EB2">
        <w:t>’</w:t>
      </w:r>
      <w:r>
        <w:t>Organe subsidiaire a décidé que les déclarations soumises par les Parties suivantes qui figuraient dans le document d</w:t>
      </w:r>
      <w:r w:rsidR="00432EB2">
        <w:t>’</w:t>
      </w:r>
      <w:r>
        <w:t>information</w:t>
      </w:r>
      <w:r w:rsidR="00432EB2">
        <w:t> </w:t>
      </w:r>
      <w:hyperlink r:id="rId22" w:history="1">
        <w:r>
          <w:rPr>
            <w:rStyle w:val="Hyperlink"/>
          </w:rPr>
          <w:t>CBD/SBI/6/INF/17</w:t>
        </w:r>
      </w:hyperlink>
      <w:r>
        <w:t xml:space="preserve"> et étaient représentées à la deuxième séance plénière, seraient formellement consignées comme déclarations soumises officiellement au titre du point 6 de l</w:t>
      </w:r>
      <w:r w:rsidR="00432EB2">
        <w:t>’</w:t>
      </w:r>
      <w:r>
        <w:t>ordre du jour : Australie, Brésil, Canada, Chypre (au nom de l</w:t>
      </w:r>
      <w:r w:rsidR="00432EB2">
        <w:t>’</w:t>
      </w:r>
      <w:r>
        <w:t>Union européenne), Colombie, Côte d’Ivoire, Guatemala, Islande, Japon, Malawi (au nom des États d</w:t>
      </w:r>
      <w:r w:rsidR="00432EB2">
        <w:t>’</w:t>
      </w:r>
      <w:r>
        <w:t>Afrique), Maroc, Niger, Norvège, Pérou, Philippines, Royaume-Uni et Suisse.</w:t>
      </w:r>
    </w:p>
    <w:p w14:paraId="0147CD11" w14:textId="157CBD60" w:rsidR="00F824BC" w:rsidRPr="00D8684A" w:rsidRDefault="00F824BC" w:rsidP="00FA5B30">
      <w:pPr>
        <w:pStyle w:val="CBDNormalNumber"/>
        <w:rPr>
          <w:rFonts w:eastAsiaTheme="minorEastAsia"/>
        </w:rPr>
      </w:pPr>
      <w:r>
        <w:t>L</w:t>
      </w:r>
      <w:r w:rsidR="00432EB2">
        <w:t>’</w:t>
      </w:r>
      <w:r>
        <w:t>Organe subsidiaire a également décidé que les déclarations soumises par les observateurs suivants qui figuraient dans le document d</w:t>
      </w:r>
      <w:r w:rsidR="00432EB2">
        <w:t>’</w:t>
      </w:r>
      <w:r>
        <w:t>information</w:t>
      </w:r>
      <w:r w:rsidR="00432EB2">
        <w:t> </w:t>
      </w:r>
      <w:hyperlink r:id="rId23" w:history="1">
        <w:r>
          <w:rPr>
            <w:rStyle w:val="Hyperlink"/>
          </w:rPr>
          <w:t>CBD/SBI/6/INF/17</w:t>
        </w:r>
      </w:hyperlink>
      <w:r>
        <w:t xml:space="preserve"> et étaient représentés à la deuxième séance plénière, seraient formellement consignées comme déclarations soumises officiellement au titre du point 6 de l</w:t>
      </w:r>
      <w:r w:rsidR="00432EB2">
        <w:t>’</w:t>
      </w:r>
      <w:r>
        <w:t>ordre du jour : Alliance of Bioversity International &amp; International Center for Tropical Agriculture, BirdLife International, Caucus des femmes de la CDB, Forum international des peuples autochtones sur la biodiversité, PNUD, PNUE et Union internationale pour la conservation de la nature.</w:t>
      </w:r>
    </w:p>
    <w:p w14:paraId="225FB591" w14:textId="78AAB346" w:rsidR="00150C53" w:rsidRPr="00D8684A" w:rsidRDefault="00150C53" w:rsidP="00150C53">
      <w:pPr>
        <w:pStyle w:val="CBDNormalNumber"/>
        <w:rPr>
          <w:rFonts w:eastAsiaTheme="minorEastAsia"/>
        </w:rPr>
      </w:pPr>
      <w:r>
        <w:t>Les représentants des Parties suivantes ont fait des déclarations : Brésil, Fidji (au nom des petits États insulaires en développement du Pacifique), Lesotho, Malaisie, Malawi (au nom des États d</w:t>
      </w:r>
      <w:r w:rsidR="00432EB2">
        <w:t>’</w:t>
      </w:r>
      <w:r>
        <w:t>Afrique), Mexique et Philippines.</w:t>
      </w:r>
    </w:p>
    <w:p w14:paraId="1056BEAD" w14:textId="5B3C45B0" w:rsidR="00C76589" w:rsidRPr="00D8684A" w:rsidRDefault="00C76589" w:rsidP="00C76589">
      <w:pPr>
        <w:pStyle w:val="CBDNormalNumber"/>
      </w:pPr>
      <w:r>
        <w:t>À sa troisième séance plénière, le 17 février, l</w:t>
      </w:r>
      <w:r w:rsidR="00432EB2">
        <w:t>’</w:t>
      </w:r>
      <w:r>
        <w:t>Organe subsidiaire a repris l</w:t>
      </w:r>
      <w:r w:rsidR="00432EB2">
        <w:t>’</w:t>
      </w:r>
      <w:r>
        <w:t>examen du point 6 de l</w:t>
      </w:r>
      <w:r w:rsidR="00432EB2">
        <w:t>’</w:t>
      </w:r>
      <w:r>
        <w:t>ordre du jour.</w:t>
      </w:r>
    </w:p>
    <w:p w14:paraId="6775C9D5" w14:textId="17171FFA" w:rsidR="006C2DAC" w:rsidRPr="00D8684A" w:rsidRDefault="006C2DAC" w:rsidP="006C2DAC">
      <w:pPr>
        <w:pStyle w:val="CBDNormalNumber"/>
      </w:pPr>
      <w:r>
        <w:t xml:space="preserve">Les représentants des Parties suivantes ont fait des déclarations : Afrique du Sud, Argentine, Bolivie (État plurinational de), Botswana, Chine, Colombie, Cuba, Égypte, Fédération de Russie, Îles Cook, Guatemala, Inde, Jordanie, Niger, Pérou et Zimbabwe. </w:t>
      </w:r>
    </w:p>
    <w:p w14:paraId="2CCCCF9D" w14:textId="6ADDDB07" w:rsidR="006C2DAC" w:rsidRPr="00D8684A" w:rsidRDefault="006C2DAC" w:rsidP="006C2DAC">
      <w:pPr>
        <w:pStyle w:val="CBDNormalNumber"/>
      </w:pPr>
      <w:r>
        <w:t>Les représentants d</w:t>
      </w:r>
      <w:r w:rsidR="00432EB2">
        <w:t>’</w:t>
      </w:r>
      <w:r>
        <w:t>Alliance of Bioversity International &amp; International Center for Tropical Agriculture, du Forum international des peuples autochtones sur la biodiversité et du Réseau mondial des jeunes pour la biodiversité se sont également exprimés.</w:t>
      </w:r>
    </w:p>
    <w:p w14:paraId="47C1E5A8" w14:textId="0890D293" w:rsidR="006C2DAC" w:rsidRPr="00D8684A" w:rsidRDefault="006C2DAC" w:rsidP="006C2DAC">
      <w:pPr>
        <w:pStyle w:val="CBDNormalNumber"/>
      </w:pPr>
      <w:r>
        <w:t>Suite à l</w:t>
      </w:r>
      <w:r w:rsidR="00432EB2">
        <w:t>’</w:t>
      </w:r>
      <w:r>
        <w:t>échange de points de vue, la présidente a fait savoir qu</w:t>
      </w:r>
      <w:r w:rsidR="00432EB2">
        <w:t>’</w:t>
      </w:r>
      <w:r>
        <w:t>elle préparerait une version révisée du projet de recommandation, en consultation avec le secrétariat, pour examen par l</w:t>
      </w:r>
      <w:r w:rsidR="00432EB2">
        <w:t>’</w:t>
      </w:r>
      <w:r>
        <w:t>Organe subsidiaire, en tenant compte des points de vue exprimés ou soutenus par les Parties.</w:t>
      </w:r>
    </w:p>
    <w:p w14:paraId="0F80DD51" w14:textId="7FE7F8FC" w:rsidR="00FA5B30" w:rsidRPr="00D8684A" w:rsidRDefault="00FA5B30" w:rsidP="00FA5B30">
      <w:pPr>
        <w:pStyle w:val="CBDNormalNumber"/>
        <w:rPr>
          <w:rFonts w:eastAsiaTheme="minorEastAsia"/>
        </w:rPr>
      </w:pPr>
      <w:r>
        <w:t>[à terminer]</w:t>
      </w:r>
    </w:p>
    <w:p w14:paraId="10BE31F2" w14:textId="0D7B83E1" w:rsidR="006524E1" w:rsidRPr="00D8684A" w:rsidRDefault="00335843" w:rsidP="00172A80">
      <w:pPr>
        <w:pStyle w:val="CBDAgendaItem0"/>
        <w:rPr>
          <w:rFonts w:hint="eastAsia"/>
        </w:rPr>
      </w:pPr>
      <w:r>
        <w:t xml:space="preserve">Point 7 </w:t>
      </w:r>
      <w:r>
        <w:br/>
        <w:t>Coopération avec d</w:t>
      </w:r>
      <w:r w:rsidR="00432EB2">
        <w:t>’</w:t>
      </w:r>
      <w:r>
        <w:t>autres conventions et organisations internationales</w:t>
      </w:r>
    </w:p>
    <w:p w14:paraId="0967853B" w14:textId="459B8E2D" w:rsidR="006C2DAC" w:rsidRPr="00D8684A" w:rsidRDefault="007F3C5B" w:rsidP="006C2DAC">
      <w:pPr>
        <w:pStyle w:val="CBDNormalNumber"/>
        <w:rPr>
          <w:rFonts w:eastAsiaTheme="minorEastAsia"/>
        </w:rPr>
      </w:pPr>
      <w:r>
        <w:t>L</w:t>
      </w:r>
      <w:r w:rsidR="00432EB2">
        <w:t>’</w:t>
      </w:r>
      <w:r>
        <w:t>Organe subsidiaire a examiné le point 7 de l</w:t>
      </w:r>
      <w:r w:rsidR="00432EB2">
        <w:t>’</w:t>
      </w:r>
      <w:r>
        <w:t>ordre du jour à sa troisième séance plénière. Il était saisi d</w:t>
      </w:r>
      <w:r w:rsidR="00432EB2">
        <w:t>’</w:t>
      </w:r>
      <w:r>
        <w:t xml:space="preserve">une note du secrétariat sur </w:t>
      </w:r>
      <w:r w:rsidR="00DC6006">
        <w:t>la coopération avec d’autres conventions et organisations internationales</w:t>
      </w:r>
      <w:r w:rsidRPr="00D8684A">
        <w:rPr>
          <w:rStyle w:val="FootnoteReference"/>
          <w:rFonts w:eastAsiaTheme="minorEastAsia"/>
        </w:rPr>
        <w:footnoteReference w:id="29"/>
      </w:r>
      <w:r>
        <w:t>, qui comprenait un projet de recommandation. Les documents d</w:t>
      </w:r>
      <w:r w:rsidR="00432EB2">
        <w:t>’</w:t>
      </w:r>
      <w:r>
        <w:t xml:space="preserve">information </w:t>
      </w:r>
      <w:r>
        <w:lastRenderedPageBreak/>
        <w:t>suivants ont également été publiés au titre du point 7 de l</w:t>
      </w:r>
      <w:r w:rsidR="00432EB2">
        <w:t>’</w:t>
      </w:r>
      <w:r>
        <w:t>ordre du jour : une note du secrétariat contenant des informations sur la mise en œuvre de la cible 2 de la feuille de route</w:t>
      </w:r>
      <w:r w:rsidRPr="00D8684A">
        <w:rPr>
          <w:rStyle w:val="FootnoteReference"/>
          <w:rFonts w:eastAsiaTheme="minorEastAsia"/>
        </w:rPr>
        <w:footnoteReference w:id="30"/>
      </w:r>
      <w:r>
        <w:t xml:space="preserve">, une note du secrétariat contenant des informations supplémentaires sur la mise en œuvre de la décision </w:t>
      </w:r>
      <w:hyperlink r:id="rId24" w:history="1">
        <w:r>
          <w:rPr>
            <w:rStyle w:val="Hyperlink"/>
          </w:rPr>
          <w:t>16/35</w:t>
        </w:r>
      </w:hyperlink>
      <w:r>
        <w:t xml:space="preserve"> relative à la coopération avec d</w:t>
      </w:r>
      <w:r w:rsidR="00432EB2">
        <w:t>’</w:t>
      </w:r>
      <w:r>
        <w:t>autres conventions et organisations internationales</w:t>
      </w:r>
      <w:r w:rsidRPr="00D8684A">
        <w:rPr>
          <w:rStyle w:val="FootnoteReference"/>
          <w:rFonts w:eastAsiaTheme="minorEastAsia"/>
        </w:rPr>
        <w:footnoteReference w:id="31"/>
      </w:r>
      <w:r>
        <w:t>, et une note du secrétariat sur la communication anticipée des déclarations pour la présente réunion</w:t>
      </w:r>
      <w:r w:rsidRPr="00D8684A">
        <w:rPr>
          <w:rStyle w:val="FootnoteReference"/>
          <w:rFonts w:eastAsiaTheme="minorEastAsia"/>
        </w:rPr>
        <w:footnoteReference w:id="32"/>
      </w:r>
      <w:r>
        <w:t xml:space="preserve">. </w:t>
      </w:r>
    </w:p>
    <w:p w14:paraId="765F7DA2" w14:textId="7657C734" w:rsidR="006C2DAC" w:rsidRPr="00D8684A" w:rsidRDefault="006C2DAC" w:rsidP="006C2DAC">
      <w:pPr>
        <w:pStyle w:val="CBDNormalNumber"/>
        <w:rPr>
          <w:rFonts w:asciiTheme="majorBidi" w:eastAsia="Aptos" w:hAnsiTheme="majorBidi" w:cstheme="majorBidi"/>
        </w:rPr>
      </w:pPr>
      <w:r>
        <w:t>Conformément aux modalités pilotes relatives à la communication anticipée des déclarations, l</w:t>
      </w:r>
      <w:r w:rsidR="00432EB2">
        <w:t>’</w:t>
      </w:r>
      <w:r>
        <w:t>Organe subsidiaire a décidé que les déclarations soumises par les Parties suivantes, qui figuraient dans le document d</w:t>
      </w:r>
      <w:r w:rsidR="00432EB2">
        <w:t>’</w:t>
      </w:r>
      <w:r>
        <w:t>information</w:t>
      </w:r>
      <w:r w:rsidR="00432EB2">
        <w:t> </w:t>
      </w:r>
      <w:hyperlink r:id="rId25" w:history="1">
        <w:r>
          <w:rPr>
            <w:rStyle w:val="Hyperlink"/>
          </w:rPr>
          <w:t>CBD/SBI/6/INF/17</w:t>
        </w:r>
      </w:hyperlink>
      <w:r>
        <w:t xml:space="preserve"> et étaient représentées à la troisième séance plénière, seraient formellement consignées comme déclarations soumises officiellement au titre du point 7 : Australie, Canada, Chypre (au nom de l</w:t>
      </w:r>
      <w:r w:rsidR="00432EB2">
        <w:t>’</w:t>
      </w:r>
      <w:r>
        <w:t>Union européenne), Colombie, Côte d’Ivoire, Chypre (au nom de l</w:t>
      </w:r>
      <w:r w:rsidR="00432EB2">
        <w:t>’</w:t>
      </w:r>
      <w:r>
        <w:t>Union européenne), Guatemala, Islande, Jordanie, Maroc, Nouvelle-Zélande, Norvège, Pérou, Philippines, Royaume-Uni, Suisse et Zimbabwe (au nom des États d</w:t>
      </w:r>
      <w:r w:rsidR="00432EB2">
        <w:t>’</w:t>
      </w:r>
      <w:r>
        <w:t>Afrique).</w:t>
      </w:r>
    </w:p>
    <w:p w14:paraId="0BDDFB42" w14:textId="39686A89" w:rsidR="0097612C" w:rsidRPr="00D8684A" w:rsidRDefault="0097612C" w:rsidP="006C2DAC">
      <w:pPr>
        <w:pStyle w:val="CBDNormalNumber"/>
        <w:rPr>
          <w:rFonts w:eastAsiaTheme="minorEastAsia"/>
        </w:rPr>
      </w:pPr>
      <w:r>
        <w:t>L</w:t>
      </w:r>
      <w:r w:rsidR="00432EB2">
        <w:t>’</w:t>
      </w:r>
      <w:r>
        <w:t>Organe subsidiaire a également décidé que les déclarations soumises par les observateurs suivants qui figuraient dans le document d</w:t>
      </w:r>
      <w:r w:rsidR="00432EB2">
        <w:t>’</w:t>
      </w:r>
      <w:r>
        <w:t>information</w:t>
      </w:r>
      <w:r w:rsidR="00432EB2">
        <w:t> </w:t>
      </w:r>
      <w:hyperlink r:id="rId26" w:history="1">
        <w:r>
          <w:rPr>
            <w:rStyle w:val="Hyperlink"/>
          </w:rPr>
          <w:t>CBD/SBI/6/INF/17</w:t>
        </w:r>
      </w:hyperlink>
      <w:r>
        <w:t xml:space="preserve"> et étaient représentés à la deuxième séance plénière, seraient formellement consignées comme déclarations soumises officiellement au titre du point 7 de l</w:t>
      </w:r>
      <w:r w:rsidR="00432EB2">
        <w:t>’</w:t>
      </w:r>
      <w:r>
        <w:t xml:space="preserve">ordre du jour : Alliance of Bioversity International &amp; International Center for Tropical Agriculture, BirdLife International, Caucus des femmes de la CDB, Centre de résilience de Stockholm, Conservation International, </w:t>
      </w:r>
      <w:r>
        <w:rPr>
          <w:shd w:val="clear" w:color="auto" w:fill="FFFFFF"/>
        </w:rPr>
        <w:t>FAO</w:t>
      </w:r>
      <w:r>
        <w:t>, Fonds mondial pour la nature, Forum international des peuples autochtones sur la biodiversité, HCDH, Organisation des Nations Unies pour l</w:t>
      </w:r>
      <w:r w:rsidR="00432EB2">
        <w:t>’</w:t>
      </w:r>
      <w:r>
        <w:t>éducation, la science et la culture, Organisation mondiale de la Santé (OMS), Réseau mondial des jeunes pour la biodiversité, secrétariat de la Convention sur le commerce international des espèces de faune et de flore sauvages menacées d’extinction, secrétariat de l</w:t>
      </w:r>
      <w:r w:rsidR="00432EB2">
        <w:t>’</w:t>
      </w:r>
      <w:r>
        <w:t>Initiative de la coopération sur la santé et la biodiversité et secrétariat du Traité international sur les ressources phytogénétiques pour l</w:t>
      </w:r>
      <w:r w:rsidR="00432EB2">
        <w:t>’</w:t>
      </w:r>
      <w:r>
        <w:t>alimentation et l</w:t>
      </w:r>
      <w:r w:rsidR="00432EB2">
        <w:t>’</w:t>
      </w:r>
      <w:r>
        <w:t>agriculture.</w:t>
      </w:r>
    </w:p>
    <w:p w14:paraId="3C02CE28" w14:textId="7872BFC5" w:rsidR="00150C53" w:rsidRPr="00D8684A" w:rsidRDefault="00150C53" w:rsidP="00150C53">
      <w:pPr>
        <w:pStyle w:val="CBDNormalNumber"/>
        <w:rPr>
          <w:rFonts w:eastAsiaTheme="minorEastAsia"/>
        </w:rPr>
      </w:pPr>
      <w:r>
        <w:t>Les représentants des Parties suivantes ont fait des déclarations : Antigua-et-Barbuda, Argentine, Bolivie (État plurinational de), Botswana, Burkina Faso, Chili, Colombie, Costa Rica, Équateur, Égypte, Fédération de Russie, Fidji (au nom des petits États insulaires en développement du Pacifique), Gabon, Ghana, Îles Cook, Inde, Kenya, Madagascar, Malaisie, Mexique, Nigeria, Palaos, Panama, et Zimbabwe (au nom des États d</w:t>
      </w:r>
      <w:r w:rsidR="00432EB2">
        <w:t>’</w:t>
      </w:r>
      <w:r>
        <w:t>Afrique).</w:t>
      </w:r>
    </w:p>
    <w:p w14:paraId="076BE468" w14:textId="127E6A70" w:rsidR="007C2F82" w:rsidRPr="00D8684A" w:rsidRDefault="007C2F82" w:rsidP="007C2F82">
      <w:pPr>
        <w:pStyle w:val="CBDNormalNumber"/>
      </w:pPr>
      <w:r>
        <w:t>Une déclaration a également été faite par un représentant d</w:t>
      </w:r>
      <w:r w:rsidR="00432EB2">
        <w:t>’</w:t>
      </w:r>
      <w:r>
        <w:t>ONU Femmes.</w:t>
      </w:r>
    </w:p>
    <w:p w14:paraId="0713F5F4" w14:textId="79BD0769" w:rsidR="006C2DAC" w:rsidRPr="00D8684A" w:rsidRDefault="007C2F82" w:rsidP="006C2DAC">
      <w:pPr>
        <w:pStyle w:val="CBDNormalNumber"/>
        <w:rPr>
          <w:rFonts w:eastAsiaTheme="minorEastAsia"/>
        </w:rPr>
      </w:pPr>
      <w:r>
        <w:t>Une autre déclaration a été faite par un représentant de l</w:t>
      </w:r>
      <w:r w:rsidR="00432EB2">
        <w:t>’</w:t>
      </w:r>
      <w:r>
        <w:t>Organisation du système CGIAR.</w:t>
      </w:r>
    </w:p>
    <w:p w14:paraId="72C8A4F5" w14:textId="5F57B955" w:rsidR="006C2DAC" w:rsidRPr="00D8684A" w:rsidRDefault="006C2DAC" w:rsidP="006C2DAC">
      <w:pPr>
        <w:pStyle w:val="CBDNormalNumber"/>
        <w:rPr>
          <w:rFonts w:eastAsiaTheme="minorEastAsia"/>
        </w:rPr>
      </w:pPr>
      <w:r>
        <w:t>Suite à l</w:t>
      </w:r>
      <w:r w:rsidR="00432EB2">
        <w:t>’</w:t>
      </w:r>
      <w:r>
        <w:t>échange de points de vue, l</w:t>
      </w:r>
      <w:r w:rsidR="00432EB2">
        <w:t>’</w:t>
      </w:r>
      <w:r>
        <w:t>Organe subsidiaire a décidé de créer un groupe de contact, coprésidé par Martha Mphatso Kalemba (Malawi) et Clarisse Kehler Siebert (Suède).</w:t>
      </w:r>
    </w:p>
    <w:p w14:paraId="0BAEAA83" w14:textId="1B6EEB56" w:rsidR="005D4F32" w:rsidRPr="00D8684A" w:rsidRDefault="005D4F32" w:rsidP="006C2DAC">
      <w:pPr>
        <w:pStyle w:val="CBDNormalNumber"/>
        <w:rPr>
          <w:rFonts w:eastAsiaTheme="minorEastAsia"/>
        </w:rPr>
      </w:pPr>
      <w:r>
        <w:t>À sa cinquième séance plénière, l’Organe subsidiaire a écouté un rapport de l’un des co-présidents du groupe de contact au sujet des progrès du groupe et a convenu que le groupe de contact devrait poursuivre des travaux.</w:t>
      </w:r>
    </w:p>
    <w:p w14:paraId="751C9044" w14:textId="72FD1983" w:rsidR="00FA5B30" w:rsidRPr="00D8684A" w:rsidRDefault="00FA5B30" w:rsidP="00FA5B30">
      <w:pPr>
        <w:pStyle w:val="CBDNormalNumber"/>
        <w:rPr>
          <w:rFonts w:eastAsiaTheme="minorEastAsia"/>
        </w:rPr>
      </w:pPr>
      <w:r>
        <w:t>[à terminer]</w:t>
      </w:r>
    </w:p>
    <w:p w14:paraId="55A43498" w14:textId="0830B670" w:rsidR="007F2887" w:rsidRPr="0036214D" w:rsidRDefault="00634CB8" w:rsidP="00172A80">
      <w:pPr>
        <w:pStyle w:val="CBDAgendaItem0"/>
        <w:rPr>
          <w:rFonts w:asciiTheme="minorHAnsi" w:hAnsiTheme="minorHAnsi"/>
        </w:rPr>
      </w:pPr>
      <w:r>
        <w:t xml:space="preserve">Point 8 </w:t>
      </w:r>
      <w:r>
        <w:br/>
        <w:t>Instruments internationaux spécialisés relatifs à l’accès et au partage des avantages dans le contexte du paragraphe 4 de l</w:t>
      </w:r>
      <w:r w:rsidR="00432EB2">
        <w:t>’</w:t>
      </w:r>
      <w:r>
        <w:t>article 4 du Protocole de Nagoya</w:t>
      </w:r>
    </w:p>
    <w:p w14:paraId="73CA4EB7" w14:textId="57E51C6B" w:rsidR="007F3C5B" w:rsidRPr="00D8684A" w:rsidRDefault="007F3C5B" w:rsidP="007F3C5B">
      <w:pPr>
        <w:pStyle w:val="CBDNormalNumber"/>
        <w:rPr>
          <w:rFonts w:eastAsiaTheme="minorEastAsia"/>
        </w:rPr>
      </w:pPr>
      <w:r>
        <w:t>L</w:t>
      </w:r>
      <w:r w:rsidR="00432EB2">
        <w:t>’</w:t>
      </w:r>
      <w:r>
        <w:t>Organe subsidiaire a examiné le point 8 de l</w:t>
      </w:r>
      <w:r w:rsidR="00432EB2">
        <w:t>’</w:t>
      </w:r>
      <w:r>
        <w:t>ordre du jour à sa troisième séance plénière. Il était saisi d</w:t>
      </w:r>
      <w:r w:rsidR="00432EB2">
        <w:t>’</w:t>
      </w:r>
      <w:r>
        <w:t>une note du secrétariat sur les instruments internationaux spécialisés sur l</w:t>
      </w:r>
      <w:r w:rsidR="00432EB2">
        <w:t>’</w:t>
      </w:r>
      <w:r>
        <w:t xml:space="preserve">accès et le partage des avantages </w:t>
      </w:r>
      <w:r>
        <w:rPr>
          <w:rFonts w:asciiTheme="majorBidi" w:hAnsiTheme="majorBidi"/>
        </w:rPr>
        <w:t>dans le contexte du paragraphe 4 de l</w:t>
      </w:r>
      <w:r w:rsidR="00432EB2">
        <w:rPr>
          <w:rFonts w:asciiTheme="majorBidi" w:hAnsiTheme="majorBidi"/>
        </w:rPr>
        <w:t>’</w:t>
      </w:r>
      <w:r>
        <w:rPr>
          <w:rFonts w:asciiTheme="majorBidi" w:hAnsiTheme="majorBidi"/>
        </w:rPr>
        <w:t>article 4 du Protocole de Nagoya</w:t>
      </w:r>
      <w:r w:rsidRPr="00D8684A">
        <w:rPr>
          <w:rStyle w:val="FootnoteReference"/>
          <w:rFonts w:asciiTheme="majorBidi" w:eastAsia="Aptos" w:hAnsiTheme="majorBidi" w:cstheme="majorBidi"/>
        </w:rPr>
        <w:footnoteReference w:id="33"/>
      </w:r>
      <w:r>
        <w:rPr>
          <w:rFonts w:asciiTheme="majorBidi" w:hAnsiTheme="majorBidi"/>
        </w:rPr>
        <w:t>,</w:t>
      </w:r>
      <w:r>
        <w:t xml:space="preserve"> qui </w:t>
      </w:r>
      <w:r>
        <w:lastRenderedPageBreak/>
        <w:t>comprenait un projet de recommandation. Un document d</w:t>
      </w:r>
      <w:r w:rsidR="00432EB2">
        <w:t>’</w:t>
      </w:r>
      <w:r>
        <w:t>information sur la communication anticipée des déclarations pour la présente réunion</w:t>
      </w:r>
      <w:r w:rsidRPr="00D8684A">
        <w:rPr>
          <w:rStyle w:val="FootnoteReference"/>
          <w:rFonts w:eastAsiaTheme="minorEastAsia"/>
        </w:rPr>
        <w:footnoteReference w:id="34"/>
      </w:r>
      <w:r>
        <w:t xml:space="preserve"> a également été publié concernant le point 8 de l</w:t>
      </w:r>
      <w:r w:rsidR="00432EB2">
        <w:t>’</w:t>
      </w:r>
      <w:r>
        <w:t>ordre du jour.</w:t>
      </w:r>
    </w:p>
    <w:p w14:paraId="333AC2D5" w14:textId="2943D0B8" w:rsidR="007F3C5B" w:rsidRPr="00D8684A" w:rsidRDefault="00150C53" w:rsidP="007F3C5B">
      <w:pPr>
        <w:pStyle w:val="CBDNormalNumber"/>
        <w:rPr>
          <w:rFonts w:eastAsiaTheme="minorEastAsia"/>
        </w:rPr>
      </w:pPr>
      <w:r>
        <w:t>Conformément aux modalités pilotes relatives à la communication anticipée des déclarations, l</w:t>
      </w:r>
      <w:r w:rsidR="00432EB2">
        <w:t>’</w:t>
      </w:r>
      <w:r>
        <w:t>Organe subsidiaire a décidé que les déclarations soumises par les Parties suivantes au Protocole de Nagoya, qui figuraient dans le document d</w:t>
      </w:r>
      <w:r w:rsidR="00432EB2">
        <w:t>’</w:t>
      </w:r>
      <w:r>
        <w:t>information</w:t>
      </w:r>
      <w:r w:rsidR="00432EB2">
        <w:t> </w:t>
      </w:r>
      <w:hyperlink r:id="rId27" w:history="1">
        <w:r>
          <w:rPr>
            <w:rStyle w:val="Hyperlink"/>
          </w:rPr>
          <w:t>CBD/SBI/6/INF/17</w:t>
        </w:r>
      </w:hyperlink>
      <w:r>
        <w:t xml:space="preserve"> et étaient représentées à la troisième séance plénière, seraient formellement consignées comme déclarations soumises officiellement au titre du point 8 de l</w:t>
      </w:r>
      <w:r w:rsidR="00432EB2">
        <w:t>’</w:t>
      </w:r>
      <w:r>
        <w:t>ordre du jour : Côte d’Ivoire, Guatemala, Jordanie, Malawi, Maroc, Niger, Norvège, Pérou, Philippines, Royaume-Uni, Suisse et Union européenne (via Chypre)</w:t>
      </w:r>
      <w:r w:rsidR="00DC4D1D" w:rsidRPr="00D8684A">
        <w:rPr>
          <w:rStyle w:val="FootnoteReference"/>
        </w:rPr>
        <w:footnoteReference w:id="35"/>
      </w:r>
      <w:r>
        <w:t xml:space="preserve">. </w:t>
      </w:r>
    </w:p>
    <w:p w14:paraId="2A2082A5" w14:textId="1A9391F6" w:rsidR="00E577E7" w:rsidRPr="00D8684A" w:rsidRDefault="00E577E7" w:rsidP="007F3C5B">
      <w:pPr>
        <w:pStyle w:val="CBDNormalNumber"/>
        <w:rPr>
          <w:rFonts w:eastAsiaTheme="minorEastAsia"/>
        </w:rPr>
      </w:pPr>
      <w:r>
        <w:t>L</w:t>
      </w:r>
      <w:r w:rsidR="00432EB2">
        <w:t>’</w:t>
      </w:r>
      <w:r>
        <w:t>Organe subsidiaire a également décidé que les déclarations soumises par les États suivants non-Parties au Protocole de Nagoya, qui figuraient dans le document d</w:t>
      </w:r>
      <w:r w:rsidR="00432EB2">
        <w:t>’</w:t>
      </w:r>
      <w:r>
        <w:t>information</w:t>
      </w:r>
      <w:r w:rsidR="00432EB2">
        <w:t> </w:t>
      </w:r>
      <w:hyperlink r:id="rId28" w:history="1">
        <w:r>
          <w:rPr>
            <w:rStyle w:val="Hyperlink"/>
          </w:rPr>
          <w:t>CBD/SBI/6/INF/17</w:t>
        </w:r>
      </w:hyperlink>
      <w:r>
        <w:t xml:space="preserve"> et étaient représentés à la troisième séance plénière, seraient formellement consignées comme déclarations soumises officiellement au titre du point 8 de l</w:t>
      </w:r>
      <w:r w:rsidR="00432EB2">
        <w:t>’</w:t>
      </w:r>
      <w:r>
        <w:t>ordre du jour : Australie et Nouvelle-Zélande.</w:t>
      </w:r>
    </w:p>
    <w:p w14:paraId="122F8C98" w14:textId="5AD3A6F6" w:rsidR="00150C53" w:rsidRPr="00D8684A" w:rsidRDefault="00150C53" w:rsidP="007F3C5B">
      <w:pPr>
        <w:pStyle w:val="CBDNormalNumber"/>
        <w:rPr>
          <w:rFonts w:eastAsiaTheme="minorEastAsia"/>
        </w:rPr>
      </w:pPr>
      <w:r>
        <w:t>L</w:t>
      </w:r>
      <w:r w:rsidR="00432EB2">
        <w:t>’</w:t>
      </w:r>
      <w:r>
        <w:t>Organe subsidiaire a en outre décidé que les déclarations soumises par les observateurs suivants, qui figuraient dans le document d</w:t>
      </w:r>
      <w:r w:rsidR="00432EB2">
        <w:t>’</w:t>
      </w:r>
      <w:r>
        <w:t>information</w:t>
      </w:r>
      <w:r w:rsidR="00432EB2">
        <w:t> </w:t>
      </w:r>
      <w:hyperlink r:id="rId29" w:history="1">
        <w:r>
          <w:rPr>
            <w:rStyle w:val="Hyperlink"/>
          </w:rPr>
          <w:t>CBD/SBI/6/INF/17</w:t>
        </w:r>
      </w:hyperlink>
      <w:r>
        <w:t xml:space="preserve"> et étaient représentés à la troisième séance plénière, seraient formellement consignées comme déclarations soumises officiellement au titre du point 8 de l</w:t>
      </w:r>
      <w:r w:rsidR="00432EB2">
        <w:t>’</w:t>
      </w:r>
      <w:r>
        <w:t xml:space="preserve">ordre du jour : Caucus des femmes de la CDB, </w:t>
      </w:r>
      <w:r>
        <w:rPr>
          <w:shd w:val="clear" w:color="auto" w:fill="FFFFFF"/>
        </w:rPr>
        <w:t>FAO</w:t>
      </w:r>
      <w:r>
        <w:t>, Forum international autochtone sur la diversité biologique, OMS, PNUE et secrétariat du Traité international sur les ressources phytogénétiques pour l</w:t>
      </w:r>
      <w:r w:rsidR="00432EB2">
        <w:t>’</w:t>
      </w:r>
      <w:r>
        <w:t>alimentation et l</w:t>
      </w:r>
      <w:r w:rsidR="00432EB2">
        <w:t>’</w:t>
      </w:r>
      <w:r>
        <w:t>agriculture.</w:t>
      </w:r>
    </w:p>
    <w:p w14:paraId="7051450F" w14:textId="5BC11D86" w:rsidR="007F3C5B" w:rsidRPr="00D8684A" w:rsidRDefault="007F3C5B" w:rsidP="007F3C5B">
      <w:pPr>
        <w:pStyle w:val="CBDNormalNumber"/>
        <w:rPr>
          <w:rFonts w:eastAsiaTheme="minorEastAsia"/>
        </w:rPr>
      </w:pPr>
      <w:r>
        <w:t>Des déclarations ont été faites par des représentants des Parties suivantes au Protocole de Nagoya : Afrique du Sud, Argentine, Bolivie (État plurinational de), Brésil, Fidji (au nom des petits États insulaires en développement du Pacifique), Guatemala, Inde, Japon, Malawi, Mexique, Namibie (au nom des États d</w:t>
      </w:r>
      <w:r w:rsidR="00432EB2">
        <w:t>’</w:t>
      </w:r>
      <w:r>
        <w:t xml:space="preserve">Afrique), Pérou, République de Corée, Serbie et Zimbabwe. </w:t>
      </w:r>
    </w:p>
    <w:p w14:paraId="78D34EED" w14:textId="1B3D066E" w:rsidR="007F3C5B" w:rsidRPr="00D8684A" w:rsidRDefault="007F3C5B" w:rsidP="007F3C5B">
      <w:pPr>
        <w:pStyle w:val="CBDNormalNumber"/>
        <w:rPr>
          <w:rFonts w:eastAsiaTheme="minorEastAsia"/>
        </w:rPr>
      </w:pPr>
      <w:r>
        <w:t>Un représentant de la Fédération de Russie, un État non-Partie, s</w:t>
      </w:r>
      <w:r w:rsidR="00432EB2">
        <w:t>’</w:t>
      </w:r>
      <w:r>
        <w:t>est également exprimé.</w:t>
      </w:r>
    </w:p>
    <w:p w14:paraId="5D87CB50" w14:textId="33824970" w:rsidR="007F3C5B" w:rsidRPr="00D8684A" w:rsidRDefault="007F3C5B" w:rsidP="007F3C5B">
      <w:pPr>
        <w:pStyle w:val="CBDNormalNumber"/>
        <w:rPr>
          <w:rFonts w:eastAsiaTheme="minorEastAsia"/>
        </w:rPr>
      </w:pPr>
      <w:r>
        <w:t>D</w:t>
      </w:r>
      <w:r w:rsidR="00432EB2">
        <w:t>’</w:t>
      </w:r>
      <w:r>
        <w:t xml:space="preserve">autres déclarations ont été faites par des représentants de CBD Alliance et du Forum international des peuples autochtones sur la biodiversité. </w:t>
      </w:r>
    </w:p>
    <w:p w14:paraId="23AE5385" w14:textId="25666D17" w:rsidR="007F3C5B" w:rsidRPr="00D8684A" w:rsidRDefault="007F3C5B" w:rsidP="007F3C5B">
      <w:pPr>
        <w:pStyle w:val="CBDNormalNumber"/>
        <w:rPr>
          <w:rFonts w:eastAsiaTheme="minorEastAsia"/>
        </w:rPr>
      </w:pPr>
      <w:r>
        <w:t>Suite à l</w:t>
      </w:r>
      <w:r w:rsidR="00432EB2">
        <w:t>’</w:t>
      </w:r>
      <w:r>
        <w:t>échange de points de vue, l</w:t>
      </w:r>
      <w:r w:rsidR="00432EB2">
        <w:t>’</w:t>
      </w:r>
      <w:r>
        <w:t>Organe subsidiaire a décidé de créer un groupe de contact, coprésidé par Mery Ciacci (Union européenne) et Patience Gandiwa (Zimbabwe).</w:t>
      </w:r>
    </w:p>
    <w:p w14:paraId="40A7AC3A" w14:textId="09593FAB" w:rsidR="005D4F32" w:rsidRPr="00D8684A" w:rsidRDefault="005D4F32" w:rsidP="005D4F32">
      <w:pPr>
        <w:pStyle w:val="CBDNormalNumber"/>
        <w:rPr>
          <w:rFonts w:eastAsiaTheme="minorEastAsia"/>
        </w:rPr>
      </w:pPr>
      <w:r>
        <w:t>À sa cinquième séance plénière, l’Organe subsidiaire a écouté un rapport de l’un des co-présidents du groupe de contact au sujet des progrès du groupe et a convenu que le groupe de contact devrait poursuivre des travaux.</w:t>
      </w:r>
    </w:p>
    <w:p w14:paraId="23DDAAE4" w14:textId="643D6DE8" w:rsidR="00FA5B30" w:rsidRPr="00D8684A" w:rsidRDefault="00FA5B30" w:rsidP="00FA5B30">
      <w:pPr>
        <w:pStyle w:val="CBDNormalNumber"/>
        <w:rPr>
          <w:rFonts w:eastAsiaTheme="minorEastAsia"/>
        </w:rPr>
      </w:pPr>
      <w:r>
        <w:t>[à terminer]</w:t>
      </w:r>
    </w:p>
    <w:p w14:paraId="7CACEB49" w14:textId="515C7F11" w:rsidR="00050D4A" w:rsidRPr="00D8684A" w:rsidRDefault="006240DB" w:rsidP="00172A80">
      <w:pPr>
        <w:pStyle w:val="CBDAgendaItem0"/>
        <w:rPr>
          <w:rFonts w:hint="eastAsia"/>
        </w:rPr>
      </w:pPr>
      <w:r>
        <w:t xml:space="preserve">Point 9 </w:t>
      </w:r>
      <w:r>
        <w:br/>
        <w:t>Examen de l</w:t>
      </w:r>
      <w:r w:rsidR="00432EB2">
        <w:t>’</w:t>
      </w:r>
      <w:r>
        <w:t>efficacité des processus au titre de la Convention et de ses Protocoles</w:t>
      </w:r>
    </w:p>
    <w:p w14:paraId="3659289C" w14:textId="7B39FD24" w:rsidR="002D0C4E" w:rsidRPr="00D8684A" w:rsidRDefault="002D0C4E" w:rsidP="00FA5B30">
      <w:pPr>
        <w:pStyle w:val="CBDNormalNumber"/>
        <w:rPr>
          <w:rFonts w:eastAsiaTheme="minorEastAsia"/>
        </w:rPr>
      </w:pPr>
      <w:r>
        <w:t>L</w:t>
      </w:r>
      <w:r w:rsidR="00432EB2">
        <w:t>’</w:t>
      </w:r>
      <w:r>
        <w:t>Organe subsidiaire a examiné le point 9 de l</w:t>
      </w:r>
      <w:r w:rsidR="00432EB2">
        <w:t>’</w:t>
      </w:r>
      <w:r>
        <w:t>ordre du jour à sa troisième séance plénière. Il était saisi d</w:t>
      </w:r>
      <w:r w:rsidR="00432EB2">
        <w:t>’</w:t>
      </w:r>
      <w:r>
        <w:t>une note du secrétariat sur les options permettant d</w:t>
      </w:r>
      <w:r w:rsidR="00432EB2">
        <w:t>’</w:t>
      </w:r>
      <w:r>
        <w:t>améliorer davantage l</w:t>
      </w:r>
      <w:r w:rsidR="00432EB2">
        <w:t>’</w:t>
      </w:r>
      <w:r>
        <w:t>efficacité des réunions organisées au titre de la Convention et de ses Protocoles</w:t>
      </w:r>
      <w:r w:rsidRPr="00D8684A">
        <w:rPr>
          <w:rStyle w:val="FootnoteReference"/>
          <w:rFonts w:asciiTheme="majorBidi" w:eastAsia="Aptos" w:hAnsiTheme="majorBidi" w:cstheme="majorBidi"/>
        </w:rPr>
        <w:footnoteReference w:id="36"/>
      </w:r>
      <w:r>
        <w:rPr>
          <w:rFonts w:asciiTheme="majorBidi" w:hAnsiTheme="majorBidi"/>
        </w:rPr>
        <w:t xml:space="preserve">, </w:t>
      </w:r>
      <w:r>
        <w:t>qui contenait trois projets de recommandation</w:t>
      </w:r>
      <w:r>
        <w:rPr>
          <w:rFonts w:asciiTheme="majorBidi" w:hAnsiTheme="majorBidi"/>
        </w:rPr>
        <w:t xml:space="preserve">. </w:t>
      </w:r>
      <w:r>
        <w:t>Les documents d</w:t>
      </w:r>
      <w:r w:rsidR="00432EB2">
        <w:t>’</w:t>
      </w:r>
      <w:r>
        <w:t>information suivants ont également été publiés au titre du point 9 de l</w:t>
      </w:r>
      <w:r w:rsidR="00432EB2">
        <w:t>’</w:t>
      </w:r>
      <w:r>
        <w:t>ordre du jour : les résultats de l</w:t>
      </w:r>
      <w:r w:rsidR="00432EB2">
        <w:t>’</w:t>
      </w:r>
      <w:r>
        <w:t>enquête sur les mécanismes de soutien à la participation dans le cadre d</w:t>
      </w:r>
      <w:r w:rsidR="00432EB2">
        <w:t>’</w:t>
      </w:r>
      <w:r>
        <w:t>autres accords multilatéraux sur l</w:t>
      </w:r>
      <w:r w:rsidR="00432EB2">
        <w:t>’</w:t>
      </w:r>
      <w:r>
        <w:t>environnement</w:t>
      </w:r>
      <w:r w:rsidRPr="00D8684A">
        <w:rPr>
          <w:rStyle w:val="FootnoteReference"/>
          <w:rFonts w:asciiTheme="majorBidi" w:eastAsia="Aptos" w:hAnsiTheme="majorBidi" w:cstheme="majorBidi"/>
        </w:rPr>
        <w:footnoteReference w:id="37"/>
      </w:r>
      <w:r>
        <w:rPr>
          <w:rFonts w:asciiTheme="majorBidi" w:hAnsiTheme="majorBidi"/>
        </w:rPr>
        <w:t xml:space="preserve">, </w:t>
      </w:r>
      <w:r>
        <w:t>les résultats de l</w:t>
      </w:r>
      <w:r w:rsidR="00432EB2">
        <w:t>’</w:t>
      </w:r>
      <w:r>
        <w:t xml:space="preserve">enquête sur les modalités pilotes pour la communication anticipée des déclarations menée lors de la vingt-septième </w:t>
      </w:r>
      <w:r>
        <w:lastRenderedPageBreak/>
        <w:t>réunion de l</w:t>
      </w:r>
      <w:r w:rsidR="00432EB2">
        <w:t>’</w:t>
      </w:r>
      <w:r>
        <w:t>Organe subsidiaire chargé de fournir des avis scientifiques, techniques et technologiques</w:t>
      </w:r>
      <w:r w:rsidRPr="00D8684A">
        <w:rPr>
          <w:rStyle w:val="FootnoteReference"/>
          <w:rFonts w:asciiTheme="majorBidi" w:eastAsia="Aptos" w:hAnsiTheme="majorBidi" w:cstheme="majorBidi"/>
        </w:rPr>
        <w:footnoteReference w:id="38"/>
      </w:r>
      <w:r>
        <w:t>, une mise à jour sur l</w:t>
      </w:r>
      <w:r w:rsidR="00432EB2">
        <w:t>’</w:t>
      </w:r>
      <w:r>
        <w:t>évolution de l</w:t>
      </w:r>
      <w:r w:rsidR="00432EB2">
        <w:t>’</w:t>
      </w:r>
      <w:r>
        <w:t>outil de suivi des décisions</w:t>
      </w:r>
      <w:r w:rsidRPr="00D8684A">
        <w:rPr>
          <w:rStyle w:val="FootnoteReference"/>
          <w:rFonts w:asciiTheme="majorBidi" w:eastAsia="Aptos" w:hAnsiTheme="majorBidi" w:cstheme="majorBidi"/>
        </w:rPr>
        <w:footnoteReference w:id="39"/>
      </w:r>
      <w:r>
        <w:t xml:space="preserve"> et une note du secrétariat sur la communication anticipée des déclarations pour la présente réunion</w:t>
      </w:r>
      <w:r w:rsidRPr="00D8684A">
        <w:rPr>
          <w:rStyle w:val="FootnoteReference"/>
          <w:rFonts w:eastAsiaTheme="minorEastAsia"/>
        </w:rPr>
        <w:footnoteReference w:id="40"/>
      </w:r>
      <w:r>
        <w:t>.</w:t>
      </w:r>
    </w:p>
    <w:p w14:paraId="67D152A6" w14:textId="4ACFBF7E" w:rsidR="002D0C4E" w:rsidRPr="00D8684A" w:rsidRDefault="002D0C4E" w:rsidP="00FA5B30">
      <w:pPr>
        <w:pStyle w:val="CBDNormalNumber"/>
        <w:rPr>
          <w:rFonts w:eastAsiaTheme="minorEastAsia"/>
        </w:rPr>
      </w:pPr>
      <w:r>
        <w:t>Conformément aux modalités pilotes relatives à la communication anticipée des déclarations, l</w:t>
      </w:r>
      <w:r w:rsidR="00432EB2">
        <w:t>’</w:t>
      </w:r>
      <w:r>
        <w:t>Organe subsidiaire a décidé que les déclarations soumises par les Parties suivantes, qui figuraient dans le document d</w:t>
      </w:r>
      <w:r w:rsidR="00432EB2">
        <w:t>’</w:t>
      </w:r>
      <w:r>
        <w:t>information</w:t>
      </w:r>
      <w:r w:rsidR="00432EB2">
        <w:t> </w:t>
      </w:r>
      <w:hyperlink r:id="rId30" w:history="1">
        <w:r>
          <w:rPr>
            <w:rStyle w:val="Hyperlink"/>
          </w:rPr>
          <w:t>CBD/SBI/6/INF/17</w:t>
        </w:r>
      </w:hyperlink>
      <w:r>
        <w:t xml:space="preserve"> et étaient représentées à la troisième séance plénière, seraient formellement consignées comme déclarations soumises officiellement au titre du point 9 : Australie, Canada, Chypre (au nom de l</w:t>
      </w:r>
      <w:r w:rsidR="00432EB2">
        <w:t>’</w:t>
      </w:r>
      <w:r>
        <w:t>Union européenne), Colombie, Guatemala, Islande, Japon, Jordanie, Maroc, Norvège, Pérou, Royaume-Uni et Suisse.</w:t>
      </w:r>
    </w:p>
    <w:p w14:paraId="0C861BD8" w14:textId="49A43DAC" w:rsidR="002D0C4E" w:rsidRPr="00D8684A" w:rsidRDefault="002D0C4E" w:rsidP="00FA5B30">
      <w:pPr>
        <w:pStyle w:val="CBDNormalNumber"/>
        <w:rPr>
          <w:rFonts w:eastAsiaTheme="minorEastAsia"/>
        </w:rPr>
      </w:pPr>
      <w:r>
        <w:t>L</w:t>
      </w:r>
      <w:r w:rsidR="00432EB2">
        <w:t>’</w:t>
      </w:r>
      <w:r>
        <w:t>Organe subsidiaire a également décidé que les déclarations soumises par les observateurs suivants qui figuraient dans le document d</w:t>
      </w:r>
      <w:r w:rsidR="00432EB2">
        <w:t>’</w:t>
      </w:r>
      <w:r>
        <w:t>information</w:t>
      </w:r>
      <w:r w:rsidR="00432EB2">
        <w:t> </w:t>
      </w:r>
      <w:hyperlink r:id="rId31" w:history="1">
        <w:r>
          <w:rPr>
            <w:rStyle w:val="Hyperlink"/>
          </w:rPr>
          <w:t>CBD/SBI/6/INF/17</w:t>
        </w:r>
      </w:hyperlink>
      <w:r>
        <w:t xml:space="preserve"> et étaient représentés à la deuxième séance plénière seraient formellement consignées comme déclarations soumises officiellement au titre du point 9 de l</w:t>
      </w:r>
      <w:r w:rsidR="00432EB2">
        <w:t>’</w:t>
      </w:r>
      <w:r>
        <w:t>ordre du jour : Caucus des femmes de la CDB et Forum international des peuples autochtones sur la biodiversité.</w:t>
      </w:r>
    </w:p>
    <w:p w14:paraId="1D016D80" w14:textId="2803C9F7" w:rsidR="002D0C4E" w:rsidRPr="00D8684A" w:rsidRDefault="002D0C4E" w:rsidP="00FA5B30">
      <w:pPr>
        <w:pStyle w:val="CBDNormalNumber"/>
        <w:rPr>
          <w:rFonts w:eastAsiaTheme="minorEastAsia"/>
        </w:rPr>
      </w:pPr>
      <w:r>
        <w:t>Les représentants des Parties suivantes ont fait des déclarations : Colombie, Fidji (au nom des petits États insulaires en développement du Pacifique), Inde, Jamaïque et Zimbabwe (au nom des États d</w:t>
      </w:r>
      <w:r w:rsidR="00432EB2">
        <w:t>’</w:t>
      </w:r>
      <w:r>
        <w:t>Afrique).</w:t>
      </w:r>
    </w:p>
    <w:p w14:paraId="21940877" w14:textId="646D37F3" w:rsidR="002D0C4E" w:rsidRPr="00D8684A" w:rsidRDefault="002D0C4E" w:rsidP="00FA5B30">
      <w:pPr>
        <w:pStyle w:val="CBDNormalNumber"/>
        <w:rPr>
          <w:rFonts w:eastAsiaTheme="minorEastAsia"/>
        </w:rPr>
      </w:pPr>
      <w:r>
        <w:t>À sa quatrième séance plénière, l’Organe subsidiaire a repris l’examen du point 9 de l’ordre du jour.</w:t>
      </w:r>
    </w:p>
    <w:p w14:paraId="40BDEC73" w14:textId="77777777" w:rsidR="006D2478" w:rsidRPr="00D8684A" w:rsidRDefault="00C24FA0" w:rsidP="006D2478">
      <w:pPr>
        <w:pStyle w:val="CBDNormalNumber"/>
      </w:pPr>
      <w:r>
        <w:t>Les représentants des Parties suivantes ont fait des déclarations : Argentine, Égypte, Fédération de Russie, Ghana, Nouvelle-Zélande et Togo.</w:t>
      </w:r>
    </w:p>
    <w:p w14:paraId="5124CA46" w14:textId="77777777" w:rsidR="006D2478" w:rsidRPr="00D8684A" w:rsidRDefault="006D2478" w:rsidP="006D2478">
      <w:pPr>
        <w:pStyle w:val="CBDNormalNumber"/>
      </w:pPr>
      <w:r>
        <w:t>Des déclarations ont également été faites par les représentants du Réseau mondial des jeunes pour la biodiversité et du Forum international des peuples autochtones sur la biodiversité.</w:t>
      </w:r>
    </w:p>
    <w:p w14:paraId="427BFCE6" w14:textId="6186EEBC" w:rsidR="00C24FA0" w:rsidRPr="00D8684A" w:rsidRDefault="006D2478" w:rsidP="00CA145A">
      <w:pPr>
        <w:pStyle w:val="CBDNormalNumber"/>
        <w:rPr>
          <w:rFonts w:eastAsiaTheme="minorEastAsia"/>
        </w:rPr>
      </w:pPr>
      <w:r>
        <w:t>Suite à l’échange de points de vue, l’Organe subsidiaire a convenu d’organiser des consultations informelles modérées par le représentant de la Norvège.</w:t>
      </w:r>
    </w:p>
    <w:p w14:paraId="1A22755C" w14:textId="68FFBF42" w:rsidR="00FA5B30" w:rsidRPr="00D8684A" w:rsidRDefault="00FA5B30" w:rsidP="00FA5B30">
      <w:pPr>
        <w:pStyle w:val="CBDNormalNumber"/>
        <w:rPr>
          <w:rFonts w:eastAsiaTheme="minorEastAsia"/>
        </w:rPr>
      </w:pPr>
      <w:r>
        <w:t>[à terminer]</w:t>
      </w:r>
    </w:p>
    <w:p w14:paraId="15EFEDA4" w14:textId="7C49391F" w:rsidR="006267B9" w:rsidRPr="00D8684A" w:rsidRDefault="00335843" w:rsidP="00172A80">
      <w:pPr>
        <w:pStyle w:val="CBDAgendaItem0"/>
        <w:rPr>
          <w:rFonts w:hint="eastAsia"/>
        </w:rPr>
      </w:pPr>
      <w:r>
        <w:t xml:space="preserve">Point 10 </w:t>
      </w:r>
      <w:r>
        <w:br/>
        <w:t>Questions administratives et budgétaires : examen fonctionnel du secrétariat</w:t>
      </w:r>
    </w:p>
    <w:p w14:paraId="69AE6757" w14:textId="55DA8FAA" w:rsidR="00A75823" w:rsidRPr="00D8684A" w:rsidRDefault="00A75823" w:rsidP="00FA5B30">
      <w:pPr>
        <w:pStyle w:val="CBDNormalNumber"/>
        <w:rPr>
          <w:rFonts w:eastAsiaTheme="minorEastAsia"/>
        </w:rPr>
      </w:pPr>
      <w:r>
        <w:t>L’Organe subsidiaire s’est penché sur le point 10 de l’ordre du jour lors de sa quatrième séance plénière. Il était saisi d</w:t>
      </w:r>
      <w:r w:rsidR="00432EB2">
        <w:t>’</w:t>
      </w:r>
      <w:r>
        <w:t>une note du secrétariat sur l</w:t>
      </w:r>
      <w:r w:rsidR="00432EB2">
        <w:t>’</w:t>
      </w:r>
      <w:r>
        <w:t>examen fonctionnel</w:t>
      </w:r>
      <w:r>
        <w:rPr>
          <w:rFonts w:asciiTheme="majorBidi" w:hAnsiTheme="majorBidi"/>
        </w:rPr>
        <w:t xml:space="preserve"> du secrétariat</w:t>
      </w:r>
      <w:r w:rsidRPr="00D8684A">
        <w:rPr>
          <w:rStyle w:val="FootnoteReference"/>
          <w:rFonts w:asciiTheme="majorBidi" w:eastAsia="Aptos" w:hAnsiTheme="majorBidi" w:cstheme="majorBidi"/>
        </w:rPr>
        <w:footnoteReference w:id="41"/>
      </w:r>
      <w:r>
        <w:rPr>
          <w:rFonts w:asciiTheme="majorBidi" w:hAnsiTheme="majorBidi"/>
        </w:rPr>
        <w:t xml:space="preserve">, qui comprenait un projet de recommandation. </w:t>
      </w:r>
      <w:r>
        <w:t>Les documents d</w:t>
      </w:r>
      <w:r w:rsidR="00432EB2">
        <w:t>’</w:t>
      </w:r>
      <w:r>
        <w:t>information suivants ont également été publiés au titre du point 10 de l</w:t>
      </w:r>
      <w:r w:rsidR="00432EB2">
        <w:t>’</w:t>
      </w:r>
      <w:r>
        <w:t>ordre du jour : un rapport sur l</w:t>
      </w:r>
      <w:r w:rsidR="00432EB2">
        <w:t>’</w:t>
      </w:r>
      <w:r>
        <w:t>examen fonctionnel approfondi externe du secrétariat</w:t>
      </w:r>
      <w:r w:rsidRPr="00D8684A">
        <w:rPr>
          <w:rStyle w:val="FootnoteReference"/>
          <w:rFonts w:asciiTheme="majorBidi" w:eastAsia="Aptos" w:hAnsiTheme="majorBidi" w:cstheme="majorBidi"/>
        </w:rPr>
        <w:footnoteReference w:id="42"/>
      </w:r>
      <w:r>
        <w:rPr>
          <w:rFonts w:asciiTheme="majorBidi" w:hAnsiTheme="majorBidi"/>
        </w:rPr>
        <w:t xml:space="preserve"> </w:t>
      </w:r>
      <w:r>
        <w:t>et une note du secrétariat sur la communication anticipée des déclarations pour la présente réunion</w:t>
      </w:r>
      <w:r w:rsidRPr="00D8684A">
        <w:rPr>
          <w:rStyle w:val="FootnoteReference"/>
          <w:rFonts w:eastAsiaTheme="minorEastAsia"/>
        </w:rPr>
        <w:footnoteReference w:id="43"/>
      </w:r>
      <w:r>
        <w:t>.</w:t>
      </w:r>
    </w:p>
    <w:p w14:paraId="2070671E" w14:textId="0B75CF3B" w:rsidR="00654F29" w:rsidRPr="00D8684A" w:rsidRDefault="00C1596D" w:rsidP="00FA5B30">
      <w:pPr>
        <w:pStyle w:val="CBDNormalNumber"/>
        <w:rPr>
          <w:rFonts w:eastAsiaTheme="minorEastAsia"/>
        </w:rPr>
      </w:pPr>
      <w:r>
        <w:t>La Secrétaire exécutive et une représentante du PNUE ont fait de brèves présentations au sujet de l’examen fonctionnel du secrétariat.</w:t>
      </w:r>
    </w:p>
    <w:p w14:paraId="2B750A9A" w14:textId="4A9BFE4A" w:rsidR="00A75823" w:rsidRPr="00D8684A" w:rsidRDefault="00A75823" w:rsidP="00A75823">
      <w:pPr>
        <w:pStyle w:val="CBDNormalNumber"/>
        <w:rPr>
          <w:rFonts w:eastAsiaTheme="minorEastAsia"/>
        </w:rPr>
      </w:pPr>
      <w:r>
        <w:t>Conformément aux modalités pilotes relatives à la communication anticipée des déclarations, l</w:t>
      </w:r>
      <w:r w:rsidR="00432EB2">
        <w:t>’</w:t>
      </w:r>
      <w:r>
        <w:t>Organe subsidiaire a décidé que les déclarations soumises par les Parties suivantes, qui figuraient dans le document d</w:t>
      </w:r>
      <w:r w:rsidR="00432EB2">
        <w:t>’</w:t>
      </w:r>
      <w:r>
        <w:t>information</w:t>
      </w:r>
      <w:r w:rsidR="00432EB2">
        <w:t> </w:t>
      </w:r>
      <w:hyperlink r:id="rId32" w:history="1">
        <w:r>
          <w:rPr>
            <w:rStyle w:val="Hyperlink"/>
          </w:rPr>
          <w:t>CBD/SBI/6/INF/17</w:t>
        </w:r>
      </w:hyperlink>
      <w:r>
        <w:t xml:space="preserve"> et étaient représentées à la quatrième séance plénière, seraient formellement consignées comme déclarations soumises officiellement au titre du </w:t>
      </w:r>
      <w:r>
        <w:lastRenderedPageBreak/>
        <w:t>point 10 de l</w:t>
      </w:r>
      <w:r w:rsidR="00432EB2">
        <w:t>’</w:t>
      </w:r>
      <w:r>
        <w:t>ordre du jour : Australie, Canada, Côte d’Ivoire, Chypre (au nom de l</w:t>
      </w:r>
      <w:r w:rsidR="00432EB2">
        <w:t>’</w:t>
      </w:r>
      <w:r>
        <w:t>Union européenne), Eswatini (au nom des États d</w:t>
      </w:r>
      <w:r w:rsidR="00432EB2">
        <w:t>’</w:t>
      </w:r>
      <w:r>
        <w:t>Afrique), Guatemala, Japon, Jordanie, Norvège et Suisse.</w:t>
      </w:r>
    </w:p>
    <w:p w14:paraId="44247483" w14:textId="40E5AF9B" w:rsidR="00A75823" w:rsidRPr="00D8684A" w:rsidRDefault="00A75823" w:rsidP="00A75823">
      <w:pPr>
        <w:pStyle w:val="CBDNormalNumber"/>
        <w:rPr>
          <w:rFonts w:eastAsiaTheme="minorEastAsia"/>
        </w:rPr>
      </w:pPr>
      <w:r>
        <w:t>L</w:t>
      </w:r>
      <w:r w:rsidR="00432EB2">
        <w:t>’</w:t>
      </w:r>
      <w:r>
        <w:t>Organe subsidiaire a également décidé que les déclarations soumises par les observateurs suivants, qui figuraient dans le document d</w:t>
      </w:r>
      <w:r w:rsidR="00432EB2">
        <w:t>’</w:t>
      </w:r>
      <w:r>
        <w:t>information</w:t>
      </w:r>
      <w:r w:rsidR="00432EB2">
        <w:t> </w:t>
      </w:r>
      <w:hyperlink r:id="rId33" w:history="1">
        <w:r>
          <w:rPr>
            <w:rStyle w:val="Hyperlink"/>
          </w:rPr>
          <w:t>CBD/SBI/6/INF/17</w:t>
        </w:r>
      </w:hyperlink>
      <w:r>
        <w:t xml:space="preserve"> et étaient représentés à la quatrième séance plénière, seraient formellement consignées comme déclarations soumises officiellement au titre du point 10 de l</w:t>
      </w:r>
      <w:r w:rsidR="00432EB2">
        <w:t>’</w:t>
      </w:r>
      <w:r>
        <w:t>ordre du jour : Caucus des femmes de la CDB et Forum international des peuples autochtones sur la biodiversité.</w:t>
      </w:r>
    </w:p>
    <w:p w14:paraId="7ECB4F5A" w14:textId="6CDDA9E4" w:rsidR="006D2478" w:rsidRPr="00D8684A" w:rsidRDefault="007C203D" w:rsidP="006D2478">
      <w:pPr>
        <w:pStyle w:val="CBDNormalNumber"/>
        <w:rPr>
          <w:rFonts w:eastAsiaTheme="minorEastAsia"/>
        </w:rPr>
      </w:pPr>
      <w:r>
        <w:t>Les représentants des Parties suivantes ont fait des déclarations : Argentine, Bosnie-Herzégovine, Chili, Chine, Eswatini (au nom des États d</w:t>
      </w:r>
      <w:r w:rsidR="00432EB2">
        <w:t>’</w:t>
      </w:r>
      <w:r>
        <w:t>Afrique), Fédération de Russie, Fidji (au nom des petits États insulaires en développement du Pacifique), Ghana, Jamaïque, Lesotho, République démocratique du Congo et Zimbabwe.</w:t>
      </w:r>
    </w:p>
    <w:p w14:paraId="22C5D923" w14:textId="3C8DB748" w:rsidR="00A75823" w:rsidRPr="00D8684A" w:rsidRDefault="006D2478" w:rsidP="006D2478">
      <w:pPr>
        <w:pStyle w:val="CBDNormalNumber"/>
        <w:rPr>
          <w:rFonts w:eastAsiaTheme="minorEastAsia"/>
        </w:rPr>
      </w:pPr>
      <w:r>
        <w:t>La représentante du Forum international des peuples autochtones sur la biodiversité a aussi fait une déclaration.</w:t>
      </w:r>
    </w:p>
    <w:p w14:paraId="7621F9D4" w14:textId="5CBA9879" w:rsidR="009D0DFB" w:rsidRPr="00D8684A" w:rsidRDefault="009D0DFB" w:rsidP="009D0DFB">
      <w:pPr>
        <w:pStyle w:val="CBDNormalNumber"/>
      </w:pPr>
      <w:r>
        <w:t>Suite à l</w:t>
      </w:r>
      <w:r w:rsidR="00432EB2">
        <w:t>’</w:t>
      </w:r>
      <w:r>
        <w:t>échange de points de vue, la présidente a fait savoir qu</w:t>
      </w:r>
      <w:r w:rsidR="00432EB2">
        <w:t>’</w:t>
      </w:r>
      <w:r>
        <w:t>elle préparerait une version révisée du projet de recommandation, en consultation avec le secrétariat, pour examen par l</w:t>
      </w:r>
      <w:r w:rsidR="00432EB2">
        <w:t>’</w:t>
      </w:r>
      <w:r>
        <w:t>Organe subsidiaire, en tenant compte des points de vue exprimés ou soutenus par les Parties.</w:t>
      </w:r>
    </w:p>
    <w:p w14:paraId="0B346BE7" w14:textId="25CDF7F6" w:rsidR="00FA5B30" w:rsidRPr="00D8684A" w:rsidRDefault="00FA5B30" w:rsidP="00FA5B30">
      <w:pPr>
        <w:pStyle w:val="CBDNormalNumber"/>
        <w:rPr>
          <w:rFonts w:eastAsiaTheme="minorEastAsia"/>
        </w:rPr>
      </w:pPr>
      <w:r>
        <w:t>[à terminer]</w:t>
      </w:r>
    </w:p>
    <w:p w14:paraId="72342C06" w14:textId="7451ABD6" w:rsidR="00335843" w:rsidRPr="00D8684A" w:rsidRDefault="00335843" w:rsidP="00172A80">
      <w:pPr>
        <w:pStyle w:val="CBDAgendaItem0"/>
        <w:rPr>
          <w:rFonts w:hint="eastAsia"/>
        </w:rPr>
      </w:pPr>
      <w:r>
        <w:t xml:space="preserve">Point 11 </w:t>
      </w:r>
      <w:r>
        <w:br/>
        <w:t>Questions diverses</w:t>
      </w:r>
    </w:p>
    <w:p w14:paraId="4F30AC8B" w14:textId="77777777" w:rsidR="00FA5B30" w:rsidRPr="00D8684A" w:rsidRDefault="00FA5B30" w:rsidP="00FA5B30">
      <w:pPr>
        <w:pStyle w:val="CBDNormalNumber"/>
        <w:rPr>
          <w:rFonts w:eastAsiaTheme="minorEastAsia"/>
        </w:rPr>
      </w:pPr>
      <w:r>
        <w:t>[à terminer]</w:t>
      </w:r>
    </w:p>
    <w:p w14:paraId="66AED663" w14:textId="4B0C29E0" w:rsidR="006267B9" w:rsidRPr="00D8684A" w:rsidRDefault="00335843" w:rsidP="00172A80">
      <w:pPr>
        <w:pStyle w:val="CBDAgendaItem0"/>
        <w:rPr>
          <w:rFonts w:hint="eastAsia"/>
        </w:rPr>
      </w:pPr>
      <w:r>
        <w:t xml:space="preserve">Point 12 </w:t>
      </w:r>
      <w:r>
        <w:br/>
        <w:t>Adoption du rapport</w:t>
      </w:r>
    </w:p>
    <w:p w14:paraId="3437739C" w14:textId="77777777" w:rsidR="00FA5B30" w:rsidRPr="00D8684A" w:rsidRDefault="00FA5B30" w:rsidP="00FA5B30">
      <w:pPr>
        <w:pStyle w:val="CBDNormalNumber"/>
        <w:rPr>
          <w:rFonts w:eastAsiaTheme="minorEastAsia"/>
        </w:rPr>
      </w:pPr>
      <w:r>
        <w:t>[à terminer]</w:t>
      </w:r>
    </w:p>
    <w:p w14:paraId="21527B1A" w14:textId="3FBEA444" w:rsidR="00335843" w:rsidRPr="00D8684A" w:rsidRDefault="00335843" w:rsidP="00172A80">
      <w:pPr>
        <w:pStyle w:val="CBDAgendaItem0"/>
        <w:rPr>
          <w:rFonts w:hint="eastAsia"/>
        </w:rPr>
      </w:pPr>
      <w:r>
        <w:t xml:space="preserve">Point 13 </w:t>
      </w:r>
      <w:r>
        <w:br/>
        <w:t>Clôture de la réunion</w:t>
      </w:r>
    </w:p>
    <w:p w14:paraId="3427EC99" w14:textId="77777777" w:rsidR="00FA5B30" w:rsidRPr="00D8684A" w:rsidRDefault="00FA5B30" w:rsidP="00FA5B30">
      <w:pPr>
        <w:pStyle w:val="CBDNormalNumber"/>
        <w:rPr>
          <w:rFonts w:eastAsiaTheme="minorEastAsia"/>
        </w:rPr>
      </w:pPr>
      <w:r>
        <w:t>[à terminer]</w:t>
      </w:r>
    </w:p>
    <w:p w14:paraId="35A9051D" w14:textId="77777777" w:rsidR="00537248" w:rsidRPr="00D8684A" w:rsidRDefault="00537248" w:rsidP="0053139E"/>
    <w:p w14:paraId="3036010D" w14:textId="77777777" w:rsidR="002B559C" w:rsidRPr="00D8684A" w:rsidRDefault="00ED3849" w:rsidP="0097537C">
      <w:pPr>
        <w:pStyle w:val="Para1"/>
        <w:tabs>
          <w:tab w:val="clear" w:pos="643"/>
        </w:tabs>
        <w:ind w:left="567" w:firstLine="0"/>
        <w:jc w:val="center"/>
      </w:pPr>
      <w:r>
        <w:t>__________</w:t>
      </w:r>
    </w:p>
    <w:sectPr w:rsidR="002B559C" w:rsidRPr="00D8684A" w:rsidSect="009F238F">
      <w:headerReference w:type="even" r:id="rId34"/>
      <w:headerReference w:type="default" r:id="rId35"/>
      <w:footerReference w:type="even" r:id="rId36"/>
      <w:footerReference w:type="default" r:id="rId37"/>
      <w:headerReference w:type="first" r:id="rId3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D41AB" w14:textId="77777777" w:rsidR="00EE4339" w:rsidRPr="009E7199" w:rsidRDefault="00EE4339" w:rsidP="00A96B21">
      <w:r w:rsidRPr="009E7199">
        <w:separator/>
      </w:r>
    </w:p>
  </w:endnote>
  <w:endnote w:type="continuationSeparator" w:id="0">
    <w:p w14:paraId="50ED046A" w14:textId="77777777" w:rsidR="00EE4339" w:rsidRPr="009E7199" w:rsidRDefault="00EE4339" w:rsidP="00A96B21">
      <w:r w:rsidRPr="009E71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B4D9DC1" w14:textId="77777777" w:rsidR="002B559C" w:rsidRPr="009E7199" w:rsidRDefault="002B559C">
            <w:pPr>
              <w:pStyle w:val="Footer"/>
            </w:pPr>
            <w:r w:rsidRPr="009E7199">
              <w:rPr>
                <w:szCs w:val="20"/>
              </w:rPr>
              <w:fldChar w:fldCharType="begin"/>
            </w:r>
            <w:r w:rsidRPr="009E7199">
              <w:rPr>
                <w:szCs w:val="20"/>
              </w:rPr>
              <w:instrText xml:space="preserve"> PAGE </w:instrText>
            </w:r>
            <w:r w:rsidRPr="009E7199">
              <w:rPr>
                <w:szCs w:val="20"/>
              </w:rPr>
              <w:fldChar w:fldCharType="separate"/>
            </w:r>
            <w:r w:rsidRPr="009E7199">
              <w:rPr>
                <w:szCs w:val="20"/>
              </w:rPr>
              <w:t>2</w:t>
            </w:r>
            <w:r w:rsidRPr="009E7199">
              <w:rPr>
                <w:szCs w:val="20"/>
              </w:rPr>
              <w:fldChar w:fldCharType="end"/>
            </w:r>
            <w:r>
              <w:t>/</w:t>
            </w:r>
            <w:r w:rsidRPr="009E7199">
              <w:rPr>
                <w:szCs w:val="20"/>
              </w:rPr>
              <w:fldChar w:fldCharType="begin"/>
            </w:r>
            <w:r w:rsidRPr="009E7199">
              <w:rPr>
                <w:szCs w:val="20"/>
              </w:rPr>
              <w:instrText xml:space="preserve"> NUMPAGES  </w:instrText>
            </w:r>
            <w:r w:rsidRPr="009E7199">
              <w:rPr>
                <w:szCs w:val="20"/>
              </w:rPr>
              <w:fldChar w:fldCharType="separate"/>
            </w:r>
            <w:r w:rsidRPr="009E7199">
              <w:rPr>
                <w:szCs w:val="20"/>
              </w:rPr>
              <w:t>2</w:t>
            </w:r>
            <w:r w:rsidRPr="009E719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F6096B0" w14:textId="77777777" w:rsidR="002B559C" w:rsidRPr="009E7199" w:rsidRDefault="002B559C" w:rsidP="002B559C">
            <w:pPr>
              <w:pStyle w:val="Footer"/>
              <w:jc w:val="right"/>
            </w:pPr>
            <w:r w:rsidRPr="009E7199">
              <w:rPr>
                <w:szCs w:val="20"/>
              </w:rPr>
              <w:fldChar w:fldCharType="begin"/>
            </w:r>
            <w:r w:rsidRPr="009E7199">
              <w:rPr>
                <w:szCs w:val="20"/>
              </w:rPr>
              <w:instrText xml:space="preserve"> PAGE </w:instrText>
            </w:r>
            <w:r w:rsidRPr="009E7199">
              <w:rPr>
                <w:szCs w:val="20"/>
              </w:rPr>
              <w:fldChar w:fldCharType="separate"/>
            </w:r>
            <w:r w:rsidRPr="009E7199">
              <w:rPr>
                <w:szCs w:val="20"/>
              </w:rPr>
              <w:t>2</w:t>
            </w:r>
            <w:r w:rsidRPr="009E7199">
              <w:rPr>
                <w:szCs w:val="20"/>
              </w:rPr>
              <w:fldChar w:fldCharType="end"/>
            </w:r>
            <w:r>
              <w:t>/</w:t>
            </w:r>
            <w:r w:rsidRPr="009E7199">
              <w:rPr>
                <w:szCs w:val="20"/>
              </w:rPr>
              <w:fldChar w:fldCharType="begin"/>
            </w:r>
            <w:r w:rsidRPr="009E7199">
              <w:rPr>
                <w:szCs w:val="20"/>
              </w:rPr>
              <w:instrText xml:space="preserve"> NUMPAGES  </w:instrText>
            </w:r>
            <w:r w:rsidRPr="009E7199">
              <w:rPr>
                <w:szCs w:val="20"/>
              </w:rPr>
              <w:fldChar w:fldCharType="separate"/>
            </w:r>
            <w:r w:rsidRPr="009E7199">
              <w:rPr>
                <w:szCs w:val="20"/>
              </w:rPr>
              <w:t>2</w:t>
            </w:r>
            <w:r w:rsidRPr="009E7199">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5DC54" w14:textId="77777777" w:rsidR="00EE4339" w:rsidRPr="009E7199" w:rsidRDefault="00EE4339" w:rsidP="00A96B21">
      <w:r w:rsidRPr="009E7199">
        <w:separator/>
      </w:r>
    </w:p>
  </w:footnote>
  <w:footnote w:type="continuationSeparator" w:id="0">
    <w:p w14:paraId="3D911DC6" w14:textId="77777777" w:rsidR="00EE4339" w:rsidRPr="009E7199" w:rsidRDefault="00EE4339" w:rsidP="00A96B21">
      <w:r w:rsidRPr="009E7199">
        <w:continuationSeparator/>
      </w:r>
    </w:p>
  </w:footnote>
  <w:footnote w:id="1">
    <w:p w14:paraId="5CADAEB9" w14:textId="673C8AAB" w:rsidR="00A02CE2" w:rsidRPr="00957EBE" w:rsidRDefault="00A02CE2" w:rsidP="00A02CE2">
      <w:pPr>
        <w:pStyle w:val="FootnoteText"/>
      </w:pPr>
      <w:r>
        <w:rPr>
          <w:rStyle w:val="FootnoteReference"/>
        </w:rPr>
        <w:footnoteRef/>
      </w:r>
      <w:r>
        <w:t xml:space="preserve"> Les déclarations faites pendant la réunion et communiquées par écrit par les participants sont disponibles à l</w:t>
      </w:r>
      <w:r w:rsidR="00432EB2">
        <w:t>’</w:t>
      </w:r>
      <w:r>
        <w:t>adresse</w:t>
      </w:r>
      <w:r w:rsidR="00432EB2">
        <w:t> </w:t>
      </w:r>
      <w:hyperlink r:id="rId1" w:history="1">
        <w:r>
          <w:rPr>
            <w:rStyle w:val="Hyperlink"/>
          </w:rPr>
          <w:t>www.cbd.int/meetings/sbi-06</w:t>
        </w:r>
      </w:hyperlink>
      <w:r>
        <w:t>.</w:t>
      </w:r>
    </w:p>
  </w:footnote>
  <w:footnote w:id="2">
    <w:p w14:paraId="071A8E4F" w14:textId="6DDDCB4E" w:rsidR="00961909" w:rsidRPr="00D22107" w:rsidRDefault="00961909">
      <w:pPr>
        <w:pStyle w:val="FootnoteText"/>
      </w:pPr>
      <w:r>
        <w:rPr>
          <w:rStyle w:val="FootnoteReference"/>
        </w:rPr>
        <w:footnoteRef/>
      </w:r>
      <w:r>
        <w:t xml:space="preserve"> </w:t>
      </w:r>
      <w:hyperlink r:id="rId2" w:history="1">
        <w:r>
          <w:rPr>
            <w:rStyle w:val="Hyperlink"/>
          </w:rPr>
          <w:t>CBD/SBI/6/1</w:t>
        </w:r>
      </w:hyperlink>
      <w:r>
        <w:t>.</w:t>
      </w:r>
    </w:p>
  </w:footnote>
  <w:footnote w:id="3">
    <w:p w14:paraId="49104AAD" w14:textId="12E9A225" w:rsidR="0001576F" w:rsidRPr="004A38C6" w:rsidRDefault="0001576F">
      <w:pPr>
        <w:pStyle w:val="FootnoteText"/>
      </w:pPr>
      <w:r>
        <w:rPr>
          <w:rStyle w:val="FootnoteReference"/>
        </w:rPr>
        <w:footnoteRef/>
      </w:r>
      <w:r>
        <w:t xml:space="preserve"> </w:t>
      </w:r>
      <w:hyperlink r:id="rId3" w:history="1">
        <w:r>
          <w:rPr>
            <w:rStyle w:val="Hyperlink"/>
          </w:rPr>
          <w:t xml:space="preserve"> CBD/SBI/6/1/Add.1</w:t>
        </w:r>
      </w:hyperlink>
      <w:r>
        <w:t>.</w:t>
      </w:r>
    </w:p>
  </w:footnote>
  <w:footnote w:id="4">
    <w:p w14:paraId="7BD35804" w14:textId="592E8B21" w:rsidR="00F37397" w:rsidRPr="00432EB2" w:rsidRDefault="00F37397" w:rsidP="00F37397">
      <w:pPr>
        <w:pStyle w:val="FootnoteText"/>
        <w:rPr>
          <w:lang w:val="en-CA"/>
        </w:rPr>
      </w:pPr>
      <w:r>
        <w:rPr>
          <w:rStyle w:val="FootnoteReference"/>
        </w:rPr>
        <w:footnoteRef/>
      </w:r>
      <w:r w:rsidRPr="00432EB2">
        <w:rPr>
          <w:lang w:val="en-CA"/>
        </w:rPr>
        <w:t xml:space="preserve"> </w:t>
      </w:r>
      <w:hyperlink r:id="rId4" w:history="1">
        <w:r w:rsidRPr="00432EB2">
          <w:rPr>
            <w:rStyle w:val="Hyperlink"/>
            <w:lang w:val="en-CA"/>
          </w:rPr>
          <w:t>CBD/SBI/6/1/Add.2/Rev.1</w:t>
        </w:r>
      </w:hyperlink>
      <w:r w:rsidRPr="00432EB2">
        <w:rPr>
          <w:lang w:val="en-CA"/>
        </w:rPr>
        <w:t>.</w:t>
      </w:r>
    </w:p>
  </w:footnote>
  <w:footnote w:id="5">
    <w:p w14:paraId="2C54B7ED" w14:textId="2E0BE060" w:rsidR="008130CA" w:rsidRPr="00432EB2" w:rsidRDefault="008130CA" w:rsidP="008130CA">
      <w:pPr>
        <w:pStyle w:val="FootnoteText"/>
        <w:rPr>
          <w:lang w:val="en-CA"/>
        </w:rPr>
      </w:pPr>
      <w:r>
        <w:rPr>
          <w:rStyle w:val="FootnoteReference"/>
        </w:rPr>
        <w:footnoteRef/>
      </w:r>
      <w:r w:rsidRPr="00432EB2">
        <w:rPr>
          <w:lang w:val="en-CA"/>
        </w:rPr>
        <w:t xml:space="preserve"> </w:t>
      </w:r>
      <w:hyperlink r:id="rId5" w:history="1">
        <w:r w:rsidRPr="00432EB2">
          <w:rPr>
            <w:rStyle w:val="Hyperlink"/>
            <w:lang w:val="en-CA"/>
          </w:rPr>
          <w:t>CBD/SBI/6/2</w:t>
        </w:r>
      </w:hyperlink>
      <w:r w:rsidRPr="00432EB2">
        <w:rPr>
          <w:lang w:val="en-CA"/>
        </w:rPr>
        <w:t>.</w:t>
      </w:r>
    </w:p>
  </w:footnote>
  <w:footnote w:id="6">
    <w:p w14:paraId="59A9D5EE" w14:textId="097737DD" w:rsidR="009112DB" w:rsidRPr="00432EB2" w:rsidRDefault="009112DB" w:rsidP="009112DB">
      <w:pPr>
        <w:pStyle w:val="FootnoteText"/>
        <w:rPr>
          <w:lang w:val="en-CA"/>
        </w:rPr>
      </w:pPr>
      <w:r>
        <w:rPr>
          <w:rStyle w:val="FootnoteReference"/>
        </w:rPr>
        <w:footnoteRef/>
      </w:r>
      <w:r w:rsidRPr="00432EB2">
        <w:rPr>
          <w:lang w:val="en-CA"/>
        </w:rPr>
        <w:t xml:space="preserve"> </w:t>
      </w:r>
      <w:hyperlink r:id="rId6" w:history="1">
        <w:r w:rsidRPr="00432EB2">
          <w:rPr>
            <w:rStyle w:val="Hyperlink"/>
            <w:lang w:val="en-CA"/>
          </w:rPr>
          <w:t>CBD/SBI/6/INF/15</w:t>
        </w:r>
      </w:hyperlink>
      <w:r w:rsidRPr="00432EB2">
        <w:rPr>
          <w:lang w:val="en-CA"/>
        </w:rPr>
        <w:t>.</w:t>
      </w:r>
    </w:p>
  </w:footnote>
  <w:footnote w:id="7">
    <w:p w14:paraId="63810405" w14:textId="45320DAE" w:rsidR="009112DB" w:rsidRPr="00432EB2" w:rsidRDefault="009112DB" w:rsidP="009112DB">
      <w:pPr>
        <w:pStyle w:val="FootnoteText"/>
        <w:rPr>
          <w:lang w:val="en-CA"/>
        </w:rPr>
      </w:pPr>
      <w:r>
        <w:rPr>
          <w:rStyle w:val="FootnoteReference"/>
        </w:rPr>
        <w:footnoteRef/>
      </w:r>
      <w:r w:rsidRPr="00432EB2">
        <w:rPr>
          <w:lang w:val="en-CA"/>
        </w:rPr>
        <w:t xml:space="preserve"> </w:t>
      </w:r>
      <w:hyperlink r:id="rId7" w:history="1">
        <w:r w:rsidRPr="00432EB2">
          <w:rPr>
            <w:rStyle w:val="Hyperlink"/>
            <w:lang w:val="en-CA"/>
          </w:rPr>
          <w:t>CBD/SBI/6/INF/16</w:t>
        </w:r>
      </w:hyperlink>
      <w:r w:rsidRPr="00432EB2">
        <w:rPr>
          <w:lang w:val="en-CA"/>
        </w:rPr>
        <w:t>.</w:t>
      </w:r>
    </w:p>
  </w:footnote>
  <w:footnote w:id="8">
    <w:p w14:paraId="6784179E" w14:textId="3C5CBA57" w:rsidR="009112DB" w:rsidRPr="00432EB2" w:rsidRDefault="009112DB" w:rsidP="009112DB">
      <w:pPr>
        <w:pStyle w:val="FootnoteText"/>
        <w:rPr>
          <w:lang w:val="en-CA"/>
        </w:rPr>
      </w:pPr>
      <w:r>
        <w:rPr>
          <w:rStyle w:val="FootnoteReference"/>
        </w:rPr>
        <w:footnoteRef/>
      </w:r>
      <w:r w:rsidRPr="00432EB2">
        <w:rPr>
          <w:lang w:val="en-CA"/>
        </w:rPr>
        <w:t xml:space="preserve"> </w:t>
      </w:r>
      <w:hyperlink r:id="rId8" w:history="1">
        <w:r w:rsidRPr="00432EB2">
          <w:rPr>
            <w:rStyle w:val="Hyperlink"/>
            <w:lang w:val="en-CA"/>
          </w:rPr>
          <w:t>CBD/SBI/6/INF/17</w:t>
        </w:r>
      </w:hyperlink>
      <w:r w:rsidRPr="00432EB2">
        <w:rPr>
          <w:lang w:val="en-CA"/>
        </w:rPr>
        <w:t>.</w:t>
      </w:r>
    </w:p>
  </w:footnote>
  <w:footnote w:id="9">
    <w:p w14:paraId="518B0681" w14:textId="6B62E791" w:rsidR="009112DB" w:rsidRPr="00432EB2" w:rsidRDefault="009112DB" w:rsidP="009112DB">
      <w:pPr>
        <w:pStyle w:val="FootnoteText"/>
        <w:rPr>
          <w:lang w:val="en-CA"/>
        </w:rPr>
      </w:pPr>
      <w:r>
        <w:rPr>
          <w:rStyle w:val="FootnoteReference"/>
        </w:rPr>
        <w:footnoteRef/>
      </w:r>
      <w:r w:rsidRPr="00432EB2">
        <w:rPr>
          <w:lang w:val="en-CA"/>
        </w:rPr>
        <w:t xml:space="preserve"> </w:t>
      </w:r>
      <w:hyperlink r:id="rId9" w:history="1">
        <w:r w:rsidRPr="00432EB2">
          <w:rPr>
            <w:rStyle w:val="Hyperlink"/>
            <w:lang w:val="en-CA"/>
          </w:rPr>
          <w:t>CBD/SBI/6/INF/18</w:t>
        </w:r>
      </w:hyperlink>
      <w:r w:rsidRPr="00432EB2">
        <w:rPr>
          <w:lang w:val="en-CA"/>
        </w:rPr>
        <w:t>.</w:t>
      </w:r>
    </w:p>
  </w:footnote>
  <w:footnote w:id="10">
    <w:p w14:paraId="6D3D1F44" w14:textId="4A10D7B6" w:rsidR="008D338F" w:rsidRPr="00432EB2" w:rsidRDefault="008D338F">
      <w:pPr>
        <w:pStyle w:val="FootnoteText"/>
        <w:rPr>
          <w:lang w:val="en-CA"/>
        </w:rPr>
      </w:pPr>
      <w:r>
        <w:rPr>
          <w:rStyle w:val="FootnoteReference"/>
        </w:rPr>
        <w:footnoteRef/>
      </w:r>
      <w:r w:rsidRPr="00432EB2">
        <w:rPr>
          <w:lang w:val="en-CA"/>
        </w:rPr>
        <w:t xml:space="preserve"> </w:t>
      </w:r>
      <w:hyperlink r:id="rId10" w:history="1">
        <w:r w:rsidRPr="00432EB2">
          <w:rPr>
            <w:rStyle w:val="Hyperlink"/>
            <w:lang w:val="en-CA"/>
          </w:rPr>
          <w:t>CBD/SBI/6/1/Add.2/Rev.1</w:t>
        </w:r>
      </w:hyperlink>
      <w:r w:rsidRPr="00432EB2">
        <w:rPr>
          <w:lang w:val="en-CA"/>
        </w:rPr>
        <w:t>, annexe II.</w:t>
      </w:r>
    </w:p>
  </w:footnote>
  <w:footnote w:id="11">
    <w:p w14:paraId="222020E2" w14:textId="6EE4DD0F" w:rsidR="004F0DE2" w:rsidRPr="00432EB2" w:rsidRDefault="004F0DE2" w:rsidP="004F0DE2">
      <w:pPr>
        <w:pStyle w:val="FootnoteText"/>
        <w:rPr>
          <w:lang w:val="en-CA"/>
        </w:rPr>
      </w:pPr>
      <w:r>
        <w:rPr>
          <w:rStyle w:val="FootnoteReference"/>
        </w:rPr>
        <w:footnoteRef/>
      </w:r>
      <w:r w:rsidRPr="00432EB2">
        <w:rPr>
          <w:lang w:val="en-CA"/>
        </w:rPr>
        <w:t xml:space="preserve"> </w:t>
      </w:r>
      <w:hyperlink r:id="rId11" w:history="1">
        <w:r w:rsidRPr="00432EB2">
          <w:rPr>
            <w:rStyle w:val="Hyperlink"/>
            <w:lang w:val="en-CA"/>
          </w:rPr>
          <w:t xml:space="preserve"> CBD/SBI/6/3/Rev.1</w:t>
        </w:r>
      </w:hyperlink>
      <w:r w:rsidRPr="00432EB2">
        <w:rPr>
          <w:lang w:val="en-CA"/>
        </w:rPr>
        <w:t>.</w:t>
      </w:r>
    </w:p>
  </w:footnote>
  <w:footnote w:id="12">
    <w:p w14:paraId="459A51CC" w14:textId="1B609FE6" w:rsidR="004F0DE2" w:rsidRPr="00432EB2" w:rsidRDefault="004F0DE2" w:rsidP="004F0DE2">
      <w:pPr>
        <w:pStyle w:val="FootnoteText"/>
        <w:rPr>
          <w:lang w:val="en-CA"/>
        </w:rPr>
      </w:pPr>
      <w:r>
        <w:rPr>
          <w:rStyle w:val="FootnoteReference"/>
        </w:rPr>
        <w:footnoteRef/>
      </w:r>
      <w:r w:rsidRPr="00432EB2">
        <w:rPr>
          <w:lang w:val="en-CA"/>
        </w:rPr>
        <w:t xml:space="preserve"> </w:t>
      </w:r>
      <w:hyperlink r:id="rId12" w:history="1">
        <w:r w:rsidRPr="00432EB2">
          <w:rPr>
            <w:rStyle w:val="Hyperlink"/>
            <w:lang w:val="en-CA"/>
          </w:rPr>
          <w:t>CBD/SBI/6/INF/13</w:t>
        </w:r>
      </w:hyperlink>
      <w:r w:rsidRPr="00432EB2">
        <w:rPr>
          <w:lang w:val="en-CA"/>
        </w:rPr>
        <w:t>.</w:t>
      </w:r>
    </w:p>
  </w:footnote>
  <w:footnote w:id="13">
    <w:p w14:paraId="4C40D4D4" w14:textId="7405B5B8" w:rsidR="004F0DE2" w:rsidRPr="00432EB2" w:rsidRDefault="004F0DE2" w:rsidP="004F0DE2">
      <w:pPr>
        <w:pStyle w:val="FootnoteText"/>
        <w:rPr>
          <w:lang w:val="en-CA"/>
        </w:rPr>
      </w:pPr>
      <w:r>
        <w:rPr>
          <w:rStyle w:val="FootnoteReference"/>
        </w:rPr>
        <w:footnoteRef/>
      </w:r>
      <w:r w:rsidRPr="00432EB2">
        <w:rPr>
          <w:lang w:val="en-CA"/>
        </w:rPr>
        <w:t xml:space="preserve"> </w:t>
      </w:r>
      <w:hyperlink r:id="rId13" w:history="1">
        <w:r w:rsidRPr="00432EB2">
          <w:rPr>
            <w:rStyle w:val="Hyperlink"/>
            <w:lang w:val="en-CA"/>
          </w:rPr>
          <w:t>CBD/SBI/6/INF/17</w:t>
        </w:r>
      </w:hyperlink>
      <w:r w:rsidRPr="00432EB2">
        <w:rPr>
          <w:lang w:val="en-CA"/>
        </w:rPr>
        <w:t>.</w:t>
      </w:r>
    </w:p>
  </w:footnote>
  <w:footnote w:id="14">
    <w:p w14:paraId="4CF401DC" w14:textId="551F6BB2" w:rsidR="0027695E" w:rsidRPr="00432EB2" w:rsidRDefault="0027695E" w:rsidP="0027695E">
      <w:pPr>
        <w:pStyle w:val="FootnoteText"/>
        <w:rPr>
          <w:lang w:val="en-CA"/>
        </w:rPr>
      </w:pPr>
      <w:r>
        <w:rPr>
          <w:rStyle w:val="FootnoteReference"/>
        </w:rPr>
        <w:footnoteRef/>
      </w:r>
      <w:r w:rsidRPr="00432EB2">
        <w:rPr>
          <w:lang w:val="en-CA"/>
        </w:rPr>
        <w:t xml:space="preserve"> </w:t>
      </w:r>
      <w:hyperlink r:id="rId14" w:history="1">
        <w:r w:rsidRPr="00432EB2">
          <w:rPr>
            <w:rStyle w:val="Hyperlink"/>
            <w:lang w:val="en-CA"/>
          </w:rPr>
          <w:t>CBD/SBI/6/4</w:t>
        </w:r>
      </w:hyperlink>
      <w:r w:rsidRPr="00432EB2">
        <w:rPr>
          <w:lang w:val="en-CA"/>
        </w:rPr>
        <w:t>.</w:t>
      </w:r>
    </w:p>
  </w:footnote>
  <w:footnote w:id="15">
    <w:p w14:paraId="47F82C5D" w14:textId="32158287" w:rsidR="0027695E" w:rsidRPr="00432EB2" w:rsidRDefault="0027695E" w:rsidP="0027695E">
      <w:pPr>
        <w:pStyle w:val="FootnoteText"/>
        <w:rPr>
          <w:lang w:val="en-CA"/>
        </w:rPr>
      </w:pPr>
      <w:r>
        <w:rPr>
          <w:rStyle w:val="FootnoteReference"/>
        </w:rPr>
        <w:footnoteRef/>
      </w:r>
      <w:r w:rsidRPr="00432EB2">
        <w:rPr>
          <w:lang w:val="en-CA"/>
        </w:rPr>
        <w:t xml:space="preserve"> </w:t>
      </w:r>
      <w:hyperlink r:id="rId15" w:history="1">
        <w:r w:rsidRPr="00432EB2">
          <w:rPr>
            <w:rStyle w:val="Hyperlink"/>
            <w:lang w:val="en-CA"/>
          </w:rPr>
          <w:t>CBD/SBI/6/INF/2</w:t>
        </w:r>
      </w:hyperlink>
      <w:r w:rsidRPr="00432EB2">
        <w:rPr>
          <w:lang w:val="en-CA"/>
        </w:rPr>
        <w:t>.</w:t>
      </w:r>
    </w:p>
  </w:footnote>
  <w:footnote w:id="16">
    <w:p w14:paraId="16CAC4A7" w14:textId="11B75DE3" w:rsidR="0027695E" w:rsidRPr="00432EB2" w:rsidRDefault="0027695E" w:rsidP="0027695E">
      <w:pPr>
        <w:pStyle w:val="FootnoteText"/>
        <w:rPr>
          <w:lang w:val="en-CA"/>
        </w:rPr>
      </w:pPr>
      <w:r>
        <w:rPr>
          <w:rStyle w:val="FootnoteReference"/>
        </w:rPr>
        <w:footnoteRef/>
      </w:r>
      <w:r w:rsidRPr="00432EB2">
        <w:rPr>
          <w:lang w:val="en-CA"/>
        </w:rPr>
        <w:t xml:space="preserve"> </w:t>
      </w:r>
      <w:hyperlink r:id="rId16" w:history="1">
        <w:r w:rsidRPr="00432EB2">
          <w:rPr>
            <w:rStyle w:val="Hyperlink"/>
            <w:lang w:val="en-CA"/>
          </w:rPr>
          <w:t>CBD/SBI/6/INF/5</w:t>
        </w:r>
      </w:hyperlink>
      <w:r w:rsidRPr="00432EB2">
        <w:rPr>
          <w:lang w:val="en-CA"/>
        </w:rPr>
        <w:t>.</w:t>
      </w:r>
    </w:p>
  </w:footnote>
  <w:footnote w:id="17">
    <w:p w14:paraId="7BE6FE7A" w14:textId="18785242" w:rsidR="0027695E" w:rsidRPr="00432EB2" w:rsidRDefault="0027695E" w:rsidP="0027695E">
      <w:pPr>
        <w:pStyle w:val="FootnoteText"/>
        <w:rPr>
          <w:lang w:val="en-CA"/>
        </w:rPr>
      </w:pPr>
      <w:r>
        <w:rPr>
          <w:rStyle w:val="FootnoteReference"/>
        </w:rPr>
        <w:footnoteRef/>
      </w:r>
      <w:r w:rsidRPr="00432EB2">
        <w:rPr>
          <w:lang w:val="en-CA"/>
        </w:rPr>
        <w:t xml:space="preserve"> </w:t>
      </w:r>
      <w:hyperlink r:id="rId17" w:history="1">
        <w:r w:rsidRPr="00432EB2">
          <w:rPr>
            <w:rStyle w:val="Hyperlink"/>
            <w:lang w:val="en-CA"/>
          </w:rPr>
          <w:t>CBD/SBI/6/INF/6</w:t>
        </w:r>
      </w:hyperlink>
      <w:r w:rsidRPr="00432EB2">
        <w:rPr>
          <w:lang w:val="en-CA"/>
        </w:rPr>
        <w:t>.</w:t>
      </w:r>
    </w:p>
  </w:footnote>
  <w:footnote w:id="18">
    <w:p w14:paraId="67BD76EB" w14:textId="055235BB" w:rsidR="0027695E" w:rsidRPr="00432EB2" w:rsidRDefault="0027695E" w:rsidP="0027695E">
      <w:pPr>
        <w:pStyle w:val="FootnoteText"/>
        <w:rPr>
          <w:lang w:val="en-CA"/>
        </w:rPr>
      </w:pPr>
      <w:r>
        <w:rPr>
          <w:rStyle w:val="FootnoteReference"/>
        </w:rPr>
        <w:footnoteRef/>
      </w:r>
      <w:r w:rsidRPr="00432EB2">
        <w:rPr>
          <w:lang w:val="en-CA"/>
        </w:rPr>
        <w:t xml:space="preserve"> </w:t>
      </w:r>
      <w:hyperlink r:id="rId18" w:history="1">
        <w:r w:rsidRPr="00432EB2">
          <w:rPr>
            <w:rStyle w:val="Hyperlink"/>
            <w:lang w:val="en-CA"/>
          </w:rPr>
          <w:t>CBD/SBI/6/INF/7</w:t>
        </w:r>
      </w:hyperlink>
      <w:r w:rsidRPr="00432EB2">
        <w:rPr>
          <w:lang w:val="en-CA"/>
        </w:rPr>
        <w:t>.</w:t>
      </w:r>
    </w:p>
  </w:footnote>
  <w:footnote w:id="19">
    <w:p w14:paraId="6A880516" w14:textId="6E71DB28" w:rsidR="0027695E" w:rsidRPr="00432EB2" w:rsidRDefault="0027695E" w:rsidP="0027695E">
      <w:pPr>
        <w:pStyle w:val="FootnoteText"/>
        <w:rPr>
          <w:lang w:val="en-CA"/>
        </w:rPr>
      </w:pPr>
      <w:r>
        <w:rPr>
          <w:rStyle w:val="FootnoteReference"/>
        </w:rPr>
        <w:footnoteRef/>
      </w:r>
      <w:r w:rsidRPr="00432EB2">
        <w:rPr>
          <w:lang w:val="en-CA"/>
        </w:rPr>
        <w:t xml:space="preserve"> </w:t>
      </w:r>
      <w:hyperlink r:id="rId19" w:history="1">
        <w:r w:rsidRPr="00432EB2">
          <w:rPr>
            <w:rStyle w:val="Hyperlink"/>
            <w:lang w:val="en-CA"/>
          </w:rPr>
          <w:t>CBD/SBI/6/INF/11</w:t>
        </w:r>
      </w:hyperlink>
      <w:r w:rsidRPr="00432EB2">
        <w:rPr>
          <w:lang w:val="en-CA"/>
        </w:rPr>
        <w:t>.</w:t>
      </w:r>
    </w:p>
  </w:footnote>
  <w:footnote w:id="20">
    <w:p w14:paraId="7F381686" w14:textId="6E896F06" w:rsidR="0027695E" w:rsidRPr="00432EB2" w:rsidRDefault="0027695E" w:rsidP="0027695E">
      <w:pPr>
        <w:pStyle w:val="FootnoteText"/>
        <w:rPr>
          <w:lang w:val="en-CA"/>
        </w:rPr>
      </w:pPr>
      <w:r>
        <w:rPr>
          <w:rStyle w:val="FootnoteReference"/>
        </w:rPr>
        <w:footnoteRef/>
      </w:r>
      <w:r w:rsidRPr="00432EB2">
        <w:rPr>
          <w:lang w:val="en-CA"/>
        </w:rPr>
        <w:t xml:space="preserve"> </w:t>
      </w:r>
      <w:hyperlink r:id="rId20" w:history="1">
        <w:r w:rsidRPr="00432EB2">
          <w:rPr>
            <w:rStyle w:val="Hyperlink"/>
            <w:lang w:val="en-CA"/>
          </w:rPr>
          <w:t>CBD/SBI/6/INF/14</w:t>
        </w:r>
      </w:hyperlink>
      <w:r w:rsidRPr="00432EB2">
        <w:rPr>
          <w:lang w:val="en-CA"/>
        </w:rPr>
        <w:t>.</w:t>
      </w:r>
    </w:p>
  </w:footnote>
  <w:footnote w:id="21">
    <w:p w14:paraId="25C50459" w14:textId="0E55B6BD" w:rsidR="0027695E" w:rsidRPr="00432EB2" w:rsidRDefault="0027695E" w:rsidP="0027695E">
      <w:pPr>
        <w:pStyle w:val="FootnoteText"/>
        <w:rPr>
          <w:lang w:val="en-CA"/>
        </w:rPr>
      </w:pPr>
      <w:r>
        <w:rPr>
          <w:rStyle w:val="FootnoteReference"/>
        </w:rPr>
        <w:footnoteRef/>
      </w:r>
      <w:r w:rsidRPr="00432EB2">
        <w:rPr>
          <w:lang w:val="en-CA"/>
        </w:rPr>
        <w:t xml:space="preserve"> </w:t>
      </w:r>
      <w:hyperlink r:id="rId21" w:history="1">
        <w:r w:rsidRPr="00432EB2">
          <w:rPr>
            <w:rStyle w:val="Hyperlink"/>
            <w:lang w:val="en-CA"/>
          </w:rPr>
          <w:t>CBD/SBI/6/INF/17</w:t>
        </w:r>
      </w:hyperlink>
      <w:r w:rsidRPr="00432EB2">
        <w:rPr>
          <w:lang w:val="en-CA"/>
        </w:rPr>
        <w:t>.</w:t>
      </w:r>
    </w:p>
  </w:footnote>
  <w:footnote w:id="22">
    <w:p w14:paraId="0F4CE9BE" w14:textId="623F479E" w:rsidR="00EF4BDD" w:rsidRPr="00432EB2" w:rsidRDefault="00EF4BDD" w:rsidP="00EF4BDD">
      <w:pPr>
        <w:pStyle w:val="FootnoteText"/>
        <w:rPr>
          <w:lang w:val="en-CA"/>
        </w:rPr>
      </w:pPr>
      <w:r>
        <w:rPr>
          <w:rStyle w:val="FootnoteReference"/>
        </w:rPr>
        <w:footnoteRef/>
      </w:r>
      <w:r w:rsidRPr="00432EB2">
        <w:rPr>
          <w:lang w:val="en-CA"/>
        </w:rPr>
        <w:t xml:space="preserve"> </w:t>
      </w:r>
      <w:hyperlink r:id="rId22" w:history="1">
        <w:r w:rsidRPr="00432EB2">
          <w:rPr>
            <w:rStyle w:val="Hyperlink"/>
            <w:lang w:val="en-CA"/>
          </w:rPr>
          <w:t>CBD/SBI/6/5</w:t>
        </w:r>
      </w:hyperlink>
      <w:r w:rsidRPr="00432EB2">
        <w:rPr>
          <w:lang w:val="en-CA"/>
        </w:rPr>
        <w:t>.</w:t>
      </w:r>
    </w:p>
  </w:footnote>
  <w:footnote w:id="23">
    <w:p w14:paraId="14AFC67D" w14:textId="3B5E7337" w:rsidR="00EF4BDD" w:rsidRPr="00432EB2" w:rsidRDefault="00EF4BDD" w:rsidP="00EF4BDD">
      <w:pPr>
        <w:pStyle w:val="FootnoteText"/>
        <w:rPr>
          <w:lang w:val="en-CA"/>
        </w:rPr>
      </w:pPr>
      <w:r>
        <w:rPr>
          <w:rStyle w:val="FootnoteReference"/>
        </w:rPr>
        <w:footnoteRef/>
      </w:r>
      <w:r w:rsidRPr="00432EB2">
        <w:rPr>
          <w:lang w:val="en-CA"/>
        </w:rPr>
        <w:t xml:space="preserve"> </w:t>
      </w:r>
      <w:hyperlink r:id="rId23" w:history="1">
        <w:r w:rsidRPr="00432EB2">
          <w:rPr>
            <w:rStyle w:val="Hyperlink"/>
            <w:lang w:val="en-CA"/>
          </w:rPr>
          <w:t>CBD/SBI/6/INF/17</w:t>
        </w:r>
      </w:hyperlink>
      <w:r w:rsidRPr="00432EB2">
        <w:rPr>
          <w:lang w:val="en-CA"/>
        </w:rPr>
        <w:t>.</w:t>
      </w:r>
    </w:p>
  </w:footnote>
  <w:footnote w:id="24">
    <w:p w14:paraId="733AC18D" w14:textId="34E49518" w:rsidR="00975DB5" w:rsidRPr="00432EB2" w:rsidRDefault="00975DB5" w:rsidP="00975DB5">
      <w:pPr>
        <w:pStyle w:val="FootnoteText"/>
        <w:rPr>
          <w:lang w:val="en-CA"/>
        </w:rPr>
      </w:pPr>
      <w:r>
        <w:rPr>
          <w:rStyle w:val="FootnoteReference"/>
        </w:rPr>
        <w:footnoteRef/>
      </w:r>
      <w:r w:rsidRPr="00432EB2">
        <w:rPr>
          <w:lang w:val="en-CA"/>
        </w:rPr>
        <w:t xml:space="preserve"> </w:t>
      </w:r>
      <w:hyperlink r:id="rId24" w:history="1">
        <w:r w:rsidR="00DC6006">
          <w:rPr>
            <w:rStyle w:val="Hyperlink"/>
            <w:lang w:val="en-CA"/>
          </w:rPr>
          <w:t>CBD/SBI/6/7</w:t>
        </w:r>
      </w:hyperlink>
      <w:r w:rsidRPr="00432EB2">
        <w:rPr>
          <w:lang w:val="en-CA"/>
        </w:rPr>
        <w:t>.</w:t>
      </w:r>
    </w:p>
  </w:footnote>
  <w:footnote w:id="25">
    <w:p w14:paraId="30202EFE" w14:textId="30A20E33" w:rsidR="00975DB5" w:rsidRPr="00432EB2" w:rsidRDefault="00975DB5" w:rsidP="00975DB5">
      <w:pPr>
        <w:pStyle w:val="FootnoteText"/>
        <w:rPr>
          <w:lang w:val="en-CA"/>
        </w:rPr>
      </w:pPr>
      <w:r>
        <w:rPr>
          <w:rStyle w:val="FootnoteReference"/>
        </w:rPr>
        <w:footnoteRef/>
      </w:r>
      <w:r w:rsidRPr="00432EB2">
        <w:rPr>
          <w:lang w:val="en-CA"/>
        </w:rPr>
        <w:t xml:space="preserve"> </w:t>
      </w:r>
      <w:hyperlink r:id="rId25" w:history="1">
        <w:r w:rsidRPr="00432EB2">
          <w:rPr>
            <w:rStyle w:val="Hyperlink"/>
            <w:lang w:val="en-CA"/>
          </w:rPr>
          <w:t>CBD/SBI/6/INF/2</w:t>
        </w:r>
      </w:hyperlink>
      <w:r w:rsidRPr="00432EB2">
        <w:rPr>
          <w:lang w:val="en-CA"/>
        </w:rPr>
        <w:t>.</w:t>
      </w:r>
    </w:p>
  </w:footnote>
  <w:footnote w:id="26">
    <w:p w14:paraId="5DB787FC" w14:textId="41FEC9E1" w:rsidR="00975DB5" w:rsidRPr="00432EB2" w:rsidRDefault="00975DB5" w:rsidP="00975DB5">
      <w:pPr>
        <w:pStyle w:val="FootnoteText"/>
        <w:rPr>
          <w:lang w:val="en-CA"/>
        </w:rPr>
      </w:pPr>
      <w:r>
        <w:rPr>
          <w:rStyle w:val="FootnoteReference"/>
        </w:rPr>
        <w:footnoteRef/>
      </w:r>
      <w:r w:rsidRPr="00432EB2">
        <w:rPr>
          <w:lang w:val="en-CA"/>
        </w:rPr>
        <w:t xml:space="preserve"> </w:t>
      </w:r>
      <w:hyperlink r:id="rId26" w:history="1">
        <w:r w:rsidRPr="00432EB2">
          <w:rPr>
            <w:rStyle w:val="Hyperlink"/>
            <w:lang w:val="en-CA"/>
          </w:rPr>
          <w:t>CBD/SBI/6/INF/3</w:t>
        </w:r>
      </w:hyperlink>
      <w:r w:rsidRPr="00432EB2">
        <w:rPr>
          <w:lang w:val="en-CA"/>
        </w:rPr>
        <w:t>.</w:t>
      </w:r>
    </w:p>
  </w:footnote>
  <w:footnote w:id="27">
    <w:p w14:paraId="64E8B3D9" w14:textId="492F447A" w:rsidR="00975DB5" w:rsidRPr="00432EB2" w:rsidRDefault="00975DB5" w:rsidP="00975DB5">
      <w:pPr>
        <w:pStyle w:val="FootnoteText"/>
        <w:rPr>
          <w:lang w:val="en-CA"/>
        </w:rPr>
      </w:pPr>
      <w:r>
        <w:rPr>
          <w:rStyle w:val="FootnoteReference"/>
        </w:rPr>
        <w:footnoteRef/>
      </w:r>
      <w:r w:rsidRPr="00432EB2">
        <w:rPr>
          <w:lang w:val="en-CA"/>
        </w:rPr>
        <w:t xml:space="preserve"> </w:t>
      </w:r>
      <w:hyperlink r:id="rId27" w:history="1">
        <w:r w:rsidRPr="00432EB2">
          <w:rPr>
            <w:rStyle w:val="Hyperlink"/>
            <w:lang w:val="en-CA"/>
          </w:rPr>
          <w:t>CBD/SBI/6/INF/5</w:t>
        </w:r>
      </w:hyperlink>
      <w:r w:rsidRPr="00432EB2">
        <w:rPr>
          <w:lang w:val="en-CA"/>
        </w:rPr>
        <w:t>.</w:t>
      </w:r>
    </w:p>
  </w:footnote>
  <w:footnote w:id="28">
    <w:p w14:paraId="4E487BD9" w14:textId="2D3743A0" w:rsidR="00975DB5" w:rsidRPr="00432EB2" w:rsidRDefault="00975DB5" w:rsidP="00975DB5">
      <w:pPr>
        <w:pStyle w:val="FootnoteText"/>
        <w:rPr>
          <w:lang w:val="en-CA"/>
        </w:rPr>
      </w:pPr>
      <w:r>
        <w:rPr>
          <w:rStyle w:val="FootnoteReference"/>
        </w:rPr>
        <w:footnoteRef/>
      </w:r>
      <w:r w:rsidRPr="00432EB2">
        <w:rPr>
          <w:lang w:val="en-CA"/>
        </w:rPr>
        <w:t xml:space="preserve"> </w:t>
      </w:r>
      <w:hyperlink r:id="rId28" w:history="1">
        <w:r w:rsidRPr="00432EB2">
          <w:rPr>
            <w:rStyle w:val="Hyperlink"/>
            <w:lang w:val="en-CA"/>
          </w:rPr>
          <w:t>CBD/SBI/6/INF/17</w:t>
        </w:r>
      </w:hyperlink>
      <w:r w:rsidRPr="00432EB2">
        <w:rPr>
          <w:lang w:val="en-CA"/>
        </w:rPr>
        <w:t>.</w:t>
      </w:r>
    </w:p>
  </w:footnote>
  <w:footnote w:id="29">
    <w:p w14:paraId="18F2BDB3" w14:textId="38437CF7" w:rsidR="007F3C5B" w:rsidRPr="00432EB2" w:rsidRDefault="007F3C5B" w:rsidP="007F3C5B">
      <w:pPr>
        <w:pStyle w:val="FootnoteText"/>
        <w:rPr>
          <w:lang w:val="en-CA"/>
        </w:rPr>
      </w:pPr>
      <w:r>
        <w:rPr>
          <w:rStyle w:val="FootnoteReference"/>
        </w:rPr>
        <w:footnoteRef/>
      </w:r>
      <w:r w:rsidRPr="00432EB2">
        <w:rPr>
          <w:lang w:val="en-CA"/>
        </w:rPr>
        <w:t xml:space="preserve"> </w:t>
      </w:r>
      <w:hyperlink r:id="rId29" w:history="1">
        <w:r w:rsidRPr="00432EB2">
          <w:rPr>
            <w:rStyle w:val="Hyperlink"/>
            <w:lang w:val="en-CA"/>
          </w:rPr>
          <w:t xml:space="preserve"> CBD/SBI/6/3/Rev.1</w:t>
        </w:r>
      </w:hyperlink>
      <w:r w:rsidRPr="00432EB2">
        <w:rPr>
          <w:lang w:val="en-CA"/>
        </w:rPr>
        <w:t>.</w:t>
      </w:r>
    </w:p>
  </w:footnote>
  <w:footnote w:id="30">
    <w:p w14:paraId="33642B3C" w14:textId="645491B4" w:rsidR="007F3C5B" w:rsidRPr="00432EB2" w:rsidRDefault="007F3C5B" w:rsidP="007F3C5B">
      <w:pPr>
        <w:pStyle w:val="FootnoteText"/>
        <w:rPr>
          <w:lang w:val="en-CA"/>
        </w:rPr>
      </w:pPr>
      <w:r>
        <w:rPr>
          <w:rStyle w:val="FootnoteReference"/>
        </w:rPr>
        <w:footnoteRef/>
      </w:r>
      <w:r w:rsidRPr="00432EB2">
        <w:rPr>
          <w:lang w:val="en-CA"/>
        </w:rPr>
        <w:t xml:space="preserve"> </w:t>
      </w:r>
      <w:hyperlink r:id="rId30" w:history="1">
        <w:r w:rsidRPr="00432EB2">
          <w:rPr>
            <w:rStyle w:val="Hyperlink"/>
            <w:lang w:val="en-CA"/>
          </w:rPr>
          <w:t>CBD/SBI/6/INF/4</w:t>
        </w:r>
      </w:hyperlink>
      <w:r w:rsidRPr="00432EB2">
        <w:rPr>
          <w:lang w:val="en-CA"/>
        </w:rPr>
        <w:t>.</w:t>
      </w:r>
    </w:p>
  </w:footnote>
  <w:footnote w:id="31">
    <w:p w14:paraId="24DB60E9" w14:textId="49A7E2B2" w:rsidR="007F3C5B" w:rsidRPr="00432EB2" w:rsidRDefault="007F3C5B" w:rsidP="007F3C5B">
      <w:pPr>
        <w:pStyle w:val="FootnoteText"/>
        <w:rPr>
          <w:lang w:val="en-CA"/>
        </w:rPr>
      </w:pPr>
      <w:r>
        <w:rPr>
          <w:rStyle w:val="FootnoteReference"/>
        </w:rPr>
        <w:footnoteRef/>
      </w:r>
      <w:r w:rsidRPr="00432EB2">
        <w:rPr>
          <w:lang w:val="en-CA"/>
        </w:rPr>
        <w:t xml:space="preserve"> </w:t>
      </w:r>
      <w:hyperlink r:id="rId31" w:history="1">
        <w:r w:rsidRPr="00432EB2">
          <w:rPr>
            <w:rStyle w:val="Hyperlink"/>
            <w:lang w:val="en-CA"/>
          </w:rPr>
          <w:t>CBD/SBI/6/INF/8</w:t>
        </w:r>
      </w:hyperlink>
      <w:r w:rsidRPr="00432EB2">
        <w:rPr>
          <w:lang w:val="en-CA"/>
        </w:rPr>
        <w:t>.</w:t>
      </w:r>
    </w:p>
  </w:footnote>
  <w:footnote w:id="32">
    <w:p w14:paraId="0F218265" w14:textId="3B85E0FA" w:rsidR="007F3C5B" w:rsidRPr="00432EB2" w:rsidRDefault="007F3C5B" w:rsidP="007F3C5B">
      <w:pPr>
        <w:pStyle w:val="FootnoteText"/>
        <w:rPr>
          <w:lang w:val="en-CA"/>
        </w:rPr>
      </w:pPr>
      <w:r>
        <w:rPr>
          <w:rStyle w:val="FootnoteReference"/>
        </w:rPr>
        <w:footnoteRef/>
      </w:r>
      <w:r w:rsidRPr="00432EB2">
        <w:rPr>
          <w:lang w:val="en-CA"/>
        </w:rPr>
        <w:t xml:space="preserve"> </w:t>
      </w:r>
      <w:hyperlink r:id="rId32" w:history="1">
        <w:r w:rsidRPr="00432EB2">
          <w:rPr>
            <w:rStyle w:val="Hyperlink"/>
            <w:lang w:val="en-CA"/>
          </w:rPr>
          <w:t>CBD/SBI/6/INF/17</w:t>
        </w:r>
      </w:hyperlink>
      <w:r w:rsidRPr="00432EB2">
        <w:rPr>
          <w:lang w:val="en-CA"/>
        </w:rPr>
        <w:t>.</w:t>
      </w:r>
    </w:p>
  </w:footnote>
  <w:footnote w:id="33">
    <w:p w14:paraId="20536450" w14:textId="23299ED7" w:rsidR="007F3C5B" w:rsidRPr="00432EB2" w:rsidRDefault="007F3C5B" w:rsidP="007F3C5B">
      <w:pPr>
        <w:pStyle w:val="FootnoteText"/>
        <w:rPr>
          <w:lang w:val="en-CA"/>
        </w:rPr>
      </w:pPr>
      <w:r>
        <w:rPr>
          <w:rStyle w:val="FootnoteReference"/>
        </w:rPr>
        <w:footnoteRef/>
      </w:r>
      <w:r w:rsidRPr="00432EB2">
        <w:rPr>
          <w:lang w:val="en-CA"/>
        </w:rPr>
        <w:t xml:space="preserve"> </w:t>
      </w:r>
      <w:hyperlink r:id="rId33" w:history="1">
        <w:r w:rsidRPr="00432EB2">
          <w:rPr>
            <w:rStyle w:val="Hyperlink"/>
            <w:lang w:val="en-CA"/>
          </w:rPr>
          <w:t>CBD/SBI/6/8</w:t>
        </w:r>
      </w:hyperlink>
      <w:r w:rsidRPr="00432EB2">
        <w:rPr>
          <w:lang w:val="en-CA"/>
        </w:rPr>
        <w:t>.</w:t>
      </w:r>
    </w:p>
  </w:footnote>
  <w:footnote w:id="34">
    <w:p w14:paraId="3A3C1519" w14:textId="609A8568" w:rsidR="007F3C5B" w:rsidRPr="0036214D" w:rsidRDefault="007F3C5B" w:rsidP="007F3C5B">
      <w:pPr>
        <w:pStyle w:val="FootnoteText"/>
      </w:pPr>
      <w:r>
        <w:rPr>
          <w:rStyle w:val="FootnoteReference"/>
        </w:rPr>
        <w:footnoteRef/>
      </w:r>
      <w:r>
        <w:t xml:space="preserve"> </w:t>
      </w:r>
      <w:hyperlink r:id="rId34" w:history="1">
        <w:r>
          <w:rPr>
            <w:rStyle w:val="Hyperlink"/>
          </w:rPr>
          <w:t>CBD/SBI/6/INF/17</w:t>
        </w:r>
      </w:hyperlink>
      <w:r>
        <w:t>.</w:t>
      </w:r>
    </w:p>
  </w:footnote>
  <w:footnote w:id="35">
    <w:p w14:paraId="2DBDF339" w14:textId="7CB2FDBC" w:rsidR="00DC4D1D" w:rsidRPr="00CA145A" w:rsidRDefault="00DC4D1D">
      <w:pPr>
        <w:pStyle w:val="FootnoteText"/>
      </w:pPr>
      <w:r>
        <w:rPr>
          <w:rStyle w:val="FootnoteReference"/>
        </w:rPr>
        <w:footnoteRef/>
      </w:r>
      <w:r>
        <w:t xml:space="preserve"> Chypre n</w:t>
      </w:r>
      <w:r w:rsidR="00432EB2">
        <w:t>’</w:t>
      </w:r>
      <w:r>
        <w:t>est pas Partie au Protocole de Nagoya.</w:t>
      </w:r>
    </w:p>
  </w:footnote>
  <w:footnote w:id="36">
    <w:p w14:paraId="303E9D8E" w14:textId="571732AE" w:rsidR="002D0C4E" w:rsidRPr="00E67CB5" w:rsidRDefault="002D0C4E" w:rsidP="002D0C4E">
      <w:pPr>
        <w:pStyle w:val="FootnoteText"/>
      </w:pPr>
      <w:r>
        <w:rPr>
          <w:rStyle w:val="FootnoteReference"/>
        </w:rPr>
        <w:footnoteRef/>
      </w:r>
      <w:r>
        <w:t xml:space="preserve"> </w:t>
      </w:r>
      <w:hyperlink r:id="rId35" w:history="1">
        <w:r>
          <w:rPr>
            <w:rStyle w:val="Hyperlink"/>
          </w:rPr>
          <w:t>CBD/SBI/6/9</w:t>
        </w:r>
      </w:hyperlink>
      <w:r>
        <w:t>.</w:t>
      </w:r>
    </w:p>
  </w:footnote>
  <w:footnote w:id="37">
    <w:p w14:paraId="6D2F1AD6" w14:textId="10DFA41C" w:rsidR="002D0C4E" w:rsidRPr="008F0D47" w:rsidRDefault="002D0C4E" w:rsidP="002D0C4E">
      <w:pPr>
        <w:pStyle w:val="FootnoteText"/>
      </w:pPr>
      <w:r>
        <w:rPr>
          <w:rStyle w:val="FootnoteReference"/>
        </w:rPr>
        <w:footnoteRef/>
      </w:r>
      <w:r>
        <w:t xml:space="preserve"> </w:t>
      </w:r>
      <w:hyperlink r:id="rId36" w:history="1">
        <w:r>
          <w:rPr>
            <w:rStyle w:val="Hyperlink"/>
          </w:rPr>
          <w:t>CDB/SBI/6/INF/9</w:t>
        </w:r>
      </w:hyperlink>
      <w:r>
        <w:t>.</w:t>
      </w:r>
    </w:p>
  </w:footnote>
  <w:footnote w:id="38">
    <w:p w14:paraId="4325842B" w14:textId="2BCCF1A4" w:rsidR="002D0C4E" w:rsidRPr="008F0D47" w:rsidRDefault="002D0C4E" w:rsidP="002D0C4E">
      <w:pPr>
        <w:pStyle w:val="FootnoteText"/>
      </w:pPr>
      <w:r>
        <w:rPr>
          <w:rStyle w:val="FootnoteReference"/>
        </w:rPr>
        <w:footnoteRef/>
      </w:r>
      <w:r>
        <w:t xml:space="preserve"> </w:t>
      </w:r>
      <w:hyperlink r:id="rId37" w:history="1">
        <w:r>
          <w:rPr>
            <w:rStyle w:val="Hyperlink"/>
          </w:rPr>
          <w:t>CDB/SBI/6/INF/10</w:t>
        </w:r>
      </w:hyperlink>
      <w:r>
        <w:t>.</w:t>
      </w:r>
    </w:p>
  </w:footnote>
  <w:footnote w:id="39">
    <w:p w14:paraId="114C4C5A" w14:textId="0280DD2C" w:rsidR="002D0C4E" w:rsidRPr="008F0D47" w:rsidRDefault="002D0C4E" w:rsidP="002D0C4E">
      <w:pPr>
        <w:pStyle w:val="FootnoteText"/>
      </w:pPr>
      <w:r>
        <w:rPr>
          <w:rStyle w:val="FootnoteReference"/>
        </w:rPr>
        <w:footnoteRef/>
      </w:r>
      <w:r>
        <w:t xml:space="preserve"> </w:t>
      </w:r>
      <w:hyperlink r:id="rId38" w:history="1">
        <w:r>
          <w:rPr>
            <w:rStyle w:val="Hyperlink"/>
          </w:rPr>
          <w:t>CDB/SBI/6/INF/11</w:t>
        </w:r>
      </w:hyperlink>
      <w:r>
        <w:t>.</w:t>
      </w:r>
    </w:p>
  </w:footnote>
  <w:footnote w:id="40">
    <w:p w14:paraId="3719CD4C" w14:textId="4DCCAB31" w:rsidR="002D0C4E" w:rsidRPr="007A0F90" w:rsidRDefault="002D0C4E" w:rsidP="002D0C4E">
      <w:pPr>
        <w:pStyle w:val="FootnoteText"/>
      </w:pPr>
      <w:r>
        <w:rPr>
          <w:rStyle w:val="FootnoteReference"/>
        </w:rPr>
        <w:footnoteRef/>
      </w:r>
      <w:r>
        <w:t xml:space="preserve"> </w:t>
      </w:r>
      <w:hyperlink r:id="rId39" w:history="1">
        <w:r>
          <w:rPr>
            <w:rStyle w:val="Hyperlink"/>
          </w:rPr>
          <w:t>CBD/SBI/6/INF/17</w:t>
        </w:r>
      </w:hyperlink>
      <w:r>
        <w:t>.</w:t>
      </w:r>
    </w:p>
  </w:footnote>
  <w:footnote w:id="41">
    <w:p w14:paraId="4AA9C8AF" w14:textId="38C331F2" w:rsidR="00A75823" w:rsidRPr="00172A80" w:rsidRDefault="00A75823" w:rsidP="00A75823">
      <w:pPr>
        <w:pStyle w:val="FootnoteText"/>
      </w:pPr>
      <w:r>
        <w:rPr>
          <w:rStyle w:val="FootnoteReference"/>
        </w:rPr>
        <w:footnoteRef/>
      </w:r>
      <w:r>
        <w:t xml:space="preserve"> </w:t>
      </w:r>
      <w:hyperlink r:id="rId40" w:history="1">
        <w:r>
          <w:rPr>
            <w:rStyle w:val="Hyperlink"/>
          </w:rPr>
          <w:t>CBD/SBI/6/10</w:t>
        </w:r>
      </w:hyperlink>
      <w:r>
        <w:t>.</w:t>
      </w:r>
    </w:p>
  </w:footnote>
  <w:footnote w:id="42">
    <w:p w14:paraId="6E84C779" w14:textId="7FCC7628" w:rsidR="00A75823" w:rsidRPr="009C46C7" w:rsidRDefault="00A75823" w:rsidP="00A75823">
      <w:pPr>
        <w:pStyle w:val="FootnoteText"/>
      </w:pPr>
      <w:r>
        <w:rPr>
          <w:rStyle w:val="FootnoteReference"/>
        </w:rPr>
        <w:footnoteRef/>
      </w:r>
      <w:r>
        <w:t xml:space="preserve"> </w:t>
      </w:r>
      <w:hyperlink r:id="rId41" w:history="1">
        <w:r>
          <w:rPr>
            <w:rStyle w:val="Hyperlink"/>
          </w:rPr>
          <w:t>CDB/SBI/6/INF/12</w:t>
        </w:r>
      </w:hyperlink>
      <w:r>
        <w:t>.</w:t>
      </w:r>
    </w:p>
  </w:footnote>
  <w:footnote w:id="43">
    <w:p w14:paraId="76E56E5B" w14:textId="14F4664B" w:rsidR="00A75823" w:rsidRPr="007A0F90" w:rsidRDefault="00A75823" w:rsidP="00A75823">
      <w:pPr>
        <w:pStyle w:val="FootnoteText"/>
      </w:pPr>
      <w:r>
        <w:rPr>
          <w:rStyle w:val="FootnoteReference"/>
        </w:rPr>
        <w:footnoteRef/>
      </w:r>
      <w:r>
        <w:t xml:space="preserve"> </w:t>
      </w:r>
      <w:hyperlink r:id="rId42" w:history="1">
        <w:r>
          <w:rPr>
            <w:rStyle w:val="Hyperlink"/>
          </w:rPr>
          <w:t>CBD/SBI/6/INF/17</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F1BF" w14:textId="2808C8AF" w:rsidR="002B559C" w:rsidRPr="00172A80" w:rsidRDefault="00F72490" w:rsidP="4FF89652">
    <w:pPr>
      <w:pStyle w:val="Header"/>
      <w:spacing w:after="240"/>
      <w:rPr>
        <w:szCs w:val="20"/>
      </w:rPr>
    </w:pPr>
    <w:r>
      <w:t>CBD/SBI/6/L.1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4B905" w14:textId="70AB0C79" w:rsidR="002B559C" w:rsidRPr="00172A80" w:rsidRDefault="00EE4339" w:rsidP="002B559C">
    <w:pPr>
      <w:pStyle w:val="Header"/>
      <w:spacing w:after="240"/>
      <w:jc w:val="right"/>
      <w:rPr>
        <w:szCs w:val="20"/>
      </w:rPr>
    </w:pPr>
    <w:sdt>
      <w:sdtPr>
        <w:rPr>
          <w:szCs w:val="20"/>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922A28" w:rsidRPr="00172A80">
          <w:rPr>
            <w:szCs w:val="20"/>
          </w:rPr>
          <w:t>CBD/SBI/6/</w:t>
        </w:r>
        <w:r w:rsidR="007775C5">
          <w:rPr>
            <w:szCs w:val="20"/>
          </w:rPr>
          <w:t>L.1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6D9F7" w14:textId="79C0F811" w:rsidR="003731AC" w:rsidRPr="00172A80" w:rsidRDefault="003731AC" w:rsidP="00172A80">
    <w:pPr>
      <w:pStyle w:val="Header"/>
      <w:pBdr>
        <w:bottom w:val="none" w:sz="0" w:space="0" w:color="auto"/>
      </w:pBd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EC72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8A09F2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6D285A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7F4B7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DE216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0C4D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5062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C9073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AC27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F445F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6FE6094"/>
    <w:multiLevelType w:val="hybridMultilevel"/>
    <w:tmpl w:val="A95CB838"/>
    <w:lvl w:ilvl="0" w:tplc="04090017">
      <w:start w:val="1"/>
      <w:numFmt w:val="lowerLetter"/>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B91E948"/>
    <w:multiLevelType w:val="hybridMultilevel"/>
    <w:tmpl w:val="FFFFFFFF"/>
    <w:lvl w:ilvl="0" w:tplc="DFDA66D8">
      <w:start w:val="1"/>
      <w:numFmt w:val="decimal"/>
      <w:lvlText w:val="%1."/>
      <w:lvlJc w:val="left"/>
      <w:pPr>
        <w:ind w:left="360" w:hanging="360"/>
      </w:pPr>
    </w:lvl>
    <w:lvl w:ilvl="1" w:tplc="E6946138">
      <w:start w:val="1"/>
      <w:numFmt w:val="lowerLetter"/>
      <w:lvlText w:val="%2."/>
      <w:lvlJc w:val="left"/>
      <w:pPr>
        <w:ind w:left="1287" w:hanging="360"/>
      </w:pPr>
    </w:lvl>
    <w:lvl w:ilvl="2" w:tplc="03124450">
      <w:start w:val="1"/>
      <w:numFmt w:val="lowerRoman"/>
      <w:lvlText w:val="%3."/>
      <w:lvlJc w:val="right"/>
      <w:pPr>
        <w:ind w:left="2007" w:hanging="180"/>
      </w:pPr>
    </w:lvl>
    <w:lvl w:ilvl="3" w:tplc="3C54D7C4">
      <w:start w:val="1"/>
      <w:numFmt w:val="decimal"/>
      <w:lvlText w:val="%4."/>
      <w:lvlJc w:val="left"/>
      <w:pPr>
        <w:ind w:left="2727" w:hanging="360"/>
      </w:pPr>
    </w:lvl>
    <w:lvl w:ilvl="4" w:tplc="F648D1CA">
      <w:start w:val="1"/>
      <w:numFmt w:val="lowerLetter"/>
      <w:lvlText w:val="%5."/>
      <w:lvlJc w:val="left"/>
      <w:pPr>
        <w:ind w:left="3447" w:hanging="360"/>
      </w:pPr>
    </w:lvl>
    <w:lvl w:ilvl="5" w:tplc="A8AC7004">
      <w:start w:val="1"/>
      <w:numFmt w:val="lowerRoman"/>
      <w:lvlText w:val="%6."/>
      <w:lvlJc w:val="right"/>
      <w:pPr>
        <w:ind w:left="4167" w:hanging="180"/>
      </w:pPr>
    </w:lvl>
    <w:lvl w:ilvl="6" w:tplc="D9321418">
      <w:start w:val="1"/>
      <w:numFmt w:val="decimal"/>
      <w:lvlText w:val="%7."/>
      <w:lvlJc w:val="left"/>
      <w:pPr>
        <w:ind w:left="4887" w:hanging="360"/>
      </w:pPr>
    </w:lvl>
    <w:lvl w:ilvl="7" w:tplc="595CB1B6">
      <w:start w:val="1"/>
      <w:numFmt w:val="lowerLetter"/>
      <w:lvlText w:val="%8."/>
      <w:lvlJc w:val="left"/>
      <w:pPr>
        <w:ind w:left="5607" w:hanging="360"/>
      </w:pPr>
    </w:lvl>
    <w:lvl w:ilvl="8" w:tplc="3CA87974">
      <w:start w:val="1"/>
      <w:numFmt w:val="lowerRoman"/>
      <w:lvlText w:val="%9."/>
      <w:lvlJc w:val="right"/>
      <w:pPr>
        <w:ind w:left="6327" w:hanging="180"/>
      </w:pPr>
    </w:lvl>
  </w:abstractNum>
  <w:abstractNum w:abstractNumId="22" w15:restartNumberingAfterBreak="0">
    <w:nsid w:val="1C0A3BAF"/>
    <w:multiLevelType w:val="hybridMultilevel"/>
    <w:tmpl w:val="FFFFFFFF"/>
    <w:lvl w:ilvl="0" w:tplc="3E709E98">
      <w:start w:val="1"/>
      <w:numFmt w:val="lowerLetter"/>
      <w:lvlText w:val="(%1)"/>
      <w:lvlJc w:val="left"/>
      <w:pPr>
        <w:ind w:left="720" w:hanging="360"/>
      </w:pPr>
    </w:lvl>
    <w:lvl w:ilvl="1" w:tplc="A24CC8C0">
      <w:start w:val="1"/>
      <w:numFmt w:val="lowerLetter"/>
      <w:lvlText w:val="%2."/>
      <w:lvlJc w:val="left"/>
      <w:pPr>
        <w:ind w:left="1440" w:hanging="360"/>
      </w:pPr>
    </w:lvl>
    <w:lvl w:ilvl="2" w:tplc="133649B8">
      <w:start w:val="1"/>
      <w:numFmt w:val="lowerRoman"/>
      <w:lvlText w:val="%3."/>
      <w:lvlJc w:val="right"/>
      <w:pPr>
        <w:ind w:left="2160" w:hanging="180"/>
      </w:pPr>
    </w:lvl>
    <w:lvl w:ilvl="3" w:tplc="7862A87C">
      <w:start w:val="1"/>
      <w:numFmt w:val="decimal"/>
      <w:lvlText w:val="%4."/>
      <w:lvlJc w:val="left"/>
      <w:pPr>
        <w:ind w:left="2880" w:hanging="360"/>
      </w:pPr>
    </w:lvl>
    <w:lvl w:ilvl="4" w:tplc="49965DBA">
      <w:start w:val="1"/>
      <w:numFmt w:val="lowerLetter"/>
      <w:lvlText w:val="%5."/>
      <w:lvlJc w:val="left"/>
      <w:pPr>
        <w:ind w:left="3600" w:hanging="360"/>
      </w:pPr>
    </w:lvl>
    <w:lvl w:ilvl="5" w:tplc="217E3ED0">
      <w:start w:val="1"/>
      <w:numFmt w:val="lowerRoman"/>
      <w:lvlText w:val="%6."/>
      <w:lvlJc w:val="right"/>
      <w:pPr>
        <w:ind w:left="4320" w:hanging="180"/>
      </w:pPr>
    </w:lvl>
    <w:lvl w:ilvl="6" w:tplc="462206DA">
      <w:start w:val="1"/>
      <w:numFmt w:val="decimal"/>
      <w:lvlText w:val="%7."/>
      <w:lvlJc w:val="left"/>
      <w:pPr>
        <w:ind w:left="5040" w:hanging="360"/>
      </w:pPr>
    </w:lvl>
    <w:lvl w:ilvl="7" w:tplc="58785E80">
      <w:start w:val="1"/>
      <w:numFmt w:val="lowerLetter"/>
      <w:lvlText w:val="%8."/>
      <w:lvlJc w:val="left"/>
      <w:pPr>
        <w:ind w:left="5760" w:hanging="360"/>
      </w:pPr>
    </w:lvl>
    <w:lvl w:ilvl="8" w:tplc="EAB4AA36">
      <w:start w:val="1"/>
      <w:numFmt w:val="lowerRoman"/>
      <w:lvlText w:val="%9."/>
      <w:lvlJc w:val="right"/>
      <w:pPr>
        <w:ind w:left="6480" w:hanging="180"/>
      </w:p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54C7C64"/>
    <w:multiLevelType w:val="hybridMultilevel"/>
    <w:tmpl w:val="5AC01290"/>
    <w:lvl w:ilvl="0" w:tplc="0409000F">
      <w:start w:val="18"/>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29CF2378"/>
    <w:multiLevelType w:val="hybridMultilevel"/>
    <w:tmpl w:val="B7501C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C421B3B"/>
    <w:multiLevelType w:val="hybridMultilevel"/>
    <w:tmpl w:val="03AA02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2E5356EC"/>
    <w:multiLevelType w:val="multilevel"/>
    <w:tmpl w:val="07D269C8"/>
    <w:numStyleLink w:val="CBDHeadings"/>
  </w:abstractNum>
  <w:abstractNum w:abstractNumId="32"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0D05E51"/>
    <w:multiLevelType w:val="hybridMultilevel"/>
    <w:tmpl w:val="8C5E8494"/>
    <w:lvl w:ilvl="0" w:tplc="CCE878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398E2FF3"/>
    <w:multiLevelType w:val="multilevel"/>
    <w:tmpl w:val="222A08B4"/>
    <w:numStyleLink w:val="ListCBD"/>
  </w:abstractNum>
  <w:abstractNum w:abstractNumId="36" w15:restartNumberingAfterBreak="0">
    <w:nsid w:val="3E5740C4"/>
    <w:multiLevelType w:val="hybridMultilevel"/>
    <w:tmpl w:val="DEDE9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0" w15:restartNumberingAfterBreak="0">
    <w:nsid w:val="4C2B513A"/>
    <w:multiLevelType w:val="hybridMultilevel"/>
    <w:tmpl w:val="AB5C81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4E880595"/>
    <w:multiLevelType w:val="multilevel"/>
    <w:tmpl w:val="222A08B4"/>
    <w:numStyleLink w:val="ListCBD"/>
  </w:abstractNum>
  <w:abstractNum w:abstractNumId="43" w15:restartNumberingAfterBreak="0">
    <w:nsid w:val="52A66A9D"/>
    <w:multiLevelType w:val="multilevel"/>
    <w:tmpl w:val="222A08B4"/>
    <w:numStyleLink w:val="ListCBD"/>
  </w:abstractNum>
  <w:abstractNum w:abstractNumId="44"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5D943BEE"/>
    <w:multiLevelType w:val="multilevel"/>
    <w:tmpl w:val="222A08B4"/>
    <w:numStyleLink w:val="ListCBD"/>
  </w:abstractNum>
  <w:abstractNum w:abstractNumId="49"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1" w15:restartNumberingAfterBreak="0">
    <w:nsid w:val="659E3C0D"/>
    <w:multiLevelType w:val="hybridMultilevel"/>
    <w:tmpl w:val="76F4CF4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3" w15:restartNumberingAfterBreak="0">
    <w:nsid w:val="6683AA4C"/>
    <w:multiLevelType w:val="hybridMultilevel"/>
    <w:tmpl w:val="FFFFFFFF"/>
    <w:lvl w:ilvl="0" w:tplc="A2D42F6A">
      <w:start w:val="1"/>
      <w:numFmt w:val="decimal"/>
      <w:lvlText w:val="%1."/>
      <w:lvlJc w:val="left"/>
      <w:pPr>
        <w:ind w:left="720" w:hanging="360"/>
      </w:pPr>
    </w:lvl>
    <w:lvl w:ilvl="1" w:tplc="66984D12">
      <w:start w:val="1"/>
      <w:numFmt w:val="decimal"/>
      <w:lvlText w:val="(c)"/>
      <w:lvlJc w:val="left"/>
      <w:pPr>
        <w:ind w:left="1440" w:hanging="360"/>
      </w:pPr>
    </w:lvl>
    <w:lvl w:ilvl="2" w:tplc="1122C3C8">
      <w:start w:val="1"/>
      <w:numFmt w:val="lowerRoman"/>
      <w:lvlText w:val="%3."/>
      <w:lvlJc w:val="right"/>
      <w:pPr>
        <w:ind w:left="2160" w:hanging="180"/>
      </w:pPr>
    </w:lvl>
    <w:lvl w:ilvl="3" w:tplc="5EC4DF6C">
      <w:start w:val="1"/>
      <w:numFmt w:val="decimal"/>
      <w:lvlText w:val="%4."/>
      <w:lvlJc w:val="left"/>
      <w:pPr>
        <w:ind w:left="2880" w:hanging="360"/>
      </w:pPr>
    </w:lvl>
    <w:lvl w:ilvl="4" w:tplc="F1526392">
      <w:start w:val="1"/>
      <w:numFmt w:val="lowerLetter"/>
      <w:lvlText w:val="%5."/>
      <w:lvlJc w:val="left"/>
      <w:pPr>
        <w:ind w:left="3600" w:hanging="360"/>
      </w:pPr>
    </w:lvl>
    <w:lvl w:ilvl="5" w:tplc="5F8E694C">
      <w:start w:val="1"/>
      <w:numFmt w:val="lowerRoman"/>
      <w:lvlText w:val="%6."/>
      <w:lvlJc w:val="right"/>
      <w:pPr>
        <w:ind w:left="4320" w:hanging="180"/>
      </w:pPr>
    </w:lvl>
    <w:lvl w:ilvl="6" w:tplc="F18625D6">
      <w:start w:val="1"/>
      <w:numFmt w:val="decimal"/>
      <w:lvlText w:val="%7."/>
      <w:lvlJc w:val="left"/>
      <w:pPr>
        <w:ind w:left="5040" w:hanging="360"/>
      </w:pPr>
    </w:lvl>
    <w:lvl w:ilvl="7" w:tplc="F11A0C82">
      <w:start w:val="1"/>
      <w:numFmt w:val="lowerLetter"/>
      <w:lvlText w:val="%8."/>
      <w:lvlJc w:val="left"/>
      <w:pPr>
        <w:ind w:left="5760" w:hanging="360"/>
      </w:pPr>
    </w:lvl>
    <w:lvl w:ilvl="8" w:tplc="57E2F82A">
      <w:start w:val="1"/>
      <w:numFmt w:val="lowerRoman"/>
      <w:lvlText w:val="%9."/>
      <w:lvlJc w:val="right"/>
      <w:pPr>
        <w:ind w:left="6480" w:hanging="180"/>
      </w:pPr>
    </w:lvl>
  </w:abstractNum>
  <w:abstractNum w:abstractNumId="54" w15:restartNumberingAfterBreak="0">
    <w:nsid w:val="67AB63FE"/>
    <w:multiLevelType w:val="hybridMultilevel"/>
    <w:tmpl w:val="FF0C1E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68B70991"/>
    <w:multiLevelType w:val="multilevel"/>
    <w:tmpl w:val="222A08B4"/>
    <w:numStyleLink w:val="ListCBD"/>
  </w:abstractNum>
  <w:abstractNum w:abstractNumId="56" w15:restartNumberingAfterBreak="0">
    <w:nsid w:val="6C748D5E"/>
    <w:multiLevelType w:val="hybridMultilevel"/>
    <w:tmpl w:val="11E00438"/>
    <w:lvl w:ilvl="0" w:tplc="55A63AF4">
      <w:start w:val="1"/>
      <w:numFmt w:val="bullet"/>
      <w:lvlText w:val=""/>
      <w:lvlJc w:val="left"/>
      <w:pPr>
        <w:ind w:left="720" w:hanging="360"/>
      </w:pPr>
      <w:rPr>
        <w:rFonts w:ascii="Symbol" w:hAnsi="Symbol" w:hint="default"/>
      </w:rPr>
    </w:lvl>
    <w:lvl w:ilvl="1" w:tplc="120CD5F4">
      <w:start w:val="1"/>
      <w:numFmt w:val="bullet"/>
      <w:lvlText w:val="o"/>
      <w:lvlJc w:val="left"/>
      <w:pPr>
        <w:ind w:left="1440" w:hanging="360"/>
      </w:pPr>
      <w:rPr>
        <w:rFonts w:ascii="Courier New" w:hAnsi="Courier New" w:hint="default"/>
      </w:rPr>
    </w:lvl>
    <w:lvl w:ilvl="2" w:tplc="9D6A66DE">
      <w:start w:val="1"/>
      <w:numFmt w:val="bullet"/>
      <w:lvlText w:val=""/>
      <w:lvlJc w:val="left"/>
      <w:pPr>
        <w:ind w:left="2160" w:hanging="360"/>
      </w:pPr>
      <w:rPr>
        <w:rFonts w:ascii="Wingdings" w:hAnsi="Wingdings" w:hint="default"/>
      </w:rPr>
    </w:lvl>
    <w:lvl w:ilvl="3" w:tplc="B7D2A48C">
      <w:start w:val="1"/>
      <w:numFmt w:val="bullet"/>
      <w:lvlText w:val=""/>
      <w:lvlJc w:val="left"/>
      <w:pPr>
        <w:ind w:left="2880" w:hanging="360"/>
      </w:pPr>
      <w:rPr>
        <w:rFonts w:ascii="Symbol" w:hAnsi="Symbol" w:hint="default"/>
      </w:rPr>
    </w:lvl>
    <w:lvl w:ilvl="4" w:tplc="2C30861A">
      <w:start w:val="1"/>
      <w:numFmt w:val="bullet"/>
      <w:lvlText w:val="o"/>
      <w:lvlJc w:val="left"/>
      <w:pPr>
        <w:ind w:left="3600" w:hanging="360"/>
      </w:pPr>
      <w:rPr>
        <w:rFonts w:ascii="Courier New" w:hAnsi="Courier New" w:hint="default"/>
      </w:rPr>
    </w:lvl>
    <w:lvl w:ilvl="5" w:tplc="FA32E37A">
      <w:start w:val="1"/>
      <w:numFmt w:val="bullet"/>
      <w:lvlText w:val=""/>
      <w:lvlJc w:val="left"/>
      <w:pPr>
        <w:ind w:left="4320" w:hanging="360"/>
      </w:pPr>
      <w:rPr>
        <w:rFonts w:ascii="Wingdings" w:hAnsi="Wingdings" w:hint="default"/>
      </w:rPr>
    </w:lvl>
    <w:lvl w:ilvl="6" w:tplc="84BC92EE">
      <w:start w:val="1"/>
      <w:numFmt w:val="bullet"/>
      <w:lvlText w:val=""/>
      <w:lvlJc w:val="left"/>
      <w:pPr>
        <w:ind w:left="5040" w:hanging="360"/>
      </w:pPr>
      <w:rPr>
        <w:rFonts w:ascii="Symbol" w:hAnsi="Symbol" w:hint="default"/>
      </w:rPr>
    </w:lvl>
    <w:lvl w:ilvl="7" w:tplc="519E7960">
      <w:start w:val="1"/>
      <w:numFmt w:val="bullet"/>
      <w:lvlText w:val="o"/>
      <w:lvlJc w:val="left"/>
      <w:pPr>
        <w:ind w:left="5760" w:hanging="360"/>
      </w:pPr>
      <w:rPr>
        <w:rFonts w:ascii="Courier New" w:hAnsi="Courier New" w:hint="default"/>
      </w:rPr>
    </w:lvl>
    <w:lvl w:ilvl="8" w:tplc="D7EE71D4">
      <w:start w:val="1"/>
      <w:numFmt w:val="bullet"/>
      <w:lvlText w:val=""/>
      <w:lvlJc w:val="left"/>
      <w:pPr>
        <w:ind w:left="6480" w:hanging="360"/>
      </w:pPr>
      <w:rPr>
        <w:rFonts w:ascii="Wingdings" w:hAnsi="Wingdings" w:hint="default"/>
      </w:rPr>
    </w:lvl>
  </w:abstractNum>
  <w:abstractNum w:abstractNumId="5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9" w15:restartNumberingAfterBreak="0">
    <w:nsid w:val="73316F86"/>
    <w:multiLevelType w:val="hybridMultilevel"/>
    <w:tmpl w:val="48F07F1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73913F7C"/>
    <w:multiLevelType w:val="hybridMultilevel"/>
    <w:tmpl w:val="D688D0E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2"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19887673">
    <w:abstractNumId w:val="56"/>
  </w:num>
  <w:num w:numId="2" w16cid:durableId="1766339517">
    <w:abstractNumId w:val="38"/>
  </w:num>
  <w:num w:numId="3" w16cid:durableId="1565406150">
    <w:abstractNumId w:val="55"/>
  </w:num>
  <w:num w:numId="4" w16cid:durableId="761947502">
    <w:abstractNumId w:val="61"/>
  </w:num>
  <w:num w:numId="5" w16cid:durableId="1824348708">
    <w:abstractNumId w:val="23"/>
  </w:num>
  <w:num w:numId="6" w16cid:durableId="469713580">
    <w:abstractNumId w:val="24"/>
  </w:num>
  <w:num w:numId="7" w16cid:durableId="2082480270">
    <w:abstractNumId w:val="24"/>
  </w:num>
  <w:num w:numId="8" w16cid:durableId="1698194818">
    <w:abstractNumId w:val="27"/>
  </w:num>
  <w:num w:numId="9" w16cid:durableId="1456437353">
    <w:abstractNumId w:val="47"/>
  </w:num>
  <w:num w:numId="10" w16cid:durableId="1742289593">
    <w:abstractNumId w:val="52"/>
  </w:num>
  <w:num w:numId="11" w16cid:durableId="1158762975">
    <w:abstractNumId w:val="50"/>
  </w:num>
  <w:num w:numId="12" w16cid:durableId="2085712370">
    <w:abstractNumId w:val="44"/>
  </w:num>
  <w:num w:numId="13" w16cid:durableId="1629699520">
    <w:abstractNumId w:val="26"/>
  </w:num>
  <w:num w:numId="14" w16cid:durableId="978538308">
    <w:abstractNumId w:val="26"/>
    <w:lvlOverride w:ilvl="0">
      <w:startOverride w:val="1"/>
    </w:lvlOverride>
  </w:num>
  <w:num w:numId="15" w16cid:durableId="2131895960">
    <w:abstractNumId w:val="49"/>
  </w:num>
  <w:num w:numId="16" w16cid:durableId="233321036">
    <w:abstractNumId w:val="49"/>
    <w:lvlOverride w:ilvl="0">
      <w:startOverride w:val="1"/>
    </w:lvlOverride>
  </w:num>
  <w:num w:numId="17" w16cid:durableId="1242567887">
    <w:abstractNumId w:val="55"/>
    <w:lvlOverride w:ilvl="0">
      <w:startOverride w:val="1"/>
    </w:lvlOverride>
  </w:num>
  <w:num w:numId="18" w16cid:durableId="190654588">
    <w:abstractNumId w:val="49"/>
    <w:lvlOverride w:ilvl="0">
      <w:startOverride w:val="1"/>
    </w:lvlOverride>
  </w:num>
  <w:num w:numId="19" w16cid:durableId="2004162797">
    <w:abstractNumId w:val="62"/>
  </w:num>
  <w:num w:numId="20" w16cid:durableId="1677489672">
    <w:abstractNumId w:val="55"/>
    <w:lvlOverride w:ilvl="0">
      <w:startOverride w:val="1"/>
    </w:lvlOverride>
  </w:num>
  <w:num w:numId="21" w16cid:durableId="340787993">
    <w:abstractNumId w:val="55"/>
    <w:lvlOverride w:ilvl="0">
      <w:startOverride w:val="1"/>
    </w:lvlOverride>
  </w:num>
  <w:num w:numId="22" w16cid:durableId="620961160">
    <w:abstractNumId w:val="41"/>
  </w:num>
  <w:num w:numId="23" w16cid:durableId="26564829">
    <w:abstractNumId w:val="55"/>
  </w:num>
  <w:num w:numId="24" w16cid:durableId="252320248">
    <w:abstractNumId w:val="55"/>
  </w:num>
  <w:num w:numId="25" w16cid:durableId="1418213696">
    <w:abstractNumId w:val="55"/>
  </w:num>
  <w:num w:numId="26" w16cid:durableId="1278173624">
    <w:abstractNumId w:val="55"/>
  </w:num>
  <w:num w:numId="27" w16cid:durableId="1149175849">
    <w:abstractNumId w:val="55"/>
  </w:num>
  <w:num w:numId="28" w16cid:durableId="995573935">
    <w:abstractNumId w:val="55"/>
  </w:num>
  <w:num w:numId="29" w16cid:durableId="1701931117">
    <w:abstractNumId w:val="55"/>
  </w:num>
  <w:num w:numId="30" w16cid:durableId="1141071216">
    <w:abstractNumId w:val="21"/>
  </w:num>
  <w:num w:numId="31" w16cid:durableId="1773889171">
    <w:abstractNumId w:val="53"/>
  </w:num>
  <w:num w:numId="32" w16cid:durableId="674305889">
    <w:abstractNumId w:val="55"/>
  </w:num>
  <w:num w:numId="33" w16cid:durableId="1644430203">
    <w:abstractNumId w:val="55"/>
  </w:num>
  <w:num w:numId="34" w16cid:durableId="1064987776">
    <w:abstractNumId w:val="22"/>
  </w:num>
  <w:num w:numId="35" w16cid:durableId="238953655">
    <w:abstractNumId w:val="28"/>
  </w:num>
  <w:num w:numId="36" w16cid:durableId="1349016667">
    <w:abstractNumId w:val="33"/>
  </w:num>
  <w:num w:numId="37" w16cid:durableId="359664821">
    <w:abstractNumId w:val="39"/>
  </w:num>
  <w:num w:numId="38" w16cid:durableId="1839731318">
    <w:abstractNumId w:val="59"/>
  </w:num>
  <w:num w:numId="39" w16cid:durableId="1244485641">
    <w:abstractNumId w:val="30"/>
  </w:num>
  <w:num w:numId="40" w16cid:durableId="931815776">
    <w:abstractNumId w:val="54"/>
  </w:num>
  <w:num w:numId="41" w16cid:durableId="838883908">
    <w:abstractNumId w:val="36"/>
  </w:num>
  <w:num w:numId="42" w16cid:durableId="744574695">
    <w:abstractNumId w:val="40"/>
  </w:num>
  <w:num w:numId="43" w16cid:durableId="1721510984">
    <w:abstractNumId w:val="60"/>
  </w:num>
  <w:num w:numId="44" w16cid:durableId="319967112">
    <w:abstractNumId w:val="51"/>
  </w:num>
  <w:num w:numId="45" w16cid:durableId="1699744348">
    <w:abstractNumId w:val="25"/>
  </w:num>
  <w:num w:numId="46" w16cid:durableId="1941059293">
    <w:abstractNumId w:val="15"/>
  </w:num>
  <w:num w:numId="47" w16cid:durableId="560672902">
    <w:abstractNumId w:val="14"/>
  </w:num>
  <w:num w:numId="48" w16cid:durableId="1072390599">
    <w:abstractNumId w:val="58"/>
  </w:num>
  <w:num w:numId="49" w16cid:durableId="1933662228">
    <w:abstractNumId w:val="34"/>
  </w:num>
  <w:num w:numId="50" w16cid:durableId="1991909117">
    <w:abstractNumId w:val="11"/>
  </w:num>
  <w:num w:numId="51" w16cid:durableId="1138956019">
    <w:abstractNumId w:val="19"/>
  </w:num>
  <w:num w:numId="52" w16cid:durableId="607395260">
    <w:abstractNumId w:val="9"/>
  </w:num>
  <w:num w:numId="53" w16cid:durableId="98110136">
    <w:abstractNumId w:val="7"/>
  </w:num>
  <w:num w:numId="54" w16cid:durableId="920676582">
    <w:abstractNumId w:val="6"/>
  </w:num>
  <w:num w:numId="55" w16cid:durableId="447286378">
    <w:abstractNumId w:val="5"/>
  </w:num>
  <w:num w:numId="56" w16cid:durableId="1532258362">
    <w:abstractNumId w:val="4"/>
  </w:num>
  <w:num w:numId="57" w16cid:durableId="1587106058">
    <w:abstractNumId w:val="8"/>
  </w:num>
  <w:num w:numId="58" w16cid:durableId="1646355732">
    <w:abstractNumId w:val="3"/>
  </w:num>
  <w:num w:numId="59" w16cid:durableId="2006930253">
    <w:abstractNumId w:val="2"/>
  </w:num>
  <w:num w:numId="60" w16cid:durableId="1811677887">
    <w:abstractNumId w:val="1"/>
  </w:num>
  <w:num w:numId="61" w16cid:durableId="537353487">
    <w:abstractNumId w:val="0"/>
  </w:num>
  <w:num w:numId="62" w16cid:durableId="1865050652">
    <w:abstractNumId w:val="43"/>
  </w:num>
  <w:num w:numId="63" w16cid:durableId="80179172">
    <w:abstractNumId w:val="46"/>
  </w:num>
  <w:num w:numId="64" w16cid:durableId="20679887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771076976">
    <w:abstractNumId w:val="16"/>
  </w:num>
  <w:num w:numId="66" w16cid:durableId="939752621">
    <w:abstractNumId w:val="42"/>
  </w:num>
  <w:num w:numId="67" w16cid:durableId="915044361">
    <w:abstractNumId w:val="35"/>
  </w:num>
  <w:num w:numId="68" w16cid:durableId="855196379">
    <w:abstractNumId w:val="18"/>
  </w:num>
  <w:num w:numId="69" w16cid:durableId="14668533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801917413">
    <w:abstractNumId w:val="20"/>
  </w:num>
  <w:num w:numId="71" w16cid:durableId="708722651">
    <w:abstractNumId w:val="10"/>
  </w:num>
  <w:num w:numId="72" w16cid:durableId="213641244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96523128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48112374">
    <w:abstractNumId w:val="12"/>
  </w:num>
  <w:num w:numId="75" w16cid:durableId="1607615596">
    <w:abstractNumId w:val="29"/>
  </w:num>
  <w:num w:numId="76" w16cid:durableId="643118139">
    <w:abstractNumId w:val="29"/>
    <w:lvlOverride w:ilvl="0">
      <w:startOverride w:val="1"/>
    </w:lvlOverride>
  </w:num>
  <w:num w:numId="77" w16cid:durableId="820851909">
    <w:abstractNumId w:val="29"/>
    <w:lvlOverride w:ilvl="0">
      <w:startOverride w:val="1"/>
    </w:lvlOverride>
  </w:num>
  <w:num w:numId="78" w16cid:durableId="709648587">
    <w:abstractNumId w:val="29"/>
    <w:lvlOverride w:ilvl="0">
      <w:startOverride w:val="1"/>
    </w:lvlOverride>
  </w:num>
  <w:num w:numId="79" w16cid:durableId="1353799543">
    <w:abstractNumId w:val="32"/>
  </w:num>
  <w:num w:numId="80" w16cid:durableId="1570270110">
    <w:abstractNumId w:val="45"/>
  </w:num>
  <w:num w:numId="81" w16cid:durableId="2125995167">
    <w:abstractNumId w:val="37"/>
  </w:num>
  <w:num w:numId="82" w16cid:durableId="893932166">
    <w:abstractNumId w:val="57"/>
  </w:num>
  <w:num w:numId="83" w16cid:durableId="1627851340">
    <w:abstractNumId w:val="31"/>
  </w:num>
  <w:num w:numId="84" w16cid:durableId="1945532808">
    <w:abstractNumId w:val="17"/>
  </w:num>
  <w:num w:numId="85" w16cid:durableId="68447852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6027644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70321362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906494965">
    <w:abstractNumId w:val="13"/>
  </w:num>
  <w:num w:numId="8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323945383">
    <w:abstractNumId w:val="48"/>
  </w:num>
  <w:num w:numId="92" w16cid:durableId="922953380">
    <w:abstractNumId w:val="8"/>
  </w:num>
  <w:num w:numId="93" w16cid:durableId="585847240">
    <w:abstractNumId w:val="3"/>
  </w:num>
  <w:num w:numId="94" w16cid:durableId="1379932238">
    <w:abstractNumId w:val="2"/>
  </w:num>
  <w:num w:numId="95" w16cid:durableId="608658393">
    <w:abstractNumId w:val="1"/>
  </w:num>
  <w:num w:numId="96" w16cid:durableId="1816797887">
    <w:abstractNumId w:val="0"/>
  </w:num>
  <w:num w:numId="97" w16cid:durableId="1778980620">
    <w:abstractNumId w:val="48"/>
  </w:num>
  <w:num w:numId="98" w16cid:durableId="1153640206">
    <w:abstractNumId w:val="48"/>
  </w:num>
  <w:num w:numId="99" w16cid:durableId="174152758">
    <w:abstractNumId w:val="48"/>
  </w:num>
  <w:num w:numId="100" w16cid:durableId="424378014">
    <w:abstractNumId w:val="48"/>
  </w:num>
  <w:num w:numId="101" w16cid:durableId="331224913">
    <w:abstractNumId w:val="48"/>
  </w:num>
  <w:num w:numId="102" w16cid:durableId="458259226">
    <w:abstractNumId w:val="48"/>
  </w:num>
  <w:num w:numId="103" w16cid:durableId="1837837023">
    <w:abstractNumId w:val="48"/>
  </w:num>
  <w:num w:numId="104" w16cid:durableId="975909104">
    <w:abstractNumId w:val="48"/>
  </w:num>
  <w:num w:numId="105" w16cid:durableId="1133795159">
    <w:abstractNumId w:val="48"/>
  </w:num>
  <w:num w:numId="106" w16cid:durableId="1509175551">
    <w:abstractNumId w:val="48"/>
  </w:num>
  <w:num w:numId="107" w16cid:durableId="636682974">
    <w:abstractNumId w:val="48"/>
  </w:num>
  <w:num w:numId="108" w16cid:durableId="1408648861">
    <w:abstractNumId w:val="48"/>
  </w:num>
  <w:num w:numId="109" w16cid:durableId="1984457910">
    <w:abstractNumId w:val="48"/>
  </w:num>
  <w:num w:numId="110" w16cid:durableId="1762724208">
    <w:abstractNumId w:val="48"/>
  </w:num>
  <w:num w:numId="111" w16cid:durableId="301497454">
    <w:abstractNumId w:val="48"/>
  </w:num>
  <w:num w:numId="112" w16cid:durableId="1751809134">
    <w:abstractNumId w:val="48"/>
  </w:num>
  <w:num w:numId="113" w16cid:durableId="2064669266">
    <w:abstractNumId w:val="48"/>
  </w:num>
  <w:num w:numId="114" w16cid:durableId="605774907">
    <w:abstractNumId w:val="48"/>
  </w:num>
  <w:num w:numId="115" w16cid:durableId="873157510">
    <w:abstractNumId w:val="48"/>
  </w:num>
  <w:num w:numId="116" w16cid:durableId="1680886121">
    <w:abstractNumId w:val="48"/>
  </w:num>
  <w:num w:numId="117" w16cid:durableId="429087363">
    <w:abstractNumId w:val="48"/>
  </w:num>
  <w:num w:numId="118" w16cid:durableId="610554649">
    <w:abstractNumId w:val="48"/>
  </w:num>
  <w:num w:numId="119" w16cid:durableId="1765611408">
    <w:abstractNumId w:val="48"/>
  </w:num>
  <w:num w:numId="120" w16cid:durableId="1320845054">
    <w:abstractNumId w:val="48"/>
  </w:num>
  <w:num w:numId="121" w16cid:durableId="1315181158">
    <w:abstractNumId w:val="48"/>
  </w:num>
  <w:num w:numId="122" w16cid:durableId="1451825218">
    <w:abstractNumId w:val="48"/>
  </w:num>
  <w:num w:numId="123" w16cid:durableId="845167335">
    <w:abstractNumId w:val="48"/>
  </w:num>
  <w:num w:numId="124" w16cid:durableId="679046047">
    <w:abstractNumId w:val="48"/>
  </w:num>
  <w:num w:numId="125" w16cid:durableId="45028642">
    <w:abstractNumId w:val="48"/>
  </w:num>
  <w:num w:numId="126" w16cid:durableId="1961762923">
    <w:abstractNumId w:val="48"/>
  </w:num>
  <w:num w:numId="127" w16cid:durableId="1247322">
    <w:abstractNumId w:val="48"/>
  </w:num>
  <w:num w:numId="128" w16cid:durableId="855924012">
    <w:abstractNumId w:val="48"/>
  </w:num>
  <w:num w:numId="129" w16cid:durableId="2135907722">
    <w:abstractNumId w:val="48"/>
  </w:num>
  <w:num w:numId="130" w16cid:durableId="1575117000">
    <w:abstractNumId w:val="48"/>
  </w:num>
  <w:num w:numId="131" w16cid:durableId="1527257843">
    <w:abstractNumId w:val="48"/>
  </w:num>
  <w:num w:numId="132" w16cid:durableId="58791852">
    <w:abstractNumId w:val="48"/>
  </w:num>
  <w:num w:numId="133" w16cid:durableId="881866151">
    <w:abstractNumId w:val="48"/>
  </w:num>
  <w:num w:numId="134" w16cid:durableId="344527495">
    <w:abstractNumId w:val="48"/>
  </w:num>
  <w:num w:numId="135" w16cid:durableId="1591163333">
    <w:abstractNumId w:val="48"/>
  </w:num>
  <w:num w:numId="136" w16cid:durableId="1658681090">
    <w:abstractNumId w:val="48"/>
  </w:num>
  <w:num w:numId="137" w16cid:durableId="1474561884">
    <w:abstractNumId w:val="48"/>
  </w:num>
  <w:num w:numId="138" w16cid:durableId="1400329338">
    <w:abstractNumId w:val="48"/>
  </w:num>
  <w:num w:numId="139" w16cid:durableId="133565148">
    <w:abstractNumId w:val="48"/>
  </w:num>
  <w:num w:numId="140" w16cid:durableId="17436427">
    <w:abstractNumId w:val="48"/>
  </w:num>
  <w:num w:numId="141" w16cid:durableId="1897737597">
    <w:abstractNumId w:val="48"/>
  </w:num>
  <w:num w:numId="142" w16cid:durableId="469059985">
    <w:abstractNumId w:val="48"/>
  </w:num>
  <w:num w:numId="143" w16cid:durableId="37094738">
    <w:abstractNumId w:val="48"/>
  </w:num>
  <w:num w:numId="144" w16cid:durableId="358437782">
    <w:abstractNumId w:val="48"/>
  </w:num>
  <w:num w:numId="145" w16cid:durableId="63650960">
    <w:abstractNumId w:val="48"/>
  </w:num>
  <w:num w:numId="146" w16cid:durableId="37433924">
    <w:abstractNumId w:val="48"/>
  </w:num>
  <w:num w:numId="147" w16cid:durableId="741176688">
    <w:abstractNumId w:val="48"/>
  </w:num>
  <w:num w:numId="148" w16cid:durableId="843516921">
    <w:abstractNumId w:val="48"/>
  </w:num>
  <w:num w:numId="149" w16cid:durableId="1379747038">
    <w:abstractNumId w:val="48"/>
  </w:num>
  <w:num w:numId="150" w16cid:durableId="1820655750">
    <w:abstractNumId w:val="48"/>
  </w:num>
  <w:num w:numId="151" w16cid:durableId="233705704">
    <w:abstractNumId w:val="48"/>
  </w:num>
  <w:num w:numId="152" w16cid:durableId="1554731768">
    <w:abstractNumId w:val="48"/>
  </w:num>
  <w:num w:numId="153" w16cid:durableId="243956755">
    <w:abstractNumId w:val="4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4" w16cid:durableId="205353504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25389937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214696724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59890370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84925432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52672088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112454291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64562589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20290865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174968855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160769437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32084445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755394631">
    <w:abstractNumId w:val="48"/>
  </w:num>
  <w:num w:numId="167" w16cid:durableId="73180543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1671909441">
    <w:abstractNumId w:val="3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32C4"/>
    <w:rsid w:val="000040C3"/>
    <w:rsid w:val="00004C49"/>
    <w:rsid w:val="00004EB5"/>
    <w:rsid w:val="000051C7"/>
    <w:rsid w:val="00005953"/>
    <w:rsid w:val="00005BB6"/>
    <w:rsid w:val="00006BD4"/>
    <w:rsid w:val="00006FD5"/>
    <w:rsid w:val="000100D1"/>
    <w:rsid w:val="00010307"/>
    <w:rsid w:val="000112BC"/>
    <w:rsid w:val="000118A2"/>
    <w:rsid w:val="00011A69"/>
    <w:rsid w:val="00011F76"/>
    <w:rsid w:val="000139CF"/>
    <w:rsid w:val="000149E5"/>
    <w:rsid w:val="00014FAA"/>
    <w:rsid w:val="0001576F"/>
    <w:rsid w:val="00016021"/>
    <w:rsid w:val="00016428"/>
    <w:rsid w:val="00016D64"/>
    <w:rsid w:val="00017E9A"/>
    <w:rsid w:val="000200B3"/>
    <w:rsid w:val="00020DF7"/>
    <w:rsid w:val="00022181"/>
    <w:rsid w:val="0002299E"/>
    <w:rsid w:val="00022AC2"/>
    <w:rsid w:val="00022C68"/>
    <w:rsid w:val="00023190"/>
    <w:rsid w:val="000236DB"/>
    <w:rsid w:val="00023E4E"/>
    <w:rsid w:val="00024131"/>
    <w:rsid w:val="00025C0E"/>
    <w:rsid w:val="0002689B"/>
    <w:rsid w:val="000275E3"/>
    <w:rsid w:val="00031A28"/>
    <w:rsid w:val="000322FD"/>
    <w:rsid w:val="0003242F"/>
    <w:rsid w:val="00033222"/>
    <w:rsid w:val="000333D9"/>
    <w:rsid w:val="000336A7"/>
    <w:rsid w:val="000339DA"/>
    <w:rsid w:val="00033D01"/>
    <w:rsid w:val="000340C7"/>
    <w:rsid w:val="0003452B"/>
    <w:rsid w:val="00035746"/>
    <w:rsid w:val="00035AE3"/>
    <w:rsid w:val="00035F4B"/>
    <w:rsid w:val="00036463"/>
    <w:rsid w:val="00036BA0"/>
    <w:rsid w:val="0003718F"/>
    <w:rsid w:val="000372EE"/>
    <w:rsid w:val="000379C2"/>
    <w:rsid w:val="00037BF2"/>
    <w:rsid w:val="00037F8D"/>
    <w:rsid w:val="00040598"/>
    <w:rsid w:val="000409BD"/>
    <w:rsid w:val="00041F1E"/>
    <w:rsid w:val="00042732"/>
    <w:rsid w:val="000428EB"/>
    <w:rsid w:val="00042960"/>
    <w:rsid w:val="00043899"/>
    <w:rsid w:val="00043AC3"/>
    <w:rsid w:val="00044356"/>
    <w:rsid w:val="00046CF7"/>
    <w:rsid w:val="00046F3C"/>
    <w:rsid w:val="00050D4A"/>
    <w:rsid w:val="00051451"/>
    <w:rsid w:val="000515D6"/>
    <w:rsid w:val="000515DB"/>
    <w:rsid w:val="00052195"/>
    <w:rsid w:val="00052F01"/>
    <w:rsid w:val="00054446"/>
    <w:rsid w:val="00054557"/>
    <w:rsid w:val="00054957"/>
    <w:rsid w:val="000558EA"/>
    <w:rsid w:val="00055D20"/>
    <w:rsid w:val="000578DB"/>
    <w:rsid w:val="00060CDD"/>
    <w:rsid w:val="000611C1"/>
    <w:rsid w:val="000611EE"/>
    <w:rsid w:val="00062101"/>
    <w:rsid w:val="000621B1"/>
    <w:rsid w:val="00062730"/>
    <w:rsid w:val="0006316B"/>
    <w:rsid w:val="00063748"/>
    <w:rsid w:val="00063AC9"/>
    <w:rsid w:val="00063C88"/>
    <w:rsid w:val="00064EA8"/>
    <w:rsid w:val="00065340"/>
    <w:rsid w:val="00065A81"/>
    <w:rsid w:val="00065E3F"/>
    <w:rsid w:val="000667B3"/>
    <w:rsid w:val="00066BB3"/>
    <w:rsid w:val="000675BA"/>
    <w:rsid w:val="00067686"/>
    <w:rsid w:val="00067FCE"/>
    <w:rsid w:val="00071A10"/>
    <w:rsid w:val="00072055"/>
    <w:rsid w:val="000724B2"/>
    <w:rsid w:val="000732EE"/>
    <w:rsid w:val="000739B1"/>
    <w:rsid w:val="00073DB6"/>
    <w:rsid w:val="00074498"/>
    <w:rsid w:val="000748E0"/>
    <w:rsid w:val="000753F2"/>
    <w:rsid w:val="00076226"/>
    <w:rsid w:val="00077145"/>
    <w:rsid w:val="000804CD"/>
    <w:rsid w:val="0008196E"/>
    <w:rsid w:val="000822B2"/>
    <w:rsid w:val="000831F1"/>
    <w:rsid w:val="00083B3C"/>
    <w:rsid w:val="00083EB6"/>
    <w:rsid w:val="00083ED5"/>
    <w:rsid w:val="00084338"/>
    <w:rsid w:val="000855BE"/>
    <w:rsid w:val="00085E95"/>
    <w:rsid w:val="0008634E"/>
    <w:rsid w:val="0008767C"/>
    <w:rsid w:val="000904CF"/>
    <w:rsid w:val="00090939"/>
    <w:rsid w:val="00090AD3"/>
    <w:rsid w:val="00091162"/>
    <w:rsid w:val="0009201A"/>
    <w:rsid w:val="00093CE4"/>
    <w:rsid w:val="00093F29"/>
    <w:rsid w:val="000957B1"/>
    <w:rsid w:val="00096093"/>
    <w:rsid w:val="0009622A"/>
    <w:rsid w:val="00096584"/>
    <w:rsid w:val="00096ED6"/>
    <w:rsid w:val="000A27A8"/>
    <w:rsid w:val="000A317E"/>
    <w:rsid w:val="000A3669"/>
    <w:rsid w:val="000A4394"/>
    <w:rsid w:val="000A4558"/>
    <w:rsid w:val="000A47F2"/>
    <w:rsid w:val="000A4A0F"/>
    <w:rsid w:val="000A5E72"/>
    <w:rsid w:val="000A655A"/>
    <w:rsid w:val="000A6A8B"/>
    <w:rsid w:val="000A6FD5"/>
    <w:rsid w:val="000B090C"/>
    <w:rsid w:val="000B18A7"/>
    <w:rsid w:val="000B1959"/>
    <w:rsid w:val="000B1FCF"/>
    <w:rsid w:val="000B3A04"/>
    <w:rsid w:val="000B4374"/>
    <w:rsid w:val="000B50D0"/>
    <w:rsid w:val="000B66C5"/>
    <w:rsid w:val="000B683F"/>
    <w:rsid w:val="000B6D46"/>
    <w:rsid w:val="000B76A3"/>
    <w:rsid w:val="000B7ECB"/>
    <w:rsid w:val="000C036D"/>
    <w:rsid w:val="000C173C"/>
    <w:rsid w:val="000C18AC"/>
    <w:rsid w:val="000C1A45"/>
    <w:rsid w:val="000C1C2E"/>
    <w:rsid w:val="000C38D1"/>
    <w:rsid w:val="000C4266"/>
    <w:rsid w:val="000C45FE"/>
    <w:rsid w:val="000C4BBE"/>
    <w:rsid w:val="000C4D38"/>
    <w:rsid w:val="000C57F5"/>
    <w:rsid w:val="000C6DA3"/>
    <w:rsid w:val="000C708D"/>
    <w:rsid w:val="000C7112"/>
    <w:rsid w:val="000C74DE"/>
    <w:rsid w:val="000C7C51"/>
    <w:rsid w:val="000D02D2"/>
    <w:rsid w:val="000D063C"/>
    <w:rsid w:val="000D19EA"/>
    <w:rsid w:val="000D1CDD"/>
    <w:rsid w:val="000D1DEE"/>
    <w:rsid w:val="000D1E4E"/>
    <w:rsid w:val="000D286A"/>
    <w:rsid w:val="000D3043"/>
    <w:rsid w:val="000D37BE"/>
    <w:rsid w:val="000D3812"/>
    <w:rsid w:val="000D3EFB"/>
    <w:rsid w:val="000D4355"/>
    <w:rsid w:val="000D43FF"/>
    <w:rsid w:val="000D5769"/>
    <w:rsid w:val="000D5D80"/>
    <w:rsid w:val="000D62AB"/>
    <w:rsid w:val="000D7CCD"/>
    <w:rsid w:val="000D7D9C"/>
    <w:rsid w:val="000E02B3"/>
    <w:rsid w:val="000E0BFF"/>
    <w:rsid w:val="000E0C2C"/>
    <w:rsid w:val="000E0E97"/>
    <w:rsid w:val="000E2DE5"/>
    <w:rsid w:val="000E34C2"/>
    <w:rsid w:val="000E40F6"/>
    <w:rsid w:val="000E4324"/>
    <w:rsid w:val="000E44D9"/>
    <w:rsid w:val="000E4F41"/>
    <w:rsid w:val="000E7116"/>
    <w:rsid w:val="000E7343"/>
    <w:rsid w:val="000F03AA"/>
    <w:rsid w:val="000F0E11"/>
    <w:rsid w:val="000F155E"/>
    <w:rsid w:val="000F1953"/>
    <w:rsid w:val="000F195E"/>
    <w:rsid w:val="000F28F9"/>
    <w:rsid w:val="000F30B5"/>
    <w:rsid w:val="000F3B71"/>
    <w:rsid w:val="000F6E80"/>
    <w:rsid w:val="000F72B6"/>
    <w:rsid w:val="0010016B"/>
    <w:rsid w:val="001006BB"/>
    <w:rsid w:val="00101241"/>
    <w:rsid w:val="00101DD7"/>
    <w:rsid w:val="00101E0A"/>
    <w:rsid w:val="00102411"/>
    <w:rsid w:val="001031DF"/>
    <w:rsid w:val="00103FC4"/>
    <w:rsid w:val="001045DD"/>
    <w:rsid w:val="00104620"/>
    <w:rsid w:val="00104695"/>
    <w:rsid w:val="00105304"/>
    <w:rsid w:val="0010590D"/>
    <w:rsid w:val="001060C3"/>
    <w:rsid w:val="00106701"/>
    <w:rsid w:val="001102E5"/>
    <w:rsid w:val="001111EA"/>
    <w:rsid w:val="00116895"/>
    <w:rsid w:val="001168C4"/>
    <w:rsid w:val="00117288"/>
    <w:rsid w:val="0012005E"/>
    <w:rsid w:val="001202EB"/>
    <w:rsid w:val="00121354"/>
    <w:rsid w:val="001215BE"/>
    <w:rsid w:val="00122460"/>
    <w:rsid w:val="00123443"/>
    <w:rsid w:val="0012401B"/>
    <w:rsid w:val="001244B7"/>
    <w:rsid w:val="00125422"/>
    <w:rsid w:val="00125F32"/>
    <w:rsid w:val="00126E42"/>
    <w:rsid w:val="0013066F"/>
    <w:rsid w:val="00130954"/>
    <w:rsid w:val="0013151C"/>
    <w:rsid w:val="00131A25"/>
    <w:rsid w:val="00132581"/>
    <w:rsid w:val="0013271F"/>
    <w:rsid w:val="00133B46"/>
    <w:rsid w:val="00134284"/>
    <w:rsid w:val="001358DB"/>
    <w:rsid w:val="001362CB"/>
    <w:rsid w:val="00136CB5"/>
    <w:rsid w:val="00136CE1"/>
    <w:rsid w:val="00136EC5"/>
    <w:rsid w:val="00137F04"/>
    <w:rsid w:val="001403E4"/>
    <w:rsid w:val="00143840"/>
    <w:rsid w:val="00144946"/>
    <w:rsid w:val="001449AE"/>
    <w:rsid w:val="00146261"/>
    <w:rsid w:val="00146654"/>
    <w:rsid w:val="00146903"/>
    <w:rsid w:val="001469AA"/>
    <w:rsid w:val="00146B8D"/>
    <w:rsid w:val="00146E68"/>
    <w:rsid w:val="0014716D"/>
    <w:rsid w:val="001472AF"/>
    <w:rsid w:val="00147C89"/>
    <w:rsid w:val="00150111"/>
    <w:rsid w:val="0015028B"/>
    <w:rsid w:val="00150C53"/>
    <w:rsid w:val="00150CE7"/>
    <w:rsid w:val="001540C7"/>
    <w:rsid w:val="0015455C"/>
    <w:rsid w:val="00155919"/>
    <w:rsid w:val="00155927"/>
    <w:rsid w:val="00155A83"/>
    <w:rsid w:val="00155D8E"/>
    <w:rsid w:val="00156477"/>
    <w:rsid w:val="00156A41"/>
    <w:rsid w:val="0015772F"/>
    <w:rsid w:val="001579C9"/>
    <w:rsid w:val="00157B0C"/>
    <w:rsid w:val="00160399"/>
    <w:rsid w:val="001630CF"/>
    <w:rsid w:val="00163745"/>
    <w:rsid w:val="00164080"/>
    <w:rsid w:val="0016448D"/>
    <w:rsid w:val="0016570A"/>
    <w:rsid w:val="00166849"/>
    <w:rsid w:val="00166A07"/>
    <w:rsid w:val="0016731A"/>
    <w:rsid w:val="00167DCE"/>
    <w:rsid w:val="0017087C"/>
    <w:rsid w:val="00172399"/>
    <w:rsid w:val="00172A80"/>
    <w:rsid w:val="00172FE1"/>
    <w:rsid w:val="00173239"/>
    <w:rsid w:val="00173690"/>
    <w:rsid w:val="0017494C"/>
    <w:rsid w:val="00176A37"/>
    <w:rsid w:val="00176DAF"/>
    <w:rsid w:val="0017708A"/>
    <w:rsid w:val="001770E3"/>
    <w:rsid w:val="00180690"/>
    <w:rsid w:val="00180E5B"/>
    <w:rsid w:val="0018211F"/>
    <w:rsid w:val="001839F0"/>
    <w:rsid w:val="001843D4"/>
    <w:rsid w:val="00184909"/>
    <w:rsid w:val="00184D52"/>
    <w:rsid w:val="00184E86"/>
    <w:rsid w:val="00185ECC"/>
    <w:rsid w:val="00186F52"/>
    <w:rsid w:val="0018715A"/>
    <w:rsid w:val="001901B3"/>
    <w:rsid w:val="00191B09"/>
    <w:rsid w:val="001923A8"/>
    <w:rsid w:val="00192EDE"/>
    <w:rsid w:val="0019324C"/>
    <w:rsid w:val="001932C6"/>
    <w:rsid w:val="0019334D"/>
    <w:rsid w:val="00193CB6"/>
    <w:rsid w:val="00194590"/>
    <w:rsid w:val="0019498E"/>
    <w:rsid w:val="00195811"/>
    <w:rsid w:val="00195CD6"/>
    <w:rsid w:val="0019620F"/>
    <w:rsid w:val="0019666E"/>
    <w:rsid w:val="001972FF"/>
    <w:rsid w:val="001A03D5"/>
    <w:rsid w:val="001A0400"/>
    <w:rsid w:val="001A0F6B"/>
    <w:rsid w:val="001A1310"/>
    <w:rsid w:val="001A18B5"/>
    <w:rsid w:val="001A306C"/>
    <w:rsid w:val="001A3489"/>
    <w:rsid w:val="001A35E3"/>
    <w:rsid w:val="001A59C0"/>
    <w:rsid w:val="001A6A0B"/>
    <w:rsid w:val="001A6F99"/>
    <w:rsid w:val="001A72DC"/>
    <w:rsid w:val="001A7BD0"/>
    <w:rsid w:val="001B0FDD"/>
    <w:rsid w:val="001B22F8"/>
    <w:rsid w:val="001B38C2"/>
    <w:rsid w:val="001B4464"/>
    <w:rsid w:val="001B5203"/>
    <w:rsid w:val="001B5834"/>
    <w:rsid w:val="001B6384"/>
    <w:rsid w:val="001B6B11"/>
    <w:rsid w:val="001B7EB6"/>
    <w:rsid w:val="001B7EDD"/>
    <w:rsid w:val="001C070D"/>
    <w:rsid w:val="001C20D1"/>
    <w:rsid w:val="001C3140"/>
    <w:rsid w:val="001C34A0"/>
    <w:rsid w:val="001C3781"/>
    <w:rsid w:val="001C4629"/>
    <w:rsid w:val="001C6842"/>
    <w:rsid w:val="001C704B"/>
    <w:rsid w:val="001C745B"/>
    <w:rsid w:val="001C755B"/>
    <w:rsid w:val="001C7647"/>
    <w:rsid w:val="001D0087"/>
    <w:rsid w:val="001D0512"/>
    <w:rsid w:val="001D0DBB"/>
    <w:rsid w:val="001D1D3C"/>
    <w:rsid w:val="001D1FA2"/>
    <w:rsid w:val="001D2479"/>
    <w:rsid w:val="001D258B"/>
    <w:rsid w:val="001D380B"/>
    <w:rsid w:val="001D415D"/>
    <w:rsid w:val="001D416A"/>
    <w:rsid w:val="001D4227"/>
    <w:rsid w:val="001D45F5"/>
    <w:rsid w:val="001D467A"/>
    <w:rsid w:val="001D4AEB"/>
    <w:rsid w:val="001D4D53"/>
    <w:rsid w:val="001D4F25"/>
    <w:rsid w:val="001D5081"/>
    <w:rsid w:val="001D5225"/>
    <w:rsid w:val="001D631D"/>
    <w:rsid w:val="001D692E"/>
    <w:rsid w:val="001D6F59"/>
    <w:rsid w:val="001D7501"/>
    <w:rsid w:val="001D75D7"/>
    <w:rsid w:val="001D78D5"/>
    <w:rsid w:val="001D7A31"/>
    <w:rsid w:val="001E05E7"/>
    <w:rsid w:val="001E0CEB"/>
    <w:rsid w:val="001E1486"/>
    <w:rsid w:val="001E1628"/>
    <w:rsid w:val="001E182B"/>
    <w:rsid w:val="001E2A4F"/>
    <w:rsid w:val="001E3793"/>
    <w:rsid w:val="001E433B"/>
    <w:rsid w:val="001E50C3"/>
    <w:rsid w:val="001E592C"/>
    <w:rsid w:val="001E678E"/>
    <w:rsid w:val="001E6A01"/>
    <w:rsid w:val="001E7876"/>
    <w:rsid w:val="001F02A2"/>
    <w:rsid w:val="001F101E"/>
    <w:rsid w:val="001F16BE"/>
    <w:rsid w:val="001F26C5"/>
    <w:rsid w:val="001F3572"/>
    <w:rsid w:val="001F4688"/>
    <w:rsid w:val="001F4EED"/>
    <w:rsid w:val="001F61EC"/>
    <w:rsid w:val="001F6623"/>
    <w:rsid w:val="001F7BD0"/>
    <w:rsid w:val="00200B8A"/>
    <w:rsid w:val="00200CD2"/>
    <w:rsid w:val="00201381"/>
    <w:rsid w:val="00201D37"/>
    <w:rsid w:val="0020370B"/>
    <w:rsid w:val="00204491"/>
    <w:rsid w:val="00204670"/>
    <w:rsid w:val="00204CAA"/>
    <w:rsid w:val="00204CE1"/>
    <w:rsid w:val="0020514B"/>
    <w:rsid w:val="00205257"/>
    <w:rsid w:val="002056C1"/>
    <w:rsid w:val="00206D6A"/>
    <w:rsid w:val="0021027D"/>
    <w:rsid w:val="002104EB"/>
    <w:rsid w:val="002106F3"/>
    <w:rsid w:val="0021133F"/>
    <w:rsid w:val="002127D1"/>
    <w:rsid w:val="0021359C"/>
    <w:rsid w:val="00213A73"/>
    <w:rsid w:val="00213FFF"/>
    <w:rsid w:val="002143D2"/>
    <w:rsid w:val="002143F0"/>
    <w:rsid w:val="00214738"/>
    <w:rsid w:val="0021479A"/>
    <w:rsid w:val="00214B2A"/>
    <w:rsid w:val="002154D7"/>
    <w:rsid w:val="00215950"/>
    <w:rsid w:val="00215C29"/>
    <w:rsid w:val="00215D20"/>
    <w:rsid w:val="00217664"/>
    <w:rsid w:val="00220A9D"/>
    <w:rsid w:val="00220C63"/>
    <w:rsid w:val="0022132F"/>
    <w:rsid w:val="00221C02"/>
    <w:rsid w:val="0022245D"/>
    <w:rsid w:val="00222A1E"/>
    <w:rsid w:val="00224DF9"/>
    <w:rsid w:val="00224E4E"/>
    <w:rsid w:val="00225320"/>
    <w:rsid w:val="002270C4"/>
    <w:rsid w:val="002275BF"/>
    <w:rsid w:val="00227842"/>
    <w:rsid w:val="00230B61"/>
    <w:rsid w:val="002316A9"/>
    <w:rsid w:val="0023196E"/>
    <w:rsid w:val="00233990"/>
    <w:rsid w:val="00233F94"/>
    <w:rsid w:val="00234BE1"/>
    <w:rsid w:val="002350B6"/>
    <w:rsid w:val="002359A5"/>
    <w:rsid w:val="0023641F"/>
    <w:rsid w:val="002366C4"/>
    <w:rsid w:val="002377B7"/>
    <w:rsid w:val="002378DC"/>
    <w:rsid w:val="0024078C"/>
    <w:rsid w:val="002410C0"/>
    <w:rsid w:val="00241790"/>
    <w:rsid w:val="002429F5"/>
    <w:rsid w:val="00243287"/>
    <w:rsid w:val="00243A73"/>
    <w:rsid w:val="0024444A"/>
    <w:rsid w:val="002456C4"/>
    <w:rsid w:val="002457FF"/>
    <w:rsid w:val="00245E0E"/>
    <w:rsid w:val="0024600E"/>
    <w:rsid w:val="00247605"/>
    <w:rsid w:val="00247DF5"/>
    <w:rsid w:val="002502C0"/>
    <w:rsid w:val="002505E0"/>
    <w:rsid w:val="002505E2"/>
    <w:rsid w:val="00250A63"/>
    <w:rsid w:val="002515B7"/>
    <w:rsid w:val="00251A9E"/>
    <w:rsid w:val="0025227C"/>
    <w:rsid w:val="002533C5"/>
    <w:rsid w:val="00254247"/>
    <w:rsid w:val="0025555F"/>
    <w:rsid w:val="00255A9B"/>
    <w:rsid w:val="0025644B"/>
    <w:rsid w:val="00256841"/>
    <w:rsid w:val="00256AB6"/>
    <w:rsid w:val="0026001F"/>
    <w:rsid w:val="002601D0"/>
    <w:rsid w:val="00260369"/>
    <w:rsid w:val="00261146"/>
    <w:rsid w:val="00261673"/>
    <w:rsid w:val="002618AE"/>
    <w:rsid w:val="002618D9"/>
    <w:rsid w:val="00263241"/>
    <w:rsid w:val="002637F2"/>
    <w:rsid w:val="00263AFE"/>
    <w:rsid w:val="00263DA6"/>
    <w:rsid w:val="0026501B"/>
    <w:rsid w:val="00265067"/>
    <w:rsid w:val="002651B4"/>
    <w:rsid w:val="002657C0"/>
    <w:rsid w:val="00265936"/>
    <w:rsid w:val="00265C5D"/>
    <w:rsid w:val="00266BFC"/>
    <w:rsid w:val="0026796D"/>
    <w:rsid w:val="00267CB2"/>
    <w:rsid w:val="0027099D"/>
    <w:rsid w:val="00270FA6"/>
    <w:rsid w:val="00271151"/>
    <w:rsid w:val="00272FD5"/>
    <w:rsid w:val="00274189"/>
    <w:rsid w:val="00274327"/>
    <w:rsid w:val="002745C7"/>
    <w:rsid w:val="00274FBB"/>
    <w:rsid w:val="00275BAF"/>
    <w:rsid w:val="0027695E"/>
    <w:rsid w:val="00276F19"/>
    <w:rsid w:val="0027725F"/>
    <w:rsid w:val="0028045C"/>
    <w:rsid w:val="0028063C"/>
    <w:rsid w:val="002807C2"/>
    <w:rsid w:val="0028220C"/>
    <w:rsid w:val="002836A7"/>
    <w:rsid w:val="00284D7D"/>
    <w:rsid w:val="00284DFE"/>
    <w:rsid w:val="00285C25"/>
    <w:rsid w:val="002860F3"/>
    <w:rsid w:val="0028621E"/>
    <w:rsid w:val="00286DF3"/>
    <w:rsid w:val="002875DF"/>
    <w:rsid w:val="00291335"/>
    <w:rsid w:val="002919D4"/>
    <w:rsid w:val="00291CF0"/>
    <w:rsid w:val="00291ED6"/>
    <w:rsid w:val="002937C7"/>
    <w:rsid w:val="00295A42"/>
    <w:rsid w:val="00296474"/>
    <w:rsid w:val="002968B2"/>
    <w:rsid w:val="00296E27"/>
    <w:rsid w:val="00297B9B"/>
    <w:rsid w:val="00297EB7"/>
    <w:rsid w:val="002A0AF8"/>
    <w:rsid w:val="002A0C86"/>
    <w:rsid w:val="002A0D78"/>
    <w:rsid w:val="002A1CBD"/>
    <w:rsid w:val="002A250C"/>
    <w:rsid w:val="002A2979"/>
    <w:rsid w:val="002A45B0"/>
    <w:rsid w:val="002A492B"/>
    <w:rsid w:val="002A4BD5"/>
    <w:rsid w:val="002A4CCA"/>
    <w:rsid w:val="002A4E61"/>
    <w:rsid w:val="002A59D0"/>
    <w:rsid w:val="002A5DA2"/>
    <w:rsid w:val="002A63CA"/>
    <w:rsid w:val="002A6FFB"/>
    <w:rsid w:val="002B00CA"/>
    <w:rsid w:val="002B1544"/>
    <w:rsid w:val="002B23F6"/>
    <w:rsid w:val="002B2B5D"/>
    <w:rsid w:val="002B2D9F"/>
    <w:rsid w:val="002B2DB8"/>
    <w:rsid w:val="002B4671"/>
    <w:rsid w:val="002B559C"/>
    <w:rsid w:val="002B5F0D"/>
    <w:rsid w:val="002B5F65"/>
    <w:rsid w:val="002B61C9"/>
    <w:rsid w:val="002B63AF"/>
    <w:rsid w:val="002B67EB"/>
    <w:rsid w:val="002B6919"/>
    <w:rsid w:val="002B7565"/>
    <w:rsid w:val="002B7DC6"/>
    <w:rsid w:val="002C15FB"/>
    <w:rsid w:val="002C18DA"/>
    <w:rsid w:val="002C22F2"/>
    <w:rsid w:val="002C26A4"/>
    <w:rsid w:val="002C2D22"/>
    <w:rsid w:val="002C3A4C"/>
    <w:rsid w:val="002C3F5A"/>
    <w:rsid w:val="002C4981"/>
    <w:rsid w:val="002C5E93"/>
    <w:rsid w:val="002C67A0"/>
    <w:rsid w:val="002C7E35"/>
    <w:rsid w:val="002D0C4E"/>
    <w:rsid w:val="002D0EA2"/>
    <w:rsid w:val="002D1801"/>
    <w:rsid w:val="002D2770"/>
    <w:rsid w:val="002D2DDD"/>
    <w:rsid w:val="002D3929"/>
    <w:rsid w:val="002D53B7"/>
    <w:rsid w:val="002D53CC"/>
    <w:rsid w:val="002D5504"/>
    <w:rsid w:val="002D7563"/>
    <w:rsid w:val="002D7CFE"/>
    <w:rsid w:val="002E0952"/>
    <w:rsid w:val="002E0DCC"/>
    <w:rsid w:val="002E1106"/>
    <w:rsid w:val="002E18C0"/>
    <w:rsid w:val="002E1D3A"/>
    <w:rsid w:val="002E38BA"/>
    <w:rsid w:val="002E5DAB"/>
    <w:rsid w:val="002E5F47"/>
    <w:rsid w:val="002E5F92"/>
    <w:rsid w:val="002E643D"/>
    <w:rsid w:val="002E6577"/>
    <w:rsid w:val="002E71B9"/>
    <w:rsid w:val="002E7360"/>
    <w:rsid w:val="002E766B"/>
    <w:rsid w:val="002E7AF1"/>
    <w:rsid w:val="002E7D1E"/>
    <w:rsid w:val="002E7F67"/>
    <w:rsid w:val="002F06BC"/>
    <w:rsid w:val="002F12C0"/>
    <w:rsid w:val="002F2C9D"/>
    <w:rsid w:val="002F31BF"/>
    <w:rsid w:val="002F3801"/>
    <w:rsid w:val="002F4F16"/>
    <w:rsid w:val="002F59FC"/>
    <w:rsid w:val="002F64B9"/>
    <w:rsid w:val="002F6AD3"/>
    <w:rsid w:val="002F7AC2"/>
    <w:rsid w:val="00300480"/>
    <w:rsid w:val="00300723"/>
    <w:rsid w:val="00300874"/>
    <w:rsid w:val="00300D79"/>
    <w:rsid w:val="003015CF"/>
    <w:rsid w:val="00301720"/>
    <w:rsid w:val="00302457"/>
    <w:rsid w:val="003024F6"/>
    <w:rsid w:val="003029CB"/>
    <w:rsid w:val="00303A1D"/>
    <w:rsid w:val="003040F3"/>
    <w:rsid w:val="003046A8"/>
    <w:rsid w:val="003048C8"/>
    <w:rsid w:val="00304AAC"/>
    <w:rsid w:val="00304BDC"/>
    <w:rsid w:val="00306450"/>
    <w:rsid w:val="003068AC"/>
    <w:rsid w:val="00310226"/>
    <w:rsid w:val="00310608"/>
    <w:rsid w:val="00310BFB"/>
    <w:rsid w:val="00310F4A"/>
    <w:rsid w:val="00311CD6"/>
    <w:rsid w:val="00313B2E"/>
    <w:rsid w:val="0031436C"/>
    <w:rsid w:val="00314F24"/>
    <w:rsid w:val="00315A55"/>
    <w:rsid w:val="00315D17"/>
    <w:rsid w:val="0031681E"/>
    <w:rsid w:val="00316A19"/>
    <w:rsid w:val="00317E58"/>
    <w:rsid w:val="0032092E"/>
    <w:rsid w:val="00322FD2"/>
    <w:rsid w:val="003230C5"/>
    <w:rsid w:val="003236AF"/>
    <w:rsid w:val="00323C14"/>
    <w:rsid w:val="00323F22"/>
    <w:rsid w:val="003241F7"/>
    <w:rsid w:val="003241FD"/>
    <w:rsid w:val="003244C0"/>
    <w:rsid w:val="00324B1C"/>
    <w:rsid w:val="0032555E"/>
    <w:rsid w:val="00326F2F"/>
    <w:rsid w:val="00326F3F"/>
    <w:rsid w:val="00327873"/>
    <w:rsid w:val="00330203"/>
    <w:rsid w:val="003306F4"/>
    <w:rsid w:val="00330A1F"/>
    <w:rsid w:val="00331410"/>
    <w:rsid w:val="00331E60"/>
    <w:rsid w:val="00332A78"/>
    <w:rsid w:val="0033342B"/>
    <w:rsid w:val="003345EF"/>
    <w:rsid w:val="003348FA"/>
    <w:rsid w:val="0033494E"/>
    <w:rsid w:val="00334B0F"/>
    <w:rsid w:val="00335843"/>
    <w:rsid w:val="003360CE"/>
    <w:rsid w:val="00336316"/>
    <w:rsid w:val="003364EC"/>
    <w:rsid w:val="003370BD"/>
    <w:rsid w:val="00337760"/>
    <w:rsid w:val="00340579"/>
    <w:rsid w:val="00341AFC"/>
    <w:rsid w:val="00342565"/>
    <w:rsid w:val="003428F6"/>
    <w:rsid w:val="003444B0"/>
    <w:rsid w:val="00345DF4"/>
    <w:rsid w:val="003476A9"/>
    <w:rsid w:val="0035016B"/>
    <w:rsid w:val="00350E0B"/>
    <w:rsid w:val="00350F6C"/>
    <w:rsid w:val="003518AF"/>
    <w:rsid w:val="00351901"/>
    <w:rsid w:val="00352A4C"/>
    <w:rsid w:val="003530FD"/>
    <w:rsid w:val="003532B2"/>
    <w:rsid w:val="0035390C"/>
    <w:rsid w:val="00354179"/>
    <w:rsid w:val="003544A1"/>
    <w:rsid w:val="00355D25"/>
    <w:rsid w:val="00356145"/>
    <w:rsid w:val="00356E42"/>
    <w:rsid w:val="00357DFA"/>
    <w:rsid w:val="00360FFD"/>
    <w:rsid w:val="0036214D"/>
    <w:rsid w:val="0036219A"/>
    <w:rsid w:val="00362BF0"/>
    <w:rsid w:val="003638FA"/>
    <w:rsid w:val="00363B57"/>
    <w:rsid w:val="00363B8E"/>
    <w:rsid w:val="003644AA"/>
    <w:rsid w:val="00365133"/>
    <w:rsid w:val="00365662"/>
    <w:rsid w:val="00366718"/>
    <w:rsid w:val="0037014F"/>
    <w:rsid w:val="0037109B"/>
    <w:rsid w:val="003713ED"/>
    <w:rsid w:val="00371707"/>
    <w:rsid w:val="003719D8"/>
    <w:rsid w:val="00372759"/>
    <w:rsid w:val="00372B03"/>
    <w:rsid w:val="00372B64"/>
    <w:rsid w:val="0037318C"/>
    <w:rsid w:val="003731AC"/>
    <w:rsid w:val="0037407B"/>
    <w:rsid w:val="0037415B"/>
    <w:rsid w:val="00374A8F"/>
    <w:rsid w:val="00375A49"/>
    <w:rsid w:val="00376FE2"/>
    <w:rsid w:val="00377AA1"/>
    <w:rsid w:val="00379BCD"/>
    <w:rsid w:val="00380466"/>
    <w:rsid w:val="00380F18"/>
    <w:rsid w:val="003813BD"/>
    <w:rsid w:val="0038388A"/>
    <w:rsid w:val="0038415A"/>
    <w:rsid w:val="0038499C"/>
    <w:rsid w:val="00385845"/>
    <w:rsid w:val="00385BF4"/>
    <w:rsid w:val="0038698A"/>
    <w:rsid w:val="00386DD7"/>
    <w:rsid w:val="00387CE3"/>
    <w:rsid w:val="003901B0"/>
    <w:rsid w:val="003909F2"/>
    <w:rsid w:val="00390AD8"/>
    <w:rsid w:val="00390C5B"/>
    <w:rsid w:val="00393032"/>
    <w:rsid w:val="00393836"/>
    <w:rsid w:val="00393E6C"/>
    <w:rsid w:val="00394272"/>
    <w:rsid w:val="003956E3"/>
    <w:rsid w:val="00395F74"/>
    <w:rsid w:val="00396B6F"/>
    <w:rsid w:val="00396D87"/>
    <w:rsid w:val="00396DA5"/>
    <w:rsid w:val="003A0226"/>
    <w:rsid w:val="003A0D31"/>
    <w:rsid w:val="003A126E"/>
    <w:rsid w:val="003A15D8"/>
    <w:rsid w:val="003A231C"/>
    <w:rsid w:val="003A2B82"/>
    <w:rsid w:val="003A4336"/>
    <w:rsid w:val="003A45B4"/>
    <w:rsid w:val="003A4CE2"/>
    <w:rsid w:val="003A4D16"/>
    <w:rsid w:val="003A4DA0"/>
    <w:rsid w:val="003A538C"/>
    <w:rsid w:val="003A7C34"/>
    <w:rsid w:val="003A7CE2"/>
    <w:rsid w:val="003A7D71"/>
    <w:rsid w:val="003B0180"/>
    <w:rsid w:val="003B07CC"/>
    <w:rsid w:val="003B0C93"/>
    <w:rsid w:val="003B131B"/>
    <w:rsid w:val="003B31A6"/>
    <w:rsid w:val="003B3C9A"/>
    <w:rsid w:val="003B3E32"/>
    <w:rsid w:val="003B57E2"/>
    <w:rsid w:val="003B6D7F"/>
    <w:rsid w:val="003B71AE"/>
    <w:rsid w:val="003C0708"/>
    <w:rsid w:val="003C3D94"/>
    <w:rsid w:val="003C402F"/>
    <w:rsid w:val="003C5634"/>
    <w:rsid w:val="003C589D"/>
    <w:rsid w:val="003C6311"/>
    <w:rsid w:val="003C6F10"/>
    <w:rsid w:val="003C75F1"/>
    <w:rsid w:val="003C7980"/>
    <w:rsid w:val="003D099F"/>
    <w:rsid w:val="003D0B3C"/>
    <w:rsid w:val="003D18A4"/>
    <w:rsid w:val="003D18DA"/>
    <w:rsid w:val="003D2AD4"/>
    <w:rsid w:val="003D2EC9"/>
    <w:rsid w:val="003D3437"/>
    <w:rsid w:val="003D43D7"/>
    <w:rsid w:val="003D46E7"/>
    <w:rsid w:val="003D472C"/>
    <w:rsid w:val="003D4825"/>
    <w:rsid w:val="003D7F7F"/>
    <w:rsid w:val="003E0AD1"/>
    <w:rsid w:val="003E1A3C"/>
    <w:rsid w:val="003E1D29"/>
    <w:rsid w:val="003E1F2B"/>
    <w:rsid w:val="003E2C8E"/>
    <w:rsid w:val="003E360F"/>
    <w:rsid w:val="003E5196"/>
    <w:rsid w:val="003E5432"/>
    <w:rsid w:val="003E590D"/>
    <w:rsid w:val="003E5C26"/>
    <w:rsid w:val="003E5D77"/>
    <w:rsid w:val="003E6D19"/>
    <w:rsid w:val="003E6D88"/>
    <w:rsid w:val="003F0FD1"/>
    <w:rsid w:val="003F29A9"/>
    <w:rsid w:val="003F38D1"/>
    <w:rsid w:val="003F599D"/>
    <w:rsid w:val="003F5B70"/>
    <w:rsid w:val="003F62BC"/>
    <w:rsid w:val="003F68B3"/>
    <w:rsid w:val="00400125"/>
    <w:rsid w:val="004009E6"/>
    <w:rsid w:val="0040113F"/>
    <w:rsid w:val="00403220"/>
    <w:rsid w:val="00403C61"/>
    <w:rsid w:val="00403CFF"/>
    <w:rsid w:val="004045B0"/>
    <w:rsid w:val="00405396"/>
    <w:rsid w:val="00406A85"/>
    <w:rsid w:val="00407E28"/>
    <w:rsid w:val="0041077D"/>
    <w:rsid w:val="004107AC"/>
    <w:rsid w:val="00410D5F"/>
    <w:rsid w:val="00411269"/>
    <w:rsid w:val="004116EA"/>
    <w:rsid w:val="00411EBF"/>
    <w:rsid w:val="00411F6A"/>
    <w:rsid w:val="00411FE3"/>
    <w:rsid w:val="00412C02"/>
    <w:rsid w:val="00412C61"/>
    <w:rsid w:val="0041318E"/>
    <w:rsid w:val="00413334"/>
    <w:rsid w:val="004133D7"/>
    <w:rsid w:val="004136B6"/>
    <w:rsid w:val="00413E29"/>
    <w:rsid w:val="004143F3"/>
    <w:rsid w:val="00414962"/>
    <w:rsid w:val="00415146"/>
    <w:rsid w:val="004168BB"/>
    <w:rsid w:val="00416DEC"/>
    <w:rsid w:val="00417034"/>
    <w:rsid w:val="00417F75"/>
    <w:rsid w:val="00420377"/>
    <w:rsid w:val="004214EA"/>
    <w:rsid w:val="00421E2A"/>
    <w:rsid w:val="00423713"/>
    <w:rsid w:val="0042428A"/>
    <w:rsid w:val="004243A7"/>
    <w:rsid w:val="004249D2"/>
    <w:rsid w:val="00425076"/>
    <w:rsid w:val="004251E8"/>
    <w:rsid w:val="00425B44"/>
    <w:rsid w:val="004277BC"/>
    <w:rsid w:val="00427C93"/>
    <w:rsid w:val="0043059F"/>
    <w:rsid w:val="00430B4B"/>
    <w:rsid w:val="004312CD"/>
    <w:rsid w:val="004326F0"/>
    <w:rsid w:val="00432A4A"/>
    <w:rsid w:val="00432EB2"/>
    <w:rsid w:val="00433484"/>
    <w:rsid w:val="00434205"/>
    <w:rsid w:val="0043447E"/>
    <w:rsid w:val="004349C2"/>
    <w:rsid w:val="00434A05"/>
    <w:rsid w:val="00434D49"/>
    <w:rsid w:val="00434F7A"/>
    <w:rsid w:val="00435813"/>
    <w:rsid w:val="0044008E"/>
    <w:rsid w:val="00440B8E"/>
    <w:rsid w:val="00440F40"/>
    <w:rsid w:val="00441498"/>
    <w:rsid w:val="004415CB"/>
    <w:rsid w:val="0044184F"/>
    <w:rsid w:val="00441AC1"/>
    <w:rsid w:val="00442898"/>
    <w:rsid w:val="004432A1"/>
    <w:rsid w:val="00444BC0"/>
    <w:rsid w:val="00446D23"/>
    <w:rsid w:val="00446EC4"/>
    <w:rsid w:val="0044732D"/>
    <w:rsid w:val="0045032C"/>
    <w:rsid w:val="00450448"/>
    <w:rsid w:val="00451008"/>
    <w:rsid w:val="00451239"/>
    <w:rsid w:val="00451714"/>
    <w:rsid w:val="004522AB"/>
    <w:rsid w:val="0045232B"/>
    <w:rsid w:val="004525D3"/>
    <w:rsid w:val="00452637"/>
    <w:rsid w:val="004528A7"/>
    <w:rsid w:val="00452C43"/>
    <w:rsid w:val="0045364C"/>
    <w:rsid w:val="00453DA7"/>
    <w:rsid w:val="00453FAC"/>
    <w:rsid w:val="00454B3F"/>
    <w:rsid w:val="00455216"/>
    <w:rsid w:val="0045528D"/>
    <w:rsid w:val="00455E8E"/>
    <w:rsid w:val="00456B91"/>
    <w:rsid w:val="00457295"/>
    <w:rsid w:val="00457AD3"/>
    <w:rsid w:val="00457FCE"/>
    <w:rsid w:val="00460126"/>
    <w:rsid w:val="004617C8"/>
    <w:rsid w:val="00461C4E"/>
    <w:rsid w:val="00461DCB"/>
    <w:rsid w:val="00461F9D"/>
    <w:rsid w:val="00461FCE"/>
    <w:rsid w:val="00462000"/>
    <w:rsid w:val="0046373B"/>
    <w:rsid w:val="00463998"/>
    <w:rsid w:val="00465706"/>
    <w:rsid w:val="0046715F"/>
    <w:rsid w:val="004673A9"/>
    <w:rsid w:val="00467657"/>
    <w:rsid w:val="00467717"/>
    <w:rsid w:val="00470133"/>
    <w:rsid w:val="004701EE"/>
    <w:rsid w:val="00470405"/>
    <w:rsid w:val="00470472"/>
    <w:rsid w:val="00470645"/>
    <w:rsid w:val="0047170F"/>
    <w:rsid w:val="00472639"/>
    <w:rsid w:val="004737A7"/>
    <w:rsid w:val="00473F22"/>
    <w:rsid w:val="00475037"/>
    <w:rsid w:val="004758D5"/>
    <w:rsid w:val="00477520"/>
    <w:rsid w:val="004803B1"/>
    <w:rsid w:val="00480A8D"/>
    <w:rsid w:val="00481349"/>
    <w:rsid w:val="00486300"/>
    <w:rsid w:val="00486FCF"/>
    <w:rsid w:val="004870E0"/>
    <w:rsid w:val="00487350"/>
    <w:rsid w:val="0049135D"/>
    <w:rsid w:val="0049177D"/>
    <w:rsid w:val="004936C7"/>
    <w:rsid w:val="00494A58"/>
    <w:rsid w:val="00494DB3"/>
    <w:rsid w:val="00495522"/>
    <w:rsid w:val="004966DC"/>
    <w:rsid w:val="00497EC2"/>
    <w:rsid w:val="004A17BE"/>
    <w:rsid w:val="004A1DFD"/>
    <w:rsid w:val="004A1E6F"/>
    <w:rsid w:val="004A1F87"/>
    <w:rsid w:val="004A2A2D"/>
    <w:rsid w:val="004A2E17"/>
    <w:rsid w:val="004A38C6"/>
    <w:rsid w:val="004A59C0"/>
    <w:rsid w:val="004A624E"/>
    <w:rsid w:val="004A7017"/>
    <w:rsid w:val="004A795C"/>
    <w:rsid w:val="004A7A2B"/>
    <w:rsid w:val="004A7EDA"/>
    <w:rsid w:val="004B0712"/>
    <w:rsid w:val="004B075E"/>
    <w:rsid w:val="004B08B0"/>
    <w:rsid w:val="004B0E31"/>
    <w:rsid w:val="004B0EDE"/>
    <w:rsid w:val="004B31EF"/>
    <w:rsid w:val="004B3537"/>
    <w:rsid w:val="004B3BDB"/>
    <w:rsid w:val="004B47ED"/>
    <w:rsid w:val="004B5508"/>
    <w:rsid w:val="004B5D37"/>
    <w:rsid w:val="004C1598"/>
    <w:rsid w:val="004C1FE5"/>
    <w:rsid w:val="004C2047"/>
    <w:rsid w:val="004C29C2"/>
    <w:rsid w:val="004C2E31"/>
    <w:rsid w:val="004C3969"/>
    <w:rsid w:val="004C3983"/>
    <w:rsid w:val="004C3CE8"/>
    <w:rsid w:val="004C6AB6"/>
    <w:rsid w:val="004C6B05"/>
    <w:rsid w:val="004C75D7"/>
    <w:rsid w:val="004D03D5"/>
    <w:rsid w:val="004D122B"/>
    <w:rsid w:val="004D258C"/>
    <w:rsid w:val="004D2ACF"/>
    <w:rsid w:val="004D405E"/>
    <w:rsid w:val="004D406B"/>
    <w:rsid w:val="004D424C"/>
    <w:rsid w:val="004D4595"/>
    <w:rsid w:val="004D6155"/>
    <w:rsid w:val="004D6F1D"/>
    <w:rsid w:val="004D77F0"/>
    <w:rsid w:val="004E0431"/>
    <w:rsid w:val="004E13AB"/>
    <w:rsid w:val="004E1696"/>
    <w:rsid w:val="004E21ED"/>
    <w:rsid w:val="004E2251"/>
    <w:rsid w:val="004E2B76"/>
    <w:rsid w:val="004E4592"/>
    <w:rsid w:val="004E50E6"/>
    <w:rsid w:val="004E55EF"/>
    <w:rsid w:val="004E5AA0"/>
    <w:rsid w:val="004E5F58"/>
    <w:rsid w:val="004E6170"/>
    <w:rsid w:val="004E6FA7"/>
    <w:rsid w:val="004E7B1A"/>
    <w:rsid w:val="004E7CEF"/>
    <w:rsid w:val="004F045E"/>
    <w:rsid w:val="004F0C77"/>
    <w:rsid w:val="004F0DE2"/>
    <w:rsid w:val="004F1FF1"/>
    <w:rsid w:val="004F27E8"/>
    <w:rsid w:val="004F40A3"/>
    <w:rsid w:val="004F5A3C"/>
    <w:rsid w:val="004F5B76"/>
    <w:rsid w:val="004F5ECA"/>
    <w:rsid w:val="004F60EA"/>
    <w:rsid w:val="004F632E"/>
    <w:rsid w:val="004F6E9A"/>
    <w:rsid w:val="004F7FAC"/>
    <w:rsid w:val="005005B2"/>
    <w:rsid w:val="00500B49"/>
    <w:rsid w:val="005017C8"/>
    <w:rsid w:val="00501E92"/>
    <w:rsid w:val="00501F62"/>
    <w:rsid w:val="00501FE9"/>
    <w:rsid w:val="00502735"/>
    <w:rsid w:val="00502C89"/>
    <w:rsid w:val="00503190"/>
    <w:rsid w:val="0050383B"/>
    <w:rsid w:val="0050407E"/>
    <w:rsid w:val="00504569"/>
    <w:rsid w:val="005055DF"/>
    <w:rsid w:val="005057FD"/>
    <w:rsid w:val="00505C00"/>
    <w:rsid w:val="00510E65"/>
    <w:rsid w:val="00511202"/>
    <w:rsid w:val="00511243"/>
    <w:rsid w:val="00511FB8"/>
    <w:rsid w:val="005121AF"/>
    <w:rsid w:val="0051237B"/>
    <w:rsid w:val="005135A1"/>
    <w:rsid w:val="00515073"/>
    <w:rsid w:val="005160EA"/>
    <w:rsid w:val="0051652A"/>
    <w:rsid w:val="00516B02"/>
    <w:rsid w:val="00520F41"/>
    <w:rsid w:val="00521456"/>
    <w:rsid w:val="00521585"/>
    <w:rsid w:val="00521BC5"/>
    <w:rsid w:val="00521F5D"/>
    <w:rsid w:val="005220AB"/>
    <w:rsid w:val="0052382B"/>
    <w:rsid w:val="00523FCD"/>
    <w:rsid w:val="0052402D"/>
    <w:rsid w:val="00524155"/>
    <w:rsid w:val="005260EF"/>
    <w:rsid w:val="00527B21"/>
    <w:rsid w:val="00527FC7"/>
    <w:rsid w:val="00527FD2"/>
    <w:rsid w:val="005303D2"/>
    <w:rsid w:val="0053085C"/>
    <w:rsid w:val="00530CB7"/>
    <w:rsid w:val="00530D9A"/>
    <w:rsid w:val="00530F32"/>
    <w:rsid w:val="0053139E"/>
    <w:rsid w:val="00531B2B"/>
    <w:rsid w:val="00532B05"/>
    <w:rsid w:val="00532D2F"/>
    <w:rsid w:val="00533569"/>
    <w:rsid w:val="00533639"/>
    <w:rsid w:val="0053395A"/>
    <w:rsid w:val="005347AA"/>
    <w:rsid w:val="005353DB"/>
    <w:rsid w:val="00535920"/>
    <w:rsid w:val="0053660C"/>
    <w:rsid w:val="00536728"/>
    <w:rsid w:val="00536F14"/>
    <w:rsid w:val="00537248"/>
    <w:rsid w:val="00537345"/>
    <w:rsid w:val="00537776"/>
    <w:rsid w:val="00540E67"/>
    <w:rsid w:val="00541E16"/>
    <w:rsid w:val="00542290"/>
    <w:rsid w:val="00542481"/>
    <w:rsid w:val="00542F4E"/>
    <w:rsid w:val="00543C0D"/>
    <w:rsid w:val="005445B4"/>
    <w:rsid w:val="005446FB"/>
    <w:rsid w:val="00544946"/>
    <w:rsid w:val="00544DCB"/>
    <w:rsid w:val="00545F24"/>
    <w:rsid w:val="00545FF1"/>
    <w:rsid w:val="005467E0"/>
    <w:rsid w:val="00546DF7"/>
    <w:rsid w:val="005470CA"/>
    <w:rsid w:val="005500D3"/>
    <w:rsid w:val="00550451"/>
    <w:rsid w:val="005508CA"/>
    <w:rsid w:val="00550F6C"/>
    <w:rsid w:val="0055173C"/>
    <w:rsid w:val="00552A36"/>
    <w:rsid w:val="00553E4D"/>
    <w:rsid w:val="00554B35"/>
    <w:rsid w:val="00554CAF"/>
    <w:rsid w:val="0055501A"/>
    <w:rsid w:val="0055532F"/>
    <w:rsid w:val="00555D11"/>
    <w:rsid w:val="00555FB2"/>
    <w:rsid w:val="0055683D"/>
    <w:rsid w:val="00557456"/>
    <w:rsid w:val="00557F63"/>
    <w:rsid w:val="00557FD1"/>
    <w:rsid w:val="005605B7"/>
    <w:rsid w:val="005617ED"/>
    <w:rsid w:val="0056217C"/>
    <w:rsid w:val="00564A92"/>
    <w:rsid w:val="00564DA4"/>
    <w:rsid w:val="005650C1"/>
    <w:rsid w:val="00565794"/>
    <w:rsid w:val="00565B1A"/>
    <w:rsid w:val="005666C9"/>
    <w:rsid w:val="005676E0"/>
    <w:rsid w:val="0056791E"/>
    <w:rsid w:val="00572678"/>
    <w:rsid w:val="0057276A"/>
    <w:rsid w:val="005733E8"/>
    <w:rsid w:val="00573EE7"/>
    <w:rsid w:val="00574E1B"/>
    <w:rsid w:val="0057693B"/>
    <w:rsid w:val="0057700B"/>
    <w:rsid w:val="00580677"/>
    <w:rsid w:val="00580E66"/>
    <w:rsid w:val="00581C71"/>
    <w:rsid w:val="00581D00"/>
    <w:rsid w:val="005825D9"/>
    <w:rsid w:val="00582EE1"/>
    <w:rsid w:val="00582F43"/>
    <w:rsid w:val="00583243"/>
    <w:rsid w:val="0058326F"/>
    <w:rsid w:val="00584524"/>
    <w:rsid w:val="005846BD"/>
    <w:rsid w:val="00585914"/>
    <w:rsid w:val="00585FEB"/>
    <w:rsid w:val="005864B9"/>
    <w:rsid w:val="0058750F"/>
    <w:rsid w:val="00590165"/>
    <w:rsid w:val="00590D10"/>
    <w:rsid w:val="00591040"/>
    <w:rsid w:val="00593791"/>
    <w:rsid w:val="00594279"/>
    <w:rsid w:val="0059494F"/>
    <w:rsid w:val="005951ED"/>
    <w:rsid w:val="0059556D"/>
    <w:rsid w:val="0059715A"/>
    <w:rsid w:val="005974FF"/>
    <w:rsid w:val="00597A93"/>
    <w:rsid w:val="00597A9A"/>
    <w:rsid w:val="00597D08"/>
    <w:rsid w:val="00597F3D"/>
    <w:rsid w:val="005A0589"/>
    <w:rsid w:val="005A16B3"/>
    <w:rsid w:val="005A174D"/>
    <w:rsid w:val="005A1BFD"/>
    <w:rsid w:val="005A206E"/>
    <w:rsid w:val="005A246C"/>
    <w:rsid w:val="005A24A1"/>
    <w:rsid w:val="005A5322"/>
    <w:rsid w:val="005A5CA4"/>
    <w:rsid w:val="005A5EC2"/>
    <w:rsid w:val="005A669F"/>
    <w:rsid w:val="005A7522"/>
    <w:rsid w:val="005A757F"/>
    <w:rsid w:val="005A7F60"/>
    <w:rsid w:val="005B09EA"/>
    <w:rsid w:val="005B0EC7"/>
    <w:rsid w:val="005B1BC3"/>
    <w:rsid w:val="005B1C1E"/>
    <w:rsid w:val="005B21E7"/>
    <w:rsid w:val="005B270C"/>
    <w:rsid w:val="005B35C2"/>
    <w:rsid w:val="005B4764"/>
    <w:rsid w:val="005B5533"/>
    <w:rsid w:val="005B685B"/>
    <w:rsid w:val="005B73EC"/>
    <w:rsid w:val="005B74A1"/>
    <w:rsid w:val="005B75CE"/>
    <w:rsid w:val="005B777D"/>
    <w:rsid w:val="005C04DC"/>
    <w:rsid w:val="005C1A65"/>
    <w:rsid w:val="005C1D53"/>
    <w:rsid w:val="005C3719"/>
    <w:rsid w:val="005C472F"/>
    <w:rsid w:val="005C4EEC"/>
    <w:rsid w:val="005C4F15"/>
    <w:rsid w:val="005C5885"/>
    <w:rsid w:val="005C5F3B"/>
    <w:rsid w:val="005C6C8B"/>
    <w:rsid w:val="005C7338"/>
    <w:rsid w:val="005C75D7"/>
    <w:rsid w:val="005D0EA4"/>
    <w:rsid w:val="005D119C"/>
    <w:rsid w:val="005D12F0"/>
    <w:rsid w:val="005D1CE9"/>
    <w:rsid w:val="005D1F8A"/>
    <w:rsid w:val="005D221F"/>
    <w:rsid w:val="005D28A5"/>
    <w:rsid w:val="005D28DC"/>
    <w:rsid w:val="005D3BD6"/>
    <w:rsid w:val="005D43D2"/>
    <w:rsid w:val="005D4F32"/>
    <w:rsid w:val="005D5DDB"/>
    <w:rsid w:val="005D5FC8"/>
    <w:rsid w:val="005D7710"/>
    <w:rsid w:val="005D7B3B"/>
    <w:rsid w:val="005D7CC0"/>
    <w:rsid w:val="005D7FBE"/>
    <w:rsid w:val="005E0025"/>
    <w:rsid w:val="005E0B0E"/>
    <w:rsid w:val="005E111D"/>
    <w:rsid w:val="005E1806"/>
    <w:rsid w:val="005E240D"/>
    <w:rsid w:val="005E2605"/>
    <w:rsid w:val="005E2613"/>
    <w:rsid w:val="005E26AD"/>
    <w:rsid w:val="005E3976"/>
    <w:rsid w:val="005E3CD3"/>
    <w:rsid w:val="005E4403"/>
    <w:rsid w:val="005E58A6"/>
    <w:rsid w:val="005E5B9F"/>
    <w:rsid w:val="005E5C17"/>
    <w:rsid w:val="005E5D3F"/>
    <w:rsid w:val="005E6CF2"/>
    <w:rsid w:val="005F0336"/>
    <w:rsid w:val="005F0BB3"/>
    <w:rsid w:val="005F1A3B"/>
    <w:rsid w:val="005F2747"/>
    <w:rsid w:val="005F3233"/>
    <w:rsid w:val="005F38FB"/>
    <w:rsid w:val="005F588C"/>
    <w:rsid w:val="005F680A"/>
    <w:rsid w:val="005F6AEF"/>
    <w:rsid w:val="005F6BB1"/>
    <w:rsid w:val="005F730D"/>
    <w:rsid w:val="005F7DD1"/>
    <w:rsid w:val="00601D09"/>
    <w:rsid w:val="00603532"/>
    <w:rsid w:val="00604367"/>
    <w:rsid w:val="00607D1B"/>
    <w:rsid w:val="0061084F"/>
    <w:rsid w:val="00610E4F"/>
    <w:rsid w:val="00614828"/>
    <w:rsid w:val="006149C0"/>
    <w:rsid w:val="00614AD0"/>
    <w:rsid w:val="0061513E"/>
    <w:rsid w:val="00615B6B"/>
    <w:rsid w:val="006165DC"/>
    <w:rsid w:val="00616B63"/>
    <w:rsid w:val="00616B6A"/>
    <w:rsid w:val="00617454"/>
    <w:rsid w:val="00617470"/>
    <w:rsid w:val="006206D9"/>
    <w:rsid w:val="00620A86"/>
    <w:rsid w:val="0062124F"/>
    <w:rsid w:val="006219F6"/>
    <w:rsid w:val="00621FDF"/>
    <w:rsid w:val="00622431"/>
    <w:rsid w:val="00622C25"/>
    <w:rsid w:val="00622E62"/>
    <w:rsid w:val="00623FB3"/>
    <w:rsid w:val="006240DB"/>
    <w:rsid w:val="00624677"/>
    <w:rsid w:val="00624F75"/>
    <w:rsid w:val="00625734"/>
    <w:rsid w:val="006267B9"/>
    <w:rsid w:val="00626AC9"/>
    <w:rsid w:val="00626B85"/>
    <w:rsid w:val="00627415"/>
    <w:rsid w:val="00630DE0"/>
    <w:rsid w:val="00630E98"/>
    <w:rsid w:val="006315A0"/>
    <w:rsid w:val="00631A46"/>
    <w:rsid w:val="00631F50"/>
    <w:rsid w:val="00633474"/>
    <w:rsid w:val="00633CCB"/>
    <w:rsid w:val="00633F1E"/>
    <w:rsid w:val="00634007"/>
    <w:rsid w:val="006342E6"/>
    <w:rsid w:val="00634465"/>
    <w:rsid w:val="0063482D"/>
    <w:rsid w:val="0063495A"/>
    <w:rsid w:val="00634C6A"/>
    <w:rsid w:val="00634CB8"/>
    <w:rsid w:val="0063548E"/>
    <w:rsid w:val="00636FB3"/>
    <w:rsid w:val="006370ED"/>
    <w:rsid w:val="00640E8C"/>
    <w:rsid w:val="00641977"/>
    <w:rsid w:val="00641BAB"/>
    <w:rsid w:val="006421BB"/>
    <w:rsid w:val="00642E00"/>
    <w:rsid w:val="00642E97"/>
    <w:rsid w:val="00642EB4"/>
    <w:rsid w:val="00645263"/>
    <w:rsid w:val="006454F5"/>
    <w:rsid w:val="0064597C"/>
    <w:rsid w:val="00645C96"/>
    <w:rsid w:val="00646138"/>
    <w:rsid w:val="006464C6"/>
    <w:rsid w:val="00647829"/>
    <w:rsid w:val="00647BDE"/>
    <w:rsid w:val="00647C17"/>
    <w:rsid w:val="006523DA"/>
    <w:rsid w:val="006524E1"/>
    <w:rsid w:val="00652525"/>
    <w:rsid w:val="006525CE"/>
    <w:rsid w:val="006529E9"/>
    <w:rsid w:val="006530BB"/>
    <w:rsid w:val="006536EB"/>
    <w:rsid w:val="00653A60"/>
    <w:rsid w:val="00653CCB"/>
    <w:rsid w:val="006544D9"/>
    <w:rsid w:val="00654895"/>
    <w:rsid w:val="00654C0C"/>
    <w:rsid w:val="00654F29"/>
    <w:rsid w:val="0065727E"/>
    <w:rsid w:val="006573F2"/>
    <w:rsid w:val="00657ED6"/>
    <w:rsid w:val="006601F4"/>
    <w:rsid w:val="0066090A"/>
    <w:rsid w:val="00661100"/>
    <w:rsid w:val="00662618"/>
    <w:rsid w:val="006631F6"/>
    <w:rsid w:val="00663369"/>
    <w:rsid w:val="006634EF"/>
    <w:rsid w:val="0066374F"/>
    <w:rsid w:val="00663992"/>
    <w:rsid w:val="006641D0"/>
    <w:rsid w:val="006646B8"/>
    <w:rsid w:val="00664809"/>
    <w:rsid w:val="00664E65"/>
    <w:rsid w:val="006650D5"/>
    <w:rsid w:val="00665172"/>
    <w:rsid w:val="00665924"/>
    <w:rsid w:val="0066786E"/>
    <w:rsid w:val="0067148E"/>
    <w:rsid w:val="00671AFC"/>
    <w:rsid w:val="006722B6"/>
    <w:rsid w:val="00672DC1"/>
    <w:rsid w:val="00672E3D"/>
    <w:rsid w:val="00673186"/>
    <w:rsid w:val="00673B49"/>
    <w:rsid w:val="00673D42"/>
    <w:rsid w:val="0067482F"/>
    <w:rsid w:val="00674BE2"/>
    <w:rsid w:val="0067529F"/>
    <w:rsid w:val="00675347"/>
    <w:rsid w:val="00675FCC"/>
    <w:rsid w:val="006778A5"/>
    <w:rsid w:val="00677FD1"/>
    <w:rsid w:val="00680211"/>
    <w:rsid w:val="0068062B"/>
    <w:rsid w:val="00682253"/>
    <w:rsid w:val="0068309A"/>
    <w:rsid w:val="0068328C"/>
    <w:rsid w:val="00684E7F"/>
    <w:rsid w:val="0068522E"/>
    <w:rsid w:val="006859C5"/>
    <w:rsid w:val="00685DEC"/>
    <w:rsid w:val="00686FFA"/>
    <w:rsid w:val="00687DDC"/>
    <w:rsid w:val="00691173"/>
    <w:rsid w:val="00691F67"/>
    <w:rsid w:val="00693C7E"/>
    <w:rsid w:val="00695428"/>
    <w:rsid w:val="0069694F"/>
    <w:rsid w:val="00697BA2"/>
    <w:rsid w:val="006A0FBB"/>
    <w:rsid w:val="006A0FF4"/>
    <w:rsid w:val="006A1F03"/>
    <w:rsid w:val="006A281B"/>
    <w:rsid w:val="006A31BC"/>
    <w:rsid w:val="006A349E"/>
    <w:rsid w:val="006A3590"/>
    <w:rsid w:val="006A643F"/>
    <w:rsid w:val="006A70F4"/>
    <w:rsid w:val="006A7332"/>
    <w:rsid w:val="006A7387"/>
    <w:rsid w:val="006A7C4B"/>
    <w:rsid w:val="006B069C"/>
    <w:rsid w:val="006B293D"/>
    <w:rsid w:val="006B57DD"/>
    <w:rsid w:val="006B5C08"/>
    <w:rsid w:val="006B5C99"/>
    <w:rsid w:val="006B728F"/>
    <w:rsid w:val="006C0127"/>
    <w:rsid w:val="006C0F1D"/>
    <w:rsid w:val="006C14C7"/>
    <w:rsid w:val="006C1EEF"/>
    <w:rsid w:val="006C2385"/>
    <w:rsid w:val="006C2DAC"/>
    <w:rsid w:val="006C311D"/>
    <w:rsid w:val="006C3B74"/>
    <w:rsid w:val="006C4238"/>
    <w:rsid w:val="006C4740"/>
    <w:rsid w:val="006C4933"/>
    <w:rsid w:val="006C4E38"/>
    <w:rsid w:val="006C542D"/>
    <w:rsid w:val="006C5FF9"/>
    <w:rsid w:val="006C6FB1"/>
    <w:rsid w:val="006C7BFA"/>
    <w:rsid w:val="006C7E24"/>
    <w:rsid w:val="006D0185"/>
    <w:rsid w:val="006D05BD"/>
    <w:rsid w:val="006D0A2C"/>
    <w:rsid w:val="006D0BDA"/>
    <w:rsid w:val="006D0ED5"/>
    <w:rsid w:val="006D1CE6"/>
    <w:rsid w:val="006D1ED9"/>
    <w:rsid w:val="006D2332"/>
    <w:rsid w:val="006D2478"/>
    <w:rsid w:val="006D3C7A"/>
    <w:rsid w:val="006D3F0F"/>
    <w:rsid w:val="006D4AB5"/>
    <w:rsid w:val="006D4F82"/>
    <w:rsid w:val="006D61B3"/>
    <w:rsid w:val="006D6E0D"/>
    <w:rsid w:val="006D708C"/>
    <w:rsid w:val="006D7295"/>
    <w:rsid w:val="006D79CE"/>
    <w:rsid w:val="006E01AC"/>
    <w:rsid w:val="006E07B4"/>
    <w:rsid w:val="006E18F1"/>
    <w:rsid w:val="006E1D97"/>
    <w:rsid w:val="006E308A"/>
    <w:rsid w:val="006E308D"/>
    <w:rsid w:val="006E4A10"/>
    <w:rsid w:val="006E5740"/>
    <w:rsid w:val="006E5FAD"/>
    <w:rsid w:val="006E701E"/>
    <w:rsid w:val="006E7119"/>
    <w:rsid w:val="006F02F9"/>
    <w:rsid w:val="006F0653"/>
    <w:rsid w:val="006F0B99"/>
    <w:rsid w:val="006F1A86"/>
    <w:rsid w:val="006F3196"/>
    <w:rsid w:val="006F39BF"/>
    <w:rsid w:val="006F5B54"/>
    <w:rsid w:val="006F6829"/>
    <w:rsid w:val="006F69CE"/>
    <w:rsid w:val="006F731A"/>
    <w:rsid w:val="007016D8"/>
    <w:rsid w:val="00701779"/>
    <w:rsid w:val="007018FB"/>
    <w:rsid w:val="00701FDC"/>
    <w:rsid w:val="00703258"/>
    <w:rsid w:val="0070460A"/>
    <w:rsid w:val="00704996"/>
    <w:rsid w:val="00704FE2"/>
    <w:rsid w:val="00704FF1"/>
    <w:rsid w:val="0070583F"/>
    <w:rsid w:val="007058B3"/>
    <w:rsid w:val="00705F51"/>
    <w:rsid w:val="00706102"/>
    <w:rsid w:val="00706215"/>
    <w:rsid w:val="00706DF0"/>
    <w:rsid w:val="007105AA"/>
    <w:rsid w:val="00710C94"/>
    <w:rsid w:val="007114B9"/>
    <w:rsid w:val="00711BAD"/>
    <w:rsid w:val="00711DD8"/>
    <w:rsid w:val="00712811"/>
    <w:rsid w:val="00712958"/>
    <w:rsid w:val="00712F40"/>
    <w:rsid w:val="00713B75"/>
    <w:rsid w:val="00713E6F"/>
    <w:rsid w:val="0071474F"/>
    <w:rsid w:val="007162A0"/>
    <w:rsid w:val="00716301"/>
    <w:rsid w:val="007165B8"/>
    <w:rsid w:val="007166DF"/>
    <w:rsid w:val="00717038"/>
    <w:rsid w:val="0072054D"/>
    <w:rsid w:val="00720EE9"/>
    <w:rsid w:val="0072142E"/>
    <w:rsid w:val="00723263"/>
    <w:rsid w:val="007236D0"/>
    <w:rsid w:val="00725230"/>
    <w:rsid w:val="00725AE7"/>
    <w:rsid w:val="00726C88"/>
    <w:rsid w:val="007278F9"/>
    <w:rsid w:val="00727A39"/>
    <w:rsid w:val="00727ECE"/>
    <w:rsid w:val="0073073B"/>
    <w:rsid w:val="0073129B"/>
    <w:rsid w:val="00733493"/>
    <w:rsid w:val="00734CC9"/>
    <w:rsid w:val="00737267"/>
    <w:rsid w:val="00737671"/>
    <w:rsid w:val="00737683"/>
    <w:rsid w:val="0073776E"/>
    <w:rsid w:val="00737CE5"/>
    <w:rsid w:val="0074060C"/>
    <w:rsid w:val="00740916"/>
    <w:rsid w:val="00740A3E"/>
    <w:rsid w:val="007416A2"/>
    <w:rsid w:val="00741B10"/>
    <w:rsid w:val="00741C98"/>
    <w:rsid w:val="0074214B"/>
    <w:rsid w:val="007424D4"/>
    <w:rsid w:val="0074297F"/>
    <w:rsid w:val="00742BD6"/>
    <w:rsid w:val="00743402"/>
    <w:rsid w:val="00743BD9"/>
    <w:rsid w:val="00744394"/>
    <w:rsid w:val="0074627C"/>
    <w:rsid w:val="0074673B"/>
    <w:rsid w:val="007510AA"/>
    <w:rsid w:val="00751383"/>
    <w:rsid w:val="00751E27"/>
    <w:rsid w:val="00751FD7"/>
    <w:rsid w:val="0075360C"/>
    <w:rsid w:val="007541F0"/>
    <w:rsid w:val="007541F6"/>
    <w:rsid w:val="00754674"/>
    <w:rsid w:val="00754B11"/>
    <w:rsid w:val="00756CB0"/>
    <w:rsid w:val="00760306"/>
    <w:rsid w:val="0076079B"/>
    <w:rsid w:val="0076205C"/>
    <w:rsid w:val="0076273F"/>
    <w:rsid w:val="00762F50"/>
    <w:rsid w:val="0076357B"/>
    <w:rsid w:val="00764808"/>
    <w:rsid w:val="007656F4"/>
    <w:rsid w:val="00766AAE"/>
    <w:rsid w:val="0077038C"/>
    <w:rsid w:val="007704BF"/>
    <w:rsid w:val="00772F78"/>
    <w:rsid w:val="00773331"/>
    <w:rsid w:val="00773EC6"/>
    <w:rsid w:val="0077403C"/>
    <w:rsid w:val="00774368"/>
    <w:rsid w:val="007746AF"/>
    <w:rsid w:val="00775F38"/>
    <w:rsid w:val="0077698A"/>
    <w:rsid w:val="007775C5"/>
    <w:rsid w:val="007802D7"/>
    <w:rsid w:val="00780A06"/>
    <w:rsid w:val="007826B0"/>
    <w:rsid w:val="00783783"/>
    <w:rsid w:val="007849C9"/>
    <w:rsid w:val="007863BF"/>
    <w:rsid w:val="007874A7"/>
    <w:rsid w:val="00787784"/>
    <w:rsid w:val="007878C7"/>
    <w:rsid w:val="00787B08"/>
    <w:rsid w:val="00787CB4"/>
    <w:rsid w:val="007939BF"/>
    <w:rsid w:val="00794B33"/>
    <w:rsid w:val="0079547A"/>
    <w:rsid w:val="0079577A"/>
    <w:rsid w:val="00795DF2"/>
    <w:rsid w:val="00796150"/>
    <w:rsid w:val="00796396"/>
    <w:rsid w:val="00796843"/>
    <w:rsid w:val="00796E9F"/>
    <w:rsid w:val="00797A5A"/>
    <w:rsid w:val="007A116A"/>
    <w:rsid w:val="007A1CCB"/>
    <w:rsid w:val="007A2460"/>
    <w:rsid w:val="007A3A7C"/>
    <w:rsid w:val="007A50BA"/>
    <w:rsid w:val="007A564C"/>
    <w:rsid w:val="007A73A1"/>
    <w:rsid w:val="007A7910"/>
    <w:rsid w:val="007B0895"/>
    <w:rsid w:val="007B094A"/>
    <w:rsid w:val="007B0FB4"/>
    <w:rsid w:val="007B21D5"/>
    <w:rsid w:val="007B253E"/>
    <w:rsid w:val="007B2825"/>
    <w:rsid w:val="007B2DE6"/>
    <w:rsid w:val="007B2DE7"/>
    <w:rsid w:val="007B35F2"/>
    <w:rsid w:val="007B3FB7"/>
    <w:rsid w:val="007B50FC"/>
    <w:rsid w:val="007B512D"/>
    <w:rsid w:val="007B5BBF"/>
    <w:rsid w:val="007B675F"/>
    <w:rsid w:val="007B6C1D"/>
    <w:rsid w:val="007B7E08"/>
    <w:rsid w:val="007C0E86"/>
    <w:rsid w:val="007C1BF6"/>
    <w:rsid w:val="007C1CD3"/>
    <w:rsid w:val="007C1D1C"/>
    <w:rsid w:val="007C203D"/>
    <w:rsid w:val="007C2F82"/>
    <w:rsid w:val="007C391A"/>
    <w:rsid w:val="007C3C70"/>
    <w:rsid w:val="007C3FC6"/>
    <w:rsid w:val="007C6856"/>
    <w:rsid w:val="007C6F60"/>
    <w:rsid w:val="007C7159"/>
    <w:rsid w:val="007C7388"/>
    <w:rsid w:val="007C77BC"/>
    <w:rsid w:val="007C7A99"/>
    <w:rsid w:val="007D0423"/>
    <w:rsid w:val="007D0440"/>
    <w:rsid w:val="007D0A3F"/>
    <w:rsid w:val="007D30ED"/>
    <w:rsid w:val="007D36CF"/>
    <w:rsid w:val="007D5546"/>
    <w:rsid w:val="007D6073"/>
    <w:rsid w:val="007D668B"/>
    <w:rsid w:val="007D6DA6"/>
    <w:rsid w:val="007D73C2"/>
    <w:rsid w:val="007D7EC5"/>
    <w:rsid w:val="007E07B0"/>
    <w:rsid w:val="007E087F"/>
    <w:rsid w:val="007E0C53"/>
    <w:rsid w:val="007E1079"/>
    <w:rsid w:val="007E1AC6"/>
    <w:rsid w:val="007E3F7B"/>
    <w:rsid w:val="007E447C"/>
    <w:rsid w:val="007E44E5"/>
    <w:rsid w:val="007E4A99"/>
    <w:rsid w:val="007E5F71"/>
    <w:rsid w:val="007E62BB"/>
    <w:rsid w:val="007E64D0"/>
    <w:rsid w:val="007E720F"/>
    <w:rsid w:val="007F1FCA"/>
    <w:rsid w:val="007F20E4"/>
    <w:rsid w:val="007F273A"/>
    <w:rsid w:val="007F2887"/>
    <w:rsid w:val="007F28A8"/>
    <w:rsid w:val="007F36AE"/>
    <w:rsid w:val="007F3BAF"/>
    <w:rsid w:val="007F3C5B"/>
    <w:rsid w:val="007F3D46"/>
    <w:rsid w:val="007F41DC"/>
    <w:rsid w:val="007F4A7C"/>
    <w:rsid w:val="007F5445"/>
    <w:rsid w:val="007F5489"/>
    <w:rsid w:val="007F5F29"/>
    <w:rsid w:val="007F6027"/>
    <w:rsid w:val="007F6C7B"/>
    <w:rsid w:val="008012C3"/>
    <w:rsid w:val="00801B97"/>
    <w:rsid w:val="00801ECB"/>
    <w:rsid w:val="0080338E"/>
    <w:rsid w:val="00807304"/>
    <w:rsid w:val="00807F20"/>
    <w:rsid w:val="008111EB"/>
    <w:rsid w:val="008113B7"/>
    <w:rsid w:val="00811893"/>
    <w:rsid w:val="00811B82"/>
    <w:rsid w:val="008130CA"/>
    <w:rsid w:val="00814024"/>
    <w:rsid w:val="00815ADB"/>
    <w:rsid w:val="008168CA"/>
    <w:rsid w:val="008173C7"/>
    <w:rsid w:val="008174CE"/>
    <w:rsid w:val="008203D1"/>
    <w:rsid w:val="00820982"/>
    <w:rsid w:val="00820A44"/>
    <w:rsid w:val="00824BD4"/>
    <w:rsid w:val="00824D4A"/>
    <w:rsid w:val="00827526"/>
    <w:rsid w:val="0083050D"/>
    <w:rsid w:val="00830BFD"/>
    <w:rsid w:val="00831BF1"/>
    <w:rsid w:val="00831F9F"/>
    <w:rsid w:val="00833291"/>
    <w:rsid w:val="00833665"/>
    <w:rsid w:val="00833C7E"/>
    <w:rsid w:val="00834745"/>
    <w:rsid w:val="008353E3"/>
    <w:rsid w:val="00835695"/>
    <w:rsid w:val="008362B7"/>
    <w:rsid w:val="0083684F"/>
    <w:rsid w:val="00836B58"/>
    <w:rsid w:val="00837528"/>
    <w:rsid w:val="008376A0"/>
    <w:rsid w:val="00837C79"/>
    <w:rsid w:val="00837DCE"/>
    <w:rsid w:val="0084232D"/>
    <w:rsid w:val="008430AA"/>
    <w:rsid w:val="008433A6"/>
    <w:rsid w:val="008434FC"/>
    <w:rsid w:val="00844516"/>
    <w:rsid w:val="00844E44"/>
    <w:rsid w:val="00845119"/>
    <w:rsid w:val="00845AD0"/>
    <w:rsid w:val="00845E59"/>
    <w:rsid w:val="00846CB2"/>
    <w:rsid w:val="0084701F"/>
    <w:rsid w:val="008474F3"/>
    <w:rsid w:val="00850C9E"/>
    <w:rsid w:val="00851045"/>
    <w:rsid w:val="008513BD"/>
    <w:rsid w:val="0085297A"/>
    <w:rsid w:val="00853065"/>
    <w:rsid w:val="00853756"/>
    <w:rsid w:val="00853E20"/>
    <w:rsid w:val="00854947"/>
    <w:rsid w:val="00854995"/>
    <w:rsid w:val="00854C9C"/>
    <w:rsid w:val="00854D30"/>
    <w:rsid w:val="00855A09"/>
    <w:rsid w:val="00855B6A"/>
    <w:rsid w:val="008562A4"/>
    <w:rsid w:val="0085707F"/>
    <w:rsid w:val="008615DD"/>
    <w:rsid w:val="008617D0"/>
    <w:rsid w:val="00861AB6"/>
    <w:rsid w:val="00861C42"/>
    <w:rsid w:val="00862E65"/>
    <w:rsid w:val="00863D89"/>
    <w:rsid w:val="00864632"/>
    <w:rsid w:val="00864635"/>
    <w:rsid w:val="00865659"/>
    <w:rsid w:val="00866222"/>
    <w:rsid w:val="00866498"/>
    <w:rsid w:val="0086707B"/>
    <w:rsid w:val="00871171"/>
    <w:rsid w:val="008714CA"/>
    <w:rsid w:val="00871CF5"/>
    <w:rsid w:val="00871EB0"/>
    <w:rsid w:val="00872502"/>
    <w:rsid w:val="008729E4"/>
    <w:rsid w:val="0087369F"/>
    <w:rsid w:val="00873A48"/>
    <w:rsid w:val="00873D4B"/>
    <w:rsid w:val="008741C8"/>
    <w:rsid w:val="0087420F"/>
    <w:rsid w:val="00874541"/>
    <w:rsid w:val="00875F78"/>
    <w:rsid w:val="00876012"/>
    <w:rsid w:val="00876BCD"/>
    <w:rsid w:val="00877784"/>
    <w:rsid w:val="00880783"/>
    <w:rsid w:val="008810FF"/>
    <w:rsid w:val="0088191A"/>
    <w:rsid w:val="00883454"/>
    <w:rsid w:val="00883BEB"/>
    <w:rsid w:val="00884C4C"/>
    <w:rsid w:val="00884EAD"/>
    <w:rsid w:val="008855C3"/>
    <w:rsid w:val="00885D41"/>
    <w:rsid w:val="0088633F"/>
    <w:rsid w:val="00886428"/>
    <w:rsid w:val="008864C3"/>
    <w:rsid w:val="008864D4"/>
    <w:rsid w:val="00891364"/>
    <w:rsid w:val="00891F7E"/>
    <w:rsid w:val="00892708"/>
    <w:rsid w:val="00892D52"/>
    <w:rsid w:val="00892D8D"/>
    <w:rsid w:val="008936F8"/>
    <w:rsid w:val="00893781"/>
    <w:rsid w:val="008937A1"/>
    <w:rsid w:val="0089381A"/>
    <w:rsid w:val="00894374"/>
    <w:rsid w:val="00895F70"/>
    <w:rsid w:val="0089633F"/>
    <w:rsid w:val="00896B3B"/>
    <w:rsid w:val="008A0DAE"/>
    <w:rsid w:val="008A0E3B"/>
    <w:rsid w:val="008A0EAF"/>
    <w:rsid w:val="008A1FD3"/>
    <w:rsid w:val="008A21CA"/>
    <w:rsid w:val="008A3661"/>
    <w:rsid w:val="008A3780"/>
    <w:rsid w:val="008A4B6C"/>
    <w:rsid w:val="008A746B"/>
    <w:rsid w:val="008A7523"/>
    <w:rsid w:val="008A7694"/>
    <w:rsid w:val="008A7BDC"/>
    <w:rsid w:val="008B0393"/>
    <w:rsid w:val="008B085F"/>
    <w:rsid w:val="008B0BD7"/>
    <w:rsid w:val="008B1AAE"/>
    <w:rsid w:val="008B2BBB"/>
    <w:rsid w:val="008B2EE7"/>
    <w:rsid w:val="008B3BCE"/>
    <w:rsid w:val="008B3D55"/>
    <w:rsid w:val="008B4B6D"/>
    <w:rsid w:val="008B4D59"/>
    <w:rsid w:val="008B6CD1"/>
    <w:rsid w:val="008C0BAC"/>
    <w:rsid w:val="008C1375"/>
    <w:rsid w:val="008C19CF"/>
    <w:rsid w:val="008C1B2B"/>
    <w:rsid w:val="008C1CEF"/>
    <w:rsid w:val="008C294A"/>
    <w:rsid w:val="008C2D64"/>
    <w:rsid w:val="008C3A75"/>
    <w:rsid w:val="008C3B38"/>
    <w:rsid w:val="008C678F"/>
    <w:rsid w:val="008C6E65"/>
    <w:rsid w:val="008C7630"/>
    <w:rsid w:val="008C7707"/>
    <w:rsid w:val="008C7C5D"/>
    <w:rsid w:val="008D06ED"/>
    <w:rsid w:val="008D0B32"/>
    <w:rsid w:val="008D12D4"/>
    <w:rsid w:val="008D1EC1"/>
    <w:rsid w:val="008D338F"/>
    <w:rsid w:val="008D373E"/>
    <w:rsid w:val="008D376B"/>
    <w:rsid w:val="008D4ED6"/>
    <w:rsid w:val="008D5233"/>
    <w:rsid w:val="008D581E"/>
    <w:rsid w:val="008D644F"/>
    <w:rsid w:val="008D744C"/>
    <w:rsid w:val="008D7666"/>
    <w:rsid w:val="008E0581"/>
    <w:rsid w:val="008E063D"/>
    <w:rsid w:val="008E11A9"/>
    <w:rsid w:val="008E1E6A"/>
    <w:rsid w:val="008E2FFD"/>
    <w:rsid w:val="008E3910"/>
    <w:rsid w:val="008E40C2"/>
    <w:rsid w:val="008E7436"/>
    <w:rsid w:val="008F108C"/>
    <w:rsid w:val="008F1504"/>
    <w:rsid w:val="008F182E"/>
    <w:rsid w:val="008F212C"/>
    <w:rsid w:val="008F2627"/>
    <w:rsid w:val="008F3116"/>
    <w:rsid w:val="008F3220"/>
    <w:rsid w:val="008F3387"/>
    <w:rsid w:val="008F33C9"/>
    <w:rsid w:val="008F44E7"/>
    <w:rsid w:val="008F4911"/>
    <w:rsid w:val="008F51F8"/>
    <w:rsid w:val="008F581C"/>
    <w:rsid w:val="008F6021"/>
    <w:rsid w:val="008F67D7"/>
    <w:rsid w:val="008F7322"/>
    <w:rsid w:val="008F7E51"/>
    <w:rsid w:val="00901D71"/>
    <w:rsid w:val="00901DE9"/>
    <w:rsid w:val="009022C0"/>
    <w:rsid w:val="00902341"/>
    <w:rsid w:val="00903292"/>
    <w:rsid w:val="00903ACC"/>
    <w:rsid w:val="00905321"/>
    <w:rsid w:val="00905FE0"/>
    <w:rsid w:val="009062F9"/>
    <w:rsid w:val="009105D1"/>
    <w:rsid w:val="00910F9D"/>
    <w:rsid w:val="009112DB"/>
    <w:rsid w:val="00911473"/>
    <w:rsid w:val="00912233"/>
    <w:rsid w:val="00912BB4"/>
    <w:rsid w:val="0091358C"/>
    <w:rsid w:val="00914EC8"/>
    <w:rsid w:val="00916623"/>
    <w:rsid w:val="00917A62"/>
    <w:rsid w:val="009208B6"/>
    <w:rsid w:val="009208DE"/>
    <w:rsid w:val="0092094F"/>
    <w:rsid w:val="00921479"/>
    <w:rsid w:val="00921617"/>
    <w:rsid w:val="00921B2B"/>
    <w:rsid w:val="00921B49"/>
    <w:rsid w:val="00922649"/>
    <w:rsid w:val="00922A28"/>
    <w:rsid w:val="00922CDB"/>
    <w:rsid w:val="009238C3"/>
    <w:rsid w:val="0092460E"/>
    <w:rsid w:val="00924B38"/>
    <w:rsid w:val="009258B4"/>
    <w:rsid w:val="00926542"/>
    <w:rsid w:val="009270E0"/>
    <w:rsid w:val="00927141"/>
    <w:rsid w:val="00927CD4"/>
    <w:rsid w:val="0093043F"/>
    <w:rsid w:val="00930FB1"/>
    <w:rsid w:val="00931619"/>
    <w:rsid w:val="009317C9"/>
    <w:rsid w:val="0093225A"/>
    <w:rsid w:val="00933CA4"/>
    <w:rsid w:val="00935461"/>
    <w:rsid w:val="009358DE"/>
    <w:rsid w:val="00937EA6"/>
    <w:rsid w:val="009401FC"/>
    <w:rsid w:val="0094068D"/>
    <w:rsid w:val="009413E2"/>
    <w:rsid w:val="00942094"/>
    <w:rsid w:val="00942C09"/>
    <w:rsid w:val="009444A2"/>
    <w:rsid w:val="009459E3"/>
    <w:rsid w:val="00947505"/>
    <w:rsid w:val="009477B4"/>
    <w:rsid w:val="0095000B"/>
    <w:rsid w:val="00952379"/>
    <w:rsid w:val="00953614"/>
    <w:rsid w:val="00954744"/>
    <w:rsid w:val="0095487C"/>
    <w:rsid w:val="00954EE6"/>
    <w:rsid w:val="00954FAF"/>
    <w:rsid w:val="00955037"/>
    <w:rsid w:val="009552B7"/>
    <w:rsid w:val="009564F1"/>
    <w:rsid w:val="009567E0"/>
    <w:rsid w:val="00956A3F"/>
    <w:rsid w:val="00956DB1"/>
    <w:rsid w:val="00957003"/>
    <w:rsid w:val="00957208"/>
    <w:rsid w:val="00957A9D"/>
    <w:rsid w:val="00960E3A"/>
    <w:rsid w:val="00961357"/>
    <w:rsid w:val="00961909"/>
    <w:rsid w:val="00961C8A"/>
    <w:rsid w:val="00961CA7"/>
    <w:rsid w:val="00961FC1"/>
    <w:rsid w:val="00962005"/>
    <w:rsid w:val="00962413"/>
    <w:rsid w:val="0096454F"/>
    <w:rsid w:val="0096489F"/>
    <w:rsid w:val="00965E18"/>
    <w:rsid w:val="00966C9B"/>
    <w:rsid w:val="00966E42"/>
    <w:rsid w:val="00966FF2"/>
    <w:rsid w:val="009672A8"/>
    <w:rsid w:val="00967E48"/>
    <w:rsid w:val="00970381"/>
    <w:rsid w:val="009707D4"/>
    <w:rsid w:val="00970904"/>
    <w:rsid w:val="00970C38"/>
    <w:rsid w:val="0097137C"/>
    <w:rsid w:val="00973715"/>
    <w:rsid w:val="009745F3"/>
    <w:rsid w:val="0097502F"/>
    <w:rsid w:val="00975297"/>
    <w:rsid w:val="0097537C"/>
    <w:rsid w:val="00975DB5"/>
    <w:rsid w:val="0097612C"/>
    <w:rsid w:val="00976E29"/>
    <w:rsid w:val="0097708C"/>
    <w:rsid w:val="0097752B"/>
    <w:rsid w:val="00977DF9"/>
    <w:rsid w:val="00980934"/>
    <w:rsid w:val="00981E13"/>
    <w:rsid w:val="00982B89"/>
    <w:rsid w:val="009838AF"/>
    <w:rsid w:val="0098393A"/>
    <w:rsid w:val="00984276"/>
    <w:rsid w:val="009847EB"/>
    <w:rsid w:val="009848C6"/>
    <w:rsid w:val="00984F75"/>
    <w:rsid w:val="00985006"/>
    <w:rsid w:val="0098550A"/>
    <w:rsid w:val="00985B89"/>
    <w:rsid w:val="00985FC9"/>
    <w:rsid w:val="00987090"/>
    <w:rsid w:val="00987F64"/>
    <w:rsid w:val="00990681"/>
    <w:rsid w:val="00990BEF"/>
    <w:rsid w:val="00991985"/>
    <w:rsid w:val="00991CB1"/>
    <w:rsid w:val="00992823"/>
    <w:rsid w:val="00992C6F"/>
    <w:rsid w:val="00994D80"/>
    <w:rsid w:val="009954EE"/>
    <w:rsid w:val="0099570F"/>
    <w:rsid w:val="00995DDC"/>
    <w:rsid w:val="009978F6"/>
    <w:rsid w:val="00997AC8"/>
    <w:rsid w:val="009A0594"/>
    <w:rsid w:val="009A10C6"/>
    <w:rsid w:val="009A14BE"/>
    <w:rsid w:val="009A1643"/>
    <w:rsid w:val="009A1EDE"/>
    <w:rsid w:val="009A24E2"/>
    <w:rsid w:val="009A2F59"/>
    <w:rsid w:val="009A3128"/>
    <w:rsid w:val="009A486B"/>
    <w:rsid w:val="009A4A25"/>
    <w:rsid w:val="009A6511"/>
    <w:rsid w:val="009A6A47"/>
    <w:rsid w:val="009A6A8A"/>
    <w:rsid w:val="009A6F32"/>
    <w:rsid w:val="009A7006"/>
    <w:rsid w:val="009A72F1"/>
    <w:rsid w:val="009A768E"/>
    <w:rsid w:val="009B09AB"/>
    <w:rsid w:val="009B1A20"/>
    <w:rsid w:val="009B1F62"/>
    <w:rsid w:val="009B2468"/>
    <w:rsid w:val="009B2643"/>
    <w:rsid w:val="009B272E"/>
    <w:rsid w:val="009B2DC8"/>
    <w:rsid w:val="009B41A7"/>
    <w:rsid w:val="009B50E3"/>
    <w:rsid w:val="009B66F3"/>
    <w:rsid w:val="009B6E8B"/>
    <w:rsid w:val="009B7839"/>
    <w:rsid w:val="009B78C4"/>
    <w:rsid w:val="009C0617"/>
    <w:rsid w:val="009C1114"/>
    <w:rsid w:val="009C13B3"/>
    <w:rsid w:val="009C295F"/>
    <w:rsid w:val="009C3C4E"/>
    <w:rsid w:val="009C42D3"/>
    <w:rsid w:val="009C46C7"/>
    <w:rsid w:val="009C6F6E"/>
    <w:rsid w:val="009D07D9"/>
    <w:rsid w:val="009D0DFB"/>
    <w:rsid w:val="009D0E51"/>
    <w:rsid w:val="009D18FF"/>
    <w:rsid w:val="009D2958"/>
    <w:rsid w:val="009D67A4"/>
    <w:rsid w:val="009D6854"/>
    <w:rsid w:val="009D6C84"/>
    <w:rsid w:val="009D7E4B"/>
    <w:rsid w:val="009E0323"/>
    <w:rsid w:val="009E06B8"/>
    <w:rsid w:val="009E0794"/>
    <w:rsid w:val="009E24E4"/>
    <w:rsid w:val="009E329D"/>
    <w:rsid w:val="009E37EC"/>
    <w:rsid w:val="009E3D9D"/>
    <w:rsid w:val="009E3F9C"/>
    <w:rsid w:val="009E5ADE"/>
    <w:rsid w:val="009E6D82"/>
    <w:rsid w:val="009E70BE"/>
    <w:rsid w:val="009E7199"/>
    <w:rsid w:val="009E7AFC"/>
    <w:rsid w:val="009F0C28"/>
    <w:rsid w:val="009F11C8"/>
    <w:rsid w:val="009F18B4"/>
    <w:rsid w:val="009F1C8D"/>
    <w:rsid w:val="009F238F"/>
    <w:rsid w:val="009F2BA0"/>
    <w:rsid w:val="009F3C54"/>
    <w:rsid w:val="009F3FFB"/>
    <w:rsid w:val="009F4933"/>
    <w:rsid w:val="009F4F81"/>
    <w:rsid w:val="009F4F88"/>
    <w:rsid w:val="009F6CDF"/>
    <w:rsid w:val="00A00B27"/>
    <w:rsid w:val="00A01328"/>
    <w:rsid w:val="00A02486"/>
    <w:rsid w:val="00A02CE2"/>
    <w:rsid w:val="00A038A6"/>
    <w:rsid w:val="00A04EFC"/>
    <w:rsid w:val="00A05689"/>
    <w:rsid w:val="00A05AA2"/>
    <w:rsid w:val="00A06ADE"/>
    <w:rsid w:val="00A11144"/>
    <w:rsid w:val="00A1123A"/>
    <w:rsid w:val="00A11FB0"/>
    <w:rsid w:val="00A1212A"/>
    <w:rsid w:val="00A121D3"/>
    <w:rsid w:val="00A12807"/>
    <w:rsid w:val="00A13323"/>
    <w:rsid w:val="00A13384"/>
    <w:rsid w:val="00A13C04"/>
    <w:rsid w:val="00A142FC"/>
    <w:rsid w:val="00A14339"/>
    <w:rsid w:val="00A14594"/>
    <w:rsid w:val="00A1555B"/>
    <w:rsid w:val="00A15819"/>
    <w:rsid w:val="00A165D7"/>
    <w:rsid w:val="00A20CFF"/>
    <w:rsid w:val="00A212D3"/>
    <w:rsid w:val="00A21810"/>
    <w:rsid w:val="00A21A5A"/>
    <w:rsid w:val="00A222AA"/>
    <w:rsid w:val="00A230EB"/>
    <w:rsid w:val="00A236E8"/>
    <w:rsid w:val="00A2486D"/>
    <w:rsid w:val="00A248F6"/>
    <w:rsid w:val="00A25A1D"/>
    <w:rsid w:val="00A265E6"/>
    <w:rsid w:val="00A2765E"/>
    <w:rsid w:val="00A303A8"/>
    <w:rsid w:val="00A30506"/>
    <w:rsid w:val="00A30555"/>
    <w:rsid w:val="00A305BB"/>
    <w:rsid w:val="00A30A94"/>
    <w:rsid w:val="00A30FE1"/>
    <w:rsid w:val="00A32A49"/>
    <w:rsid w:val="00A33DE6"/>
    <w:rsid w:val="00A340F1"/>
    <w:rsid w:val="00A346A8"/>
    <w:rsid w:val="00A34A18"/>
    <w:rsid w:val="00A35246"/>
    <w:rsid w:val="00A3798A"/>
    <w:rsid w:val="00A41A14"/>
    <w:rsid w:val="00A42680"/>
    <w:rsid w:val="00A42DCD"/>
    <w:rsid w:val="00A43BF2"/>
    <w:rsid w:val="00A44293"/>
    <w:rsid w:val="00A4575F"/>
    <w:rsid w:val="00A462B5"/>
    <w:rsid w:val="00A47478"/>
    <w:rsid w:val="00A504FA"/>
    <w:rsid w:val="00A5253A"/>
    <w:rsid w:val="00A5339F"/>
    <w:rsid w:val="00A53CF6"/>
    <w:rsid w:val="00A5408E"/>
    <w:rsid w:val="00A54FA0"/>
    <w:rsid w:val="00A55CC3"/>
    <w:rsid w:val="00A565E1"/>
    <w:rsid w:val="00A57163"/>
    <w:rsid w:val="00A5790A"/>
    <w:rsid w:val="00A57A84"/>
    <w:rsid w:val="00A622DE"/>
    <w:rsid w:val="00A64CDA"/>
    <w:rsid w:val="00A663D7"/>
    <w:rsid w:val="00A66D94"/>
    <w:rsid w:val="00A6795C"/>
    <w:rsid w:val="00A710DD"/>
    <w:rsid w:val="00A720BA"/>
    <w:rsid w:val="00A7248A"/>
    <w:rsid w:val="00A7315A"/>
    <w:rsid w:val="00A73BC5"/>
    <w:rsid w:val="00A7482A"/>
    <w:rsid w:val="00A74CA6"/>
    <w:rsid w:val="00A75780"/>
    <w:rsid w:val="00A75823"/>
    <w:rsid w:val="00A80182"/>
    <w:rsid w:val="00A813EE"/>
    <w:rsid w:val="00A82056"/>
    <w:rsid w:val="00A827C0"/>
    <w:rsid w:val="00A8315D"/>
    <w:rsid w:val="00A836A4"/>
    <w:rsid w:val="00A852C8"/>
    <w:rsid w:val="00A85B3F"/>
    <w:rsid w:val="00A86440"/>
    <w:rsid w:val="00A868CD"/>
    <w:rsid w:val="00A9051D"/>
    <w:rsid w:val="00A909F3"/>
    <w:rsid w:val="00A91248"/>
    <w:rsid w:val="00A9138C"/>
    <w:rsid w:val="00A92A8D"/>
    <w:rsid w:val="00A93620"/>
    <w:rsid w:val="00A93698"/>
    <w:rsid w:val="00A93C36"/>
    <w:rsid w:val="00A94046"/>
    <w:rsid w:val="00A94DAA"/>
    <w:rsid w:val="00A95F5F"/>
    <w:rsid w:val="00A9612F"/>
    <w:rsid w:val="00A96B05"/>
    <w:rsid w:val="00A96B13"/>
    <w:rsid w:val="00A96B21"/>
    <w:rsid w:val="00A97860"/>
    <w:rsid w:val="00A97E09"/>
    <w:rsid w:val="00A97F46"/>
    <w:rsid w:val="00AA022D"/>
    <w:rsid w:val="00AA0574"/>
    <w:rsid w:val="00AA0664"/>
    <w:rsid w:val="00AA1AA5"/>
    <w:rsid w:val="00AA1C45"/>
    <w:rsid w:val="00AA30B4"/>
    <w:rsid w:val="00AA3244"/>
    <w:rsid w:val="00AA4DF0"/>
    <w:rsid w:val="00AA5927"/>
    <w:rsid w:val="00AA5A94"/>
    <w:rsid w:val="00AA5B53"/>
    <w:rsid w:val="00AA60D6"/>
    <w:rsid w:val="00AA6AFB"/>
    <w:rsid w:val="00AB0A9B"/>
    <w:rsid w:val="00AB1116"/>
    <w:rsid w:val="00AB272C"/>
    <w:rsid w:val="00AB33AA"/>
    <w:rsid w:val="00AB39CE"/>
    <w:rsid w:val="00AB487E"/>
    <w:rsid w:val="00AB4DEA"/>
    <w:rsid w:val="00AB5DF4"/>
    <w:rsid w:val="00AB5F5A"/>
    <w:rsid w:val="00AB6712"/>
    <w:rsid w:val="00AB6AF9"/>
    <w:rsid w:val="00AB74A1"/>
    <w:rsid w:val="00AB7A85"/>
    <w:rsid w:val="00AC08DA"/>
    <w:rsid w:val="00AC14A4"/>
    <w:rsid w:val="00AC150C"/>
    <w:rsid w:val="00AC29DC"/>
    <w:rsid w:val="00AC39EC"/>
    <w:rsid w:val="00AC5742"/>
    <w:rsid w:val="00AC5CBF"/>
    <w:rsid w:val="00AC7A84"/>
    <w:rsid w:val="00AC7BFA"/>
    <w:rsid w:val="00AD0DE5"/>
    <w:rsid w:val="00AD0E54"/>
    <w:rsid w:val="00AD1B23"/>
    <w:rsid w:val="00AD2949"/>
    <w:rsid w:val="00AD43C6"/>
    <w:rsid w:val="00AD47C6"/>
    <w:rsid w:val="00AD5415"/>
    <w:rsid w:val="00AD5760"/>
    <w:rsid w:val="00AD6597"/>
    <w:rsid w:val="00AD6E5F"/>
    <w:rsid w:val="00AD6EFF"/>
    <w:rsid w:val="00AD762A"/>
    <w:rsid w:val="00AD7CF1"/>
    <w:rsid w:val="00AE029F"/>
    <w:rsid w:val="00AE0987"/>
    <w:rsid w:val="00AE0CB6"/>
    <w:rsid w:val="00AE1A95"/>
    <w:rsid w:val="00AE2028"/>
    <w:rsid w:val="00AE209C"/>
    <w:rsid w:val="00AE28ED"/>
    <w:rsid w:val="00AE2E9C"/>
    <w:rsid w:val="00AE49E7"/>
    <w:rsid w:val="00AE504F"/>
    <w:rsid w:val="00AE5A49"/>
    <w:rsid w:val="00AE5B5B"/>
    <w:rsid w:val="00AE5BC8"/>
    <w:rsid w:val="00AE61F9"/>
    <w:rsid w:val="00AE6EF9"/>
    <w:rsid w:val="00AE71A4"/>
    <w:rsid w:val="00AE7320"/>
    <w:rsid w:val="00AE77B5"/>
    <w:rsid w:val="00AF12B6"/>
    <w:rsid w:val="00AF1475"/>
    <w:rsid w:val="00AF17FB"/>
    <w:rsid w:val="00AF1D65"/>
    <w:rsid w:val="00AF1E73"/>
    <w:rsid w:val="00AF2572"/>
    <w:rsid w:val="00AF3668"/>
    <w:rsid w:val="00AF38C7"/>
    <w:rsid w:val="00AF461B"/>
    <w:rsid w:val="00AF4939"/>
    <w:rsid w:val="00AF6551"/>
    <w:rsid w:val="00AF7537"/>
    <w:rsid w:val="00B00201"/>
    <w:rsid w:val="00B00DD7"/>
    <w:rsid w:val="00B012F1"/>
    <w:rsid w:val="00B01A01"/>
    <w:rsid w:val="00B01B06"/>
    <w:rsid w:val="00B02681"/>
    <w:rsid w:val="00B0323C"/>
    <w:rsid w:val="00B04A51"/>
    <w:rsid w:val="00B05177"/>
    <w:rsid w:val="00B051C2"/>
    <w:rsid w:val="00B06658"/>
    <w:rsid w:val="00B06D45"/>
    <w:rsid w:val="00B06F8B"/>
    <w:rsid w:val="00B10033"/>
    <w:rsid w:val="00B102F2"/>
    <w:rsid w:val="00B11CA8"/>
    <w:rsid w:val="00B127CC"/>
    <w:rsid w:val="00B12F59"/>
    <w:rsid w:val="00B13C3B"/>
    <w:rsid w:val="00B13E3E"/>
    <w:rsid w:val="00B13FDC"/>
    <w:rsid w:val="00B151F2"/>
    <w:rsid w:val="00B15544"/>
    <w:rsid w:val="00B15811"/>
    <w:rsid w:val="00B163C3"/>
    <w:rsid w:val="00B16BEB"/>
    <w:rsid w:val="00B20B56"/>
    <w:rsid w:val="00B21CC5"/>
    <w:rsid w:val="00B22588"/>
    <w:rsid w:val="00B23A4C"/>
    <w:rsid w:val="00B24CE1"/>
    <w:rsid w:val="00B25625"/>
    <w:rsid w:val="00B258EB"/>
    <w:rsid w:val="00B2595F"/>
    <w:rsid w:val="00B25A23"/>
    <w:rsid w:val="00B26260"/>
    <w:rsid w:val="00B2798D"/>
    <w:rsid w:val="00B30315"/>
    <w:rsid w:val="00B30586"/>
    <w:rsid w:val="00B314A7"/>
    <w:rsid w:val="00B31C0A"/>
    <w:rsid w:val="00B325D1"/>
    <w:rsid w:val="00B32B2E"/>
    <w:rsid w:val="00B32D77"/>
    <w:rsid w:val="00B332B6"/>
    <w:rsid w:val="00B3331B"/>
    <w:rsid w:val="00B33D37"/>
    <w:rsid w:val="00B34984"/>
    <w:rsid w:val="00B35230"/>
    <w:rsid w:val="00B36EA9"/>
    <w:rsid w:val="00B37526"/>
    <w:rsid w:val="00B37FC9"/>
    <w:rsid w:val="00B401E5"/>
    <w:rsid w:val="00B4126E"/>
    <w:rsid w:val="00B4287A"/>
    <w:rsid w:val="00B42CA3"/>
    <w:rsid w:val="00B44195"/>
    <w:rsid w:val="00B449BA"/>
    <w:rsid w:val="00B45FC0"/>
    <w:rsid w:val="00B4634C"/>
    <w:rsid w:val="00B46515"/>
    <w:rsid w:val="00B46EDD"/>
    <w:rsid w:val="00B47340"/>
    <w:rsid w:val="00B47EBE"/>
    <w:rsid w:val="00B50E96"/>
    <w:rsid w:val="00B513B4"/>
    <w:rsid w:val="00B515B9"/>
    <w:rsid w:val="00B51C69"/>
    <w:rsid w:val="00B5225A"/>
    <w:rsid w:val="00B522F4"/>
    <w:rsid w:val="00B5265F"/>
    <w:rsid w:val="00B52F3A"/>
    <w:rsid w:val="00B5320B"/>
    <w:rsid w:val="00B532E0"/>
    <w:rsid w:val="00B53C5D"/>
    <w:rsid w:val="00B545C5"/>
    <w:rsid w:val="00B54711"/>
    <w:rsid w:val="00B55830"/>
    <w:rsid w:val="00B558D2"/>
    <w:rsid w:val="00B5679A"/>
    <w:rsid w:val="00B57130"/>
    <w:rsid w:val="00B608C0"/>
    <w:rsid w:val="00B60C58"/>
    <w:rsid w:val="00B61AB3"/>
    <w:rsid w:val="00B62251"/>
    <w:rsid w:val="00B624F4"/>
    <w:rsid w:val="00B627AD"/>
    <w:rsid w:val="00B62B87"/>
    <w:rsid w:val="00B6328F"/>
    <w:rsid w:val="00B6345B"/>
    <w:rsid w:val="00B640C8"/>
    <w:rsid w:val="00B6427E"/>
    <w:rsid w:val="00B6458C"/>
    <w:rsid w:val="00B647B5"/>
    <w:rsid w:val="00B656A1"/>
    <w:rsid w:val="00B65E69"/>
    <w:rsid w:val="00B66DB0"/>
    <w:rsid w:val="00B678EB"/>
    <w:rsid w:val="00B700D7"/>
    <w:rsid w:val="00B711C6"/>
    <w:rsid w:val="00B7195D"/>
    <w:rsid w:val="00B72F76"/>
    <w:rsid w:val="00B73BF6"/>
    <w:rsid w:val="00B73C22"/>
    <w:rsid w:val="00B73E55"/>
    <w:rsid w:val="00B75B91"/>
    <w:rsid w:val="00B76B44"/>
    <w:rsid w:val="00B77A4D"/>
    <w:rsid w:val="00B77DF6"/>
    <w:rsid w:val="00B80DE0"/>
    <w:rsid w:val="00B813F8"/>
    <w:rsid w:val="00B81905"/>
    <w:rsid w:val="00B82373"/>
    <w:rsid w:val="00B82635"/>
    <w:rsid w:val="00B82B28"/>
    <w:rsid w:val="00B82C09"/>
    <w:rsid w:val="00B84423"/>
    <w:rsid w:val="00B84812"/>
    <w:rsid w:val="00B84C8D"/>
    <w:rsid w:val="00B854F7"/>
    <w:rsid w:val="00B859B1"/>
    <w:rsid w:val="00B85BF5"/>
    <w:rsid w:val="00B8708E"/>
    <w:rsid w:val="00B902B4"/>
    <w:rsid w:val="00B90714"/>
    <w:rsid w:val="00B90DF1"/>
    <w:rsid w:val="00B9130B"/>
    <w:rsid w:val="00B9226B"/>
    <w:rsid w:val="00B93220"/>
    <w:rsid w:val="00B93305"/>
    <w:rsid w:val="00B9347F"/>
    <w:rsid w:val="00B939DA"/>
    <w:rsid w:val="00B93C44"/>
    <w:rsid w:val="00B940D8"/>
    <w:rsid w:val="00B9421E"/>
    <w:rsid w:val="00B94E6B"/>
    <w:rsid w:val="00B95CB5"/>
    <w:rsid w:val="00B95ED9"/>
    <w:rsid w:val="00B96E4D"/>
    <w:rsid w:val="00B96F6D"/>
    <w:rsid w:val="00B97489"/>
    <w:rsid w:val="00B97FB3"/>
    <w:rsid w:val="00BA0A9E"/>
    <w:rsid w:val="00BA1124"/>
    <w:rsid w:val="00BA13A5"/>
    <w:rsid w:val="00BA160A"/>
    <w:rsid w:val="00BA278B"/>
    <w:rsid w:val="00BA4CF6"/>
    <w:rsid w:val="00BA50E9"/>
    <w:rsid w:val="00BA5DAF"/>
    <w:rsid w:val="00BA698D"/>
    <w:rsid w:val="00BA7F8A"/>
    <w:rsid w:val="00BB0112"/>
    <w:rsid w:val="00BB1D32"/>
    <w:rsid w:val="00BB3022"/>
    <w:rsid w:val="00BB54D8"/>
    <w:rsid w:val="00BB5839"/>
    <w:rsid w:val="00BB5AA5"/>
    <w:rsid w:val="00BB65CD"/>
    <w:rsid w:val="00BB6917"/>
    <w:rsid w:val="00BB6A82"/>
    <w:rsid w:val="00BB6AD7"/>
    <w:rsid w:val="00BB6D64"/>
    <w:rsid w:val="00BC0CB5"/>
    <w:rsid w:val="00BC1996"/>
    <w:rsid w:val="00BC280B"/>
    <w:rsid w:val="00BC2CB5"/>
    <w:rsid w:val="00BC3577"/>
    <w:rsid w:val="00BC389E"/>
    <w:rsid w:val="00BC3D7D"/>
    <w:rsid w:val="00BC4891"/>
    <w:rsid w:val="00BC4906"/>
    <w:rsid w:val="00BC4F99"/>
    <w:rsid w:val="00BC61CB"/>
    <w:rsid w:val="00BC6993"/>
    <w:rsid w:val="00BC6DD1"/>
    <w:rsid w:val="00BC70FF"/>
    <w:rsid w:val="00BC7849"/>
    <w:rsid w:val="00BD12A4"/>
    <w:rsid w:val="00BD1B5A"/>
    <w:rsid w:val="00BD22D8"/>
    <w:rsid w:val="00BD2B08"/>
    <w:rsid w:val="00BD2B2B"/>
    <w:rsid w:val="00BD2FFC"/>
    <w:rsid w:val="00BD31CC"/>
    <w:rsid w:val="00BD35E5"/>
    <w:rsid w:val="00BD45C3"/>
    <w:rsid w:val="00BD4BE9"/>
    <w:rsid w:val="00BD70B9"/>
    <w:rsid w:val="00BD74C5"/>
    <w:rsid w:val="00BE01F0"/>
    <w:rsid w:val="00BE0921"/>
    <w:rsid w:val="00BE0EFF"/>
    <w:rsid w:val="00BE1650"/>
    <w:rsid w:val="00BE18EF"/>
    <w:rsid w:val="00BE275E"/>
    <w:rsid w:val="00BE2936"/>
    <w:rsid w:val="00BE341F"/>
    <w:rsid w:val="00BE4336"/>
    <w:rsid w:val="00BE4670"/>
    <w:rsid w:val="00BE4C61"/>
    <w:rsid w:val="00BF0479"/>
    <w:rsid w:val="00BF236E"/>
    <w:rsid w:val="00BF3448"/>
    <w:rsid w:val="00BF3FE1"/>
    <w:rsid w:val="00BF48BA"/>
    <w:rsid w:val="00BF505C"/>
    <w:rsid w:val="00BF5862"/>
    <w:rsid w:val="00BF5DE2"/>
    <w:rsid w:val="00BF66A4"/>
    <w:rsid w:val="00BF673A"/>
    <w:rsid w:val="00BF7388"/>
    <w:rsid w:val="00BF7C39"/>
    <w:rsid w:val="00C003EB"/>
    <w:rsid w:val="00C02F28"/>
    <w:rsid w:val="00C03622"/>
    <w:rsid w:val="00C03F59"/>
    <w:rsid w:val="00C042C4"/>
    <w:rsid w:val="00C0451F"/>
    <w:rsid w:val="00C05AD1"/>
    <w:rsid w:val="00C06AF9"/>
    <w:rsid w:val="00C106EF"/>
    <w:rsid w:val="00C10E77"/>
    <w:rsid w:val="00C110F7"/>
    <w:rsid w:val="00C11755"/>
    <w:rsid w:val="00C11A45"/>
    <w:rsid w:val="00C133A5"/>
    <w:rsid w:val="00C13443"/>
    <w:rsid w:val="00C1479B"/>
    <w:rsid w:val="00C14ED9"/>
    <w:rsid w:val="00C1596D"/>
    <w:rsid w:val="00C163BB"/>
    <w:rsid w:val="00C16D23"/>
    <w:rsid w:val="00C16E4E"/>
    <w:rsid w:val="00C202EE"/>
    <w:rsid w:val="00C20905"/>
    <w:rsid w:val="00C20CED"/>
    <w:rsid w:val="00C20E01"/>
    <w:rsid w:val="00C211E0"/>
    <w:rsid w:val="00C212A8"/>
    <w:rsid w:val="00C214D7"/>
    <w:rsid w:val="00C215EE"/>
    <w:rsid w:val="00C228F2"/>
    <w:rsid w:val="00C2354A"/>
    <w:rsid w:val="00C23DC8"/>
    <w:rsid w:val="00C24D8A"/>
    <w:rsid w:val="00C24FA0"/>
    <w:rsid w:val="00C2502D"/>
    <w:rsid w:val="00C25455"/>
    <w:rsid w:val="00C25819"/>
    <w:rsid w:val="00C259CE"/>
    <w:rsid w:val="00C25C5B"/>
    <w:rsid w:val="00C26D18"/>
    <w:rsid w:val="00C26D86"/>
    <w:rsid w:val="00C27059"/>
    <w:rsid w:val="00C27150"/>
    <w:rsid w:val="00C27392"/>
    <w:rsid w:val="00C27F71"/>
    <w:rsid w:val="00C301DA"/>
    <w:rsid w:val="00C3056A"/>
    <w:rsid w:val="00C31650"/>
    <w:rsid w:val="00C322B1"/>
    <w:rsid w:val="00C328BE"/>
    <w:rsid w:val="00C344E5"/>
    <w:rsid w:val="00C347C2"/>
    <w:rsid w:val="00C34B07"/>
    <w:rsid w:val="00C37C19"/>
    <w:rsid w:val="00C40AB1"/>
    <w:rsid w:val="00C40C33"/>
    <w:rsid w:val="00C41963"/>
    <w:rsid w:val="00C42D4D"/>
    <w:rsid w:val="00C4319D"/>
    <w:rsid w:val="00C4369E"/>
    <w:rsid w:val="00C4446F"/>
    <w:rsid w:val="00C4454C"/>
    <w:rsid w:val="00C445AA"/>
    <w:rsid w:val="00C461AE"/>
    <w:rsid w:val="00C46DEE"/>
    <w:rsid w:val="00C477C6"/>
    <w:rsid w:val="00C47BA2"/>
    <w:rsid w:val="00C47D26"/>
    <w:rsid w:val="00C5097E"/>
    <w:rsid w:val="00C50DA8"/>
    <w:rsid w:val="00C51202"/>
    <w:rsid w:val="00C51229"/>
    <w:rsid w:val="00C51BD6"/>
    <w:rsid w:val="00C520B7"/>
    <w:rsid w:val="00C532C6"/>
    <w:rsid w:val="00C53524"/>
    <w:rsid w:val="00C53B64"/>
    <w:rsid w:val="00C55FBA"/>
    <w:rsid w:val="00C570DB"/>
    <w:rsid w:val="00C6012E"/>
    <w:rsid w:val="00C619E3"/>
    <w:rsid w:val="00C61B55"/>
    <w:rsid w:val="00C61F7A"/>
    <w:rsid w:val="00C63E5C"/>
    <w:rsid w:val="00C6426E"/>
    <w:rsid w:val="00C64312"/>
    <w:rsid w:val="00C64B56"/>
    <w:rsid w:val="00C65907"/>
    <w:rsid w:val="00C664D3"/>
    <w:rsid w:val="00C66C63"/>
    <w:rsid w:val="00C66F87"/>
    <w:rsid w:val="00C6745E"/>
    <w:rsid w:val="00C676CB"/>
    <w:rsid w:val="00C71479"/>
    <w:rsid w:val="00C71DE1"/>
    <w:rsid w:val="00C71EE1"/>
    <w:rsid w:val="00C72B42"/>
    <w:rsid w:val="00C741BC"/>
    <w:rsid w:val="00C74321"/>
    <w:rsid w:val="00C74B47"/>
    <w:rsid w:val="00C751C8"/>
    <w:rsid w:val="00C76589"/>
    <w:rsid w:val="00C765FE"/>
    <w:rsid w:val="00C77DED"/>
    <w:rsid w:val="00C77DEF"/>
    <w:rsid w:val="00C81172"/>
    <w:rsid w:val="00C82F49"/>
    <w:rsid w:val="00C84F68"/>
    <w:rsid w:val="00C859B0"/>
    <w:rsid w:val="00C86248"/>
    <w:rsid w:val="00C87139"/>
    <w:rsid w:val="00C8754D"/>
    <w:rsid w:val="00C9269F"/>
    <w:rsid w:val="00C931A1"/>
    <w:rsid w:val="00C9472B"/>
    <w:rsid w:val="00C94A7B"/>
    <w:rsid w:val="00C951AC"/>
    <w:rsid w:val="00C9730D"/>
    <w:rsid w:val="00C97355"/>
    <w:rsid w:val="00C97A92"/>
    <w:rsid w:val="00CA145A"/>
    <w:rsid w:val="00CA17B5"/>
    <w:rsid w:val="00CA2A00"/>
    <w:rsid w:val="00CA40E2"/>
    <w:rsid w:val="00CA5184"/>
    <w:rsid w:val="00CA5701"/>
    <w:rsid w:val="00CA5FD2"/>
    <w:rsid w:val="00CA6915"/>
    <w:rsid w:val="00CA6FEB"/>
    <w:rsid w:val="00CA769D"/>
    <w:rsid w:val="00CA7C4E"/>
    <w:rsid w:val="00CB0C42"/>
    <w:rsid w:val="00CB0D89"/>
    <w:rsid w:val="00CB377F"/>
    <w:rsid w:val="00CB3AAC"/>
    <w:rsid w:val="00CB4320"/>
    <w:rsid w:val="00CB4F8E"/>
    <w:rsid w:val="00CB6970"/>
    <w:rsid w:val="00CB6BED"/>
    <w:rsid w:val="00CB6FB5"/>
    <w:rsid w:val="00CB74E0"/>
    <w:rsid w:val="00CB7FCA"/>
    <w:rsid w:val="00CC0188"/>
    <w:rsid w:val="00CC0838"/>
    <w:rsid w:val="00CC0D50"/>
    <w:rsid w:val="00CC1608"/>
    <w:rsid w:val="00CC16D1"/>
    <w:rsid w:val="00CC173F"/>
    <w:rsid w:val="00CC23A3"/>
    <w:rsid w:val="00CC261F"/>
    <w:rsid w:val="00CC2BF9"/>
    <w:rsid w:val="00CC4029"/>
    <w:rsid w:val="00CC44EF"/>
    <w:rsid w:val="00CC4C8D"/>
    <w:rsid w:val="00CC5949"/>
    <w:rsid w:val="00CC5970"/>
    <w:rsid w:val="00CC5FFA"/>
    <w:rsid w:val="00CD0142"/>
    <w:rsid w:val="00CD015F"/>
    <w:rsid w:val="00CD0219"/>
    <w:rsid w:val="00CD0325"/>
    <w:rsid w:val="00CD151D"/>
    <w:rsid w:val="00CD31BF"/>
    <w:rsid w:val="00CD32DA"/>
    <w:rsid w:val="00CD3A83"/>
    <w:rsid w:val="00CD3C1C"/>
    <w:rsid w:val="00CD3E8E"/>
    <w:rsid w:val="00CD4B10"/>
    <w:rsid w:val="00CD5257"/>
    <w:rsid w:val="00CD706A"/>
    <w:rsid w:val="00CD7237"/>
    <w:rsid w:val="00CD7CB8"/>
    <w:rsid w:val="00CE20C8"/>
    <w:rsid w:val="00CE2D7F"/>
    <w:rsid w:val="00CE361F"/>
    <w:rsid w:val="00CE3A44"/>
    <w:rsid w:val="00CE3C3C"/>
    <w:rsid w:val="00CE4681"/>
    <w:rsid w:val="00CE48AB"/>
    <w:rsid w:val="00CE4A04"/>
    <w:rsid w:val="00CE6014"/>
    <w:rsid w:val="00CE6676"/>
    <w:rsid w:val="00CE7D6C"/>
    <w:rsid w:val="00CF03E4"/>
    <w:rsid w:val="00CF08A6"/>
    <w:rsid w:val="00CF08C4"/>
    <w:rsid w:val="00CF0A48"/>
    <w:rsid w:val="00CF0CDF"/>
    <w:rsid w:val="00CF26D3"/>
    <w:rsid w:val="00CF2F07"/>
    <w:rsid w:val="00CF3B66"/>
    <w:rsid w:val="00CF3B87"/>
    <w:rsid w:val="00CF3BC6"/>
    <w:rsid w:val="00CF3EEA"/>
    <w:rsid w:val="00CF4343"/>
    <w:rsid w:val="00CF44FC"/>
    <w:rsid w:val="00CF4C75"/>
    <w:rsid w:val="00CF507A"/>
    <w:rsid w:val="00CF587C"/>
    <w:rsid w:val="00CF70AB"/>
    <w:rsid w:val="00D001BA"/>
    <w:rsid w:val="00D00372"/>
    <w:rsid w:val="00D0065E"/>
    <w:rsid w:val="00D012F9"/>
    <w:rsid w:val="00D0154A"/>
    <w:rsid w:val="00D01891"/>
    <w:rsid w:val="00D01985"/>
    <w:rsid w:val="00D02A09"/>
    <w:rsid w:val="00D03791"/>
    <w:rsid w:val="00D037E9"/>
    <w:rsid w:val="00D03E2B"/>
    <w:rsid w:val="00D05D43"/>
    <w:rsid w:val="00D077FA"/>
    <w:rsid w:val="00D079D6"/>
    <w:rsid w:val="00D10EC2"/>
    <w:rsid w:val="00D110E0"/>
    <w:rsid w:val="00D1278F"/>
    <w:rsid w:val="00D12AFE"/>
    <w:rsid w:val="00D1403F"/>
    <w:rsid w:val="00D1448B"/>
    <w:rsid w:val="00D14730"/>
    <w:rsid w:val="00D1476F"/>
    <w:rsid w:val="00D165DF"/>
    <w:rsid w:val="00D16906"/>
    <w:rsid w:val="00D170AC"/>
    <w:rsid w:val="00D17548"/>
    <w:rsid w:val="00D20582"/>
    <w:rsid w:val="00D2068A"/>
    <w:rsid w:val="00D20F9A"/>
    <w:rsid w:val="00D22107"/>
    <w:rsid w:val="00D22F46"/>
    <w:rsid w:val="00D23448"/>
    <w:rsid w:val="00D24B5A"/>
    <w:rsid w:val="00D25A4F"/>
    <w:rsid w:val="00D260B7"/>
    <w:rsid w:val="00D26924"/>
    <w:rsid w:val="00D26944"/>
    <w:rsid w:val="00D26AEA"/>
    <w:rsid w:val="00D27361"/>
    <w:rsid w:val="00D27C47"/>
    <w:rsid w:val="00D27D82"/>
    <w:rsid w:val="00D30207"/>
    <w:rsid w:val="00D30493"/>
    <w:rsid w:val="00D3059B"/>
    <w:rsid w:val="00D30F42"/>
    <w:rsid w:val="00D3219A"/>
    <w:rsid w:val="00D3238A"/>
    <w:rsid w:val="00D33DD5"/>
    <w:rsid w:val="00D34387"/>
    <w:rsid w:val="00D3599F"/>
    <w:rsid w:val="00D35D64"/>
    <w:rsid w:val="00D36974"/>
    <w:rsid w:val="00D406FB"/>
    <w:rsid w:val="00D406FF"/>
    <w:rsid w:val="00D41247"/>
    <w:rsid w:val="00D41765"/>
    <w:rsid w:val="00D42E2E"/>
    <w:rsid w:val="00D430AD"/>
    <w:rsid w:val="00D4572B"/>
    <w:rsid w:val="00D46984"/>
    <w:rsid w:val="00D507EA"/>
    <w:rsid w:val="00D50CE7"/>
    <w:rsid w:val="00D50FBA"/>
    <w:rsid w:val="00D518BF"/>
    <w:rsid w:val="00D524F8"/>
    <w:rsid w:val="00D5378B"/>
    <w:rsid w:val="00D54105"/>
    <w:rsid w:val="00D546A5"/>
    <w:rsid w:val="00D55A99"/>
    <w:rsid w:val="00D56E3B"/>
    <w:rsid w:val="00D5722E"/>
    <w:rsid w:val="00D57D58"/>
    <w:rsid w:val="00D60046"/>
    <w:rsid w:val="00D60CE4"/>
    <w:rsid w:val="00D6305E"/>
    <w:rsid w:val="00D638F0"/>
    <w:rsid w:val="00D64235"/>
    <w:rsid w:val="00D65426"/>
    <w:rsid w:val="00D6544B"/>
    <w:rsid w:val="00D656A4"/>
    <w:rsid w:val="00D66646"/>
    <w:rsid w:val="00D6785B"/>
    <w:rsid w:val="00D67860"/>
    <w:rsid w:val="00D70433"/>
    <w:rsid w:val="00D70DE6"/>
    <w:rsid w:val="00D70FC8"/>
    <w:rsid w:val="00D71FFB"/>
    <w:rsid w:val="00D729A4"/>
    <w:rsid w:val="00D73926"/>
    <w:rsid w:val="00D73BC8"/>
    <w:rsid w:val="00D73FAE"/>
    <w:rsid w:val="00D74573"/>
    <w:rsid w:val="00D74A4C"/>
    <w:rsid w:val="00D74DD8"/>
    <w:rsid w:val="00D77079"/>
    <w:rsid w:val="00D7791F"/>
    <w:rsid w:val="00D8008C"/>
    <w:rsid w:val="00D8116A"/>
    <w:rsid w:val="00D81A3F"/>
    <w:rsid w:val="00D8227B"/>
    <w:rsid w:val="00D835C7"/>
    <w:rsid w:val="00D83618"/>
    <w:rsid w:val="00D839FB"/>
    <w:rsid w:val="00D83ACA"/>
    <w:rsid w:val="00D84E78"/>
    <w:rsid w:val="00D85032"/>
    <w:rsid w:val="00D866E4"/>
    <w:rsid w:val="00D8684A"/>
    <w:rsid w:val="00D870D8"/>
    <w:rsid w:val="00D874FF"/>
    <w:rsid w:val="00D879EE"/>
    <w:rsid w:val="00D87BC6"/>
    <w:rsid w:val="00D9004A"/>
    <w:rsid w:val="00D9014A"/>
    <w:rsid w:val="00D92790"/>
    <w:rsid w:val="00D92996"/>
    <w:rsid w:val="00D92D24"/>
    <w:rsid w:val="00D93817"/>
    <w:rsid w:val="00D9422D"/>
    <w:rsid w:val="00D943DF"/>
    <w:rsid w:val="00D95C9B"/>
    <w:rsid w:val="00D964EF"/>
    <w:rsid w:val="00D96C14"/>
    <w:rsid w:val="00D9719B"/>
    <w:rsid w:val="00D9755F"/>
    <w:rsid w:val="00D97B44"/>
    <w:rsid w:val="00DA00D4"/>
    <w:rsid w:val="00DA05B8"/>
    <w:rsid w:val="00DA2421"/>
    <w:rsid w:val="00DA287A"/>
    <w:rsid w:val="00DA2F47"/>
    <w:rsid w:val="00DA2F5E"/>
    <w:rsid w:val="00DA33DB"/>
    <w:rsid w:val="00DA383A"/>
    <w:rsid w:val="00DA3C69"/>
    <w:rsid w:val="00DA4294"/>
    <w:rsid w:val="00DA5980"/>
    <w:rsid w:val="00DA5A28"/>
    <w:rsid w:val="00DA5CD3"/>
    <w:rsid w:val="00DA60E5"/>
    <w:rsid w:val="00DA6467"/>
    <w:rsid w:val="00DA64FE"/>
    <w:rsid w:val="00DA662F"/>
    <w:rsid w:val="00DA6CFF"/>
    <w:rsid w:val="00DA77DF"/>
    <w:rsid w:val="00DB057F"/>
    <w:rsid w:val="00DB20A5"/>
    <w:rsid w:val="00DB285C"/>
    <w:rsid w:val="00DB2E26"/>
    <w:rsid w:val="00DB34DE"/>
    <w:rsid w:val="00DB350D"/>
    <w:rsid w:val="00DB570B"/>
    <w:rsid w:val="00DB6185"/>
    <w:rsid w:val="00DB6AC4"/>
    <w:rsid w:val="00DB704F"/>
    <w:rsid w:val="00DB74AF"/>
    <w:rsid w:val="00DC0028"/>
    <w:rsid w:val="00DC1766"/>
    <w:rsid w:val="00DC1AD8"/>
    <w:rsid w:val="00DC23B0"/>
    <w:rsid w:val="00DC305B"/>
    <w:rsid w:val="00DC3859"/>
    <w:rsid w:val="00DC3926"/>
    <w:rsid w:val="00DC3AE7"/>
    <w:rsid w:val="00DC494D"/>
    <w:rsid w:val="00DC4CCC"/>
    <w:rsid w:val="00DC4D1D"/>
    <w:rsid w:val="00DC6006"/>
    <w:rsid w:val="00DC696E"/>
    <w:rsid w:val="00DC7AD7"/>
    <w:rsid w:val="00DD12E0"/>
    <w:rsid w:val="00DD13E1"/>
    <w:rsid w:val="00DD1B50"/>
    <w:rsid w:val="00DD1BA0"/>
    <w:rsid w:val="00DD3014"/>
    <w:rsid w:val="00DD310B"/>
    <w:rsid w:val="00DD3EA1"/>
    <w:rsid w:val="00DD3F50"/>
    <w:rsid w:val="00DD4806"/>
    <w:rsid w:val="00DD4DFA"/>
    <w:rsid w:val="00DD50D7"/>
    <w:rsid w:val="00DD528C"/>
    <w:rsid w:val="00DD53AD"/>
    <w:rsid w:val="00DD572E"/>
    <w:rsid w:val="00DD5A7C"/>
    <w:rsid w:val="00DD6782"/>
    <w:rsid w:val="00DD6ACE"/>
    <w:rsid w:val="00DD7955"/>
    <w:rsid w:val="00DD79DE"/>
    <w:rsid w:val="00DD7FB0"/>
    <w:rsid w:val="00DE0191"/>
    <w:rsid w:val="00DE1A37"/>
    <w:rsid w:val="00DE2150"/>
    <w:rsid w:val="00DE3C70"/>
    <w:rsid w:val="00DE4171"/>
    <w:rsid w:val="00DE4A02"/>
    <w:rsid w:val="00DE57AD"/>
    <w:rsid w:val="00DE63F9"/>
    <w:rsid w:val="00DE643A"/>
    <w:rsid w:val="00DE76EF"/>
    <w:rsid w:val="00DF0010"/>
    <w:rsid w:val="00DF0D27"/>
    <w:rsid w:val="00DF1498"/>
    <w:rsid w:val="00DF27AD"/>
    <w:rsid w:val="00DF3579"/>
    <w:rsid w:val="00DF4EE6"/>
    <w:rsid w:val="00DF55D5"/>
    <w:rsid w:val="00DF63B0"/>
    <w:rsid w:val="00DF66D1"/>
    <w:rsid w:val="00DF6944"/>
    <w:rsid w:val="00DF706C"/>
    <w:rsid w:val="00DF7239"/>
    <w:rsid w:val="00E00357"/>
    <w:rsid w:val="00E004A7"/>
    <w:rsid w:val="00E008D4"/>
    <w:rsid w:val="00E00BBE"/>
    <w:rsid w:val="00E01E83"/>
    <w:rsid w:val="00E03533"/>
    <w:rsid w:val="00E05B7C"/>
    <w:rsid w:val="00E05DA0"/>
    <w:rsid w:val="00E05EA8"/>
    <w:rsid w:val="00E05FD9"/>
    <w:rsid w:val="00E06AB6"/>
    <w:rsid w:val="00E106F6"/>
    <w:rsid w:val="00E10BED"/>
    <w:rsid w:val="00E12717"/>
    <w:rsid w:val="00E128FA"/>
    <w:rsid w:val="00E13092"/>
    <w:rsid w:val="00E13569"/>
    <w:rsid w:val="00E137AB"/>
    <w:rsid w:val="00E13F87"/>
    <w:rsid w:val="00E14858"/>
    <w:rsid w:val="00E1597C"/>
    <w:rsid w:val="00E167C9"/>
    <w:rsid w:val="00E16A4D"/>
    <w:rsid w:val="00E16F0A"/>
    <w:rsid w:val="00E20197"/>
    <w:rsid w:val="00E201C3"/>
    <w:rsid w:val="00E2032C"/>
    <w:rsid w:val="00E205D0"/>
    <w:rsid w:val="00E20E39"/>
    <w:rsid w:val="00E2180C"/>
    <w:rsid w:val="00E218EC"/>
    <w:rsid w:val="00E219D5"/>
    <w:rsid w:val="00E22A8A"/>
    <w:rsid w:val="00E23AF1"/>
    <w:rsid w:val="00E23F9F"/>
    <w:rsid w:val="00E263C9"/>
    <w:rsid w:val="00E2649F"/>
    <w:rsid w:val="00E26810"/>
    <w:rsid w:val="00E26920"/>
    <w:rsid w:val="00E274C9"/>
    <w:rsid w:val="00E300BD"/>
    <w:rsid w:val="00E314CD"/>
    <w:rsid w:val="00E31D23"/>
    <w:rsid w:val="00E32045"/>
    <w:rsid w:val="00E32C71"/>
    <w:rsid w:val="00E32E37"/>
    <w:rsid w:val="00E32F36"/>
    <w:rsid w:val="00E32F58"/>
    <w:rsid w:val="00E3310C"/>
    <w:rsid w:val="00E33124"/>
    <w:rsid w:val="00E333F4"/>
    <w:rsid w:val="00E33B7E"/>
    <w:rsid w:val="00E3479F"/>
    <w:rsid w:val="00E3585E"/>
    <w:rsid w:val="00E35BD5"/>
    <w:rsid w:val="00E36F16"/>
    <w:rsid w:val="00E3756A"/>
    <w:rsid w:val="00E400A2"/>
    <w:rsid w:val="00E400D1"/>
    <w:rsid w:val="00E41A44"/>
    <w:rsid w:val="00E429BA"/>
    <w:rsid w:val="00E43333"/>
    <w:rsid w:val="00E43E0B"/>
    <w:rsid w:val="00E441B5"/>
    <w:rsid w:val="00E44339"/>
    <w:rsid w:val="00E444B6"/>
    <w:rsid w:val="00E4564C"/>
    <w:rsid w:val="00E45F34"/>
    <w:rsid w:val="00E45FDA"/>
    <w:rsid w:val="00E47317"/>
    <w:rsid w:val="00E500A8"/>
    <w:rsid w:val="00E513ED"/>
    <w:rsid w:val="00E516E7"/>
    <w:rsid w:val="00E51F8E"/>
    <w:rsid w:val="00E523AC"/>
    <w:rsid w:val="00E53E50"/>
    <w:rsid w:val="00E5407D"/>
    <w:rsid w:val="00E54C20"/>
    <w:rsid w:val="00E5535E"/>
    <w:rsid w:val="00E56681"/>
    <w:rsid w:val="00E577E7"/>
    <w:rsid w:val="00E57C00"/>
    <w:rsid w:val="00E623BC"/>
    <w:rsid w:val="00E6280E"/>
    <w:rsid w:val="00E62904"/>
    <w:rsid w:val="00E629F5"/>
    <w:rsid w:val="00E62C76"/>
    <w:rsid w:val="00E64336"/>
    <w:rsid w:val="00E6481C"/>
    <w:rsid w:val="00E64B08"/>
    <w:rsid w:val="00E6558A"/>
    <w:rsid w:val="00E678AF"/>
    <w:rsid w:val="00E67CB5"/>
    <w:rsid w:val="00E7027D"/>
    <w:rsid w:val="00E7135F"/>
    <w:rsid w:val="00E71BC1"/>
    <w:rsid w:val="00E720EE"/>
    <w:rsid w:val="00E725F6"/>
    <w:rsid w:val="00E72D41"/>
    <w:rsid w:val="00E73175"/>
    <w:rsid w:val="00E73239"/>
    <w:rsid w:val="00E752ED"/>
    <w:rsid w:val="00E7534B"/>
    <w:rsid w:val="00E76125"/>
    <w:rsid w:val="00E807D0"/>
    <w:rsid w:val="00E808E7"/>
    <w:rsid w:val="00E81B2D"/>
    <w:rsid w:val="00E81DDA"/>
    <w:rsid w:val="00E81E2A"/>
    <w:rsid w:val="00E827AA"/>
    <w:rsid w:val="00E82ADC"/>
    <w:rsid w:val="00E83AAE"/>
    <w:rsid w:val="00E83B14"/>
    <w:rsid w:val="00E83ED0"/>
    <w:rsid w:val="00E8407B"/>
    <w:rsid w:val="00E84757"/>
    <w:rsid w:val="00E85030"/>
    <w:rsid w:val="00E87024"/>
    <w:rsid w:val="00E874DB"/>
    <w:rsid w:val="00E879BD"/>
    <w:rsid w:val="00E87C0B"/>
    <w:rsid w:val="00E90722"/>
    <w:rsid w:val="00E90F61"/>
    <w:rsid w:val="00E91474"/>
    <w:rsid w:val="00E92AE3"/>
    <w:rsid w:val="00E936AA"/>
    <w:rsid w:val="00E93AE3"/>
    <w:rsid w:val="00E94E64"/>
    <w:rsid w:val="00EA01A7"/>
    <w:rsid w:val="00EA091B"/>
    <w:rsid w:val="00EA09EE"/>
    <w:rsid w:val="00EA0ED8"/>
    <w:rsid w:val="00EA0EF5"/>
    <w:rsid w:val="00EA11D0"/>
    <w:rsid w:val="00EA1226"/>
    <w:rsid w:val="00EA3B27"/>
    <w:rsid w:val="00EA3DFC"/>
    <w:rsid w:val="00EA4A2A"/>
    <w:rsid w:val="00EA4BE3"/>
    <w:rsid w:val="00EA57DA"/>
    <w:rsid w:val="00EA63B0"/>
    <w:rsid w:val="00EA77F5"/>
    <w:rsid w:val="00EA7A5B"/>
    <w:rsid w:val="00EB0731"/>
    <w:rsid w:val="00EB1795"/>
    <w:rsid w:val="00EB1CE9"/>
    <w:rsid w:val="00EB2B26"/>
    <w:rsid w:val="00EB2D79"/>
    <w:rsid w:val="00EB330F"/>
    <w:rsid w:val="00EB3513"/>
    <w:rsid w:val="00EB363E"/>
    <w:rsid w:val="00EB3B0D"/>
    <w:rsid w:val="00EB3C98"/>
    <w:rsid w:val="00EB4392"/>
    <w:rsid w:val="00EB4746"/>
    <w:rsid w:val="00EB4B3A"/>
    <w:rsid w:val="00EB530D"/>
    <w:rsid w:val="00EB5893"/>
    <w:rsid w:val="00EB5E74"/>
    <w:rsid w:val="00EB62CA"/>
    <w:rsid w:val="00EB6439"/>
    <w:rsid w:val="00EB6624"/>
    <w:rsid w:val="00EB6A69"/>
    <w:rsid w:val="00EB75BA"/>
    <w:rsid w:val="00EC0613"/>
    <w:rsid w:val="00EC1BBC"/>
    <w:rsid w:val="00EC33FD"/>
    <w:rsid w:val="00EC3632"/>
    <w:rsid w:val="00EC4117"/>
    <w:rsid w:val="00EC4513"/>
    <w:rsid w:val="00EC5089"/>
    <w:rsid w:val="00EC5AFC"/>
    <w:rsid w:val="00EC5BAF"/>
    <w:rsid w:val="00ED2260"/>
    <w:rsid w:val="00ED28B4"/>
    <w:rsid w:val="00ED3068"/>
    <w:rsid w:val="00ED3849"/>
    <w:rsid w:val="00ED398F"/>
    <w:rsid w:val="00ED3C1A"/>
    <w:rsid w:val="00ED4B3D"/>
    <w:rsid w:val="00ED4BB2"/>
    <w:rsid w:val="00ED5D81"/>
    <w:rsid w:val="00ED6930"/>
    <w:rsid w:val="00ED7BC4"/>
    <w:rsid w:val="00EE027E"/>
    <w:rsid w:val="00EE19CE"/>
    <w:rsid w:val="00EE262E"/>
    <w:rsid w:val="00EE372E"/>
    <w:rsid w:val="00EE4339"/>
    <w:rsid w:val="00EE4C70"/>
    <w:rsid w:val="00EE4E1F"/>
    <w:rsid w:val="00EE4E9A"/>
    <w:rsid w:val="00EE4FEB"/>
    <w:rsid w:val="00EE5480"/>
    <w:rsid w:val="00EE5728"/>
    <w:rsid w:val="00EE57E6"/>
    <w:rsid w:val="00EE5D5A"/>
    <w:rsid w:val="00EE6A9C"/>
    <w:rsid w:val="00EE6DD6"/>
    <w:rsid w:val="00EE6EEE"/>
    <w:rsid w:val="00EE7089"/>
    <w:rsid w:val="00EF0C69"/>
    <w:rsid w:val="00EF1004"/>
    <w:rsid w:val="00EF1382"/>
    <w:rsid w:val="00EF32DA"/>
    <w:rsid w:val="00EF3B06"/>
    <w:rsid w:val="00EF4AFB"/>
    <w:rsid w:val="00EF4BDD"/>
    <w:rsid w:val="00EF529A"/>
    <w:rsid w:val="00EF5C88"/>
    <w:rsid w:val="00EF5D0F"/>
    <w:rsid w:val="00EF7351"/>
    <w:rsid w:val="00EF7439"/>
    <w:rsid w:val="00F0033C"/>
    <w:rsid w:val="00F00CB8"/>
    <w:rsid w:val="00F014FC"/>
    <w:rsid w:val="00F0153B"/>
    <w:rsid w:val="00F0219B"/>
    <w:rsid w:val="00F0220E"/>
    <w:rsid w:val="00F027AC"/>
    <w:rsid w:val="00F033C5"/>
    <w:rsid w:val="00F034DB"/>
    <w:rsid w:val="00F04332"/>
    <w:rsid w:val="00F04683"/>
    <w:rsid w:val="00F0483B"/>
    <w:rsid w:val="00F04D6A"/>
    <w:rsid w:val="00F054A0"/>
    <w:rsid w:val="00F056AD"/>
    <w:rsid w:val="00F057C3"/>
    <w:rsid w:val="00F06171"/>
    <w:rsid w:val="00F06C88"/>
    <w:rsid w:val="00F07160"/>
    <w:rsid w:val="00F0728F"/>
    <w:rsid w:val="00F07411"/>
    <w:rsid w:val="00F07817"/>
    <w:rsid w:val="00F1095B"/>
    <w:rsid w:val="00F11069"/>
    <w:rsid w:val="00F120F4"/>
    <w:rsid w:val="00F121CD"/>
    <w:rsid w:val="00F124F5"/>
    <w:rsid w:val="00F127E4"/>
    <w:rsid w:val="00F12DAF"/>
    <w:rsid w:val="00F131FB"/>
    <w:rsid w:val="00F1391C"/>
    <w:rsid w:val="00F150C0"/>
    <w:rsid w:val="00F150CC"/>
    <w:rsid w:val="00F15397"/>
    <w:rsid w:val="00F1624D"/>
    <w:rsid w:val="00F20552"/>
    <w:rsid w:val="00F2084F"/>
    <w:rsid w:val="00F20BCB"/>
    <w:rsid w:val="00F21899"/>
    <w:rsid w:val="00F22C7A"/>
    <w:rsid w:val="00F238B7"/>
    <w:rsid w:val="00F24702"/>
    <w:rsid w:val="00F24B0C"/>
    <w:rsid w:val="00F24F5E"/>
    <w:rsid w:val="00F2501E"/>
    <w:rsid w:val="00F252D6"/>
    <w:rsid w:val="00F258FB"/>
    <w:rsid w:val="00F25CE7"/>
    <w:rsid w:val="00F25E07"/>
    <w:rsid w:val="00F26353"/>
    <w:rsid w:val="00F2676E"/>
    <w:rsid w:val="00F26A01"/>
    <w:rsid w:val="00F26F63"/>
    <w:rsid w:val="00F26F99"/>
    <w:rsid w:val="00F27009"/>
    <w:rsid w:val="00F278D5"/>
    <w:rsid w:val="00F30343"/>
    <w:rsid w:val="00F30889"/>
    <w:rsid w:val="00F30911"/>
    <w:rsid w:val="00F3091F"/>
    <w:rsid w:val="00F30C98"/>
    <w:rsid w:val="00F3173E"/>
    <w:rsid w:val="00F31E51"/>
    <w:rsid w:val="00F32C16"/>
    <w:rsid w:val="00F33402"/>
    <w:rsid w:val="00F34261"/>
    <w:rsid w:val="00F34954"/>
    <w:rsid w:val="00F351F3"/>
    <w:rsid w:val="00F36D8B"/>
    <w:rsid w:val="00F37397"/>
    <w:rsid w:val="00F37472"/>
    <w:rsid w:val="00F3762A"/>
    <w:rsid w:val="00F37A73"/>
    <w:rsid w:val="00F37C6A"/>
    <w:rsid w:val="00F37D6D"/>
    <w:rsid w:val="00F41E7A"/>
    <w:rsid w:val="00F425F0"/>
    <w:rsid w:val="00F43167"/>
    <w:rsid w:val="00F43CF8"/>
    <w:rsid w:val="00F43EDC"/>
    <w:rsid w:val="00F447E8"/>
    <w:rsid w:val="00F454A5"/>
    <w:rsid w:val="00F46CE9"/>
    <w:rsid w:val="00F46DB9"/>
    <w:rsid w:val="00F470E0"/>
    <w:rsid w:val="00F47B62"/>
    <w:rsid w:val="00F50382"/>
    <w:rsid w:val="00F524F4"/>
    <w:rsid w:val="00F5557D"/>
    <w:rsid w:val="00F55E4A"/>
    <w:rsid w:val="00F56A86"/>
    <w:rsid w:val="00F60A12"/>
    <w:rsid w:val="00F60EC8"/>
    <w:rsid w:val="00F61613"/>
    <w:rsid w:val="00F61937"/>
    <w:rsid w:val="00F61D73"/>
    <w:rsid w:val="00F621EE"/>
    <w:rsid w:val="00F62932"/>
    <w:rsid w:val="00F62E9B"/>
    <w:rsid w:val="00F6369B"/>
    <w:rsid w:val="00F637BF"/>
    <w:rsid w:val="00F63884"/>
    <w:rsid w:val="00F63AFE"/>
    <w:rsid w:val="00F659AF"/>
    <w:rsid w:val="00F666D8"/>
    <w:rsid w:val="00F70D03"/>
    <w:rsid w:val="00F70FCD"/>
    <w:rsid w:val="00F71532"/>
    <w:rsid w:val="00F71587"/>
    <w:rsid w:val="00F71FE5"/>
    <w:rsid w:val="00F7244D"/>
    <w:rsid w:val="00F72490"/>
    <w:rsid w:val="00F75045"/>
    <w:rsid w:val="00F75F90"/>
    <w:rsid w:val="00F76060"/>
    <w:rsid w:val="00F76622"/>
    <w:rsid w:val="00F773D7"/>
    <w:rsid w:val="00F80528"/>
    <w:rsid w:val="00F8117D"/>
    <w:rsid w:val="00F811AE"/>
    <w:rsid w:val="00F813C5"/>
    <w:rsid w:val="00F818EB"/>
    <w:rsid w:val="00F81963"/>
    <w:rsid w:val="00F81DDD"/>
    <w:rsid w:val="00F8227A"/>
    <w:rsid w:val="00F824BC"/>
    <w:rsid w:val="00F83168"/>
    <w:rsid w:val="00F84F5F"/>
    <w:rsid w:val="00F85961"/>
    <w:rsid w:val="00F85FB5"/>
    <w:rsid w:val="00F8641A"/>
    <w:rsid w:val="00F8672B"/>
    <w:rsid w:val="00F87719"/>
    <w:rsid w:val="00F90237"/>
    <w:rsid w:val="00F905FB"/>
    <w:rsid w:val="00F912A4"/>
    <w:rsid w:val="00F936F6"/>
    <w:rsid w:val="00F9469C"/>
    <w:rsid w:val="00F94950"/>
    <w:rsid w:val="00F95D29"/>
    <w:rsid w:val="00F95DD8"/>
    <w:rsid w:val="00F96CD7"/>
    <w:rsid w:val="00F96E82"/>
    <w:rsid w:val="00F970E4"/>
    <w:rsid w:val="00FA18C9"/>
    <w:rsid w:val="00FA1B43"/>
    <w:rsid w:val="00FA2E12"/>
    <w:rsid w:val="00FA2E6C"/>
    <w:rsid w:val="00FA3876"/>
    <w:rsid w:val="00FA53CD"/>
    <w:rsid w:val="00FA5545"/>
    <w:rsid w:val="00FA5B30"/>
    <w:rsid w:val="00FA612E"/>
    <w:rsid w:val="00FA6475"/>
    <w:rsid w:val="00FA7D6D"/>
    <w:rsid w:val="00FB15D6"/>
    <w:rsid w:val="00FB1BFB"/>
    <w:rsid w:val="00FB40B7"/>
    <w:rsid w:val="00FB413A"/>
    <w:rsid w:val="00FB4537"/>
    <w:rsid w:val="00FB5F25"/>
    <w:rsid w:val="00FB7680"/>
    <w:rsid w:val="00FC090A"/>
    <w:rsid w:val="00FC1159"/>
    <w:rsid w:val="00FC1F22"/>
    <w:rsid w:val="00FC2549"/>
    <w:rsid w:val="00FC368C"/>
    <w:rsid w:val="00FC3E2D"/>
    <w:rsid w:val="00FC5FF0"/>
    <w:rsid w:val="00FC60CD"/>
    <w:rsid w:val="00FD0038"/>
    <w:rsid w:val="00FD0616"/>
    <w:rsid w:val="00FD1750"/>
    <w:rsid w:val="00FD248A"/>
    <w:rsid w:val="00FD3107"/>
    <w:rsid w:val="00FD40B6"/>
    <w:rsid w:val="00FD441D"/>
    <w:rsid w:val="00FD4461"/>
    <w:rsid w:val="00FD446C"/>
    <w:rsid w:val="00FD4C94"/>
    <w:rsid w:val="00FD4D7B"/>
    <w:rsid w:val="00FD5083"/>
    <w:rsid w:val="00FD58FF"/>
    <w:rsid w:val="00FD67F1"/>
    <w:rsid w:val="00FD7405"/>
    <w:rsid w:val="00FE183D"/>
    <w:rsid w:val="00FE1A2F"/>
    <w:rsid w:val="00FE1EBD"/>
    <w:rsid w:val="00FE24A9"/>
    <w:rsid w:val="00FE28C0"/>
    <w:rsid w:val="00FE4D37"/>
    <w:rsid w:val="00FE4FBB"/>
    <w:rsid w:val="00FE6DB3"/>
    <w:rsid w:val="00FE7322"/>
    <w:rsid w:val="00FE7863"/>
    <w:rsid w:val="00FF00AC"/>
    <w:rsid w:val="00FF1966"/>
    <w:rsid w:val="00FF1A72"/>
    <w:rsid w:val="00FF1DAD"/>
    <w:rsid w:val="00FF2825"/>
    <w:rsid w:val="00FF2F06"/>
    <w:rsid w:val="00FF3069"/>
    <w:rsid w:val="00FF384C"/>
    <w:rsid w:val="00FF5988"/>
    <w:rsid w:val="00FF5DE7"/>
    <w:rsid w:val="00FF61A7"/>
    <w:rsid w:val="00FF6371"/>
    <w:rsid w:val="00FF69FC"/>
    <w:rsid w:val="00FF6AA5"/>
    <w:rsid w:val="00FF72D7"/>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F14F8CD"/>
    <w:rsid w:val="2F2ED497"/>
    <w:rsid w:val="2F5CC3BC"/>
    <w:rsid w:val="302C474D"/>
    <w:rsid w:val="3060531A"/>
    <w:rsid w:val="3069C688"/>
    <w:rsid w:val="30FA92D6"/>
    <w:rsid w:val="31C577E8"/>
    <w:rsid w:val="31EFE2F1"/>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CD0B9C"/>
    <w:rsid w:val="7FFED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12F51"/>
  <w15:chartTrackingRefBased/>
  <w15:docId w15:val="{5ADB03DA-2633-4E7D-931C-5A69CD0BB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9E7199"/>
    <w:pPr>
      <w:keepNext/>
      <w:keepLines/>
      <w:numPr>
        <w:numId w:val="8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E7199"/>
    <w:pPr>
      <w:keepNext/>
      <w:keepLines/>
      <w:numPr>
        <w:ilvl w:val="1"/>
        <w:numId w:val="8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E7199"/>
    <w:pPr>
      <w:keepNext/>
      <w:keepLines/>
      <w:numPr>
        <w:ilvl w:val="2"/>
        <w:numId w:val="8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E7199"/>
    <w:pPr>
      <w:keepNext/>
      <w:numPr>
        <w:ilvl w:val="3"/>
        <w:numId w:val="8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E7199"/>
    <w:pPr>
      <w:keepNext/>
      <w:numPr>
        <w:ilvl w:val="4"/>
        <w:numId w:val="82"/>
      </w:numPr>
      <w:spacing w:before="120" w:after="120"/>
      <w:jc w:val="left"/>
      <w:outlineLvl w:val="4"/>
    </w:pPr>
    <w:rPr>
      <w:rFonts w:eastAsiaTheme="majorEastAsia"/>
      <w:i/>
      <w:iCs/>
    </w:rPr>
  </w:style>
  <w:style w:type="paragraph" w:styleId="Heading6">
    <w:name w:val="heading 6"/>
    <w:basedOn w:val="Normal"/>
    <w:next w:val="Normal"/>
    <w:link w:val="Heading6Char"/>
    <w:semiHidden/>
    <w:rsid w:val="009E7199"/>
    <w:pPr>
      <w:keepNext/>
      <w:keepLines/>
      <w:numPr>
        <w:ilvl w:val="5"/>
        <w:numId w:val="4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9E7199"/>
    <w:pPr>
      <w:keepNext/>
      <w:keepLines/>
      <w:widowControl w:val="0"/>
      <w:numPr>
        <w:ilvl w:val="6"/>
        <w:numId w:val="4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9E7199"/>
    <w:pPr>
      <w:keepNext/>
      <w:keepLines/>
      <w:widowControl w:val="0"/>
      <w:numPr>
        <w:ilvl w:val="7"/>
        <w:numId w:val="4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9E7199"/>
    <w:pPr>
      <w:keepNext/>
      <w:widowControl w:val="0"/>
      <w:numPr>
        <w:ilvl w:val="8"/>
        <w:numId w:val="4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9E71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9E71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9E7199"/>
    <w:rPr>
      <w:lang w:val="fr-CA"/>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9E7199"/>
    <w:rPr>
      <w:rFonts w:ascii="Times New Roman" w:eastAsiaTheme="majorEastAsia" w:hAnsi="Times New Roman" w:cstheme="majorBidi"/>
      <w:b/>
      <w:bCs/>
      <w:sz w:val="28"/>
      <w:szCs w:val="32"/>
      <w:lang w:val="fr-CA"/>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9E71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9E7199"/>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9E7199"/>
    <w:rPr>
      <w:vertAlign w:val="superscript"/>
      <w:lang w:val="fr-CA"/>
    </w:rPr>
  </w:style>
  <w:style w:type="paragraph" w:customStyle="1" w:styleId="Footnote">
    <w:name w:val="Footnote"/>
    <w:basedOn w:val="FootnoteText"/>
    <w:qFormat/>
    <w:rsid w:val="009E71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tabs>
        <w:tab w:val="num" w:pos="643"/>
      </w:tabs>
      <w:spacing w:before="120" w:after="120"/>
      <w:ind w:left="643" w:hanging="360"/>
    </w:pPr>
  </w:style>
  <w:style w:type="character" w:customStyle="1" w:styleId="Heading2Char">
    <w:name w:val="Heading 2 Char"/>
    <w:basedOn w:val="DefaultParagraphFont"/>
    <w:link w:val="Heading2"/>
    <w:uiPriority w:val="9"/>
    <w:rsid w:val="009E7199"/>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lang w:val="fr-CA"/>
    </w:rPr>
  </w:style>
  <w:style w:type="paragraph" w:styleId="Header">
    <w:name w:val="header"/>
    <w:basedOn w:val="Normal"/>
    <w:link w:val="HeaderChar"/>
    <w:rsid w:val="009E71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E7199"/>
    <w:rPr>
      <w:rFonts w:ascii="Times New Roman" w:eastAsia="SimSun" w:hAnsi="Times New Roman" w:cs="Times New Roman"/>
      <w:kern w:val="0"/>
      <w:sz w:val="20"/>
      <w:lang w:val="fr-CA"/>
      <w14:ligatures w14:val="none"/>
    </w:rPr>
  </w:style>
  <w:style w:type="paragraph" w:styleId="Footer">
    <w:name w:val="footer"/>
    <w:basedOn w:val="Normal"/>
    <w:link w:val="FooterChar"/>
    <w:uiPriority w:val="99"/>
    <w:rsid w:val="009E7199"/>
    <w:pPr>
      <w:tabs>
        <w:tab w:val="center" w:pos="4680"/>
        <w:tab w:val="right" w:pos="9360"/>
      </w:tabs>
    </w:pPr>
    <w:rPr>
      <w:sz w:val="20"/>
    </w:rPr>
  </w:style>
  <w:style w:type="character" w:customStyle="1" w:styleId="FooterChar">
    <w:name w:val="Footer Char"/>
    <w:basedOn w:val="DefaultParagraphFont"/>
    <w:link w:val="Footer"/>
    <w:uiPriority w:val="99"/>
    <w:rsid w:val="009E7199"/>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9E7199"/>
    <w:rPr>
      <w:rFonts w:ascii="Times New Roman" w:eastAsiaTheme="majorEastAsia" w:hAnsi="Times New Roman" w:cs="Times New Roman"/>
      <w:b/>
      <w:bCs/>
      <w:kern w:val="0"/>
      <w:lang w:val="fr-CA"/>
      <w14:ligatures w14:val="none"/>
    </w:rPr>
  </w:style>
  <w:style w:type="paragraph" w:customStyle="1" w:styleId="Para2">
    <w:name w:val="Para 2"/>
    <w:qFormat/>
    <w:rsid w:val="00537248"/>
    <w:pPr>
      <w:numPr>
        <w:numId w:val="15"/>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9E7199"/>
    <w:pPr>
      <w:spacing w:after="240"/>
    </w:pPr>
    <w:rPr>
      <w:b/>
      <w:sz w:val="28"/>
    </w:rPr>
  </w:style>
  <w:style w:type="paragraph" w:customStyle="1" w:styleId="Para3">
    <w:name w:val="Para 3"/>
    <w:basedOn w:val="Normal"/>
    <w:qFormat/>
    <w:rsid w:val="002B00CA"/>
    <w:pPr>
      <w:numPr>
        <w:numId w:val="19"/>
      </w:numPr>
      <w:spacing w:before="120" w:after="120"/>
      <w:ind w:left="1134" w:firstLine="0"/>
    </w:pPr>
  </w:style>
  <w:style w:type="character" w:customStyle="1" w:styleId="Heading4Char">
    <w:name w:val="Heading 4 Char"/>
    <w:basedOn w:val="DefaultParagraphFont"/>
    <w:link w:val="Heading4"/>
    <w:uiPriority w:val="9"/>
    <w:rsid w:val="009E7199"/>
    <w:rPr>
      <w:rFonts w:ascii="Times New Roman" w:eastAsiaTheme="majorEastAsia" w:hAnsi="Times New Roman" w:cs="Times New Roman"/>
      <w:b/>
      <w:bCs/>
      <w:kern w:val="0"/>
      <w:lang w:val="fr-CA"/>
      <w14:ligatures w14:val="none"/>
    </w:rPr>
  </w:style>
  <w:style w:type="character" w:customStyle="1" w:styleId="Heading5Char">
    <w:name w:val="Heading 5 Char"/>
    <w:basedOn w:val="DefaultParagraphFont"/>
    <w:link w:val="Heading5"/>
    <w:uiPriority w:val="9"/>
    <w:rsid w:val="009E7199"/>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semiHidden/>
    <w:unhideWhenUsed/>
    <w:rsid w:val="009E7199"/>
    <w:rPr>
      <w:sz w:val="16"/>
      <w:szCs w:val="16"/>
      <w:lang w:val="fr-CA"/>
    </w:rPr>
  </w:style>
  <w:style w:type="paragraph" w:styleId="CommentText">
    <w:name w:val="annotation text"/>
    <w:basedOn w:val="Normal"/>
    <w:link w:val="CommentTextChar"/>
    <w:uiPriority w:val="99"/>
    <w:rsid w:val="009E7199"/>
    <w:rPr>
      <w:sz w:val="20"/>
      <w:szCs w:val="20"/>
    </w:rPr>
  </w:style>
  <w:style w:type="character" w:customStyle="1" w:styleId="CommentTextChar">
    <w:name w:val="Comment Text Char"/>
    <w:basedOn w:val="DefaultParagraphFont"/>
    <w:link w:val="CommentText"/>
    <w:uiPriority w:val="99"/>
    <w:rsid w:val="009E7199"/>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9E7199"/>
    <w:rPr>
      <w:b/>
      <w:bCs/>
    </w:rPr>
  </w:style>
  <w:style w:type="character" w:customStyle="1" w:styleId="CommentSubjectChar">
    <w:name w:val="Comment Subject Char"/>
    <w:basedOn w:val="CommentTextChar"/>
    <w:link w:val="CommentSubject"/>
    <w:uiPriority w:val="99"/>
    <w:semiHidden/>
    <w:rsid w:val="009E7199"/>
    <w:rPr>
      <w:rFonts w:ascii="Times New Roman" w:eastAsia="SimSun" w:hAnsi="Times New Roman" w:cs="Times New Roman"/>
      <w:b/>
      <w:bCs/>
      <w:kern w:val="0"/>
      <w:sz w:val="20"/>
      <w:szCs w:val="20"/>
      <w:lang w:val="fr-CA"/>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SimSun" w:hAnsi="Segoe UI" w:cs="Segoe UI"/>
      <w:kern w:val="0"/>
      <w:sz w:val="18"/>
      <w:szCs w:val="18"/>
      <w:lang w:val="fr-CA"/>
      <w14:ligatures w14:val="none"/>
    </w:rPr>
  </w:style>
  <w:style w:type="paragraph" w:styleId="Revision">
    <w:name w:val="Revision"/>
    <w:hidden/>
    <w:uiPriority w:val="99"/>
    <w:semiHidden/>
    <w:rsid w:val="009E7199"/>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AFCorNNormal">
    <w:name w:val="AF_CorNNormal"/>
    <w:basedOn w:val="Normal"/>
    <w:unhideWhenUsed/>
    <w:rsid w:val="009E7199"/>
    <w:pPr>
      <w:jc w:val="left"/>
    </w:pPr>
  </w:style>
  <w:style w:type="paragraph" w:styleId="ListParagraph">
    <w:name w:val="List Paragraph"/>
    <w:basedOn w:val="Normal"/>
    <w:uiPriority w:val="34"/>
    <w:qFormat/>
    <w:rsid w:val="009E7199"/>
    <w:pPr>
      <w:ind w:left="720"/>
      <w:contextualSpacing/>
    </w:pPr>
  </w:style>
  <w:style w:type="character" w:styleId="Mention">
    <w:name w:val="Mention"/>
    <w:basedOn w:val="DefaultParagraphFont"/>
    <w:uiPriority w:val="99"/>
    <w:unhideWhenUsed/>
    <w:rsid w:val="00CB4F8E"/>
    <w:rPr>
      <w:color w:val="2B579A"/>
      <w:shd w:val="clear" w:color="auto" w:fill="E1DFDD"/>
      <w:lang w:val="fr-CA"/>
    </w:rPr>
  </w:style>
  <w:style w:type="paragraph" w:customStyle="1" w:styleId="CBDDesicionText">
    <w:name w:val="CBD_DesicionText"/>
    <w:basedOn w:val="CBDNormal"/>
    <w:qFormat/>
    <w:rsid w:val="009E7199"/>
    <w:pPr>
      <w:spacing w:after="120"/>
      <w:ind w:left="1134" w:firstLine="567"/>
    </w:pPr>
  </w:style>
  <w:style w:type="character" w:styleId="Hyperlink">
    <w:name w:val="Hyperlink"/>
    <w:basedOn w:val="DefaultParagraphFont"/>
    <w:uiPriority w:val="99"/>
    <w:unhideWhenUsed/>
    <w:rsid w:val="009E7199"/>
    <w:rPr>
      <w:rFonts w:ascii="Times New Roman" w:hAnsi="Times New Roman"/>
      <w:color w:val="0563C1" w:themeColor="hyperlink"/>
      <w:u w:val="single"/>
      <w:lang w:val="fr-CA"/>
    </w:rPr>
  </w:style>
  <w:style w:type="paragraph" w:styleId="EndnoteText">
    <w:name w:val="endnote text"/>
    <w:basedOn w:val="Normal"/>
    <w:link w:val="EndnoteTextChar"/>
    <w:uiPriority w:val="99"/>
    <w:semiHidden/>
    <w:unhideWhenUsed/>
    <w:rsid w:val="002E766B"/>
    <w:rPr>
      <w:sz w:val="20"/>
      <w:szCs w:val="20"/>
    </w:rPr>
  </w:style>
  <w:style w:type="character" w:customStyle="1" w:styleId="EndnoteTextChar">
    <w:name w:val="Endnote Text Char"/>
    <w:basedOn w:val="DefaultParagraphFont"/>
    <w:link w:val="EndnoteText"/>
    <w:uiPriority w:val="99"/>
    <w:semiHidden/>
    <w:rsid w:val="002E766B"/>
    <w:rPr>
      <w:rFonts w:ascii="Times New Roman" w:eastAsia="SimSun" w:hAnsi="Times New Roman" w:cs="Times New Roman"/>
      <w:kern w:val="0"/>
      <w:sz w:val="20"/>
      <w:szCs w:val="20"/>
      <w:lang w:val="fr-CA"/>
      <w14:ligatures w14:val="none"/>
    </w:rPr>
  </w:style>
  <w:style w:type="character" w:styleId="EndnoteReference">
    <w:name w:val="endnote reference"/>
    <w:basedOn w:val="DefaultParagraphFont"/>
    <w:uiPriority w:val="99"/>
    <w:semiHidden/>
    <w:unhideWhenUsed/>
    <w:rsid w:val="002E766B"/>
    <w:rPr>
      <w:vertAlign w:val="superscript"/>
      <w:lang w:val="fr-CA"/>
    </w:rPr>
  </w:style>
  <w:style w:type="paragraph" w:customStyle="1" w:styleId="CBDNormalNumber">
    <w:name w:val="CBD_Normal_Number"/>
    <w:basedOn w:val="CBDNormal"/>
    <w:qFormat/>
    <w:rsid w:val="009E7199"/>
    <w:pPr>
      <w:numPr>
        <w:numId w:val="91"/>
      </w:numPr>
      <w:tabs>
        <w:tab w:val="left" w:pos="3969"/>
      </w:tabs>
      <w:spacing w:before="120" w:after="120"/>
    </w:pPr>
  </w:style>
  <w:style w:type="numbering" w:customStyle="1" w:styleId="ListCBD">
    <w:name w:val="ListCBD"/>
    <w:basedOn w:val="NoList"/>
    <w:uiPriority w:val="99"/>
    <w:rsid w:val="009E7199"/>
    <w:pPr>
      <w:numPr>
        <w:numId w:val="37"/>
      </w:numPr>
    </w:pPr>
  </w:style>
  <w:style w:type="character" w:styleId="UnresolvedMention">
    <w:name w:val="Unresolved Mention"/>
    <w:basedOn w:val="DefaultParagraphFont"/>
    <w:uiPriority w:val="99"/>
    <w:semiHidden/>
    <w:unhideWhenUsed/>
    <w:rsid w:val="006D2332"/>
    <w:rPr>
      <w:color w:val="605E5C"/>
      <w:shd w:val="clear" w:color="auto" w:fill="E1DFDD"/>
      <w:lang w:val="fr-CA"/>
    </w:rPr>
  </w:style>
  <w:style w:type="paragraph" w:customStyle="1" w:styleId="CBDFootnoteText">
    <w:name w:val="CBD_Footnote_Text"/>
    <w:basedOn w:val="CBDNormal"/>
    <w:qFormat/>
    <w:rsid w:val="009E7199"/>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35E3"/>
    <w:pPr>
      <w:spacing w:after="160" w:line="240" w:lineRule="exact"/>
    </w:pPr>
    <w:rPr>
      <w:rFonts w:asciiTheme="minorHAnsi" w:eastAsiaTheme="minorHAnsi" w:hAnsiTheme="minorHAnsi" w:cstheme="minorBidi"/>
      <w:kern w:val="2"/>
      <w:vertAlign w:val="superscript"/>
      <w14:ligatures w14:val="standardContextual"/>
    </w:rPr>
  </w:style>
  <w:style w:type="character" w:styleId="FollowedHyperlink">
    <w:name w:val="FollowedHyperlink"/>
    <w:basedOn w:val="DefaultParagraphFont"/>
    <w:uiPriority w:val="99"/>
    <w:semiHidden/>
    <w:unhideWhenUsed/>
    <w:rsid w:val="0028063C"/>
    <w:rPr>
      <w:color w:val="954F72" w:themeColor="followedHyperlink"/>
      <w:u w:val="single"/>
      <w:lang w:val="fr-CA"/>
    </w:rPr>
  </w:style>
  <w:style w:type="character" w:customStyle="1" w:styleId="Heading6Char">
    <w:name w:val="Heading 6 Char"/>
    <w:basedOn w:val="DefaultParagraphFont"/>
    <w:link w:val="Heading6"/>
    <w:semiHidden/>
    <w:rsid w:val="009E7199"/>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semiHidden/>
    <w:rsid w:val="009E7199"/>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semiHidden/>
    <w:rsid w:val="009E7199"/>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semiHidden/>
    <w:rsid w:val="009E7199"/>
    <w:rPr>
      <w:rFonts w:ascii="Times New Roman" w:eastAsia="SimSun" w:hAnsi="Times New Roman" w:cs="Times New Roman"/>
      <w:snapToGrid w:val="0"/>
      <w:kern w:val="0"/>
      <w:u w:val="single"/>
      <w:lang w:val="fr-CA"/>
      <w14:ligatures w14:val="none"/>
    </w:rPr>
  </w:style>
  <w:style w:type="paragraph" w:customStyle="1" w:styleId="DarkList-Accent31">
    <w:name w:val="Dark List - Accent 31"/>
    <w:hidden/>
    <w:uiPriority w:val="99"/>
    <w:semiHidden/>
    <w:rsid w:val="009E7199"/>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9E7199"/>
    <w:pPr>
      <w:spacing w:after="120"/>
      <w:ind w:left="567"/>
    </w:pPr>
  </w:style>
  <w:style w:type="paragraph" w:customStyle="1" w:styleId="ABSymbol">
    <w:name w:val="AB_Symbol"/>
    <w:basedOn w:val="Normal"/>
    <w:qFormat/>
    <w:rsid w:val="009E71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9E7199"/>
    <w:pPr>
      <w:jc w:val="left"/>
    </w:pPr>
  </w:style>
  <w:style w:type="paragraph" w:customStyle="1" w:styleId="AASmallLogo">
    <w:name w:val="AA_SmallLogo"/>
    <w:basedOn w:val="AEDistrNormal"/>
    <w:unhideWhenUsed/>
    <w:rsid w:val="009E7199"/>
    <w:pPr>
      <w:spacing w:before="40"/>
    </w:pPr>
    <w:rPr>
      <w:sz w:val="4"/>
    </w:rPr>
  </w:style>
  <w:style w:type="paragraph" w:customStyle="1" w:styleId="ACLargeLogo">
    <w:name w:val="AC_LargeLogo"/>
    <w:basedOn w:val="AFCorNNormal"/>
    <w:next w:val="AISpacer"/>
    <w:unhideWhenUsed/>
    <w:rsid w:val="009E7199"/>
    <w:pPr>
      <w:spacing w:before="120"/>
      <w:contextualSpacing/>
    </w:pPr>
    <w:rPr>
      <w:sz w:val="8"/>
    </w:rPr>
  </w:style>
  <w:style w:type="paragraph" w:customStyle="1" w:styleId="CBDNormal">
    <w:name w:val="CBD_Normal"/>
    <w:unhideWhenUsed/>
    <w:qFormat/>
    <w:rsid w:val="009E71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9E7199"/>
    <w:pPr>
      <w:contextualSpacing/>
    </w:pPr>
  </w:style>
  <w:style w:type="numbering" w:customStyle="1" w:styleId="CBDHeadings">
    <w:name w:val="CBD_Headings"/>
    <w:basedOn w:val="ListCBD"/>
    <w:uiPriority w:val="99"/>
    <w:rsid w:val="009E7199"/>
    <w:pPr>
      <w:numPr>
        <w:numId w:val="82"/>
      </w:numPr>
    </w:pPr>
  </w:style>
  <w:style w:type="paragraph" w:customStyle="1" w:styleId="AISpacer">
    <w:name w:val="AI_Spacer"/>
    <w:next w:val="Normal"/>
    <w:unhideWhenUsed/>
    <w:qFormat/>
    <w:rsid w:val="009E7199"/>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9E7199"/>
    <w:pPr>
      <w:spacing w:before="120"/>
    </w:pPr>
  </w:style>
  <w:style w:type="paragraph" w:customStyle="1" w:styleId="AFCorNBold">
    <w:name w:val="AF_CorNBold"/>
    <w:basedOn w:val="AFCorNNormal"/>
    <w:next w:val="AFCorNNormal"/>
    <w:unhideWhenUsed/>
    <w:qFormat/>
    <w:rsid w:val="009E7199"/>
    <w:rPr>
      <w:b/>
    </w:rPr>
  </w:style>
  <w:style w:type="paragraph" w:customStyle="1" w:styleId="AFCorN12Bold">
    <w:name w:val="AF_CorN12Bold"/>
    <w:basedOn w:val="AFCorNNormal"/>
    <w:next w:val="AFCorNNormal"/>
    <w:unhideWhenUsed/>
    <w:qFormat/>
    <w:rsid w:val="009E7199"/>
    <w:rPr>
      <w:b/>
      <w:sz w:val="24"/>
    </w:rPr>
  </w:style>
  <w:style w:type="paragraph" w:customStyle="1" w:styleId="CBDAgendaItemReport">
    <w:name w:val="CBD_AgendaItem_Report"/>
    <w:basedOn w:val="Normal"/>
    <w:qFormat/>
    <w:rsid w:val="009E7199"/>
    <w:pPr>
      <w:keepNext/>
      <w:keepLines/>
      <w:spacing w:before="240" w:after="120"/>
      <w:jc w:val="left"/>
    </w:pPr>
    <w:rPr>
      <w:b/>
      <w:sz w:val="24"/>
    </w:rPr>
  </w:style>
  <w:style w:type="paragraph" w:customStyle="1" w:styleId="CBDDesicionAnnex">
    <w:name w:val="CBD_DesicionAnnex"/>
    <w:basedOn w:val="CBDNormal"/>
    <w:next w:val="CBDDesicionText"/>
    <w:qFormat/>
    <w:rsid w:val="009E71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E7199"/>
    <w:pPr>
      <w:keepNext/>
      <w:keepLines/>
      <w:spacing w:after="240"/>
      <w:jc w:val="left"/>
    </w:pPr>
    <w:rPr>
      <w:b/>
      <w:sz w:val="28"/>
      <w:lang w:bidi="ar-SY"/>
    </w:rPr>
  </w:style>
  <w:style w:type="paragraph" w:customStyle="1" w:styleId="CBDSubTitle">
    <w:name w:val="CBD_SubTitle"/>
    <w:basedOn w:val="CBDNormal"/>
    <w:qFormat/>
    <w:rsid w:val="009E7199"/>
    <w:pPr>
      <w:keepNext/>
      <w:keepLines/>
      <w:spacing w:before="240" w:after="240"/>
      <w:ind w:left="567"/>
      <w:jc w:val="left"/>
    </w:pPr>
    <w:rPr>
      <w:b/>
    </w:rPr>
  </w:style>
  <w:style w:type="paragraph" w:customStyle="1" w:styleId="CBDTitle">
    <w:name w:val="CBD_Title"/>
    <w:basedOn w:val="CBDNormal"/>
    <w:next w:val="CBDSubTitle"/>
    <w:qFormat/>
    <w:rsid w:val="009E7199"/>
    <w:pPr>
      <w:keepNext/>
      <w:keepLines/>
      <w:spacing w:before="240" w:after="240"/>
      <w:ind w:left="567"/>
      <w:jc w:val="left"/>
    </w:pPr>
    <w:rPr>
      <w:b/>
      <w:sz w:val="28"/>
    </w:rPr>
  </w:style>
  <w:style w:type="paragraph" w:customStyle="1" w:styleId="AENormal">
    <w:name w:val="AE_Normal"/>
    <w:basedOn w:val="Normal"/>
    <w:rsid w:val="009E7199"/>
  </w:style>
  <w:style w:type="paragraph" w:customStyle="1" w:styleId="CBDH1">
    <w:name w:val="CBD_H1"/>
    <w:basedOn w:val="CBDNormal"/>
    <w:qFormat/>
    <w:rsid w:val="009E7199"/>
    <w:pPr>
      <w:keepNext/>
      <w:keepLines/>
      <w:spacing w:before="240" w:after="120"/>
      <w:ind w:left="567" w:hanging="567"/>
      <w:jc w:val="left"/>
      <w:outlineLvl w:val="0"/>
    </w:pPr>
    <w:rPr>
      <w:b/>
      <w:sz w:val="28"/>
    </w:rPr>
  </w:style>
  <w:style w:type="paragraph" w:customStyle="1" w:styleId="CBDH2">
    <w:name w:val="CBD_H2"/>
    <w:basedOn w:val="CBDNormal"/>
    <w:qFormat/>
    <w:rsid w:val="009E7199"/>
    <w:pPr>
      <w:keepNext/>
      <w:keepLines/>
      <w:ind w:left="567" w:hanging="567"/>
    </w:pPr>
    <w:rPr>
      <w:b/>
      <w:sz w:val="24"/>
    </w:rPr>
  </w:style>
  <w:style w:type="paragraph" w:customStyle="1" w:styleId="CBDFooter">
    <w:name w:val="CBD_Footer"/>
    <w:basedOn w:val="CBDNormal"/>
    <w:qFormat/>
    <w:rsid w:val="009E7199"/>
    <w:rPr>
      <w:sz w:val="20"/>
    </w:rPr>
  </w:style>
  <w:style w:type="paragraph" w:customStyle="1" w:styleId="CBDHeader">
    <w:name w:val="CBD_Header"/>
    <w:basedOn w:val="CBDNormal"/>
    <w:next w:val="CBDFooter"/>
    <w:qFormat/>
    <w:rsid w:val="009E71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E7199"/>
    <w:pPr>
      <w:keepNext/>
      <w:keepLines/>
      <w:spacing w:before="120" w:after="120"/>
      <w:ind w:left="567" w:hanging="567"/>
      <w:jc w:val="left"/>
    </w:pPr>
    <w:rPr>
      <w:b/>
    </w:rPr>
  </w:style>
  <w:style w:type="paragraph" w:customStyle="1" w:styleId="CBDH4">
    <w:name w:val="CBD_H4"/>
    <w:basedOn w:val="CBDNormal"/>
    <w:rsid w:val="009E7199"/>
    <w:pPr>
      <w:keepNext/>
      <w:keepLines/>
      <w:spacing w:before="120" w:after="120"/>
      <w:ind w:left="567" w:hanging="567"/>
      <w:jc w:val="left"/>
    </w:pPr>
    <w:rPr>
      <w:b/>
    </w:rPr>
  </w:style>
  <w:style w:type="paragraph" w:customStyle="1" w:styleId="CBDH5">
    <w:name w:val="CBD_H5"/>
    <w:basedOn w:val="CBDNormal"/>
    <w:qFormat/>
    <w:rsid w:val="009E7199"/>
    <w:pPr>
      <w:keepNext/>
      <w:keepLines/>
      <w:spacing w:before="120" w:after="120"/>
      <w:ind w:left="567" w:hanging="567"/>
      <w:jc w:val="left"/>
    </w:pPr>
    <w:rPr>
      <w:i/>
    </w:rPr>
  </w:style>
  <w:style w:type="paragraph" w:customStyle="1" w:styleId="CBDTableNormal">
    <w:name w:val="CBD_TableNormal"/>
    <w:basedOn w:val="CBDNormal"/>
    <w:qFormat/>
    <w:rsid w:val="009E7199"/>
    <w:pPr>
      <w:spacing w:before="40" w:after="80"/>
      <w:jc w:val="left"/>
    </w:pPr>
    <w:rPr>
      <w:sz w:val="20"/>
    </w:rPr>
  </w:style>
  <w:style w:type="paragraph" w:customStyle="1" w:styleId="CBDTableTitle">
    <w:name w:val="CBD_TableTitle"/>
    <w:basedOn w:val="CBDNormal"/>
    <w:qFormat/>
    <w:rsid w:val="009E7199"/>
    <w:pPr>
      <w:keepNext/>
      <w:keepLines/>
      <w:spacing w:before="120" w:after="60"/>
      <w:ind w:left="567"/>
      <w:jc w:val="left"/>
    </w:pPr>
    <w:rPr>
      <w:b/>
    </w:rPr>
  </w:style>
  <w:style w:type="paragraph" w:customStyle="1" w:styleId="CBDFigureTitle">
    <w:name w:val="CBD_FigureTitle"/>
    <w:basedOn w:val="CBDNormal"/>
    <w:next w:val="CBDNormalNoNumber"/>
    <w:qFormat/>
    <w:rsid w:val="009E7199"/>
    <w:pPr>
      <w:keepNext/>
      <w:keepLines/>
      <w:spacing w:before="120" w:after="60"/>
      <w:ind w:left="567"/>
      <w:jc w:val="left"/>
    </w:pPr>
    <w:rPr>
      <w:b/>
    </w:rPr>
  </w:style>
  <w:style w:type="paragraph" w:styleId="TOC1">
    <w:name w:val="toc 1"/>
    <w:basedOn w:val="CBDNormal"/>
    <w:next w:val="Normal"/>
    <w:autoRedefine/>
    <w:uiPriority w:val="39"/>
    <w:unhideWhenUsed/>
    <w:rsid w:val="009E71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E71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9E7199"/>
  </w:style>
  <w:style w:type="paragraph" w:customStyle="1" w:styleId="CBDpara-item">
    <w:name w:val="CBD_para-item"/>
    <w:basedOn w:val="Normal"/>
    <w:qFormat/>
    <w:rsid w:val="009E7199"/>
    <w:pPr>
      <w:tabs>
        <w:tab w:val="clear" w:pos="567"/>
      </w:tabs>
      <w:spacing w:before="120" w:after="120"/>
      <w:ind w:left="1134" w:hanging="567"/>
      <w:jc w:val="left"/>
    </w:pPr>
  </w:style>
  <w:style w:type="paragraph" w:customStyle="1" w:styleId="CBDsubpara-item">
    <w:name w:val="CBD_subpara-item"/>
    <w:basedOn w:val="CBDpara-item"/>
    <w:qFormat/>
    <w:rsid w:val="009E7199"/>
    <w:pPr>
      <w:tabs>
        <w:tab w:val="clear" w:pos="1134"/>
      </w:tabs>
      <w:ind w:left="1701"/>
    </w:pPr>
  </w:style>
  <w:style w:type="paragraph" w:customStyle="1" w:styleId="CBDRecommendText">
    <w:name w:val="CBD_RecommendText"/>
    <w:basedOn w:val="Normal"/>
    <w:qFormat/>
    <w:rsid w:val="009E7199"/>
    <w:pPr>
      <w:spacing w:after="120"/>
      <w:ind w:left="567"/>
    </w:pPr>
  </w:style>
  <w:style w:type="paragraph" w:customStyle="1" w:styleId="CBDAgendaItem0">
    <w:name w:val="CBD_AgendaItem"/>
    <w:basedOn w:val="Normal"/>
    <w:qFormat/>
    <w:rsid w:val="009E7199"/>
    <w:pPr>
      <w:keepNext/>
      <w:spacing w:before="240" w:after="120"/>
      <w:jc w:val="left"/>
    </w:pPr>
    <w:rPr>
      <w:rFonts w:ascii="Times New Roman Bold" w:hAnsi="Times New Roman Bold" w:cs="Times New Roman Bold"/>
      <w:b/>
      <w:sz w:val="24"/>
      <w:szCs w:val="24"/>
    </w:rPr>
  </w:style>
  <w:style w:type="paragraph" w:styleId="Bibliography">
    <w:name w:val="Bibliography"/>
    <w:basedOn w:val="Normal"/>
    <w:next w:val="Normal"/>
    <w:uiPriority w:val="37"/>
    <w:semiHidden/>
    <w:unhideWhenUsed/>
    <w:rsid w:val="009E7199"/>
  </w:style>
  <w:style w:type="paragraph" w:styleId="BlockText">
    <w:name w:val="Block Text"/>
    <w:basedOn w:val="Normal"/>
    <w:uiPriority w:val="99"/>
    <w:semiHidden/>
    <w:unhideWhenUsed/>
    <w:rsid w:val="009E71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9E7199"/>
    <w:pPr>
      <w:spacing w:after="120" w:line="480" w:lineRule="auto"/>
    </w:pPr>
  </w:style>
  <w:style w:type="character" w:customStyle="1" w:styleId="BodyText2Char">
    <w:name w:val="Body Text 2 Char"/>
    <w:basedOn w:val="DefaultParagraphFont"/>
    <w:link w:val="BodyText2"/>
    <w:uiPriority w:val="99"/>
    <w:semiHidden/>
    <w:rsid w:val="009E7199"/>
    <w:rPr>
      <w:rFonts w:ascii="Times New Roman" w:eastAsia="SimSun" w:hAnsi="Times New Roman" w:cs="Times New Roman"/>
      <w:kern w:val="0"/>
      <w:lang w:val="fr-CA"/>
      <w14:ligatures w14:val="none"/>
    </w:rPr>
  </w:style>
  <w:style w:type="paragraph" w:styleId="BodyText3">
    <w:name w:val="Body Text 3"/>
    <w:basedOn w:val="Normal"/>
    <w:link w:val="BodyText3Char"/>
    <w:uiPriority w:val="99"/>
    <w:semiHidden/>
    <w:unhideWhenUsed/>
    <w:rsid w:val="009E7199"/>
    <w:pPr>
      <w:spacing w:after="120"/>
    </w:pPr>
    <w:rPr>
      <w:sz w:val="16"/>
      <w:szCs w:val="16"/>
    </w:rPr>
  </w:style>
  <w:style w:type="character" w:customStyle="1" w:styleId="BodyText3Char">
    <w:name w:val="Body Text 3 Char"/>
    <w:basedOn w:val="DefaultParagraphFont"/>
    <w:link w:val="BodyText3"/>
    <w:uiPriority w:val="99"/>
    <w:semiHidden/>
    <w:rsid w:val="009E7199"/>
    <w:rPr>
      <w:rFonts w:ascii="Times New Roman" w:eastAsia="SimSun" w:hAnsi="Times New Roman" w:cs="Times New Roman"/>
      <w:kern w:val="0"/>
      <w:sz w:val="16"/>
      <w:szCs w:val="16"/>
      <w:lang w:val="fr-CA"/>
      <w14:ligatures w14:val="none"/>
    </w:rPr>
  </w:style>
  <w:style w:type="paragraph" w:styleId="BodyTextFirstIndent">
    <w:name w:val="Body Text First Indent"/>
    <w:basedOn w:val="BodyText"/>
    <w:link w:val="BodyTextFirstIndentChar"/>
    <w:uiPriority w:val="99"/>
    <w:semiHidden/>
    <w:unhideWhenUsed/>
    <w:rsid w:val="009E71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9E7199"/>
    <w:rPr>
      <w:rFonts w:ascii="Times New Roman" w:eastAsia="SimSun" w:hAnsi="Times New Roman" w:cs="Times New Roman"/>
      <w:kern w:val="0"/>
      <w:lang w:val="fr-CA"/>
      <w14:ligatures w14:val="none"/>
    </w:rPr>
  </w:style>
  <w:style w:type="paragraph" w:styleId="BodyTextIndent">
    <w:name w:val="Body Text Indent"/>
    <w:basedOn w:val="Normal"/>
    <w:link w:val="BodyTextIndentChar"/>
    <w:uiPriority w:val="99"/>
    <w:semiHidden/>
    <w:unhideWhenUsed/>
    <w:rsid w:val="009E7199"/>
    <w:pPr>
      <w:spacing w:after="120"/>
      <w:ind w:left="360"/>
    </w:pPr>
  </w:style>
  <w:style w:type="character" w:customStyle="1" w:styleId="BodyTextIndentChar">
    <w:name w:val="Body Text Indent Char"/>
    <w:basedOn w:val="DefaultParagraphFont"/>
    <w:link w:val="BodyTextIndent"/>
    <w:uiPriority w:val="99"/>
    <w:semiHidden/>
    <w:rsid w:val="009E7199"/>
    <w:rPr>
      <w:rFonts w:ascii="Times New Roman" w:eastAsia="SimSun" w:hAnsi="Times New Roman" w:cs="Times New Roman"/>
      <w:kern w:val="0"/>
      <w:lang w:val="fr-CA"/>
      <w14:ligatures w14:val="none"/>
    </w:rPr>
  </w:style>
  <w:style w:type="paragraph" w:styleId="BodyTextFirstIndent2">
    <w:name w:val="Body Text First Indent 2"/>
    <w:basedOn w:val="BodyTextIndent"/>
    <w:link w:val="BodyTextFirstIndent2Char"/>
    <w:uiPriority w:val="99"/>
    <w:semiHidden/>
    <w:unhideWhenUsed/>
    <w:rsid w:val="009E7199"/>
    <w:pPr>
      <w:spacing w:after="0"/>
      <w:ind w:firstLine="360"/>
    </w:pPr>
  </w:style>
  <w:style w:type="character" w:customStyle="1" w:styleId="BodyTextFirstIndent2Char">
    <w:name w:val="Body Text First Indent 2 Char"/>
    <w:basedOn w:val="BodyTextIndentChar"/>
    <w:link w:val="BodyTextFirstIndent2"/>
    <w:uiPriority w:val="99"/>
    <w:semiHidden/>
    <w:rsid w:val="009E7199"/>
    <w:rPr>
      <w:rFonts w:ascii="Times New Roman" w:eastAsia="SimSun" w:hAnsi="Times New Roman" w:cs="Times New Roman"/>
      <w:kern w:val="0"/>
      <w:lang w:val="fr-CA"/>
      <w14:ligatures w14:val="none"/>
    </w:rPr>
  </w:style>
  <w:style w:type="paragraph" w:styleId="BodyTextIndent2">
    <w:name w:val="Body Text Indent 2"/>
    <w:basedOn w:val="Normal"/>
    <w:link w:val="BodyTextIndent2Char"/>
    <w:uiPriority w:val="99"/>
    <w:semiHidden/>
    <w:unhideWhenUsed/>
    <w:rsid w:val="009E7199"/>
    <w:pPr>
      <w:spacing w:after="120" w:line="480" w:lineRule="auto"/>
      <w:ind w:left="360"/>
    </w:pPr>
  </w:style>
  <w:style w:type="character" w:customStyle="1" w:styleId="BodyTextIndent2Char">
    <w:name w:val="Body Text Indent 2 Char"/>
    <w:basedOn w:val="DefaultParagraphFont"/>
    <w:link w:val="BodyTextIndent2"/>
    <w:uiPriority w:val="99"/>
    <w:semiHidden/>
    <w:rsid w:val="009E7199"/>
    <w:rPr>
      <w:rFonts w:ascii="Times New Roman" w:eastAsia="SimSun" w:hAnsi="Times New Roman" w:cs="Times New Roman"/>
      <w:kern w:val="0"/>
      <w:lang w:val="fr-CA"/>
      <w14:ligatures w14:val="none"/>
    </w:rPr>
  </w:style>
  <w:style w:type="paragraph" w:styleId="BodyTextIndent3">
    <w:name w:val="Body Text Indent 3"/>
    <w:basedOn w:val="Normal"/>
    <w:link w:val="BodyTextIndent3Char"/>
    <w:uiPriority w:val="99"/>
    <w:semiHidden/>
    <w:unhideWhenUsed/>
    <w:rsid w:val="009E719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E7199"/>
    <w:rPr>
      <w:rFonts w:ascii="Times New Roman" w:eastAsia="SimSun" w:hAnsi="Times New Roman" w:cs="Times New Roman"/>
      <w:kern w:val="0"/>
      <w:sz w:val="16"/>
      <w:szCs w:val="16"/>
      <w:lang w:val="fr-CA"/>
      <w14:ligatures w14:val="none"/>
    </w:rPr>
  </w:style>
  <w:style w:type="character" w:styleId="BookTitle">
    <w:name w:val="Book Title"/>
    <w:basedOn w:val="DefaultParagraphFont"/>
    <w:uiPriority w:val="33"/>
    <w:qFormat/>
    <w:rsid w:val="009E7199"/>
    <w:rPr>
      <w:b/>
      <w:bCs/>
      <w:i/>
      <w:iCs/>
      <w:spacing w:val="5"/>
      <w:lang w:val="fr-CA"/>
    </w:rPr>
  </w:style>
  <w:style w:type="paragraph" w:styleId="Caption">
    <w:name w:val="caption"/>
    <w:basedOn w:val="Normal"/>
    <w:next w:val="Normal"/>
    <w:uiPriority w:val="35"/>
    <w:semiHidden/>
    <w:unhideWhenUsed/>
    <w:qFormat/>
    <w:rsid w:val="009E7199"/>
    <w:pPr>
      <w:spacing w:after="200"/>
    </w:pPr>
    <w:rPr>
      <w:i/>
      <w:iCs/>
      <w:color w:val="44546A" w:themeColor="text2"/>
      <w:sz w:val="18"/>
      <w:szCs w:val="18"/>
    </w:rPr>
  </w:style>
  <w:style w:type="paragraph" w:styleId="Closing">
    <w:name w:val="Closing"/>
    <w:basedOn w:val="Normal"/>
    <w:link w:val="ClosingChar"/>
    <w:uiPriority w:val="99"/>
    <w:semiHidden/>
    <w:unhideWhenUsed/>
    <w:rsid w:val="009E7199"/>
    <w:pPr>
      <w:ind w:left="4320"/>
    </w:pPr>
  </w:style>
  <w:style w:type="character" w:customStyle="1" w:styleId="ClosingChar">
    <w:name w:val="Closing Char"/>
    <w:basedOn w:val="DefaultParagraphFont"/>
    <w:link w:val="Closing"/>
    <w:uiPriority w:val="99"/>
    <w:semiHidden/>
    <w:rsid w:val="009E7199"/>
    <w:rPr>
      <w:rFonts w:ascii="Times New Roman" w:eastAsia="SimSun" w:hAnsi="Times New Roman" w:cs="Times New Roman"/>
      <w:kern w:val="0"/>
      <w:lang w:val="fr-CA"/>
      <w14:ligatures w14:val="none"/>
    </w:rPr>
  </w:style>
  <w:style w:type="table" w:styleId="ColorfulGrid">
    <w:name w:val="Colorful Grid"/>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9E7199"/>
  </w:style>
  <w:style w:type="character" w:customStyle="1" w:styleId="DateChar">
    <w:name w:val="Date Char"/>
    <w:basedOn w:val="DefaultParagraphFont"/>
    <w:link w:val="Date"/>
    <w:uiPriority w:val="99"/>
    <w:semiHidden/>
    <w:rsid w:val="009E7199"/>
    <w:rPr>
      <w:rFonts w:ascii="Times New Roman" w:eastAsia="SimSun" w:hAnsi="Times New Roman" w:cs="Times New Roman"/>
      <w:kern w:val="0"/>
      <w:lang w:val="fr-CA"/>
      <w14:ligatures w14:val="none"/>
    </w:rPr>
  </w:style>
  <w:style w:type="paragraph" w:styleId="DocumentMap">
    <w:name w:val="Document Map"/>
    <w:basedOn w:val="Normal"/>
    <w:link w:val="DocumentMapChar"/>
    <w:uiPriority w:val="99"/>
    <w:semiHidden/>
    <w:unhideWhenUsed/>
    <w:rsid w:val="009E71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E7199"/>
    <w:rPr>
      <w:rFonts w:ascii="Segoe UI" w:eastAsia="SimSun" w:hAnsi="Segoe UI" w:cs="Segoe UI"/>
      <w:kern w:val="0"/>
      <w:sz w:val="16"/>
      <w:szCs w:val="16"/>
      <w:lang w:val="fr-CA"/>
      <w14:ligatures w14:val="none"/>
    </w:rPr>
  </w:style>
  <w:style w:type="paragraph" w:styleId="E-mailSignature">
    <w:name w:val="E-mail Signature"/>
    <w:basedOn w:val="Normal"/>
    <w:link w:val="E-mailSignatureChar"/>
    <w:uiPriority w:val="99"/>
    <w:semiHidden/>
    <w:unhideWhenUsed/>
    <w:rsid w:val="009E7199"/>
  </w:style>
  <w:style w:type="character" w:customStyle="1" w:styleId="E-mailSignatureChar">
    <w:name w:val="E-mail Signature Char"/>
    <w:basedOn w:val="DefaultParagraphFont"/>
    <w:link w:val="E-mailSignature"/>
    <w:uiPriority w:val="99"/>
    <w:semiHidden/>
    <w:rsid w:val="009E7199"/>
    <w:rPr>
      <w:rFonts w:ascii="Times New Roman" w:eastAsia="SimSun" w:hAnsi="Times New Roman" w:cs="Times New Roman"/>
      <w:kern w:val="0"/>
      <w:lang w:val="fr-CA"/>
      <w14:ligatures w14:val="none"/>
    </w:rPr>
  </w:style>
  <w:style w:type="character" w:styleId="Emphasis">
    <w:name w:val="Emphasis"/>
    <w:basedOn w:val="DefaultParagraphFont"/>
    <w:uiPriority w:val="20"/>
    <w:qFormat/>
    <w:rsid w:val="009E7199"/>
    <w:rPr>
      <w:i/>
      <w:iCs/>
      <w:lang w:val="fr-CA"/>
    </w:rPr>
  </w:style>
  <w:style w:type="paragraph" w:styleId="EnvelopeAddress">
    <w:name w:val="envelope address"/>
    <w:basedOn w:val="Normal"/>
    <w:uiPriority w:val="99"/>
    <w:semiHidden/>
    <w:unhideWhenUsed/>
    <w:rsid w:val="009E71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E7199"/>
    <w:rPr>
      <w:rFonts w:asciiTheme="majorHAnsi" w:eastAsiaTheme="majorEastAsia" w:hAnsiTheme="majorHAnsi" w:cstheme="majorBidi"/>
      <w:sz w:val="20"/>
      <w:szCs w:val="20"/>
    </w:rPr>
  </w:style>
  <w:style w:type="table" w:styleId="GridTable1Light">
    <w:name w:val="Grid Table 1 Light"/>
    <w:basedOn w:val="TableNormal"/>
    <w:uiPriority w:val="46"/>
    <w:rsid w:val="009E71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9E71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9E71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E71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9E71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E71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E71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9E71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9E71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9E71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9E71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9E71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9E71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9E71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9E7199"/>
    <w:rPr>
      <w:color w:val="2B579A"/>
      <w:shd w:val="clear" w:color="auto" w:fill="E1DFDD"/>
      <w:lang w:val="fr-CA"/>
    </w:rPr>
  </w:style>
  <w:style w:type="character" w:styleId="HTMLAcronym">
    <w:name w:val="HTML Acronym"/>
    <w:basedOn w:val="DefaultParagraphFont"/>
    <w:uiPriority w:val="99"/>
    <w:semiHidden/>
    <w:unhideWhenUsed/>
    <w:rsid w:val="009E7199"/>
    <w:rPr>
      <w:lang w:val="fr-CA"/>
    </w:rPr>
  </w:style>
  <w:style w:type="paragraph" w:styleId="HTMLAddress">
    <w:name w:val="HTML Address"/>
    <w:basedOn w:val="Normal"/>
    <w:link w:val="HTMLAddressChar"/>
    <w:uiPriority w:val="99"/>
    <w:semiHidden/>
    <w:unhideWhenUsed/>
    <w:rsid w:val="009E7199"/>
    <w:rPr>
      <w:i/>
      <w:iCs/>
    </w:rPr>
  </w:style>
  <w:style w:type="character" w:customStyle="1" w:styleId="HTMLAddressChar">
    <w:name w:val="HTML Address Char"/>
    <w:basedOn w:val="DefaultParagraphFont"/>
    <w:link w:val="HTMLAddress"/>
    <w:uiPriority w:val="99"/>
    <w:semiHidden/>
    <w:rsid w:val="009E7199"/>
    <w:rPr>
      <w:rFonts w:ascii="Times New Roman" w:eastAsia="SimSun" w:hAnsi="Times New Roman" w:cs="Times New Roman"/>
      <w:i/>
      <w:iCs/>
      <w:kern w:val="0"/>
      <w:lang w:val="fr-CA"/>
      <w14:ligatures w14:val="none"/>
    </w:rPr>
  </w:style>
  <w:style w:type="character" w:styleId="HTMLCite">
    <w:name w:val="HTML Cite"/>
    <w:basedOn w:val="DefaultParagraphFont"/>
    <w:uiPriority w:val="99"/>
    <w:semiHidden/>
    <w:unhideWhenUsed/>
    <w:rsid w:val="009E7199"/>
    <w:rPr>
      <w:i/>
      <w:iCs/>
      <w:lang w:val="fr-CA"/>
    </w:rPr>
  </w:style>
  <w:style w:type="character" w:styleId="HTMLCode">
    <w:name w:val="HTML Code"/>
    <w:basedOn w:val="DefaultParagraphFont"/>
    <w:uiPriority w:val="99"/>
    <w:semiHidden/>
    <w:unhideWhenUsed/>
    <w:rsid w:val="009E7199"/>
    <w:rPr>
      <w:rFonts w:ascii="Consolas" w:hAnsi="Consolas"/>
      <w:sz w:val="20"/>
      <w:szCs w:val="20"/>
      <w:lang w:val="fr-CA"/>
    </w:rPr>
  </w:style>
  <w:style w:type="character" w:styleId="HTMLDefinition">
    <w:name w:val="HTML Definition"/>
    <w:basedOn w:val="DefaultParagraphFont"/>
    <w:uiPriority w:val="99"/>
    <w:semiHidden/>
    <w:unhideWhenUsed/>
    <w:rsid w:val="009E7199"/>
    <w:rPr>
      <w:i/>
      <w:iCs/>
      <w:lang w:val="fr-CA"/>
    </w:rPr>
  </w:style>
  <w:style w:type="character" w:styleId="HTMLKeyboard">
    <w:name w:val="HTML Keyboard"/>
    <w:basedOn w:val="DefaultParagraphFont"/>
    <w:uiPriority w:val="99"/>
    <w:semiHidden/>
    <w:unhideWhenUsed/>
    <w:rsid w:val="009E7199"/>
    <w:rPr>
      <w:rFonts w:ascii="Consolas" w:hAnsi="Consolas"/>
      <w:sz w:val="20"/>
      <w:szCs w:val="20"/>
      <w:lang w:val="fr-CA"/>
    </w:rPr>
  </w:style>
  <w:style w:type="paragraph" w:styleId="HTMLPreformatted">
    <w:name w:val="HTML Preformatted"/>
    <w:basedOn w:val="Normal"/>
    <w:link w:val="HTMLPreformattedChar"/>
    <w:uiPriority w:val="99"/>
    <w:semiHidden/>
    <w:unhideWhenUsed/>
    <w:rsid w:val="009E71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E7199"/>
    <w:rPr>
      <w:rFonts w:ascii="Consolas" w:eastAsia="SimSun" w:hAnsi="Consolas" w:cs="Times New Roman"/>
      <w:kern w:val="0"/>
      <w:sz w:val="20"/>
      <w:szCs w:val="20"/>
      <w:lang w:val="fr-CA"/>
      <w14:ligatures w14:val="none"/>
    </w:rPr>
  </w:style>
  <w:style w:type="character" w:styleId="HTMLSample">
    <w:name w:val="HTML Sample"/>
    <w:basedOn w:val="DefaultParagraphFont"/>
    <w:uiPriority w:val="99"/>
    <w:semiHidden/>
    <w:unhideWhenUsed/>
    <w:rsid w:val="009E7199"/>
    <w:rPr>
      <w:rFonts w:ascii="Consolas" w:hAnsi="Consolas"/>
      <w:sz w:val="24"/>
      <w:szCs w:val="24"/>
      <w:lang w:val="fr-CA"/>
    </w:rPr>
  </w:style>
  <w:style w:type="character" w:styleId="HTMLTypewriter">
    <w:name w:val="HTML Typewriter"/>
    <w:basedOn w:val="DefaultParagraphFont"/>
    <w:uiPriority w:val="99"/>
    <w:semiHidden/>
    <w:unhideWhenUsed/>
    <w:rsid w:val="009E7199"/>
    <w:rPr>
      <w:rFonts w:ascii="Consolas" w:hAnsi="Consolas"/>
      <w:sz w:val="20"/>
      <w:szCs w:val="20"/>
      <w:lang w:val="fr-CA"/>
    </w:rPr>
  </w:style>
  <w:style w:type="character" w:styleId="HTMLVariable">
    <w:name w:val="HTML Variable"/>
    <w:basedOn w:val="DefaultParagraphFont"/>
    <w:uiPriority w:val="99"/>
    <w:semiHidden/>
    <w:unhideWhenUsed/>
    <w:rsid w:val="009E7199"/>
    <w:rPr>
      <w:i/>
      <w:iCs/>
      <w:lang w:val="fr-CA"/>
    </w:rPr>
  </w:style>
  <w:style w:type="paragraph" w:styleId="Index1">
    <w:name w:val="index 1"/>
    <w:basedOn w:val="Normal"/>
    <w:next w:val="Normal"/>
    <w:autoRedefine/>
    <w:uiPriority w:val="99"/>
    <w:semiHidden/>
    <w:unhideWhenUsed/>
    <w:rsid w:val="009E71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9E71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9E71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9E71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9E71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9E71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9E71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9E71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9E71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9E7199"/>
    <w:rPr>
      <w:rFonts w:asciiTheme="majorHAnsi" w:eastAsiaTheme="majorEastAsia" w:hAnsiTheme="majorHAnsi" w:cstheme="majorBidi"/>
      <w:b/>
      <w:bCs/>
    </w:rPr>
  </w:style>
  <w:style w:type="character" w:styleId="IntenseEmphasis">
    <w:name w:val="Intense Emphasis"/>
    <w:basedOn w:val="DefaultParagraphFont"/>
    <w:uiPriority w:val="21"/>
    <w:qFormat/>
    <w:rsid w:val="009E7199"/>
    <w:rPr>
      <w:i/>
      <w:iCs/>
      <w:color w:val="4472C4" w:themeColor="accent1"/>
      <w:lang w:val="fr-CA"/>
    </w:rPr>
  </w:style>
  <w:style w:type="paragraph" w:styleId="IntenseQuote">
    <w:name w:val="Intense Quote"/>
    <w:basedOn w:val="Normal"/>
    <w:next w:val="Normal"/>
    <w:link w:val="IntenseQuoteChar"/>
    <w:uiPriority w:val="30"/>
    <w:qFormat/>
    <w:rsid w:val="009E71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E7199"/>
    <w:rPr>
      <w:rFonts w:ascii="Times New Roman" w:eastAsia="SimSun" w:hAnsi="Times New Roman" w:cs="Times New Roman"/>
      <w:i/>
      <w:iCs/>
      <w:color w:val="4472C4" w:themeColor="accent1"/>
      <w:kern w:val="0"/>
      <w:lang w:val="fr-CA"/>
      <w14:ligatures w14:val="none"/>
    </w:rPr>
  </w:style>
  <w:style w:type="character" w:styleId="IntenseReference">
    <w:name w:val="Intense Reference"/>
    <w:basedOn w:val="DefaultParagraphFont"/>
    <w:uiPriority w:val="32"/>
    <w:qFormat/>
    <w:rsid w:val="009E7199"/>
    <w:rPr>
      <w:b/>
      <w:bCs/>
      <w:smallCaps/>
      <w:color w:val="4472C4" w:themeColor="accent1"/>
      <w:spacing w:val="5"/>
      <w:lang w:val="fr-CA"/>
    </w:rPr>
  </w:style>
  <w:style w:type="table" w:styleId="LightGrid">
    <w:name w:val="Light Grid"/>
    <w:basedOn w:val="TableNormal"/>
    <w:uiPriority w:val="62"/>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9E71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71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9E71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9E71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9E71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9E71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9E71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9E7199"/>
    <w:rPr>
      <w:lang w:val="fr-CA"/>
    </w:rPr>
  </w:style>
  <w:style w:type="paragraph" w:styleId="List2">
    <w:name w:val="List 2"/>
    <w:basedOn w:val="Normal"/>
    <w:uiPriority w:val="99"/>
    <w:semiHidden/>
    <w:unhideWhenUsed/>
    <w:rsid w:val="009E7199"/>
    <w:pPr>
      <w:ind w:left="720" w:hanging="360"/>
      <w:contextualSpacing/>
    </w:pPr>
  </w:style>
  <w:style w:type="paragraph" w:styleId="List3">
    <w:name w:val="List 3"/>
    <w:basedOn w:val="Normal"/>
    <w:uiPriority w:val="99"/>
    <w:semiHidden/>
    <w:unhideWhenUsed/>
    <w:rsid w:val="009E7199"/>
    <w:pPr>
      <w:ind w:left="1080" w:hanging="360"/>
      <w:contextualSpacing/>
    </w:pPr>
  </w:style>
  <w:style w:type="paragraph" w:styleId="List4">
    <w:name w:val="List 4"/>
    <w:basedOn w:val="Normal"/>
    <w:uiPriority w:val="99"/>
    <w:semiHidden/>
    <w:unhideWhenUsed/>
    <w:rsid w:val="009E7199"/>
    <w:pPr>
      <w:ind w:left="1440" w:hanging="360"/>
      <w:contextualSpacing/>
    </w:pPr>
  </w:style>
  <w:style w:type="paragraph" w:styleId="List5">
    <w:name w:val="List 5"/>
    <w:basedOn w:val="Normal"/>
    <w:uiPriority w:val="99"/>
    <w:semiHidden/>
    <w:unhideWhenUsed/>
    <w:rsid w:val="009E7199"/>
    <w:pPr>
      <w:ind w:left="1800" w:hanging="360"/>
      <w:contextualSpacing/>
    </w:pPr>
  </w:style>
  <w:style w:type="paragraph" w:styleId="ListBullet">
    <w:name w:val="List Bullet"/>
    <w:basedOn w:val="Normal"/>
    <w:uiPriority w:val="99"/>
    <w:semiHidden/>
    <w:unhideWhenUsed/>
    <w:rsid w:val="009E7199"/>
    <w:pPr>
      <w:numPr>
        <w:numId w:val="52"/>
      </w:numPr>
      <w:contextualSpacing/>
    </w:pPr>
  </w:style>
  <w:style w:type="paragraph" w:styleId="ListBullet2">
    <w:name w:val="List Bullet 2"/>
    <w:basedOn w:val="Normal"/>
    <w:uiPriority w:val="99"/>
    <w:semiHidden/>
    <w:unhideWhenUsed/>
    <w:rsid w:val="009E7199"/>
    <w:pPr>
      <w:numPr>
        <w:numId w:val="53"/>
      </w:numPr>
      <w:contextualSpacing/>
    </w:pPr>
  </w:style>
  <w:style w:type="paragraph" w:styleId="ListBullet3">
    <w:name w:val="List Bullet 3"/>
    <w:basedOn w:val="Normal"/>
    <w:uiPriority w:val="99"/>
    <w:semiHidden/>
    <w:unhideWhenUsed/>
    <w:rsid w:val="009E7199"/>
    <w:pPr>
      <w:numPr>
        <w:numId w:val="54"/>
      </w:numPr>
      <w:contextualSpacing/>
    </w:pPr>
  </w:style>
  <w:style w:type="paragraph" w:styleId="ListBullet4">
    <w:name w:val="List Bullet 4"/>
    <w:basedOn w:val="Normal"/>
    <w:uiPriority w:val="99"/>
    <w:semiHidden/>
    <w:unhideWhenUsed/>
    <w:rsid w:val="009E7199"/>
    <w:pPr>
      <w:numPr>
        <w:numId w:val="55"/>
      </w:numPr>
      <w:contextualSpacing/>
    </w:pPr>
  </w:style>
  <w:style w:type="paragraph" w:styleId="ListBullet5">
    <w:name w:val="List Bullet 5"/>
    <w:basedOn w:val="Normal"/>
    <w:uiPriority w:val="99"/>
    <w:semiHidden/>
    <w:unhideWhenUsed/>
    <w:rsid w:val="009E7199"/>
    <w:pPr>
      <w:numPr>
        <w:numId w:val="56"/>
      </w:numPr>
      <w:contextualSpacing/>
    </w:pPr>
  </w:style>
  <w:style w:type="paragraph" w:styleId="ListContinue">
    <w:name w:val="List Continue"/>
    <w:basedOn w:val="Normal"/>
    <w:uiPriority w:val="99"/>
    <w:semiHidden/>
    <w:unhideWhenUsed/>
    <w:rsid w:val="009E7199"/>
    <w:pPr>
      <w:spacing w:after="120"/>
      <w:ind w:left="360"/>
      <w:contextualSpacing/>
    </w:pPr>
  </w:style>
  <w:style w:type="paragraph" w:styleId="ListContinue2">
    <w:name w:val="List Continue 2"/>
    <w:basedOn w:val="Normal"/>
    <w:uiPriority w:val="99"/>
    <w:semiHidden/>
    <w:unhideWhenUsed/>
    <w:rsid w:val="009E7199"/>
    <w:pPr>
      <w:spacing w:after="120"/>
      <w:ind w:left="720"/>
      <w:contextualSpacing/>
    </w:pPr>
  </w:style>
  <w:style w:type="paragraph" w:styleId="ListContinue3">
    <w:name w:val="List Continue 3"/>
    <w:basedOn w:val="Normal"/>
    <w:uiPriority w:val="99"/>
    <w:semiHidden/>
    <w:unhideWhenUsed/>
    <w:rsid w:val="009E7199"/>
    <w:pPr>
      <w:spacing w:after="120"/>
      <w:ind w:left="1080"/>
      <w:contextualSpacing/>
    </w:pPr>
  </w:style>
  <w:style w:type="paragraph" w:styleId="ListContinue4">
    <w:name w:val="List Continue 4"/>
    <w:basedOn w:val="Normal"/>
    <w:uiPriority w:val="99"/>
    <w:semiHidden/>
    <w:unhideWhenUsed/>
    <w:rsid w:val="009E7199"/>
    <w:pPr>
      <w:spacing w:after="120"/>
      <w:ind w:left="1440"/>
      <w:contextualSpacing/>
    </w:pPr>
  </w:style>
  <w:style w:type="paragraph" w:styleId="ListContinue5">
    <w:name w:val="List Continue 5"/>
    <w:basedOn w:val="Normal"/>
    <w:uiPriority w:val="99"/>
    <w:semiHidden/>
    <w:unhideWhenUsed/>
    <w:rsid w:val="009E7199"/>
    <w:pPr>
      <w:spacing w:after="120"/>
      <w:ind w:left="1800"/>
      <w:contextualSpacing/>
    </w:pPr>
  </w:style>
  <w:style w:type="paragraph" w:styleId="ListNumber">
    <w:name w:val="List Number"/>
    <w:basedOn w:val="Normal"/>
    <w:uiPriority w:val="99"/>
    <w:semiHidden/>
    <w:unhideWhenUsed/>
    <w:rsid w:val="009E7199"/>
    <w:pPr>
      <w:numPr>
        <w:numId w:val="92"/>
      </w:numPr>
      <w:contextualSpacing/>
    </w:pPr>
  </w:style>
  <w:style w:type="paragraph" w:styleId="ListNumber2">
    <w:name w:val="List Number 2"/>
    <w:basedOn w:val="Normal"/>
    <w:uiPriority w:val="99"/>
    <w:semiHidden/>
    <w:unhideWhenUsed/>
    <w:rsid w:val="009E7199"/>
    <w:pPr>
      <w:numPr>
        <w:numId w:val="93"/>
      </w:numPr>
      <w:contextualSpacing/>
    </w:pPr>
  </w:style>
  <w:style w:type="paragraph" w:styleId="ListNumber3">
    <w:name w:val="List Number 3"/>
    <w:basedOn w:val="Normal"/>
    <w:uiPriority w:val="99"/>
    <w:semiHidden/>
    <w:unhideWhenUsed/>
    <w:rsid w:val="009E7199"/>
    <w:pPr>
      <w:numPr>
        <w:numId w:val="94"/>
      </w:numPr>
      <w:contextualSpacing/>
    </w:pPr>
  </w:style>
  <w:style w:type="paragraph" w:styleId="ListNumber4">
    <w:name w:val="List Number 4"/>
    <w:basedOn w:val="Normal"/>
    <w:uiPriority w:val="99"/>
    <w:semiHidden/>
    <w:unhideWhenUsed/>
    <w:rsid w:val="009E7199"/>
    <w:pPr>
      <w:numPr>
        <w:numId w:val="95"/>
      </w:numPr>
      <w:contextualSpacing/>
    </w:pPr>
  </w:style>
  <w:style w:type="paragraph" w:styleId="ListNumber5">
    <w:name w:val="List Number 5"/>
    <w:basedOn w:val="Normal"/>
    <w:uiPriority w:val="99"/>
    <w:semiHidden/>
    <w:unhideWhenUsed/>
    <w:rsid w:val="009E7199"/>
    <w:pPr>
      <w:numPr>
        <w:numId w:val="96"/>
      </w:numPr>
      <w:contextualSpacing/>
    </w:pPr>
  </w:style>
  <w:style w:type="table" w:styleId="ListTable1Light">
    <w:name w:val="List Table 1 Light"/>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9E71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9E71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9E71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9E71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9E71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9E71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9E71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9E71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9E71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9E71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9E71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9E71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9E71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9E71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9E71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9E71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9E71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9E71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9E71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9E71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9E71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9E71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9E71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9E71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9E71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9E71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9E71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9E71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9E71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9E71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9E7199"/>
    <w:rPr>
      <w:rFonts w:ascii="Consolas" w:eastAsia="SimSun" w:hAnsi="Consolas" w:cs="Times New Roman"/>
      <w:kern w:val="0"/>
      <w:sz w:val="20"/>
      <w:szCs w:val="20"/>
      <w:lang w:val="fr-CA"/>
      <w14:ligatures w14:val="none"/>
    </w:rPr>
  </w:style>
  <w:style w:type="table" w:styleId="MediumGrid1">
    <w:name w:val="Medium Grid 1"/>
    <w:basedOn w:val="TableNormal"/>
    <w:uiPriority w:val="67"/>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E719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E7199"/>
    <w:rPr>
      <w:rFonts w:asciiTheme="majorHAnsi" w:eastAsiaTheme="majorEastAsia" w:hAnsiTheme="majorHAnsi" w:cstheme="majorBidi"/>
      <w:kern w:val="0"/>
      <w:sz w:val="24"/>
      <w:szCs w:val="24"/>
      <w:shd w:val="pct20" w:color="auto" w:fill="auto"/>
      <w:lang w:val="fr-CA"/>
      <w14:ligatures w14:val="none"/>
    </w:rPr>
  </w:style>
  <w:style w:type="paragraph" w:styleId="NoSpacing">
    <w:name w:val="No Spacing"/>
    <w:uiPriority w:val="1"/>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9E7199"/>
    <w:rPr>
      <w:sz w:val="24"/>
      <w:szCs w:val="24"/>
    </w:rPr>
  </w:style>
  <w:style w:type="paragraph" w:styleId="NormalIndent">
    <w:name w:val="Normal Indent"/>
    <w:basedOn w:val="Normal"/>
    <w:uiPriority w:val="99"/>
    <w:semiHidden/>
    <w:unhideWhenUsed/>
    <w:rsid w:val="009E7199"/>
    <w:pPr>
      <w:ind w:left="720"/>
    </w:pPr>
  </w:style>
  <w:style w:type="paragraph" w:styleId="NoteHeading">
    <w:name w:val="Note Heading"/>
    <w:basedOn w:val="Normal"/>
    <w:next w:val="Normal"/>
    <w:link w:val="NoteHeadingChar"/>
    <w:uiPriority w:val="99"/>
    <w:semiHidden/>
    <w:unhideWhenUsed/>
    <w:rsid w:val="009E7199"/>
  </w:style>
  <w:style w:type="character" w:customStyle="1" w:styleId="NoteHeadingChar">
    <w:name w:val="Note Heading Char"/>
    <w:basedOn w:val="DefaultParagraphFont"/>
    <w:link w:val="NoteHeading"/>
    <w:uiPriority w:val="99"/>
    <w:semiHidden/>
    <w:rsid w:val="009E7199"/>
    <w:rPr>
      <w:rFonts w:ascii="Times New Roman" w:eastAsia="SimSun" w:hAnsi="Times New Roman" w:cs="Times New Roman"/>
      <w:kern w:val="0"/>
      <w:lang w:val="fr-CA"/>
      <w14:ligatures w14:val="none"/>
    </w:rPr>
  </w:style>
  <w:style w:type="character" w:styleId="PageNumber">
    <w:name w:val="page number"/>
    <w:basedOn w:val="DefaultParagraphFont"/>
    <w:uiPriority w:val="99"/>
    <w:semiHidden/>
    <w:unhideWhenUsed/>
    <w:rsid w:val="009E7199"/>
    <w:rPr>
      <w:lang w:val="fr-CA"/>
    </w:rPr>
  </w:style>
  <w:style w:type="table" w:styleId="PlainTable1">
    <w:name w:val="Plain Table 1"/>
    <w:basedOn w:val="TableNormal"/>
    <w:uiPriority w:val="41"/>
    <w:rsid w:val="009E71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9E71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E71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E71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9E71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9E7199"/>
    <w:rPr>
      <w:rFonts w:ascii="Consolas" w:hAnsi="Consolas"/>
      <w:sz w:val="21"/>
      <w:szCs w:val="21"/>
    </w:rPr>
  </w:style>
  <w:style w:type="character" w:customStyle="1" w:styleId="PlainTextChar">
    <w:name w:val="Plain Text Char"/>
    <w:basedOn w:val="DefaultParagraphFont"/>
    <w:link w:val="PlainText"/>
    <w:uiPriority w:val="99"/>
    <w:semiHidden/>
    <w:rsid w:val="009E7199"/>
    <w:rPr>
      <w:rFonts w:ascii="Consolas" w:eastAsia="SimSun" w:hAnsi="Consolas" w:cs="Times New Roman"/>
      <w:kern w:val="0"/>
      <w:sz w:val="21"/>
      <w:szCs w:val="21"/>
      <w:lang w:val="fr-CA"/>
      <w14:ligatures w14:val="none"/>
    </w:rPr>
  </w:style>
  <w:style w:type="paragraph" w:styleId="Quote">
    <w:name w:val="Quote"/>
    <w:basedOn w:val="Normal"/>
    <w:next w:val="Normal"/>
    <w:link w:val="QuoteChar"/>
    <w:uiPriority w:val="29"/>
    <w:qFormat/>
    <w:rsid w:val="009E71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E7199"/>
    <w:rPr>
      <w:rFonts w:ascii="Times New Roman" w:eastAsia="SimSun" w:hAnsi="Times New Roman" w:cs="Times New Roman"/>
      <w:i/>
      <w:iCs/>
      <w:color w:val="404040" w:themeColor="text1" w:themeTint="BF"/>
      <w:kern w:val="0"/>
      <w:lang w:val="fr-CA"/>
      <w14:ligatures w14:val="none"/>
    </w:rPr>
  </w:style>
  <w:style w:type="paragraph" w:styleId="Salutation">
    <w:name w:val="Salutation"/>
    <w:basedOn w:val="Normal"/>
    <w:next w:val="Normal"/>
    <w:link w:val="SalutationChar"/>
    <w:uiPriority w:val="99"/>
    <w:semiHidden/>
    <w:unhideWhenUsed/>
    <w:rsid w:val="009E7199"/>
  </w:style>
  <w:style w:type="character" w:customStyle="1" w:styleId="SalutationChar">
    <w:name w:val="Salutation Char"/>
    <w:basedOn w:val="DefaultParagraphFont"/>
    <w:link w:val="Salutation"/>
    <w:uiPriority w:val="99"/>
    <w:semiHidden/>
    <w:rsid w:val="009E7199"/>
    <w:rPr>
      <w:rFonts w:ascii="Times New Roman" w:eastAsia="SimSun" w:hAnsi="Times New Roman" w:cs="Times New Roman"/>
      <w:kern w:val="0"/>
      <w:lang w:val="fr-CA"/>
      <w14:ligatures w14:val="none"/>
    </w:rPr>
  </w:style>
  <w:style w:type="paragraph" w:styleId="Signature">
    <w:name w:val="Signature"/>
    <w:basedOn w:val="Normal"/>
    <w:link w:val="SignatureChar"/>
    <w:uiPriority w:val="99"/>
    <w:semiHidden/>
    <w:unhideWhenUsed/>
    <w:rsid w:val="009E7199"/>
    <w:pPr>
      <w:ind w:left="4320"/>
    </w:pPr>
  </w:style>
  <w:style w:type="character" w:customStyle="1" w:styleId="SignatureChar">
    <w:name w:val="Signature Char"/>
    <w:basedOn w:val="DefaultParagraphFont"/>
    <w:link w:val="Signature"/>
    <w:uiPriority w:val="99"/>
    <w:semiHidden/>
    <w:rsid w:val="009E7199"/>
    <w:rPr>
      <w:rFonts w:ascii="Times New Roman" w:eastAsia="SimSun" w:hAnsi="Times New Roman" w:cs="Times New Roman"/>
      <w:kern w:val="0"/>
      <w:lang w:val="fr-CA"/>
      <w14:ligatures w14:val="none"/>
    </w:rPr>
  </w:style>
  <w:style w:type="character" w:styleId="SmartHyperlink">
    <w:name w:val="Smart Hyperlink"/>
    <w:basedOn w:val="DefaultParagraphFont"/>
    <w:uiPriority w:val="99"/>
    <w:semiHidden/>
    <w:unhideWhenUsed/>
    <w:rsid w:val="009E7199"/>
    <w:rPr>
      <w:u w:val="dotted"/>
      <w:lang w:val="fr-CA"/>
    </w:rPr>
  </w:style>
  <w:style w:type="character" w:styleId="SmartLink">
    <w:name w:val="Smart Link"/>
    <w:basedOn w:val="DefaultParagraphFont"/>
    <w:uiPriority w:val="99"/>
    <w:semiHidden/>
    <w:unhideWhenUsed/>
    <w:rsid w:val="009E7199"/>
    <w:rPr>
      <w:color w:val="0000FF"/>
      <w:u w:val="single"/>
      <w:shd w:val="clear" w:color="auto" w:fill="F3F2F1"/>
      <w:lang w:val="fr-CA"/>
    </w:rPr>
  </w:style>
  <w:style w:type="character" w:styleId="Strong">
    <w:name w:val="Strong"/>
    <w:basedOn w:val="DefaultParagraphFont"/>
    <w:uiPriority w:val="22"/>
    <w:qFormat/>
    <w:rsid w:val="009E7199"/>
    <w:rPr>
      <w:b/>
      <w:bCs/>
      <w:lang w:val="fr-CA"/>
    </w:rPr>
  </w:style>
  <w:style w:type="character" w:styleId="SubtleEmphasis">
    <w:name w:val="Subtle Emphasis"/>
    <w:basedOn w:val="DefaultParagraphFont"/>
    <w:uiPriority w:val="19"/>
    <w:qFormat/>
    <w:rsid w:val="009E7199"/>
    <w:rPr>
      <w:i/>
      <w:iCs/>
      <w:color w:val="404040" w:themeColor="text1" w:themeTint="BF"/>
      <w:lang w:val="fr-CA"/>
    </w:rPr>
  </w:style>
  <w:style w:type="character" w:styleId="SubtleReference">
    <w:name w:val="Subtle Reference"/>
    <w:basedOn w:val="DefaultParagraphFont"/>
    <w:uiPriority w:val="31"/>
    <w:qFormat/>
    <w:rsid w:val="009E7199"/>
    <w:rPr>
      <w:smallCaps/>
      <w:color w:val="5A5A5A" w:themeColor="text1" w:themeTint="A5"/>
      <w:lang w:val="fr-CA"/>
    </w:rPr>
  </w:style>
  <w:style w:type="table" w:styleId="Table3Deffects1">
    <w:name w:val="Table 3D effects 1"/>
    <w:basedOn w:val="TableNormal"/>
    <w:uiPriority w:val="99"/>
    <w:semiHidden/>
    <w:unhideWhenUsed/>
    <w:rsid w:val="009E71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71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E71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9E71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E71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9E71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71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9E71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9E71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uments/CBD/SBI/6/INF/17" TargetMode="External"/><Relationship Id="rId26" Type="http://schemas.openxmlformats.org/officeDocument/2006/relationships/hyperlink" Target="https://www.cbd.int/documents/CBD/SBI/6/INF/17" TargetMode="External"/><Relationship Id="rId39" Type="http://schemas.openxmlformats.org/officeDocument/2006/relationships/fontTable" Target="fontTable.xml"/><Relationship Id="rId21" Type="http://schemas.openxmlformats.org/officeDocument/2006/relationships/hyperlink" Target="https://www.cbd.int/documents/CBD/SBI/6/INF/17" TargetMode="External"/><Relationship Id="rId34"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uments/CBD/SBI/6/INF/17" TargetMode="External"/><Relationship Id="rId20" Type="http://schemas.openxmlformats.org/officeDocument/2006/relationships/hyperlink" Target="https://www.cbd.int/documents/CBD/SBI/6/INF/17" TargetMode="External"/><Relationship Id="rId29" Type="http://schemas.openxmlformats.org/officeDocument/2006/relationships/hyperlink" Target="https://www.cbd.int/documents/CBD/SBI/6/INF/17"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hyperlink" Target="https://www.cbd.int/documents/CBD/SBI/6/INF/17" TargetMode="External"/><Relationship Id="rId37" Type="http://schemas.openxmlformats.org/officeDocument/2006/relationships/footer" Target="footer2.xml"/><Relationship Id="rId40"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uments/CBD/SBI/6/INF/17" TargetMode="External"/><Relationship Id="rId23" Type="http://schemas.openxmlformats.org/officeDocument/2006/relationships/hyperlink" Target="https://www.cbd.int/documents/CBD/SBI/6/INF/17" TargetMode="External"/><Relationship Id="rId28" Type="http://schemas.openxmlformats.org/officeDocument/2006/relationships/hyperlink" Target="https://www.cbd.int/documents/CBD/SBI/6/INF/17"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ocuments/CBD/SBI/6/INF/17" TargetMode="External"/><Relationship Id="rId31" Type="http://schemas.openxmlformats.org/officeDocument/2006/relationships/hyperlink" Target="https://www.cbd.int/documents/CBD/SBI/6/INF/1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SBI/6/INF/17" TargetMode="External"/><Relationship Id="rId22" Type="http://schemas.openxmlformats.org/officeDocument/2006/relationships/hyperlink" Target="https://www.cbd.int/documents/CBD/SBI/6/INF/17" TargetMode="External"/><Relationship Id="rId27" Type="http://schemas.openxmlformats.org/officeDocument/2006/relationships/hyperlink" Target="https://www.cbd.int/documents/CBD/SBI/6/INF/17" TargetMode="External"/><Relationship Id="rId30" Type="http://schemas.openxmlformats.org/officeDocument/2006/relationships/hyperlink" Target="https://www.cbd.int/documents/CBD/SBI/6/INF/17"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uments/CBD/SBI/6/INF/17" TargetMode="External"/><Relationship Id="rId25" Type="http://schemas.openxmlformats.org/officeDocument/2006/relationships/hyperlink" Target="https://www.cbd.int/documents/CBD/SBI/6/INF/17" TargetMode="External"/><Relationship Id="rId33" Type="http://schemas.openxmlformats.org/officeDocument/2006/relationships/hyperlink" Target="https://www.cbd.int/documents/CBD/SBI/6/INF/17" TargetMode="External"/><Relationship Id="rId38" Type="http://schemas.openxmlformats.org/officeDocument/2006/relationships/header" Target="header3.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uments/CBD/SBI/6/INF/17" TargetMode="External"/><Relationship Id="rId18" Type="http://schemas.openxmlformats.org/officeDocument/2006/relationships/hyperlink" Target="https://www.cbd.int/documents/CBD/SBI/6/INF/7" TargetMode="External"/><Relationship Id="rId26" Type="http://schemas.openxmlformats.org/officeDocument/2006/relationships/hyperlink" Target="https://www.cbd.int/documents/CBD/SBI/6/INF/3" TargetMode="External"/><Relationship Id="rId39" Type="http://schemas.openxmlformats.org/officeDocument/2006/relationships/hyperlink" Target="https://www.cbd.int/documents/CBD/SBI/6/INF/17" TargetMode="External"/><Relationship Id="rId21" Type="http://schemas.openxmlformats.org/officeDocument/2006/relationships/hyperlink" Target="https://www.cbd.int/documents/CBD/SBI/6/INF/17" TargetMode="External"/><Relationship Id="rId34" Type="http://schemas.openxmlformats.org/officeDocument/2006/relationships/hyperlink" Target="https://www.cbd.int/documents/CBD/SBI/6/INF/17" TargetMode="External"/><Relationship Id="rId42" Type="http://schemas.openxmlformats.org/officeDocument/2006/relationships/hyperlink" Target="https://www.cbd.int/documents/CBD/SBI/6/INF/17" TargetMode="External"/><Relationship Id="rId7" Type="http://schemas.openxmlformats.org/officeDocument/2006/relationships/hyperlink" Target="https://www.cbd.int/documents/CBD/SBI/6/INF/16" TargetMode="External"/><Relationship Id="rId2" Type="http://schemas.openxmlformats.org/officeDocument/2006/relationships/hyperlink" Target="https://www.cbd.int/documents/CBD/SBI/6/1" TargetMode="External"/><Relationship Id="rId16" Type="http://schemas.openxmlformats.org/officeDocument/2006/relationships/hyperlink" Target="https://www.cbd.int/documents/CBD/SBI/6/INF/5" TargetMode="External"/><Relationship Id="rId20" Type="http://schemas.openxmlformats.org/officeDocument/2006/relationships/hyperlink" Target="https://www.cbd.int/documents/CBD/SBI/6/INF/14" TargetMode="External"/><Relationship Id="rId29" Type="http://schemas.openxmlformats.org/officeDocument/2006/relationships/hyperlink" Target="https://www.cbd.int/documents/CBD/SBI/6/3/REV1" TargetMode="External"/><Relationship Id="rId41" Type="http://schemas.openxmlformats.org/officeDocument/2006/relationships/hyperlink" Target="https://www.cbd.int/documents/CBD/SBI/6/INF/12" TargetMode="External"/><Relationship Id="rId1" Type="http://schemas.openxmlformats.org/officeDocument/2006/relationships/hyperlink" Target="https://www.cbd.int/meetings/sbi-06" TargetMode="External"/><Relationship Id="rId6" Type="http://schemas.openxmlformats.org/officeDocument/2006/relationships/hyperlink" Target="https://www.cbd.int/documents/CBD/SBI/6/INF/15" TargetMode="External"/><Relationship Id="rId11" Type="http://schemas.openxmlformats.org/officeDocument/2006/relationships/hyperlink" Target="https://www.cbd.int/documents/CBD/SBI/6/3/REV1" TargetMode="External"/><Relationship Id="rId24" Type="http://schemas.openxmlformats.org/officeDocument/2006/relationships/hyperlink" Target="https://www.cbd.int/documents/CBD/SBI/6/7" TargetMode="External"/><Relationship Id="rId32" Type="http://schemas.openxmlformats.org/officeDocument/2006/relationships/hyperlink" Target="https://www.cbd.int/documents/CBD/SBI/6/INF/17" TargetMode="External"/><Relationship Id="rId37" Type="http://schemas.openxmlformats.org/officeDocument/2006/relationships/hyperlink" Target="https://www.cbd.int/documents/CBD/SBI/6/INF/10" TargetMode="External"/><Relationship Id="rId40" Type="http://schemas.openxmlformats.org/officeDocument/2006/relationships/hyperlink" Target="https://www.cbd.int/documents/CBD/SBI/6/10" TargetMode="External"/><Relationship Id="rId5" Type="http://schemas.openxmlformats.org/officeDocument/2006/relationships/hyperlink" Target="https://www.cbd.int/documents/CBD/SBI/6/2" TargetMode="External"/><Relationship Id="rId15" Type="http://schemas.openxmlformats.org/officeDocument/2006/relationships/hyperlink" Target="https://www.cbd.int/documents/CBD/SBI/6/INF/2" TargetMode="External"/><Relationship Id="rId23" Type="http://schemas.openxmlformats.org/officeDocument/2006/relationships/hyperlink" Target="https://www.cbd.int/documents/CBD/SBI/6/INF/17" TargetMode="External"/><Relationship Id="rId28" Type="http://schemas.openxmlformats.org/officeDocument/2006/relationships/hyperlink" Target="https://www.cbd.int/documents/CBD/SBI/6/INF/17" TargetMode="External"/><Relationship Id="rId36" Type="http://schemas.openxmlformats.org/officeDocument/2006/relationships/hyperlink" Target="https://www.cbd.int/documents/CBD/SBI/6/INF/9" TargetMode="External"/><Relationship Id="rId10" Type="http://schemas.openxmlformats.org/officeDocument/2006/relationships/hyperlink" Target="https://www.cbd.int/documents/CBD/SBI/6/1/ADD2/REV1" TargetMode="External"/><Relationship Id="rId19" Type="http://schemas.openxmlformats.org/officeDocument/2006/relationships/hyperlink" Target="https://www.cbd.int/documents/CBD/SBI/6/INF/11" TargetMode="External"/><Relationship Id="rId31" Type="http://schemas.openxmlformats.org/officeDocument/2006/relationships/hyperlink" Target="https://www.cbd.int/documents/CBD/SBI/6/INF/8" TargetMode="External"/><Relationship Id="rId4" Type="http://schemas.openxmlformats.org/officeDocument/2006/relationships/hyperlink" Target="https://www.cbd.int/documents/CBD/SBI/6/1/ADD2/REV1" TargetMode="External"/><Relationship Id="rId9" Type="http://schemas.openxmlformats.org/officeDocument/2006/relationships/hyperlink" Target="https://www.cbd.int/documents/CBD/SBI/6/INF/18" TargetMode="External"/><Relationship Id="rId14" Type="http://schemas.openxmlformats.org/officeDocument/2006/relationships/hyperlink" Target="https://www.cbd.int/documents/CBD/SBI/6/4" TargetMode="External"/><Relationship Id="rId22" Type="http://schemas.openxmlformats.org/officeDocument/2006/relationships/hyperlink" Target="https://www.cbd.int/documents/CBD/SBI/6/5" TargetMode="External"/><Relationship Id="rId27" Type="http://schemas.openxmlformats.org/officeDocument/2006/relationships/hyperlink" Target="https://www.cbd.int/documents/CBD/SBI/6/INF/5" TargetMode="External"/><Relationship Id="rId30" Type="http://schemas.openxmlformats.org/officeDocument/2006/relationships/hyperlink" Target="https://www.cbd.int/documents/CBD/SBI/6/INF/4" TargetMode="External"/><Relationship Id="rId35" Type="http://schemas.openxmlformats.org/officeDocument/2006/relationships/hyperlink" Target="https://www.cbd.int/documents/CBD/SBI/6/9" TargetMode="External"/><Relationship Id="rId8" Type="http://schemas.openxmlformats.org/officeDocument/2006/relationships/hyperlink" Target="https://www.cbd.int/documents/CBD/SBI/6/INF/17" TargetMode="External"/><Relationship Id="rId3" Type="http://schemas.openxmlformats.org/officeDocument/2006/relationships/hyperlink" Target="https://www.cbd.int/documents/CBD/SBI/6/1/ADD1" TargetMode="External"/><Relationship Id="rId12" Type="http://schemas.openxmlformats.org/officeDocument/2006/relationships/hyperlink" Target="https://www.cbd.int/documents/CBD/SBI/6/INF/13" TargetMode="External"/><Relationship Id="rId17" Type="http://schemas.openxmlformats.org/officeDocument/2006/relationships/hyperlink" Target="https://www.cbd.int/documents/CBD/SBI/6/INF/6" TargetMode="External"/><Relationship Id="rId25" Type="http://schemas.openxmlformats.org/officeDocument/2006/relationships/hyperlink" Target="https://www.cbd.int/documents/CBD/SBI/6/INF/2" TargetMode="External"/><Relationship Id="rId33" Type="http://schemas.openxmlformats.org/officeDocument/2006/relationships/hyperlink" Target="https://www.cbd.int/documents/CBD/SBI/6/8" TargetMode="External"/><Relationship Id="rId38" Type="http://schemas.openxmlformats.org/officeDocument/2006/relationships/hyperlink" Target="https://www.cbd.int/documents/CBD/SBI/6/INF/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98"/>
    <w:rsid w:val="00015C1F"/>
    <w:rsid w:val="0002299E"/>
    <w:rsid w:val="00044E6A"/>
    <w:rsid w:val="000A253D"/>
    <w:rsid w:val="000E3284"/>
    <w:rsid w:val="000E4077"/>
    <w:rsid w:val="001031DF"/>
    <w:rsid w:val="0011271C"/>
    <w:rsid w:val="0012005E"/>
    <w:rsid w:val="00171B36"/>
    <w:rsid w:val="00195CD6"/>
    <w:rsid w:val="001C445C"/>
    <w:rsid w:val="001F0DDB"/>
    <w:rsid w:val="00234B83"/>
    <w:rsid w:val="00244AA0"/>
    <w:rsid w:val="00244D8E"/>
    <w:rsid w:val="00272955"/>
    <w:rsid w:val="002745C7"/>
    <w:rsid w:val="00274D7D"/>
    <w:rsid w:val="002860F3"/>
    <w:rsid w:val="002D6A34"/>
    <w:rsid w:val="002E5DAB"/>
    <w:rsid w:val="00304AAC"/>
    <w:rsid w:val="00346F7E"/>
    <w:rsid w:val="0036188E"/>
    <w:rsid w:val="00363680"/>
    <w:rsid w:val="0037109B"/>
    <w:rsid w:val="003A0226"/>
    <w:rsid w:val="003D5766"/>
    <w:rsid w:val="003F20E2"/>
    <w:rsid w:val="00437E39"/>
    <w:rsid w:val="00450448"/>
    <w:rsid w:val="00451239"/>
    <w:rsid w:val="00471EFA"/>
    <w:rsid w:val="004C3CE8"/>
    <w:rsid w:val="004D405E"/>
    <w:rsid w:val="004D6155"/>
    <w:rsid w:val="004E2B68"/>
    <w:rsid w:val="004E64CB"/>
    <w:rsid w:val="00507D48"/>
    <w:rsid w:val="005216D9"/>
    <w:rsid w:val="00555FB2"/>
    <w:rsid w:val="0056791E"/>
    <w:rsid w:val="005B0EC7"/>
    <w:rsid w:val="005B5D38"/>
    <w:rsid w:val="005C5F3B"/>
    <w:rsid w:val="005D46E4"/>
    <w:rsid w:val="00630E98"/>
    <w:rsid w:val="00633474"/>
    <w:rsid w:val="00634465"/>
    <w:rsid w:val="006634EF"/>
    <w:rsid w:val="00666E89"/>
    <w:rsid w:val="006F70F8"/>
    <w:rsid w:val="0072653F"/>
    <w:rsid w:val="00743402"/>
    <w:rsid w:val="007802D7"/>
    <w:rsid w:val="007B2DE7"/>
    <w:rsid w:val="007B675F"/>
    <w:rsid w:val="007C391A"/>
    <w:rsid w:val="007E62BB"/>
    <w:rsid w:val="007F3D46"/>
    <w:rsid w:val="00800C5A"/>
    <w:rsid w:val="00813AD5"/>
    <w:rsid w:val="00826499"/>
    <w:rsid w:val="008350CB"/>
    <w:rsid w:val="00844B1A"/>
    <w:rsid w:val="008810FF"/>
    <w:rsid w:val="0088633F"/>
    <w:rsid w:val="008B085F"/>
    <w:rsid w:val="008B3B7B"/>
    <w:rsid w:val="008B5C97"/>
    <w:rsid w:val="008D4ED6"/>
    <w:rsid w:val="009208B6"/>
    <w:rsid w:val="00994D80"/>
    <w:rsid w:val="009E329D"/>
    <w:rsid w:val="00A00104"/>
    <w:rsid w:val="00A018C6"/>
    <w:rsid w:val="00A124D2"/>
    <w:rsid w:val="00A305BB"/>
    <w:rsid w:val="00A56853"/>
    <w:rsid w:val="00AA21DC"/>
    <w:rsid w:val="00AA7108"/>
    <w:rsid w:val="00AD6838"/>
    <w:rsid w:val="00B051C2"/>
    <w:rsid w:val="00B1638D"/>
    <w:rsid w:val="00B77DDD"/>
    <w:rsid w:val="00B81B72"/>
    <w:rsid w:val="00B85BF5"/>
    <w:rsid w:val="00BA0DF9"/>
    <w:rsid w:val="00BB6917"/>
    <w:rsid w:val="00BC280B"/>
    <w:rsid w:val="00BD45C3"/>
    <w:rsid w:val="00C06AF9"/>
    <w:rsid w:val="00C66C63"/>
    <w:rsid w:val="00C66F87"/>
    <w:rsid w:val="00C9730D"/>
    <w:rsid w:val="00CA36C0"/>
    <w:rsid w:val="00D41247"/>
    <w:rsid w:val="00D41765"/>
    <w:rsid w:val="00D461D6"/>
    <w:rsid w:val="00D6609C"/>
    <w:rsid w:val="00D7791F"/>
    <w:rsid w:val="00D94207"/>
    <w:rsid w:val="00E20E39"/>
    <w:rsid w:val="00E44339"/>
    <w:rsid w:val="00E7212F"/>
    <w:rsid w:val="00E752ED"/>
    <w:rsid w:val="00EE111E"/>
    <w:rsid w:val="00EE4FEB"/>
    <w:rsid w:val="00F02633"/>
    <w:rsid w:val="00F127E4"/>
    <w:rsid w:val="00F15BDE"/>
    <w:rsid w:val="00F55C6A"/>
    <w:rsid w:val="00F60A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152B450-8FE2-4E61-AEE7-98286E60D6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0</TotalTime>
  <Pages>13</Pages>
  <Words>6450</Words>
  <Characters>36770</Characters>
  <Application>Microsoft Office Word</Application>
  <DocSecurity>4</DocSecurity>
  <Lines>306</Lines>
  <Paragraphs>86</Paragraphs>
  <ScaleCrop>false</ScaleCrop>
  <HeadingPairs>
    <vt:vector size="6" baseType="variant">
      <vt:variant>
        <vt:lpstr>Titre</vt:lpstr>
      </vt:variant>
      <vt:variant>
        <vt:i4>1</vt:i4>
      </vt:variant>
      <vt:variant>
        <vt:lpstr>Title</vt:lpstr>
      </vt:variant>
      <vt:variant>
        <vt:i4>1</vt:i4>
      </vt:variant>
      <vt:variant>
        <vt:lpstr>Headings</vt:lpstr>
      </vt:variant>
      <vt:variant>
        <vt:i4>1</vt:i4>
      </vt:variant>
    </vt:vector>
  </HeadingPairs>
  <TitlesOfParts>
    <vt:vector size="3" baseType="lpstr">
      <vt:lpstr>Projet de rapport de la réunion</vt:lpstr>
      <vt:lpstr>Draft report of the meeting</vt:lpstr>
      <vt:lpstr>Introduction</vt:lpstr>
    </vt:vector>
  </TitlesOfParts>
  <Company/>
  <LinksUpToDate>false</LinksUpToDate>
  <CharactersWithSpaces>43134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 de la réunion</dc:title>
  <dc:subject>CBD/SBI/6/L.1</dc:subject>
  <dc:creator>Secretariat of the Convention on Biological Diversity</dc:creator>
  <cp:keywords/>
  <dc:description/>
  <cp:lastModifiedBy>Djessy Monnier</cp:lastModifiedBy>
  <cp:revision>2</cp:revision>
  <cp:lastPrinted>2025-09-30T18:30:00Z</cp:lastPrinted>
  <dcterms:created xsi:type="dcterms:W3CDTF">2026-02-19T12:24:00Z</dcterms:created>
  <dcterms:modified xsi:type="dcterms:W3CDTF">2026-02-19T12:24:00Z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CBD-Category">
    <vt:lpwstr>CBD</vt:lpwstr>
  </property>
  <property fmtid="{D5CDD505-2E9C-101B-9397-08002B2CF9AE}" pid="11" name="CBD-Language">
    <vt:lpwstr>EN</vt:lpwstr>
  </property>
  <property fmtid="{D5CDD505-2E9C-101B-9397-08002B2CF9AE}" pid="12" name="CBD-Generator">
    <vt:lpwstr>0</vt:lpwstr>
  </property>
</Properties>
</file>