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20E6D" w:rsidRPr="0065103C" w14:paraId="1DF56CDD" w14:textId="77777777" w:rsidTr="00420E6D">
        <w:trPr>
          <w:trHeight w:val="851"/>
        </w:trPr>
        <w:tc>
          <w:tcPr>
            <w:tcW w:w="976" w:type="dxa"/>
            <w:tcBorders>
              <w:bottom w:val="single" w:sz="12" w:space="0" w:color="auto"/>
            </w:tcBorders>
          </w:tcPr>
          <w:p w14:paraId="08B6A96E" w14:textId="77777777" w:rsidR="00420E6D" w:rsidRPr="0065103C" w:rsidRDefault="00420E6D" w:rsidP="0065103C">
            <w:pPr>
              <w:suppressLineNumbers/>
              <w:suppressAutoHyphens/>
              <w:adjustRightInd w:val="0"/>
              <w:snapToGrid w:val="0"/>
              <w:rPr>
                <w:lang w:val="en-GB"/>
              </w:rPr>
            </w:pPr>
            <w:r w:rsidRPr="0065103C">
              <w:rPr>
                <w:noProof/>
                <w:lang w:val="en-GB"/>
              </w:rPr>
              <w:drawing>
                <wp:inline distT="0" distB="0" distL="0" distR="0" wp14:anchorId="6B5E243D" wp14:editId="15A11CB8">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28E9B41" w14:textId="006F80FD" w:rsidR="00420E6D" w:rsidRPr="0065103C" w:rsidRDefault="000F74D6" w:rsidP="0065103C">
            <w:pPr>
              <w:suppressLineNumbers/>
              <w:suppressAutoHyphens/>
              <w:adjustRightInd w:val="0"/>
              <w:snapToGrid w:val="0"/>
              <w:rPr>
                <w:lang w:val="en-GB"/>
              </w:rPr>
            </w:pPr>
            <w:r w:rsidRPr="00CF5006">
              <w:rPr>
                <w:noProof/>
              </w:rPr>
              <w:drawing>
                <wp:inline distT="0" distB="0" distL="0" distR="0" wp14:anchorId="50B41691" wp14:editId="27D29C69">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13E6F298" w14:textId="77777777" w:rsidR="00420E6D" w:rsidRPr="0065103C" w:rsidRDefault="00420E6D" w:rsidP="0065103C">
            <w:pPr>
              <w:suppressLineNumbers/>
              <w:suppressAutoHyphens/>
              <w:adjustRightInd w:val="0"/>
              <w:snapToGrid w:val="0"/>
              <w:jc w:val="right"/>
              <w:rPr>
                <w:rFonts w:ascii="Arial" w:hAnsi="Arial" w:cs="Arial"/>
                <w:b/>
                <w:sz w:val="32"/>
                <w:szCs w:val="32"/>
                <w:lang w:val="en-GB"/>
              </w:rPr>
            </w:pPr>
            <w:r>
              <w:rPr>
                <w:rFonts w:ascii="Arial" w:hAnsi="Arial" w:cs="Arial"/>
                <w:b/>
                <w:sz w:val="32"/>
                <w:szCs w:val="32"/>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65103C" w14:paraId="468E17DE" w14:textId="77777777" w:rsidTr="00CF5ABA">
        <w:trPr>
          <w:trHeight w:val="1693"/>
        </w:trPr>
        <w:tc>
          <w:tcPr>
            <w:tcW w:w="6086" w:type="dxa"/>
            <w:tcBorders>
              <w:top w:val="nil"/>
              <w:bottom w:val="single" w:sz="36" w:space="0" w:color="000000"/>
            </w:tcBorders>
          </w:tcPr>
          <w:p w14:paraId="49E5942A" w14:textId="77777777" w:rsidR="00E13C45" w:rsidRDefault="00E13C45" w:rsidP="0065103C">
            <w:pPr>
              <w:suppressLineNumbers/>
              <w:suppressAutoHyphens/>
              <w:adjustRightInd w:val="0"/>
              <w:snapToGrid w:val="0"/>
              <w:rPr>
                <w:bCs/>
                <w:noProof/>
                <w:szCs w:val="22"/>
              </w:rPr>
            </w:pPr>
          </w:p>
          <w:p w14:paraId="78547573" w14:textId="79C306B7" w:rsidR="00AD1731" w:rsidRPr="0065103C" w:rsidRDefault="000F74D6" w:rsidP="0065103C">
            <w:pPr>
              <w:suppressLineNumbers/>
              <w:suppressAutoHyphens/>
              <w:adjustRightInd w:val="0"/>
              <w:snapToGrid w:val="0"/>
              <w:rPr>
                <w:rFonts w:ascii="Univers" w:hAnsi="Univers"/>
                <w:snapToGrid w:val="0"/>
                <w:kern w:val="22"/>
                <w:sz w:val="22"/>
                <w:szCs w:val="22"/>
                <w:lang w:val="en-GB"/>
              </w:rPr>
            </w:pPr>
            <w:bookmarkStart w:id="0" w:name="_GoBack"/>
            <w:bookmarkEnd w:id="0"/>
            <w:r w:rsidRPr="00A56B25">
              <w:rPr>
                <w:bCs/>
                <w:noProof/>
                <w:szCs w:val="22"/>
              </w:rPr>
              <w:drawing>
                <wp:inline distT="0" distB="0" distL="0" distR="0" wp14:anchorId="1495177F" wp14:editId="36B3315D">
                  <wp:extent cx="2857500" cy="1076325"/>
                  <wp:effectExtent l="0" t="0" r="0" b="9525"/>
                  <wp:docPr id="2"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144" w:type="dxa"/>
            <w:tcBorders>
              <w:top w:val="nil"/>
              <w:bottom w:val="single" w:sz="36" w:space="0" w:color="000000"/>
            </w:tcBorders>
          </w:tcPr>
          <w:p w14:paraId="5B2AB017" w14:textId="77777777" w:rsidR="00AD1731" w:rsidRPr="0065103C" w:rsidRDefault="00AD1731" w:rsidP="0065103C">
            <w:pPr>
              <w:pStyle w:val="Header"/>
              <w:suppressLineNumbers/>
              <w:tabs>
                <w:tab w:val="clear" w:pos="4320"/>
                <w:tab w:val="clear" w:pos="8640"/>
              </w:tabs>
              <w:suppressAutoHyphens/>
              <w:adjustRightInd w:val="0"/>
              <w:snapToGrid w:val="0"/>
              <w:jc w:val="both"/>
              <w:rPr>
                <w:rFonts w:eastAsia="MS Mincho"/>
                <w:bCs/>
                <w:snapToGrid w:val="0"/>
                <w:kern w:val="22"/>
                <w:sz w:val="22"/>
                <w:szCs w:val="22"/>
                <w:lang w:val="en-GB"/>
              </w:rPr>
            </w:pPr>
          </w:p>
        </w:tc>
        <w:tc>
          <w:tcPr>
            <w:tcW w:w="2977" w:type="dxa"/>
            <w:tcBorders>
              <w:top w:val="nil"/>
              <w:bottom w:val="single" w:sz="36" w:space="0" w:color="000000"/>
            </w:tcBorders>
          </w:tcPr>
          <w:p w14:paraId="0FB2512D" w14:textId="77777777" w:rsidR="00AD1731" w:rsidRPr="00B133FF" w:rsidRDefault="00AD1731" w:rsidP="0065103C">
            <w:pPr>
              <w:suppressLineNumbers/>
              <w:suppressAutoHyphens/>
              <w:adjustRightInd w:val="0"/>
              <w:snapToGrid w:val="0"/>
              <w:ind w:left="318"/>
              <w:rPr>
                <w:snapToGrid w:val="0"/>
                <w:kern w:val="22"/>
                <w:sz w:val="22"/>
                <w:szCs w:val="22"/>
              </w:rPr>
            </w:pPr>
            <w:proofErr w:type="spellStart"/>
            <w:r>
              <w:rPr>
                <w:snapToGrid w:val="0"/>
                <w:kern w:val="22"/>
                <w:sz w:val="22"/>
                <w:szCs w:val="22"/>
              </w:rPr>
              <w:t>Distr</w:t>
            </w:r>
            <w:proofErr w:type="spellEnd"/>
            <w:r>
              <w:rPr>
                <w:snapToGrid w:val="0"/>
                <w:kern w:val="22"/>
                <w:sz w:val="22"/>
                <w:szCs w:val="22"/>
              </w:rPr>
              <w:t>.</w:t>
            </w:r>
          </w:p>
          <w:p w14:paraId="46E0F7A0" w14:textId="77777777" w:rsidR="00AD1731" w:rsidRPr="00B133FF" w:rsidRDefault="00753859" w:rsidP="0065103C">
            <w:pPr>
              <w:suppressLineNumbers/>
              <w:suppressAutoHyphens/>
              <w:adjustRightInd w:val="0"/>
              <w:snapToGrid w:val="0"/>
              <w:ind w:left="318"/>
              <w:rPr>
                <w:snapToGrid w:val="0"/>
                <w:kern w:val="22"/>
                <w:sz w:val="22"/>
                <w:szCs w:val="22"/>
              </w:rPr>
            </w:pPr>
            <w:r>
              <w:rPr>
                <w:snapToGrid w:val="0"/>
                <w:kern w:val="22"/>
                <w:sz w:val="22"/>
                <w:szCs w:val="22"/>
              </w:rPr>
              <w:t>GÉNÉRALE</w:t>
            </w:r>
          </w:p>
          <w:p w14:paraId="3F888B85" w14:textId="77777777" w:rsidR="00AD1731" w:rsidRPr="00B133FF" w:rsidRDefault="00AD1731" w:rsidP="0065103C">
            <w:pPr>
              <w:suppressLineNumbers/>
              <w:suppressAutoHyphens/>
              <w:adjustRightInd w:val="0"/>
              <w:snapToGrid w:val="0"/>
              <w:ind w:left="318"/>
              <w:rPr>
                <w:snapToGrid w:val="0"/>
                <w:kern w:val="22"/>
                <w:sz w:val="22"/>
                <w:szCs w:val="22"/>
              </w:rPr>
            </w:pPr>
          </w:p>
          <w:bookmarkStart w:id="1" w:name="_Hlk22815168" w:displacedByCustomXml="next"/>
          <w:sdt>
            <w:sdtPr>
              <w:rPr>
                <w:snapToGrid w:val="0"/>
                <w:kern w:val="22"/>
                <w:sz w:val="22"/>
                <w:szCs w:val="22"/>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bookmarkEnd w:id="1" w:displacedByCustomXml="prev"/>
              <w:p w14:paraId="745D3159" w14:textId="11C2EAAB" w:rsidR="00AD1731" w:rsidRPr="00B133FF" w:rsidRDefault="00B133FF" w:rsidP="0065103C">
                <w:pPr>
                  <w:suppressLineNumbers/>
                  <w:suppressAutoHyphens/>
                  <w:adjustRightInd w:val="0"/>
                  <w:snapToGrid w:val="0"/>
                  <w:ind w:left="318"/>
                  <w:rPr>
                    <w:snapToGrid w:val="0"/>
                    <w:kern w:val="22"/>
                    <w:sz w:val="22"/>
                    <w:szCs w:val="22"/>
                  </w:rPr>
                </w:pPr>
                <w:r w:rsidRPr="00B133FF">
                  <w:rPr>
                    <w:snapToGrid w:val="0"/>
                    <w:kern w:val="22"/>
                    <w:sz w:val="22"/>
                    <w:szCs w:val="22"/>
                  </w:rPr>
                  <w:t>CBD/SBI/3/6/Add.2</w:t>
                </w:r>
              </w:p>
            </w:sdtContent>
          </w:sdt>
          <w:p w14:paraId="363B20D6" w14:textId="187ECC6B" w:rsidR="00AD1731" w:rsidRPr="0065103C" w:rsidRDefault="00073094" w:rsidP="0065103C">
            <w:pPr>
              <w:suppressLineNumbers/>
              <w:suppressAutoHyphens/>
              <w:adjustRightInd w:val="0"/>
              <w:snapToGrid w:val="0"/>
              <w:ind w:left="318"/>
              <w:rPr>
                <w:snapToGrid w:val="0"/>
                <w:kern w:val="22"/>
                <w:sz w:val="22"/>
                <w:szCs w:val="22"/>
                <w:lang w:val="en-GB"/>
              </w:rPr>
            </w:pPr>
            <w:r>
              <w:rPr>
                <w:snapToGrid w:val="0"/>
                <w:kern w:val="22"/>
                <w:sz w:val="22"/>
                <w:szCs w:val="22"/>
              </w:rPr>
              <w:t>19 février 2021</w:t>
            </w:r>
          </w:p>
          <w:p w14:paraId="1567952D" w14:textId="77777777" w:rsidR="00AD1731" w:rsidRPr="0065103C" w:rsidRDefault="00AD1731" w:rsidP="0065103C">
            <w:pPr>
              <w:suppressLineNumbers/>
              <w:suppressAutoHyphens/>
              <w:adjustRightInd w:val="0"/>
              <w:snapToGrid w:val="0"/>
              <w:ind w:left="318"/>
              <w:rPr>
                <w:snapToGrid w:val="0"/>
                <w:kern w:val="22"/>
                <w:sz w:val="22"/>
                <w:szCs w:val="22"/>
                <w:lang w:val="en-GB"/>
              </w:rPr>
            </w:pPr>
          </w:p>
          <w:p w14:paraId="41D2943F" w14:textId="5EBA0323" w:rsidR="00AD1731" w:rsidRPr="0065103C" w:rsidRDefault="00AD1731" w:rsidP="0065103C">
            <w:pPr>
              <w:suppressLineNumbers/>
              <w:suppressAutoHyphens/>
              <w:adjustRightInd w:val="0"/>
              <w:snapToGrid w:val="0"/>
              <w:ind w:left="318"/>
              <w:rPr>
                <w:snapToGrid w:val="0"/>
                <w:kern w:val="22"/>
                <w:sz w:val="22"/>
                <w:szCs w:val="22"/>
                <w:u w:val="single"/>
                <w:lang w:val="en-GB"/>
              </w:rPr>
            </w:pPr>
            <w:r>
              <w:rPr>
                <w:snapToGrid w:val="0"/>
                <w:kern w:val="22"/>
                <w:sz w:val="22"/>
                <w:szCs w:val="22"/>
              </w:rPr>
              <w:t xml:space="preserve">FRANÇAIS </w:t>
            </w:r>
            <w:r>
              <w:rPr>
                <w:snapToGrid w:val="0"/>
                <w:kern w:val="22"/>
                <w:sz w:val="22"/>
                <w:szCs w:val="22"/>
              </w:rPr>
              <w:br/>
              <w:t>ORIGINAL : ANGLAIS</w:t>
            </w:r>
          </w:p>
        </w:tc>
      </w:tr>
    </w:tbl>
    <w:p w14:paraId="54367777" w14:textId="77777777" w:rsidR="00AD1731" w:rsidRPr="0065103C" w:rsidRDefault="00AD1731" w:rsidP="0065103C">
      <w:pPr>
        <w:pStyle w:val="meetingname"/>
        <w:suppressLineNumbers/>
        <w:suppressAutoHyphens/>
        <w:adjustRightInd w:val="0"/>
        <w:snapToGrid w:val="0"/>
        <w:ind w:left="-180" w:right="4398" w:firstLine="0"/>
        <w:rPr>
          <w:kern w:val="22"/>
          <w:sz w:val="22"/>
          <w:szCs w:val="22"/>
          <w:lang w:val="en-GB"/>
        </w:rPr>
      </w:pPr>
      <w:bookmarkStart w:id="2" w:name="Meeting"/>
      <w:r>
        <w:rPr>
          <w:kern w:val="22"/>
          <w:sz w:val="22"/>
          <w:szCs w:val="22"/>
        </w:rPr>
        <w:t>ORGANE SUBSIDIAIRE CHARGÉ DE L’APPLICATION</w:t>
      </w:r>
      <w:bookmarkEnd w:id="2"/>
    </w:p>
    <w:p w14:paraId="4891E593" w14:textId="77777777" w:rsidR="00AD1731" w:rsidRPr="0065103C" w:rsidRDefault="00712FA8" w:rsidP="0065103C">
      <w:pPr>
        <w:suppressLineNumbers/>
        <w:suppressAutoHyphens/>
        <w:adjustRightInd w:val="0"/>
        <w:snapToGrid w:val="0"/>
        <w:rPr>
          <w:snapToGrid w:val="0"/>
          <w:kern w:val="22"/>
          <w:sz w:val="22"/>
          <w:szCs w:val="22"/>
          <w:lang w:val="en-GB" w:eastAsia="nb-NO"/>
        </w:rPr>
      </w:pPr>
      <w:r>
        <w:rPr>
          <w:snapToGrid w:val="0"/>
          <w:kern w:val="22"/>
          <w:sz w:val="22"/>
          <w:szCs w:val="22"/>
        </w:rPr>
        <w:t>Troisième réunion</w:t>
      </w:r>
    </w:p>
    <w:p w14:paraId="20210DF9" w14:textId="08B5056A" w:rsidR="00AD1731" w:rsidRPr="0065103C" w:rsidRDefault="00420E6D" w:rsidP="0065103C">
      <w:pPr>
        <w:suppressLineNumbers/>
        <w:suppressAutoHyphens/>
        <w:adjustRightInd w:val="0"/>
        <w:snapToGrid w:val="0"/>
        <w:rPr>
          <w:snapToGrid w:val="0"/>
          <w:kern w:val="22"/>
          <w:sz w:val="22"/>
          <w:szCs w:val="22"/>
          <w:lang w:val="en-GB" w:eastAsia="nb-NO"/>
        </w:rPr>
      </w:pPr>
      <w:r>
        <w:rPr>
          <w:snapToGrid w:val="0"/>
          <w:kern w:val="22"/>
          <w:sz w:val="22"/>
          <w:szCs w:val="22"/>
        </w:rPr>
        <w:t>Lieu et dates à déterminer</w:t>
      </w:r>
    </w:p>
    <w:p w14:paraId="2F21CD91" w14:textId="5B6DEA83" w:rsidR="00AD1731" w:rsidRPr="002F66FC" w:rsidRDefault="00AD1731" w:rsidP="0065103C">
      <w:pPr>
        <w:pStyle w:val="Header"/>
        <w:suppressLineNumbers/>
        <w:tabs>
          <w:tab w:val="clear" w:pos="4320"/>
          <w:tab w:val="clear" w:pos="8640"/>
        </w:tabs>
        <w:suppressAutoHyphens/>
        <w:adjustRightInd w:val="0"/>
        <w:snapToGrid w:val="0"/>
        <w:rPr>
          <w:snapToGrid w:val="0"/>
          <w:kern w:val="22"/>
          <w:sz w:val="22"/>
          <w:szCs w:val="22"/>
        </w:rPr>
      </w:pPr>
      <w:r>
        <w:rPr>
          <w:snapToGrid w:val="0"/>
          <w:kern w:val="22"/>
          <w:sz w:val="22"/>
          <w:szCs w:val="22"/>
        </w:rPr>
        <w:t>Point 6 de l’ordre du jour provisoire</w:t>
      </w:r>
      <w:r w:rsidR="002F66FC" w:rsidRPr="002F66FC">
        <w:rPr>
          <w:rStyle w:val="FootnoteReference"/>
          <w:snapToGrid w:val="0"/>
          <w:kern w:val="22"/>
          <w:sz w:val="22"/>
          <w:szCs w:val="22"/>
          <w:u w:val="none"/>
        </w:rPr>
        <w:footnoteReference w:customMarkFollows="1" w:id="2"/>
        <w:t>*</w:t>
      </w:r>
    </w:p>
    <w:sdt>
      <w:sdtPr>
        <w:rPr>
          <w:snapToGrid w:val="0"/>
          <w:kern w:val="22"/>
          <w:sz w:val="22"/>
          <w:szCs w:val="22"/>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sdtContent>
        <w:p w14:paraId="0839ABE2" w14:textId="33E126A2" w:rsidR="00683FCE" w:rsidRPr="00B133FF" w:rsidRDefault="00CF5006" w:rsidP="0065103C">
          <w:pPr>
            <w:pStyle w:val="HEADINGNOTFORTOC"/>
            <w:keepNext w:val="0"/>
            <w:suppressLineNumbers/>
            <w:tabs>
              <w:tab w:val="clear" w:pos="720"/>
            </w:tabs>
            <w:suppressAutoHyphens/>
            <w:adjustRightInd w:val="0"/>
            <w:snapToGrid w:val="0"/>
            <w:rPr>
              <w:snapToGrid w:val="0"/>
              <w:kern w:val="22"/>
              <w:sz w:val="22"/>
              <w:szCs w:val="22"/>
            </w:rPr>
          </w:pPr>
          <w:r>
            <w:rPr>
              <w:snapToGrid w:val="0"/>
              <w:kern w:val="22"/>
              <w:sz w:val="22"/>
              <w:szCs w:val="22"/>
            </w:rPr>
            <w:t>mécanisme de financement</w:t>
          </w:r>
        </w:p>
      </w:sdtContent>
    </w:sdt>
    <w:p w14:paraId="3049C40F" w14:textId="4DDA2C79" w:rsidR="00CC18C7" w:rsidRPr="00B133FF" w:rsidRDefault="00755D1D" w:rsidP="0065103C">
      <w:pPr>
        <w:pStyle w:val="Heading2"/>
        <w:keepNext w:val="0"/>
        <w:suppressLineNumbers/>
        <w:suppressAutoHyphens/>
        <w:adjustRightInd w:val="0"/>
        <w:snapToGrid w:val="0"/>
        <w:rPr>
          <w:rFonts w:ascii="Times New Roman Bold" w:hAnsi="Times New Roman Bold"/>
          <w:i w:val="0"/>
          <w:caps/>
          <w:spacing w:val="-4"/>
          <w:sz w:val="22"/>
          <w:szCs w:val="22"/>
        </w:rPr>
      </w:pPr>
      <w:r>
        <w:rPr>
          <w:rFonts w:ascii="Times New Roman Bold" w:hAnsi="Times New Roman Bold"/>
          <w:i w:val="0"/>
          <w:caps/>
          <w:snapToGrid w:val="0"/>
          <w:spacing w:val="-4"/>
          <w:kern w:val="22"/>
          <w:sz w:val="22"/>
          <w:szCs w:val="22"/>
        </w:rPr>
        <w:t>Rapport provisoire sur l'évaluation complète des fonds nécessaires et disponibles pour la mise en œuvre de la Convention pour la huitième période de reconstitution des ressources du Fonds pour l'environnement mondial (juillet 2022 à juin 2026) : résumé</w:t>
      </w:r>
    </w:p>
    <w:p w14:paraId="18F336E3" w14:textId="77777777" w:rsidR="00CC18C7" w:rsidRPr="0065103C" w:rsidRDefault="00CC18C7" w:rsidP="0065103C">
      <w:pPr>
        <w:pStyle w:val="Heading1"/>
        <w:keepNext w:val="0"/>
        <w:suppressLineNumbers/>
        <w:suppressAutoHyphens/>
        <w:adjustRightInd w:val="0"/>
        <w:snapToGrid w:val="0"/>
        <w:spacing w:before="120"/>
        <w:rPr>
          <w:snapToGrid w:val="0"/>
          <w:kern w:val="22"/>
          <w:sz w:val="22"/>
          <w:szCs w:val="22"/>
          <w:lang w:val="en-GB"/>
        </w:rPr>
      </w:pPr>
      <w:r>
        <w:rPr>
          <w:snapToGrid w:val="0"/>
          <w:kern w:val="22"/>
          <w:sz w:val="22"/>
          <w:szCs w:val="22"/>
        </w:rPr>
        <w:t>INTRODUCTION</w:t>
      </w:r>
    </w:p>
    <w:p w14:paraId="68949C1C" w14:textId="52262B07" w:rsidR="00755D1D" w:rsidRPr="00B133FF" w:rsidRDefault="004654A3" w:rsidP="0065103C">
      <w:pPr>
        <w:pStyle w:val="Para1"/>
        <w:numPr>
          <w:ilvl w:val="0"/>
          <w:numId w:val="13"/>
        </w:numPr>
        <w:suppressLineNumbers/>
        <w:tabs>
          <w:tab w:val="num" w:pos="720"/>
        </w:tabs>
        <w:suppressAutoHyphens/>
        <w:adjustRightInd w:val="0"/>
        <w:snapToGrid w:val="0"/>
        <w:spacing w:before="120"/>
        <w:ind w:left="0" w:firstLine="0"/>
        <w:jc w:val="both"/>
        <w:rPr>
          <w:bCs/>
          <w:kern w:val="22"/>
          <w:sz w:val="22"/>
          <w:szCs w:val="22"/>
        </w:rPr>
      </w:pPr>
      <w:r>
        <w:rPr>
          <w:snapToGrid/>
          <w:kern w:val="22"/>
          <w:sz w:val="22"/>
          <w:szCs w:val="22"/>
        </w:rPr>
        <w:t xml:space="preserve">Au paragraphe 14 de la décision 14/23, la Conférence des Parties a adopté le mandat d'une évaluation complète des montants nécessaires à la mise en œuvre de la Convention et de ses protocoles pendant la huitième période de reconstitution du fonds d’affectation spéciale du Fonds pour l’environnement mondial. Grâce aux contributions financières généreuses du gouvernement de la Suède et de l'Union européenne, la </w:t>
      </w:r>
      <w:r>
        <w:rPr>
          <w:bCs/>
          <w:kern w:val="22"/>
          <w:sz w:val="22"/>
          <w:szCs w:val="22"/>
        </w:rPr>
        <w:t>Secrétaire exécutive a passé contrat avec une équipe de trois experts recrutés par voie de concours selon les règles en vigueur à l'Organisation des Nations Unies, conformément au mandat adopté pour l'évaluation.</w:t>
      </w:r>
    </w:p>
    <w:p w14:paraId="722EEB92" w14:textId="45E8F22D" w:rsidR="00CF7C9E" w:rsidRPr="00B133FF" w:rsidRDefault="006B7562" w:rsidP="0065103C">
      <w:pPr>
        <w:pStyle w:val="Para1"/>
        <w:numPr>
          <w:ilvl w:val="0"/>
          <w:numId w:val="13"/>
        </w:numPr>
        <w:suppressLineNumbers/>
        <w:tabs>
          <w:tab w:val="num" w:pos="720"/>
        </w:tabs>
        <w:suppressAutoHyphens/>
        <w:adjustRightInd w:val="0"/>
        <w:snapToGrid w:val="0"/>
        <w:spacing w:before="120"/>
        <w:ind w:left="0" w:firstLine="0"/>
        <w:jc w:val="both"/>
        <w:rPr>
          <w:snapToGrid/>
          <w:kern w:val="22"/>
          <w:sz w:val="22"/>
          <w:szCs w:val="22"/>
        </w:rPr>
      </w:pPr>
      <w:r>
        <w:rPr>
          <w:kern w:val="22"/>
          <w:sz w:val="22"/>
          <w:szCs w:val="22"/>
        </w:rPr>
        <w:t xml:space="preserve">La Secrétaire exécutive </w:t>
      </w:r>
      <w:r>
        <w:rPr>
          <w:snapToGrid/>
          <w:kern w:val="22"/>
          <w:sz w:val="22"/>
          <w:szCs w:val="22"/>
        </w:rPr>
        <w:t>diffuse ci-joint le résumé du rapport provisoire sur l'évaluation complète des fonds nécessaires et disponibles pour la mise en œuvre de la Convention pour la huitième période de reconstitution des ressources du Fonds pour l'environnement mondial (juillet 2022 à juin 2026), qui a été préparé par les experts sous contrat, pour la troisième réunion de l'Organe subsidiaire chargé de l'application. Le rapport est reproduit tel qu'il a été reçu par le Secrétariat.</w:t>
      </w:r>
    </w:p>
    <w:p w14:paraId="5CE430AA" w14:textId="62336F89" w:rsidR="00CC18C7" w:rsidRPr="00B133FF" w:rsidRDefault="00CF7C9E" w:rsidP="0065103C">
      <w:pPr>
        <w:pStyle w:val="Para1"/>
        <w:numPr>
          <w:ilvl w:val="0"/>
          <w:numId w:val="13"/>
        </w:numPr>
        <w:suppressLineNumbers/>
        <w:tabs>
          <w:tab w:val="num" w:pos="720"/>
        </w:tabs>
        <w:suppressAutoHyphens/>
        <w:adjustRightInd w:val="0"/>
        <w:snapToGrid w:val="0"/>
        <w:spacing w:before="120"/>
        <w:ind w:left="0" w:firstLine="0"/>
        <w:jc w:val="both"/>
        <w:rPr>
          <w:snapToGrid/>
          <w:kern w:val="22"/>
          <w:sz w:val="22"/>
          <w:szCs w:val="22"/>
        </w:rPr>
      </w:pPr>
      <w:r>
        <w:rPr>
          <w:snapToGrid/>
          <w:kern w:val="22"/>
          <w:sz w:val="22"/>
          <w:szCs w:val="22"/>
        </w:rPr>
        <w:t>Le rapport provisoire complet est disponible en anglais seulement dans le document d'information CBD/SBI/3/INF/24, également reproduit tel qu'il a été reçu par le Secrétariat.</w:t>
      </w:r>
    </w:p>
    <w:p w14:paraId="6F426E2F" w14:textId="77777777" w:rsidR="00662E2A" w:rsidRPr="00B133FF" w:rsidRDefault="00662E2A" w:rsidP="0065103C">
      <w:pPr>
        <w:pStyle w:val="Para1"/>
        <w:suppressLineNumbers/>
        <w:suppressAutoHyphens/>
        <w:adjustRightInd w:val="0"/>
        <w:snapToGrid w:val="0"/>
        <w:spacing w:before="120"/>
        <w:jc w:val="center"/>
        <w:rPr>
          <w:kern w:val="22"/>
          <w:sz w:val="22"/>
          <w:szCs w:val="22"/>
        </w:rPr>
      </w:pPr>
    </w:p>
    <w:p w14:paraId="29B09837" w14:textId="77777777" w:rsidR="00974917" w:rsidRPr="00B133FF" w:rsidRDefault="00974917" w:rsidP="0065103C">
      <w:pPr>
        <w:suppressLineNumbers/>
        <w:suppressAutoHyphens/>
        <w:adjustRightInd w:val="0"/>
        <w:snapToGrid w:val="0"/>
        <w:rPr>
          <w:snapToGrid w:val="0"/>
          <w:kern w:val="22"/>
          <w:sz w:val="22"/>
          <w:szCs w:val="22"/>
        </w:rPr>
      </w:pPr>
      <w:r w:rsidRPr="00B133FF">
        <w:rPr>
          <w:kern w:val="22"/>
          <w:sz w:val="22"/>
          <w:szCs w:val="22"/>
        </w:rPr>
        <w:br w:type="page"/>
      </w:r>
    </w:p>
    <w:p w14:paraId="5F0FB0C7" w14:textId="09C5D3AF" w:rsidR="00974917" w:rsidRPr="00B133FF" w:rsidRDefault="00974917" w:rsidP="0065103C">
      <w:pPr>
        <w:pStyle w:val="Heading1"/>
        <w:keepNext w:val="0"/>
        <w:suppressLineNumbers/>
        <w:suppressAutoHyphens/>
        <w:adjustRightInd w:val="0"/>
        <w:snapToGrid w:val="0"/>
        <w:rPr>
          <w:rFonts w:ascii="Arial" w:hAnsi="Arial" w:cs="Arial"/>
          <w:b w:val="0"/>
          <w:bCs/>
          <w:sz w:val="28"/>
          <w:szCs w:val="28"/>
        </w:rPr>
      </w:pPr>
      <w:r>
        <w:rPr>
          <w:rFonts w:ascii="Arial" w:hAnsi="Arial" w:cs="Arial"/>
          <w:bCs/>
          <w:caps w:val="0"/>
          <w:u w:val="single"/>
        </w:rPr>
        <w:lastRenderedPageBreak/>
        <w:t>Rapport d'activité sur l'évaluation des besoins de financement et d'investissement estimés pour la huitième reconstitution des ressources du Fonds pour l'environnement mondial : résumé</w:t>
      </w:r>
    </w:p>
    <w:p w14:paraId="77FD9A2E" w14:textId="77777777" w:rsidR="00974917" w:rsidRPr="00B133FF" w:rsidRDefault="00974917" w:rsidP="0065103C">
      <w:pPr>
        <w:pStyle w:val="ListParagraph"/>
        <w:suppressLineNumbers/>
        <w:suppressAutoHyphens/>
        <w:adjustRightInd w:val="0"/>
        <w:snapToGrid w:val="0"/>
        <w:ind w:left="1080"/>
        <w:jc w:val="center"/>
        <w:rPr>
          <w:rFonts w:ascii="Arial" w:hAnsi="Arial" w:cs="Arial"/>
          <w:b/>
          <w:bCs/>
          <w:sz w:val="22"/>
          <w:szCs w:val="22"/>
          <w:u w:val="single"/>
        </w:rPr>
      </w:pPr>
    </w:p>
    <w:p w14:paraId="5710D963" w14:textId="77777777" w:rsidR="00974917" w:rsidRPr="00B133FF" w:rsidRDefault="00974917" w:rsidP="0065103C">
      <w:pPr>
        <w:pStyle w:val="ListParagraph"/>
        <w:suppressLineNumbers/>
        <w:suppressAutoHyphens/>
        <w:adjustRightInd w:val="0"/>
        <w:snapToGrid w:val="0"/>
        <w:ind w:left="1080"/>
        <w:rPr>
          <w:rFonts w:ascii="Arial" w:hAnsi="Arial" w:cs="Arial"/>
          <w:sz w:val="22"/>
          <w:szCs w:val="22"/>
        </w:rPr>
      </w:pPr>
    </w:p>
    <w:p w14:paraId="3C707C6A" w14:textId="77777777" w:rsidR="00974917" w:rsidRPr="00B133FF" w:rsidRDefault="00974917" w:rsidP="0065103C">
      <w:pPr>
        <w:pStyle w:val="ListParagraph"/>
        <w:suppressLineNumbers/>
        <w:suppressAutoHyphens/>
        <w:adjustRightInd w:val="0"/>
        <w:snapToGrid w:val="0"/>
        <w:ind w:left="1080"/>
        <w:rPr>
          <w:rFonts w:ascii="Arial" w:hAnsi="Arial" w:cs="Arial"/>
          <w:sz w:val="22"/>
          <w:szCs w:val="22"/>
        </w:rPr>
      </w:pPr>
    </w:p>
    <w:p w14:paraId="4261B2FE" w14:textId="77777777" w:rsidR="00974917" w:rsidRPr="0065103C" w:rsidRDefault="00974917" w:rsidP="0065103C">
      <w:pPr>
        <w:pStyle w:val="ListParagraph"/>
        <w:numPr>
          <w:ilvl w:val="0"/>
          <w:numId w:val="17"/>
        </w:numPr>
        <w:suppressLineNumbers/>
        <w:suppressAutoHyphens/>
        <w:adjustRightInd w:val="0"/>
        <w:snapToGrid w:val="0"/>
        <w:rPr>
          <w:rFonts w:ascii="Arial" w:hAnsi="Arial" w:cs="Arial"/>
          <w:b/>
          <w:bCs/>
          <w:sz w:val="22"/>
          <w:szCs w:val="22"/>
          <w:lang w:val="en-GB"/>
        </w:rPr>
      </w:pPr>
      <w:r>
        <w:rPr>
          <w:rFonts w:ascii="Arial" w:hAnsi="Arial" w:cs="Arial"/>
          <w:b/>
          <w:bCs/>
          <w:sz w:val="22"/>
          <w:szCs w:val="22"/>
        </w:rPr>
        <w:t>Résumé</w:t>
      </w:r>
    </w:p>
    <w:p w14:paraId="391C94DD" w14:textId="77777777" w:rsidR="00974917" w:rsidRPr="0065103C" w:rsidRDefault="00974917" w:rsidP="0065103C">
      <w:pPr>
        <w:pStyle w:val="ListParagraph"/>
        <w:suppressLineNumbers/>
        <w:suppressAutoHyphens/>
        <w:adjustRightInd w:val="0"/>
        <w:snapToGrid w:val="0"/>
        <w:ind w:left="1080"/>
        <w:rPr>
          <w:rFonts w:ascii="Arial" w:hAnsi="Arial" w:cs="Arial"/>
          <w:sz w:val="22"/>
          <w:szCs w:val="22"/>
          <w:lang w:val="en-GB"/>
        </w:rPr>
      </w:pPr>
    </w:p>
    <w:p w14:paraId="1887ACEB" w14:textId="77777777" w:rsidR="00974917" w:rsidRPr="00B133FF" w:rsidRDefault="00974917" w:rsidP="0065103C">
      <w:pPr>
        <w:suppressLineNumbers/>
        <w:suppressAutoHyphens/>
        <w:adjustRightInd w:val="0"/>
        <w:snapToGrid w:val="0"/>
        <w:ind w:left="720"/>
        <w:rPr>
          <w:rFonts w:ascii="Arial" w:hAnsi="Arial" w:cs="Arial"/>
          <w:sz w:val="22"/>
          <w:szCs w:val="22"/>
        </w:rPr>
      </w:pPr>
      <w:r>
        <w:rPr>
          <w:rFonts w:ascii="Arial" w:hAnsi="Arial" w:cs="Arial"/>
          <w:sz w:val="22"/>
          <w:szCs w:val="22"/>
        </w:rPr>
        <w:t>Le rapport d'activité fourni par l'équipe d'experts sous contrat avec la Convention sur la diversité biologique (CDB) pour la troisième réunion de l'Organe subsidiaire chargé de l'application est présenté ci-après. À ce jour, seuls 15 pays ont présenté à la Secrétaire exécutive leur évaluation des besoins de financement et d'investissement au titre du mécanisme de financement pour la huitième reconstitution des ressources du Fonds pour l'environnement mondial (FEM), conformément à la décision CBD/COP/DEC/14/23. Cela correspond à environ 10 % des pays bénéficiaires du FEM, ce qui est insuffisant pour parvenir à des conclusions définitives. Par conséquent, l'analyse effectuée pour ce rapport n'a qu'une valeur indicative. Les circonstances exceptionnelles dues à la pandémie de Covid-19, auxquelles s'ajoutent les difficultés à prévoir les besoins de financement pour la huitième reconstitution des ressources du Fonds pour l'environnement mondial (FEM-8) à ce stade où le Cadre mondial de la biodiversité pour l'après-2020 est encore en cours de négociation, expliquent probablement les taux de réponse limités jusqu'à présent. Toutefois, d'autres questionnaires devraient être remplis dans les mois à venir, car les discussions sur l'après-2020 atteignent un stade avancé.</w:t>
      </w:r>
    </w:p>
    <w:p w14:paraId="2801638D" w14:textId="77777777" w:rsidR="00974917" w:rsidRPr="00B133FF" w:rsidRDefault="00974917" w:rsidP="0065103C">
      <w:pPr>
        <w:suppressLineNumbers/>
        <w:suppressAutoHyphens/>
        <w:adjustRightInd w:val="0"/>
        <w:snapToGrid w:val="0"/>
        <w:rPr>
          <w:rFonts w:ascii="Arial" w:hAnsi="Arial" w:cs="Arial"/>
          <w:sz w:val="22"/>
          <w:szCs w:val="22"/>
        </w:rPr>
      </w:pPr>
    </w:p>
    <w:p w14:paraId="5854EA31" w14:textId="77777777" w:rsidR="00974917" w:rsidRPr="00B133FF" w:rsidRDefault="00974917" w:rsidP="0065103C">
      <w:pPr>
        <w:suppressLineNumbers/>
        <w:suppressAutoHyphens/>
        <w:adjustRightInd w:val="0"/>
        <w:snapToGrid w:val="0"/>
        <w:rPr>
          <w:rFonts w:ascii="Arial" w:hAnsi="Arial" w:cs="Arial"/>
          <w:sz w:val="22"/>
          <w:szCs w:val="22"/>
        </w:rPr>
      </w:pPr>
    </w:p>
    <w:p w14:paraId="4CA94F10" w14:textId="77777777" w:rsidR="00974917" w:rsidRPr="0065103C" w:rsidRDefault="00974917" w:rsidP="0065103C">
      <w:pPr>
        <w:pStyle w:val="ListParagraph"/>
        <w:numPr>
          <w:ilvl w:val="0"/>
          <w:numId w:val="17"/>
        </w:numPr>
        <w:suppressLineNumbers/>
        <w:suppressAutoHyphens/>
        <w:adjustRightInd w:val="0"/>
        <w:snapToGrid w:val="0"/>
        <w:rPr>
          <w:rFonts w:ascii="Arial" w:hAnsi="Arial" w:cs="Arial"/>
          <w:b/>
          <w:bCs/>
          <w:sz w:val="22"/>
          <w:szCs w:val="22"/>
          <w:lang w:val="en-GB"/>
        </w:rPr>
      </w:pPr>
      <w:r>
        <w:rPr>
          <w:rFonts w:ascii="Arial" w:hAnsi="Arial" w:cs="Arial"/>
          <w:b/>
          <w:bCs/>
          <w:sz w:val="22"/>
          <w:szCs w:val="22"/>
        </w:rPr>
        <w:t>Introduction</w:t>
      </w:r>
    </w:p>
    <w:p w14:paraId="164AFCEB" w14:textId="77777777" w:rsidR="00974917" w:rsidRPr="0065103C" w:rsidRDefault="00974917" w:rsidP="0065103C">
      <w:pPr>
        <w:pStyle w:val="ListParagraph"/>
        <w:suppressLineNumbers/>
        <w:suppressAutoHyphens/>
        <w:adjustRightInd w:val="0"/>
        <w:snapToGrid w:val="0"/>
        <w:ind w:left="1080"/>
        <w:rPr>
          <w:rFonts w:ascii="Arial" w:hAnsi="Arial" w:cs="Arial"/>
          <w:b/>
          <w:bCs/>
          <w:sz w:val="22"/>
          <w:szCs w:val="22"/>
          <w:lang w:val="en-GB"/>
        </w:rPr>
      </w:pPr>
    </w:p>
    <w:p w14:paraId="55D5909F" w14:textId="77777777" w:rsidR="00974917" w:rsidRPr="0065103C" w:rsidRDefault="00974917" w:rsidP="0065103C">
      <w:pPr>
        <w:pStyle w:val="ListParagraph"/>
        <w:numPr>
          <w:ilvl w:val="1"/>
          <w:numId w:val="17"/>
        </w:numPr>
        <w:suppressLineNumbers/>
        <w:suppressAutoHyphens/>
        <w:adjustRightInd w:val="0"/>
        <w:snapToGrid w:val="0"/>
        <w:ind w:left="1560" w:hanging="426"/>
        <w:rPr>
          <w:rFonts w:ascii="Arial" w:hAnsi="Arial" w:cs="Arial"/>
          <w:sz w:val="22"/>
          <w:szCs w:val="22"/>
          <w:u w:val="single"/>
          <w:lang w:val="en-GB"/>
        </w:rPr>
      </w:pPr>
      <w:r>
        <w:rPr>
          <w:rFonts w:ascii="Arial" w:hAnsi="Arial" w:cs="Arial"/>
          <w:sz w:val="22"/>
          <w:szCs w:val="22"/>
          <w:u w:val="single"/>
        </w:rPr>
        <w:t>Mandat</w:t>
      </w:r>
    </w:p>
    <w:p w14:paraId="7D1A0803" w14:textId="77777777" w:rsidR="00974917" w:rsidRPr="00B133FF" w:rsidRDefault="00974917" w:rsidP="0065103C">
      <w:pPr>
        <w:suppressLineNumbers/>
        <w:suppressAutoHyphens/>
        <w:adjustRightInd w:val="0"/>
        <w:snapToGrid w:val="0"/>
        <w:ind w:left="1134"/>
        <w:rPr>
          <w:rFonts w:ascii="Arial" w:hAnsi="Arial" w:cs="Arial"/>
          <w:spacing w:val="6"/>
          <w:sz w:val="22"/>
          <w:szCs w:val="22"/>
          <w:lang w:eastAsia="en-CA"/>
        </w:rPr>
      </w:pPr>
      <w:r>
        <w:rPr>
          <w:rFonts w:ascii="Arial" w:hAnsi="Arial" w:cs="Arial"/>
          <w:spacing w:val="6"/>
          <w:sz w:val="22"/>
          <w:szCs w:val="22"/>
        </w:rPr>
        <w:t>L'article 21 de la Convention sur la diversité biologique et le</w:t>
      </w:r>
      <w:r>
        <w:rPr>
          <w:rFonts w:ascii="Arial" w:hAnsi="Arial" w:cs="Arial"/>
          <w:sz w:val="22"/>
          <w:szCs w:val="22"/>
        </w:rPr>
        <w:t xml:space="preserve"> Mémorandum d'accord</w:t>
      </w:r>
      <w:r>
        <w:rPr>
          <w:rStyle w:val="FootnoteReference"/>
          <w:rFonts w:ascii="Arial" w:hAnsi="Arial" w:cs="Arial"/>
          <w:sz w:val="22"/>
          <w:szCs w:val="22"/>
        </w:rPr>
        <w:footnoteReference w:id="3"/>
      </w:r>
      <w:r>
        <w:rPr>
          <w:rFonts w:ascii="Arial" w:hAnsi="Arial" w:cs="Arial"/>
          <w:sz w:val="22"/>
          <w:szCs w:val="22"/>
        </w:rPr>
        <w:t xml:space="preserve">, </w:t>
      </w:r>
      <w:r>
        <w:rPr>
          <w:rFonts w:ascii="Arial" w:hAnsi="Arial" w:cs="Arial"/>
          <w:spacing w:val="6"/>
          <w:sz w:val="22"/>
          <w:szCs w:val="22"/>
        </w:rPr>
        <w:t>en particulier le paragraphe 5.1, signé entre le Fonds pour l'environnement mondial et la CDB en 1996, stipulent qu'en prévision de la reconstitution des ressources du FEM, la Conférence des Parties doit évaluer le montant des fonds nécessaires pour aider les pays concernés à remplir leurs engagements au titre de la Convention au cours du prochain cycle de reconstitution des ressources du FEM.</w:t>
      </w:r>
    </w:p>
    <w:p w14:paraId="6AB25CA3" w14:textId="77777777" w:rsidR="00974917" w:rsidRPr="00B133FF" w:rsidRDefault="00974917" w:rsidP="0065103C">
      <w:pPr>
        <w:pStyle w:val="Default"/>
        <w:suppressLineNumbers/>
        <w:suppressAutoHyphens/>
        <w:adjustRightInd w:val="0"/>
        <w:snapToGrid w:val="0"/>
        <w:ind w:left="1134"/>
        <w:rPr>
          <w:rFonts w:ascii="Arial" w:hAnsi="Arial" w:cs="Arial"/>
          <w:sz w:val="22"/>
          <w:szCs w:val="22"/>
        </w:rPr>
      </w:pPr>
    </w:p>
    <w:p w14:paraId="5798DBAA" w14:textId="77777777" w:rsidR="00974917" w:rsidRPr="00B133FF" w:rsidRDefault="00974917" w:rsidP="0065103C">
      <w:pPr>
        <w:pStyle w:val="Default"/>
        <w:suppressLineNumbers/>
        <w:suppressAutoHyphens/>
        <w:adjustRightInd w:val="0"/>
        <w:snapToGrid w:val="0"/>
        <w:ind w:left="1134"/>
        <w:rPr>
          <w:rFonts w:ascii="Arial" w:hAnsi="Arial" w:cs="Arial"/>
          <w:sz w:val="22"/>
          <w:szCs w:val="22"/>
        </w:rPr>
      </w:pPr>
      <w:r>
        <w:rPr>
          <w:rFonts w:ascii="Arial" w:hAnsi="Arial" w:cs="Arial"/>
          <w:sz w:val="22"/>
          <w:szCs w:val="22"/>
        </w:rPr>
        <w:t>La Conférence des Parties, par sa décision, CBD/COP/DEC/14/23</w:t>
      </w:r>
      <w:r>
        <w:rPr>
          <w:sz w:val="22"/>
          <w:szCs w:val="22"/>
        </w:rPr>
        <w:footnoteReference w:id="4"/>
      </w:r>
      <w:r>
        <w:rPr>
          <w:rFonts w:ascii="Arial" w:hAnsi="Arial" w:cs="Arial"/>
          <w:sz w:val="22"/>
          <w:szCs w:val="22"/>
        </w:rPr>
        <w:t>, a précisé l'objectif, le champ d'application et la méthodologie pour effectuer une évaluation du montant des fonds nécessaires au titre de la Convention et de ses protocoles au cours du huitième cycle de reconstitution des ressources du Fonds pour l'environnement mondial (FEM), qui s'étend de juillet 2022 à juin 2026.</w:t>
      </w:r>
    </w:p>
    <w:p w14:paraId="1E2FEBAA" w14:textId="77777777" w:rsidR="00974917" w:rsidRPr="00B133FF" w:rsidRDefault="00974917" w:rsidP="0065103C">
      <w:pPr>
        <w:pStyle w:val="Default"/>
        <w:suppressLineNumbers/>
        <w:suppressAutoHyphens/>
        <w:adjustRightInd w:val="0"/>
        <w:snapToGrid w:val="0"/>
        <w:ind w:left="1134"/>
        <w:rPr>
          <w:rFonts w:ascii="Arial" w:hAnsi="Arial" w:cs="Arial"/>
          <w:sz w:val="22"/>
          <w:szCs w:val="22"/>
        </w:rPr>
      </w:pPr>
    </w:p>
    <w:p w14:paraId="2F70A99B" w14:textId="77777777" w:rsidR="00974917" w:rsidRPr="00B133FF" w:rsidRDefault="00974917" w:rsidP="0065103C">
      <w:pPr>
        <w:pStyle w:val="Default"/>
        <w:suppressLineNumbers/>
        <w:suppressAutoHyphens/>
        <w:adjustRightInd w:val="0"/>
        <w:snapToGrid w:val="0"/>
        <w:ind w:left="1134"/>
        <w:rPr>
          <w:rFonts w:ascii="Arial" w:hAnsi="Arial" w:cs="Arial"/>
          <w:sz w:val="22"/>
          <w:szCs w:val="22"/>
        </w:rPr>
      </w:pPr>
      <w:r>
        <w:rPr>
          <w:rFonts w:ascii="Arial" w:hAnsi="Arial" w:cs="Arial"/>
          <w:sz w:val="22"/>
          <w:szCs w:val="22"/>
        </w:rPr>
        <w:t>Cette décision stipule que l'évaluation doit être détaillée et centrée essentiellement sur l’évaluation du total des fonds nécessaires pour financer la totalité des coûts supplémentaires convenus des mesures qui sont admissibles à un soutien du FEM, conformément aux orientations fournies par la Conférence des Parties.</w:t>
      </w:r>
    </w:p>
    <w:p w14:paraId="102778C7" w14:textId="77777777" w:rsidR="00974917" w:rsidRPr="00B133FF" w:rsidRDefault="00974917" w:rsidP="0065103C">
      <w:pPr>
        <w:pStyle w:val="Default"/>
        <w:suppressLineNumbers/>
        <w:suppressAutoHyphens/>
        <w:adjustRightInd w:val="0"/>
        <w:snapToGrid w:val="0"/>
        <w:ind w:left="1134"/>
        <w:rPr>
          <w:rFonts w:ascii="Arial" w:hAnsi="Arial" w:cs="Arial"/>
          <w:sz w:val="22"/>
          <w:szCs w:val="22"/>
        </w:rPr>
      </w:pPr>
    </w:p>
    <w:p w14:paraId="5551191F" w14:textId="77777777" w:rsidR="00974917" w:rsidRPr="00B133FF" w:rsidRDefault="00974917" w:rsidP="0065103C">
      <w:pPr>
        <w:pStyle w:val="Default"/>
        <w:suppressLineNumbers/>
        <w:suppressAutoHyphens/>
        <w:adjustRightInd w:val="0"/>
        <w:snapToGrid w:val="0"/>
        <w:ind w:left="1134"/>
        <w:rPr>
          <w:rFonts w:ascii="Arial" w:hAnsi="Arial" w:cs="Arial"/>
          <w:sz w:val="22"/>
          <w:szCs w:val="22"/>
        </w:rPr>
      </w:pPr>
      <w:r>
        <w:rPr>
          <w:rFonts w:ascii="Arial" w:hAnsi="Arial" w:cs="Arial"/>
          <w:color w:val="auto"/>
          <w:sz w:val="22"/>
          <w:szCs w:val="22"/>
        </w:rPr>
        <w:lastRenderedPageBreak/>
        <w:t xml:space="preserve">La Conférence des Parties au titre de la décision 14/23 </w:t>
      </w:r>
      <w:r>
        <w:rPr>
          <w:rFonts w:ascii="Arial" w:hAnsi="Arial" w:cs="Arial"/>
          <w:sz w:val="22"/>
          <w:szCs w:val="22"/>
        </w:rPr>
        <w:t xml:space="preserve">a adopté le mandat d'une évaluation complète des fonds nécessaires et a invité les Parties concernées à communiquer à la Secrétaire exécutive une estimation de leurs besoins de financement et d’investissement au titre du mécanisme de financement pour la troisième détermination du financement et des investissements nécessaires par la Conférence des Parties à sa quinzième réunion. </w:t>
      </w:r>
    </w:p>
    <w:p w14:paraId="233DA842" w14:textId="77777777" w:rsidR="00974917" w:rsidRPr="00B133FF" w:rsidRDefault="00974917" w:rsidP="0065103C">
      <w:pPr>
        <w:pStyle w:val="Default"/>
        <w:suppressLineNumbers/>
        <w:suppressAutoHyphens/>
        <w:adjustRightInd w:val="0"/>
        <w:snapToGrid w:val="0"/>
        <w:ind w:left="1080"/>
        <w:rPr>
          <w:rFonts w:ascii="Arial" w:hAnsi="Arial" w:cs="Arial"/>
          <w:sz w:val="22"/>
          <w:szCs w:val="22"/>
        </w:rPr>
      </w:pPr>
    </w:p>
    <w:p w14:paraId="0F6CB855" w14:textId="77777777" w:rsidR="00974917" w:rsidRPr="0065103C" w:rsidRDefault="00974917" w:rsidP="0065103C">
      <w:pPr>
        <w:pStyle w:val="Default"/>
        <w:numPr>
          <w:ilvl w:val="1"/>
          <w:numId w:val="17"/>
        </w:numPr>
        <w:suppressLineNumbers/>
        <w:tabs>
          <w:tab w:val="left" w:pos="1134"/>
        </w:tabs>
        <w:suppressAutoHyphens/>
        <w:adjustRightInd w:val="0"/>
        <w:snapToGrid w:val="0"/>
        <w:ind w:left="1418" w:hanging="284"/>
        <w:rPr>
          <w:rFonts w:ascii="Arial" w:hAnsi="Arial" w:cs="Arial"/>
          <w:sz w:val="22"/>
          <w:szCs w:val="22"/>
          <w:u w:val="single"/>
          <w:lang w:val="en-GB"/>
        </w:rPr>
      </w:pPr>
      <w:r>
        <w:rPr>
          <w:rFonts w:ascii="Arial" w:hAnsi="Arial" w:cs="Arial"/>
          <w:sz w:val="22"/>
          <w:szCs w:val="22"/>
          <w:u w:val="single"/>
        </w:rPr>
        <w:t>Autres décisions pertinentes</w:t>
      </w:r>
    </w:p>
    <w:p w14:paraId="58E84BE0" w14:textId="77777777" w:rsidR="00974917" w:rsidRPr="00B133FF" w:rsidRDefault="00974917" w:rsidP="0065103C">
      <w:pPr>
        <w:pStyle w:val="Default"/>
        <w:suppressLineNumbers/>
        <w:suppressAutoHyphens/>
        <w:adjustRightInd w:val="0"/>
        <w:snapToGrid w:val="0"/>
        <w:ind w:left="1134"/>
        <w:rPr>
          <w:rFonts w:ascii="Arial" w:hAnsi="Arial" w:cs="Arial"/>
          <w:color w:val="auto"/>
          <w:sz w:val="22"/>
          <w:szCs w:val="22"/>
        </w:rPr>
      </w:pPr>
      <w:r>
        <w:rPr>
          <w:rFonts w:ascii="Arial" w:hAnsi="Arial" w:cs="Arial"/>
          <w:sz w:val="22"/>
          <w:szCs w:val="22"/>
        </w:rPr>
        <w:t>La Conférence des Parties a prié l'Organe subsidiaire chargé de l’application, à sa troisième réunion, de préparer des propositions sur un cadre quadriennal des priorités du programme fondé sur les résultats pour la huitième période de reconstitution (juillet 2022 à juin 2026) du fonds d’affectation spéciale du Fonds pour l’environnement mondial, correspondant au Cadre de la diversité biologique pour l’après-2020, pour examen par la Conférence des Parties à sa quinzième réunion.</w:t>
      </w:r>
    </w:p>
    <w:p w14:paraId="62B3B6A6" w14:textId="77777777" w:rsidR="00974917" w:rsidRPr="00B133FF" w:rsidRDefault="00974917" w:rsidP="0065103C">
      <w:pPr>
        <w:pStyle w:val="Default"/>
        <w:suppressLineNumbers/>
        <w:suppressAutoHyphens/>
        <w:adjustRightInd w:val="0"/>
        <w:snapToGrid w:val="0"/>
        <w:ind w:left="1134"/>
        <w:rPr>
          <w:rFonts w:ascii="Arial" w:hAnsi="Arial" w:cs="Arial"/>
          <w:color w:val="auto"/>
          <w:sz w:val="22"/>
          <w:szCs w:val="22"/>
        </w:rPr>
      </w:pPr>
    </w:p>
    <w:p w14:paraId="2372FC30" w14:textId="77777777" w:rsidR="00974917" w:rsidRPr="00B133FF" w:rsidRDefault="00974917" w:rsidP="0065103C">
      <w:pPr>
        <w:pStyle w:val="Default"/>
        <w:suppressLineNumbers/>
        <w:suppressAutoHyphens/>
        <w:adjustRightInd w:val="0"/>
        <w:snapToGrid w:val="0"/>
        <w:ind w:left="1134"/>
        <w:rPr>
          <w:rFonts w:ascii="Arial" w:hAnsi="Arial" w:cs="Arial"/>
          <w:sz w:val="22"/>
          <w:szCs w:val="22"/>
        </w:rPr>
      </w:pPr>
      <w:r>
        <w:rPr>
          <w:rFonts w:ascii="Arial" w:hAnsi="Arial" w:cs="Arial"/>
          <w:color w:val="auto"/>
          <w:sz w:val="22"/>
          <w:szCs w:val="22"/>
        </w:rPr>
        <w:t xml:space="preserve">En ce qui concerne la mise en œuvre de l'article 21 pour l'après-2020, la note sur le mécanisme de financement publiée pour la deuxième réunion de l'Organe subsidiaire chargé de l'application (CBD/SBI/2/8) a mis en évidence la diversité des sources d'information sur le financement qui comprennent les financements mixtes, les obligations vertes, les nouveaux fonds, les financements bilatéraux et multilatéraux, ainsi que les nouveaux partenaires de développement et la philanthropie. </w:t>
      </w:r>
    </w:p>
    <w:p w14:paraId="0D4176E9" w14:textId="77777777" w:rsidR="00974917" w:rsidRPr="00B133FF" w:rsidRDefault="00974917" w:rsidP="0065103C">
      <w:pPr>
        <w:pStyle w:val="Default"/>
        <w:suppressLineNumbers/>
        <w:suppressAutoHyphens/>
        <w:adjustRightInd w:val="0"/>
        <w:snapToGrid w:val="0"/>
        <w:ind w:left="1134"/>
        <w:rPr>
          <w:rFonts w:ascii="Arial" w:hAnsi="Arial" w:cs="Arial"/>
          <w:sz w:val="22"/>
          <w:szCs w:val="22"/>
        </w:rPr>
      </w:pPr>
    </w:p>
    <w:p w14:paraId="237B8856" w14:textId="77777777" w:rsidR="00974917" w:rsidRPr="00B133FF" w:rsidRDefault="00974917" w:rsidP="0065103C">
      <w:pPr>
        <w:pStyle w:val="Default"/>
        <w:suppressLineNumbers/>
        <w:suppressAutoHyphens/>
        <w:adjustRightInd w:val="0"/>
        <w:snapToGrid w:val="0"/>
        <w:ind w:left="1134"/>
        <w:rPr>
          <w:rFonts w:ascii="Arial" w:hAnsi="Arial" w:cs="Arial"/>
          <w:sz w:val="22"/>
          <w:szCs w:val="22"/>
        </w:rPr>
      </w:pPr>
      <w:r>
        <w:rPr>
          <w:rFonts w:ascii="Arial" w:hAnsi="Arial" w:cs="Arial"/>
          <w:sz w:val="22"/>
          <w:szCs w:val="22"/>
        </w:rPr>
        <w:t xml:space="preserve">Selon le champ d'application de l'évaluation, les besoins de financement pour la mise en œuvre de la Convention et de ses protocoles pour la période 2022 à 2026 exigent de calculer le total des fonds nécessaires à la mise en œuvre d'activités propres à réaliser le Cadre mondial de la biodiversité pour l'après-2020, ainsi que des activités liées aux Protocoles de Cartagena et de Nagoya. </w:t>
      </w:r>
    </w:p>
    <w:p w14:paraId="552A0DDA" w14:textId="77777777" w:rsidR="00974917" w:rsidRPr="00B133FF" w:rsidRDefault="00974917" w:rsidP="0065103C">
      <w:pPr>
        <w:pStyle w:val="Default"/>
        <w:suppressLineNumbers/>
        <w:suppressAutoHyphens/>
        <w:adjustRightInd w:val="0"/>
        <w:snapToGrid w:val="0"/>
        <w:ind w:left="1134"/>
        <w:rPr>
          <w:rFonts w:ascii="Arial" w:hAnsi="Arial" w:cs="Arial"/>
          <w:sz w:val="22"/>
          <w:szCs w:val="22"/>
        </w:rPr>
      </w:pPr>
    </w:p>
    <w:p w14:paraId="49625064" w14:textId="77777777" w:rsidR="00974917" w:rsidRPr="00B133FF" w:rsidRDefault="00974917" w:rsidP="0065103C">
      <w:pPr>
        <w:pStyle w:val="Default"/>
        <w:suppressLineNumbers/>
        <w:suppressAutoHyphens/>
        <w:adjustRightInd w:val="0"/>
        <w:snapToGrid w:val="0"/>
        <w:ind w:left="1134"/>
        <w:rPr>
          <w:rFonts w:ascii="Arial" w:hAnsi="Arial" w:cs="Arial"/>
          <w:color w:val="auto"/>
          <w:sz w:val="22"/>
          <w:szCs w:val="22"/>
        </w:rPr>
      </w:pPr>
      <w:r>
        <w:rPr>
          <w:rFonts w:ascii="Arial" w:hAnsi="Arial" w:cs="Arial"/>
          <w:color w:val="auto"/>
          <w:sz w:val="22"/>
          <w:szCs w:val="22"/>
        </w:rPr>
        <w:t xml:space="preserve">La Convention sur la diversité biologique compte 196 Parties et le FEM réunit 183 pays membres. Sur les 183 pays membres du FEM, 39 ont été répertoriés comme donateurs, dont 29 ont promis 4,1 milliards de dollars des États-Unis en 2018 pour la septième reconstitution des ressources. </w:t>
      </w:r>
    </w:p>
    <w:p w14:paraId="5BB2F141" w14:textId="77777777" w:rsidR="00974917" w:rsidRPr="00B133FF" w:rsidRDefault="00974917" w:rsidP="0065103C">
      <w:pPr>
        <w:suppressLineNumbers/>
        <w:suppressAutoHyphens/>
        <w:autoSpaceDE w:val="0"/>
        <w:autoSpaceDN w:val="0"/>
        <w:adjustRightInd w:val="0"/>
        <w:snapToGrid w:val="0"/>
        <w:ind w:left="1134"/>
        <w:rPr>
          <w:rFonts w:ascii="Arial" w:hAnsi="Arial" w:cs="Arial"/>
          <w:sz w:val="22"/>
          <w:szCs w:val="22"/>
        </w:rPr>
      </w:pPr>
    </w:p>
    <w:p w14:paraId="7ADE3E26" w14:textId="77777777" w:rsidR="00974917" w:rsidRPr="00B133FF" w:rsidRDefault="00974917" w:rsidP="0065103C">
      <w:pPr>
        <w:suppressLineNumbers/>
        <w:suppressAutoHyphens/>
        <w:autoSpaceDE w:val="0"/>
        <w:autoSpaceDN w:val="0"/>
        <w:adjustRightInd w:val="0"/>
        <w:snapToGrid w:val="0"/>
        <w:ind w:left="1134"/>
        <w:rPr>
          <w:rFonts w:ascii="Arial" w:hAnsi="Arial" w:cs="Arial"/>
          <w:color w:val="000000"/>
          <w:sz w:val="22"/>
          <w:szCs w:val="22"/>
        </w:rPr>
      </w:pPr>
      <w:r>
        <w:rPr>
          <w:rFonts w:ascii="Arial" w:hAnsi="Arial" w:cs="Arial"/>
          <w:sz w:val="22"/>
          <w:szCs w:val="22"/>
        </w:rPr>
        <w:t>L'actualisation du projet initial du Cadre mondial de la biodiversité pour l'après-2020</w:t>
      </w:r>
      <w:r>
        <w:rPr>
          <w:rStyle w:val="FootnoteReference"/>
          <w:rFonts w:ascii="Arial" w:hAnsi="Arial" w:cs="Arial"/>
          <w:sz w:val="22"/>
          <w:szCs w:val="22"/>
        </w:rPr>
        <w:footnoteReference w:id="5"/>
      </w:r>
      <w:r>
        <w:rPr>
          <w:rFonts w:ascii="Arial" w:hAnsi="Arial" w:cs="Arial"/>
          <w:sz w:val="22"/>
          <w:szCs w:val="22"/>
        </w:rPr>
        <w:t xml:space="preserve"> comporte quatre objectifs à long terme pour 2050 associés à la Vision 2050 pour la biodiversité. Chacun de ces objectifs est associé à un résultat pour 2030 à travers les 20 cibles axées sur l'action. </w:t>
      </w:r>
      <w:r>
        <w:rPr>
          <w:rFonts w:ascii="Arial" w:hAnsi="Arial" w:cs="Arial"/>
          <w:color w:val="000000"/>
          <w:sz w:val="22"/>
          <w:szCs w:val="22"/>
        </w:rPr>
        <w:t xml:space="preserve">La période correspondant au FEM-8 couvrirait approximativement la moitié de la durée du Cadre mondial de la biodiversité. </w:t>
      </w:r>
    </w:p>
    <w:p w14:paraId="3B033B74" w14:textId="77777777" w:rsidR="00974917" w:rsidRPr="00B133FF" w:rsidRDefault="00974917" w:rsidP="0065103C">
      <w:pPr>
        <w:suppressLineNumbers/>
        <w:suppressAutoHyphens/>
        <w:adjustRightInd w:val="0"/>
        <w:snapToGrid w:val="0"/>
        <w:ind w:firstLine="720"/>
        <w:rPr>
          <w:rFonts w:ascii="Arial" w:hAnsi="Arial" w:cs="Arial"/>
          <w:sz w:val="22"/>
          <w:szCs w:val="22"/>
          <w:u w:val="single"/>
        </w:rPr>
      </w:pPr>
    </w:p>
    <w:p w14:paraId="060CB087" w14:textId="77777777" w:rsidR="00974917" w:rsidRPr="0065103C" w:rsidRDefault="00974917" w:rsidP="0065103C">
      <w:pPr>
        <w:pStyle w:val="ListParagraph"/>
        <w:numPr>
          <w:ilvl w:val="1"/>
          <w:numId w:val="17"/>
        </w:numPr>
        <w:suppressLineNumbers/>
        <w:suppressAutoHyphens/>
        <w:adjustRightInd w:val="0"/>
        <w:snapToGrid w:val="0"/>
        <w:ind w:left="1418" w:hanging="284"/>
        <w:rPr>
          <w:rFonts w:ascii="Arial" w:hAnsi="Arial" w:cs="Arial"/>
          <w:sz w:val="22"/>
          <w:szCs w:val="22"/>
          <w:u w:val="single"/>
          <w:lang w:val="en-GB"/>
        </w:rPr>
      </w:pPr>
      <w:r>
        <w:rPr>
          <w:rFonts w:ascii="Arial" w:hAnsi="Arial" w:cs="Arial"/>
          <w:sz w:val="22"/>
          <w:szCs w:val="22"/>
          <w:u w:val="single"/>
        </w:rPr>
        <w:t>Champ d'application et méthodologie</w:t>
      </w:r>
    </w:p>
    <w:p w14:paraId="2FDCE749" w14:textId="77777777" w:rsidR="00974917" w:rsidRPr="00B133FF" w:rsidRDefault="00974917" w:rsidP="0065103C">
      <w:pPr>
        <w:pStyle w:val="ListParagraph"/>
        <w:suppressLineNumbers/>
        <w:suppressAutoHyphens/>
        <w:adjustRightInd w:val="0"/>
        <w:snapToGrid w:val="0"/>
        <w:ind w:left="1134"/>
        <w:rPr>
          <w:rFonts w:ascii="Arial" w:hAnsi="Arial" w:cs="Arial"/>
          <w:sz w:val="22"/>
          <w:szCs w:val="22"/>
          <w:u w:val="single"/>
        </w:rPr>
      </w:pPr>
      <w:r>
        <w:rPr>
          <w:rFonts w:ascii="Arial" w:hAnsi="Arial" w:cs="Arial"/>
          <w:sz w:val="22"/>
          <w:szCs w:val="22"/>
        </w:rPr>
        <w:t xml:space="preserve">Dans la décision 14/23, la Conférence des Parties a prié la Secrétaire exécutive de préparer, en collaboration avec l'équipe d'experts sous contrat conformément au mandat, une compilation des besoins de financement et d’investissements estimés communiqués par les Parties concernées, en se fondant sur la méthode et les trois scénarios utilisés lors de la deuxième détermination des besoins de financement et en les peaufinant au besoin, aux fins d’examen par l’Organe subsidiaire chargé de l’application à sa troisième réunion, comme base pour la troisième détermination des financements requis par la Conférence des Parties à sa quinzième réunion. </w:t>
      </w:r>
    </w:p>
    <w:p w14:paraId="48A1B6DB" w14:textId="77777777" w:rsidR="00974917" w:rsidRPr="00B133FF" w:rsidRDefault="00974917" w:rsidP="0065103C">
      <w:pPr>
        <w:pStyle w:val="Default"/>
        <w:suppressLineNumbers/>
        <w:suppressAutoHyphens/>
        <w:adjustRightInd w:val="0"/>
        <w:snapToGrid w:val="0"/>
        <w:ind w:left="1134"/>
        <w:rPr>
          <w:rFonts w:ascii="Arial" w:hAnsi="Arial" w:cs="Arial"/>
          <w:sz w:val="22"/>
          <w:szCs w:val="22"/>
        </w:rPr>
      </w:pPr>
    </w:p>
    <w:p w14:paraId="7EF0D981" w14:textId="77777777" w:rsidR="00974917" w:rsidRPr="0065103C" w:rsidRDefault="00974917" w:rsidP="0065103C">
      <w:pPr>
        <w:pStyle w:val="Default"/>
        <w:suppressLineNumbers/>
        <w:suppressAutoHyphens/>
        <w:adjustRightInd w:val="0"/>
        <w:snapToGrid w:val="0"/>
        <w:ind w:left="1134"/>
        <w:rPr>
          <w:rFonts w:ascii="Arial" w:hAnsi="Arial" w:cs="Arial"/>
          <w:sz w:val="22"/>
          <w:szCs w:val="22"/>
          <w:lang w:val="en-GB"/>
        </w:rPr>
      </w:pPr>
      <w:r>
        <w:rPr>
          <w:rFonts w:ascii="Arial" w:hAnsi="Arial" w:cs="Arial"/>
          <w:sz w:val="22"/>
          <w:szCs w:val="22"/>
        </w:rPr>
        <w:lastRenderedPageBreak/>
        <w:t>Les détails de l'équipe d'experts sont exposés à l'annexe 1 du présent rapport. Les principaux éléments de l'évaluation se présentent comme suit :</w:t>
      </w:r>
    </w:p>
    <w:p w14:paraId="78D523EB"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p>
    <w:p w14:paraId="23CFEA88" w14:textId="77777777" w:rsidR="00974917" w:rsidRPr="0065103C" w:rsidRDefault="00974917" w:rsidP="0065103C">
      <w:pPr>
        <w:pStyle w:val="ListParagraph"/>
        <w:numPr>
          <w:ilvl w:val="0"/>
          <w:numId w:val="18"/>
        </w:numPr>
        <w:suppressLineNumbers/>
        <w:suppressAutoHyphens/>
        <w:autoSpaceDE w:val="0"/>
        <w:autoSpaceDN w:val="0"/>
        <w:adjustRightInd w:val="0"/>
        <w:snapToGrid w:val="0"/>
        <w:ind w:left="1134" w:firstLine="0"/>
        <w:rPr>
          <w:rFonts w:ascii="Arial" w:hAnsi="Arial" w:cs="Arial"/>
          <w:color w:val="000000"/>
          <w:sz w:val="22"/>
          <w:szCs w:val="22"/>
          <w:lang w:val="en-GB"/>
        </w:rPr>
      </w:pPr>
      <w:r>
        <w:rPr>
          <w:rFonts w:ascii="Arial" w:hAnsi="Arial" w:cs="Arial"/>
          <w:i/>
          <w:iCs/>
          <w:sz w:val="22"/>
          <w:szCs w:val="22"/>
        </w:rPr>
        <w:t xml:space="preserve">Évaluation et collecte des données : </w:t>
      </w:r>
      <w:r>
        <w:rPr>
          <w:rFonts w:ascii="Arial" w:hAnsi="Arial" w:cs="Arial"/>
          <w:color w:val="000000"/>
          <w:sz w:val="22"/>
          <w:szCs w:val="22"/>
        </w:rPr>
        <w:t xml:space="preserve">les principales données nécessaires à l'évaluation des besoins comprennent les sixièmes rapports nationaux, les SPANB actualisés, le cadre de présentation de rapports financiers, ainsi que d'autres documents contenant des informations et des données potentielles sur les besoins de financement, y compris les dépenses passées ou les données budgétaires nationales. Ces documents ont fait l'objet d'une évaluation. </w:t>
      </w:r>
    </w:p>
    <w:p w14:paraId="7A651621" w14:textId="77777777" w:rsidR="00974917" w:rsidRPr="0065103C" w:rsidRDefault="00974917" w:rsidP="0065103C">
      <w:pPr>
        <w:suppressLineNumbers/>
        <w:suppressAutoHyphens/>
        <w:autoSpaceDE w:val="0"/>
        <w:autoSpaceDN w:val="0"/>
        <w:adjustRightInd w:val="0"/>
        <w:snapToGrid w:val="0"/>
        <w:ind w:left="1134"/>
        <w:rPr>
          <w:rFonts w:ascii="Arial" w:hAnsi="Arial" w:cs="Arial"/>
          <w:sz w:val="22"/>
          <w:szCs w:val="22"/>
          <w:lang w:val="en-GB"/>
        </w:rPr>
      </w:pPr>
    </w:p>
    <w:p w14:paraId="130EEF12" w14:textId="77777777" w:rsidR="00974917" w:rsidRPr="00B133FF" w:rsidRDefault="00974917" w:rsidP="0065103C">
      <w:pPr>
        <w:suppressLineNumbers/>
        <w:suppressAutoHyphens/>
        <w:autoSpaceDE w:val="0"/>
        <w:autoSpaceDN w:val="0"/>
        <w:adjustRightInd w:val="0"/>
        <w:snapToGrid w:val="0"/>
        <w:ind w:left="1134"/>
        <w:rPr>
          <w:rFonts w:ascii="Arial" w:hAnsi="Arial" w:cs="Arial"/>
          <w:color w:val="333333"/>
          <w:sz w:val="22"/>
          <w:szCs w:val="22"/>
          <w:shd w:val="clear" w:color="auto" w:fill="FFFFFF"/>
          <w:lang w:eastAsia="en-CA"/>
        </w:rPr>
      </w:pPr>
      <w:r>
        <w:rPr>
          <w:rFonts w:ascii="Arial" w:hAnsi="Arial" w:cs="Arial"/>
          <w:sz w:val="22"/>
          <w:szCs w:val="22"/>
        </w:rPr>
        <w:t>D'autres informations complémentaires incluent l'initiative pour le financement de la biodiversité du PNUD (BIOFIN) concernant les données sur les besoins de financement des pays partenaires du projet</w:t>
      </w:r>
      <w:r>
        <w:rPr>
          <w:rStyle w:val="FootnoteReference"/>
          <w:rFonts w:ascii="Arial" w:hAnsi="Arial" w:cs="Arial"/>
          <w:sz w:val="22"/>
          <w:szCs w:val="22"/>
        </w:rPr>
        <w:footnoteReference w:id="6"/>
      </w:r>
      <w:r>
        <w:rPr>
          <w:rFonts w:ascii="Arial" w:hAnsi="Arial" w:cs="Arial"/>
          <w:sz w:val="22"/>
          <w:szCs w:val="22"/>
        </w:rPr>
        <w:t xml:space="preserve">. Actuellement, BIOFIN est appliqué dans 36 pays afin d'examiner les politiques et les institutions pertinentes pour le financement de la biodiversité, de déterminer les investissements de base, d'évaluer les coûts de mise en œuvre des stratégies et plans d’action nationaux pour la diversité biologique et de quantifier le déficit de financement de la biodiversité. </w:t>
      </w:r>
    </w:p>
    <w:p w14:paraId="3EF63B6A" w14:textId="77777777" w:rsidR="00974917" w:rsidRPr="00B133FF" w:rsidRDefault="00974917" w:rsidP="0065103C">
      <w:pPr>
        <w:suppressLineNumbers/>
        <w:suppressAutoHyphens/>
        <w:autoSpaceDE w:val="0"/>
        <w:autoSpaceDN w:val="0"/>
        <w:adjustRightInd w:val="0"/>
        <w:snapToGrid w:val="0"/>
        <w:ind w:left="1134"/>
        <w:rPr>
          <w:rFonts w:ascii="Arial" w:hAnsi="Arial" w:cs="Arial"/>
          <w:sz w:val="22"/>
          <w:szCs w:val="22"/>
        </w:rPr>
      </w:pPr>
    </w:p>
    <w:p w14:paraId="07521BFE" w14:textId="77777777" w:rsidR="00974917" w:rsidRPr="00B133FF" w:rsidRDefault="00974917" w:rsidP="0065103C">
      <w:pPr>
        <w:pStyle w:val="ListParagraph"/>
        <w:numPr>
          <w:ilvl w:val="0"/>
          <w:numId w:val="18"/>
        </w:numPr>
        <w:suppressLineNumbers/>
        <w:suppressAutoHyphens/>
        <w:adjustRightInd w:val="0"/>
        <w:snapToGrid w:val="0"/>
        <w:ind w:left="1134" w:firstLine="0"/>
        <w:rPr>
          <w:rFonts w:ascii="Arial" w:hAnsi="Arial" w:cs="Arial"/>
          <w:sz w:val="22"/>
          <w:szCs w:val="22"/>
        </w:rPr>
      </w:pPr>
      <w:r>
        <w:rPr>
          <w:rFonts w:ascii="Arial" w:hAnsi="Arial" w:cs="Arial"/>
          <w:i/>
          <w:iCs/>
          <w:sz w:val="22"/>
          <w:szCs w:val="22"/>
        </w:rPr>
        <w:t>Données clés :</w:t>
      </w:r>
      <w:r>
        <w:rPr>
          <w:rFonts w:ascii="Arial" w:hAnsi="Arial" w:cs="Arial"/>
          <w:sz w:val="22"/>
          <w:szCs w:val="22"/>
        </w:rPr>
        <w:t xml:space="preserve"> les données clés destinées à évaluer les besoins du FEM-8 sont les coûts supplémentaires calculés par les pays sur la base de la méthode convenue pour les projets proposés. Des données supplémentaires, qui n'ont pas été fournies auparavant, pourraient produire l'effet attendu pour les projets proposés, éventuellement par le biais des indicateurs de base du FEM mentionnés dans la section 3 b) ci-dessous. Ces informations peuvent permettre à la Conférence des Parties d'évaluer les progrès attendus dans la mise en œuvre du Cadre mondial de la biodiversité pour l'après-2020, ainsi que de fournir des informations au sujet des impacts potentiels de leurs contributions au FEM. Dans ce contexte, il serait également utile de connaître les coûts financiers des orientations de la Conférence des Parties au FEM, en particulier en ce qui concerne le Cadre mondial de la biodiversité pour l'après-2020.</w:t>
      </w:r>
    </w:p>
    <w:p w14:paraId="74088183" w14:textId="77777777" w:rsidR="00974917" w:rsidRPr="00B133FF" w:rsidRDefault="00974917" w:rsidP="0065103C">
      <w:pPr>
        <w:suppressLineNumbers/>
        <w:suppressAutoHyphens/>
        <w:adjustRightInd w:val="0"/>
        <w:snapToGrid w:val="0"/>
        <w:ind w:left="1134"/>
        <w:rPr>
          <w:rFonts w:ascii="Arial" w:hAnsi="Arial" w:cs="Arial"/>
          <w:sz w:val="22"/>
          <w:szCs w:val="22"/>
        </w:rPr>
      </w:pPr>
    </w:p>
    <w:p w14:paraId="055D7F2C" w14:textId="77777777" w:rsidR="00974917" w:rsidRPr="00B133FF" w:rsidRDefault="00974917" w:rsidP="0065103C">
      <w:pPr>
        <w:pStyle w:val="ListParagraph"/>
        <w:numPr>
          <w:ilvl w:val="0"/>
          <w:numId w:val="18"/>
        </w:numPr>
        <w:suppressLineNumbers/>
        <w:suppressAutoHyphens/>
        <w:adjustRightInd w:val="0"/>
        <w:snapToGrid w:val="0"/>
        <w:ind w:left="1134" w:firstLine="0"/>
        <w:rPr>
          <w:rFonts w:ascii="Arial" w:hAnsi="Arial" w:cs="Arial"/>
          <w:sz w:val="22"/>
          <w:szCs w:val="22"/>
        </w:rPr>
      </w:pPr>
      <w:r>
        <w:rPr>
          <w:rFonts w:ascii="Arial" w:hAnsi="Arial" w:cs="Arial"/>
          <w:i/>
          <w:iCs/>
          <w:sz w:val="22"/>
          <w:szCs w:val="22"/>
        </w:rPr>
        <w:t xml:space="preserve">Demandes de données par questionnaire : </w:t>
      </w:r>
      <w:r>
        <w:rPr>
          <w:rFonts w:ascii="Arial" w:hAnsi="Arial" w:cs="Arial"/>
          <w:sz w:val="22"/>
          <w:szCs w:val="22"/>
        </w:rPr>
        <w:t>conformément à la décision CBD/COP/DEC/14/23, les Parties concernées ont été invitées à soumettre à la Secrétaire exécutive une estimation de leurs besoins de financement et d'investissement au titre du mécanisme de financement pour la troisième détermination du financement et des investissements nécessaires. Dans ce contexte a été distribué aux Parties concernées un questionnaire</w:t>
      </w:r>
      <w:r>
        <w:rPr>
          <w:rStyle w:val="FootnoteReference"/>
          <w:rFonts w:ascii="Arial" w:hAnsi="Arial" w:cs="Arial"/>
          <w:sz w:val="22"/>
          <w:szCs w:val="22"/>
        </w:rPr>
        <w:footnoteReference w:id="7"/>
      </w:r>
      <w:r>
        <w:rPr>
          <w:rFonts w:ascii="Arial" w:hAnsi="Arial" w:cs="Arial"/>
          <w:sz w:val="22"/>
          <w:szCs w:val="22"/>
        </w:rPr>
        <w:t xml:space="preserve"> considéré comme l'outil le plus important pour recueillir les données requises auprès des pays bénéficiaires du FEM. Les Parties ont été priées de soumettre des informations sur i) les concepts de projets potentiels et des données sur les coûts totaux estimés des projets de mise en œuvre de la Convention et ses protocoles, ii) le financement prévu du gouvernement national pour la mise en œuvre de ces projets, iii) le financement prévu d'autres sources externes, et iv) une estimation des besoins de financement par le FEM-8 sur la base du raisonnement relatif aux coûts supplémentaires conformément aux Directives opérationnelles pour l'application du principe des coûts supplémentaires</w:t>
      </w:r>
      <w:r>
        <w:rPr>
          <w:rStyle w:val="FootnoteReference"/>
          <w:rFonts w:ascii="Arial" w:hAnsi="Arial" w:cs="Arial"/>
          <w:sz w:val="22"/>
          <w:szCs w:val="22"/>
        </w:rPr>
        <w:footnoteReference w:id="8"/>
      </w:r>
      <w:r>
        <w:rPr>
          <w:rFonts w:ascii="Arial" w:hAnsi="Arial" w:cs="Arial"/>
          <w:sz w:val="22"/>
          <w:szCs w:val="22"/>
        </w:rPr>
        <w:t>. Le document d'orientation</w:t>
      </w:r>
      <w:r>
        <w:rPr>
          <w:rStyle w:val="FootnoteReference"/>
          <w:rFonts w:ascii="Arial" w:hAnsi="Arial" w:cs="Arial"/>
          <w:sz w:val="22"/>
          <w:szCs w:val="22"/>
        </w:rPr>
        <w:footnoteReference w:id="9"/>
      </w:r>
      <w:r>
        <w:rPr>
          <w:rFonts w:ascii="Arial" w:hAnsi="Arial" w:cs="Arial"/>
          <w:sz w:val="22"/>
          <w:szCs w:val="22"/>
        </w:rPr>
        <w:t xml:space="preserve"> présenté par </w:t>
      </w:r>
      <w:r>
        <w:rPr>
          <w:rFonts w:ascii="Arial" w:hAnsi="Arial" w:cs="Arial"/>
          <w:sz w:val="22"/>
          <w:szCs w:val="22"/>
        </w:rPr>
        <w:lastRenderedPageBreak/>
        <w:t>l'équipe d'experts aide les pays à comprendre ces directives opérationnelles pour établir une estimation de leurs besoins de financement par le FEM pour la période 2022-2026. Par ailleurs, les informations demandées sur les approches stratégiques potentielles du FEM-8 devraient être conformes aux SPANB ou aux priorités nationales des pays et liées à d'autres conventions.</w:t>
      </w:r>
    </w:p>
    <w:p w14:paraId="6EE462C5" w14:textId="77777777" w:rsidR="00974917" w:rsidRPr="00B133FF" w:rsidRDefault="00974917" w:rsidP="0065103C">
      <w:pPr>
        <w:suppressLineNumbers/>
        <w:suppressAutoHyphens/>
        <w:adjustRightInd w:val="0"/>
        <w:snapToGrid w:val="0"/>
        <w:ind w:left="1134"/>
        <w:rPr>
          <w:rFonts w:ascii="Arial" w:hAnsi="Arial" w:cs="Arial"/>
          <w:sz w:val="22"/>
          <w:szCs w:val="22"/>
        </w:rPr>
      </w:pPr>
    </w:p>
    <w:p w14:paraId="4AAE0AB7" w14:textId="77777777" w:rsidR="00974917" w:rsidRPr="00B133FF" w:rsidRDefault="00974917" w:rsidP="0065103C">
      <w:pPr>
        <w:pStyle w:val="ListParagraph"/>
        <w:numPr>
          <w:ilvl w:val="0"/>
          <w:numId w:val="18"/>
        </w:numPr>
        <w:suppressLineNumbers/>
        <w:suppressAutoHyphens/>
        <w:adjustRightInd w:val="0"/>
        <w:snapToGrid w:val="0"/>
        <w:ind w:left="1134" w:firstLine="0"/>
        <w:rPr>
          <w:rFonts w:ascii="Arial" w:hAnsi="Arial" w:cs="Arial"/>
          <w:sz w:val="22"/>
          <w:szCs w:val="22"/>
        </w:rPr>
      </w:pPr>
      <w:r>
        <w:rPr>
          <w:rFonts w:ascii="Arial" w:hAnsi="Arial" w:cs="Arial"/>
          <w:i/>
          <w:iCs/>
          <w:sz w:val="22"/>
          <w:szCs w:val="22"/>
        </w:rPr>
        <w:t>Entretiens </w:t>
      </w:r>
      <w:r>
        <w:rPr>
          <w:rFonts w:ascii="Arial" w:hAnsi="Arial" w:cs="Arial"/>
          <w:sz w:val="22"/>
          <w:szCs w:val="22"/>
        </w:rPr>
        <w:t>: des entretiens ont été organisés avec les groupes régionaux et les organismes d'exécution du FEM afin de recueillir leurs commentaires, comme indiqué dans la section 5 du présent rapport.</w:t>
      </w:r>
    </w:p>
    <w:p w14:paraId="11DDDEBB" w14:textId="77777777" w:rsidR="00974917" w:rsidRPr="00B133FF" w:rsidRDefault="00974917" w:rsidP="0065103C">
      <w:pPr>
        <w:pStyle w:val="ListParagraph"/>
        <w:suppressLineNumbers/>
        <w:suppressAutoHyphens/>
        <w:adjustRightInd w:val="0"/>
        <w:snapToGrid w:val="0"/>
        <w:ind w:left="1080"/>
        <w:rPr>
          <w:rFonts w:ascii="Arial" w:hAnsi="Arial" w:cs="Arial"/>
          <w:b/>
          <w:bCs/>
          <w:sz w:val="22"/>
          <w:szCs w:val="22"/>
        </w:rPr>
      </w:pPr>
    </w:p>
    <w:p w14:paraId="07B67405" w14:textId="77777777" w:rsidR="00974917" w:rsidRPr="00B133FF" w:rsidRDefault="00974917" w:rsidP="0065103C">
      <w:pPr>
        <w:pStyle w:val="ListParagraph"/>
        <w:numPr>
          <w:ilvl w:val="0"/>
          <w:numId w:val="17"/>
        </w:numPr>
        <w:suppressLineNumbers/>
        <w:suppressAutoHyphens/>
        <w:adjustRightInd w:val="0"/>
        <w:snapToGrid w:val="0"/>
        <w:rPr>
          <w:rFonts w:ascii="Arial" w:hAnsi="Arial" w:cs="Arial"/>
          <w:b/>
          <w:bCs/>
          <w:sz w:val="22"/>
          <w:szCs w:val="22"/>
        </w:rPr>
      </w:pPr>
      <w:r>
        <w:rPr>
          <w:rFonts w:ascii="Arial" w:hAnsi="Arial" w:cs="Arial"/>
          <w:b/>
          <w:bCs/>
          <w:sz w:val="22"/>
          <w:szCs w:val="22"/>
        </w:rPr>
        <w:t>Orientations concernant le mécanisme de financement</w:t>
      </w:r>
    </w:p>
    <w:p w14:paraId="7D8D8D40" w14:textId="77777777" w:rsidR="00974917" w:rsidRPr="0065103C" w:rsidRDefault="00974917" w:rsidP="0065103C">
      <w:pPr>
        <w:pStyle w:val="ListParagraph"/>
        <w:numPr>
          <w:ilvl w:val="1"/>
          <w:numId w:val="18"/>
        </w:numPr>
        <w:suppressLineNumbers/>
        <w:suppressAutoHyphens/>
        <w:adjustRightInd w:val="0"/>
        <w:snapToGrid w:val="0"/>
        <w:spacing w:before="240" w:after="240"/>
        <w:ind w:left="1134" w:firstLine="0"/>
        <w:rPr>
          <w:rFonts w:ascii="Arial" w:hAnsi="Arial" w:cs="Arial"/>
          <w:noProof/>
          <w:color w:val="000000"/>
          <w:sz w:val="22"/>
          <w:szCs w:val="22"/>
          <w:lang w:val="en-GB"/>
        </w:rPr>
      </w:pPr>
      <w:r>
        <w:rPr>
          <w:rFonts w:ascii="Arial" w:hAnsi="Arial" w:cs="Arial"/>
          <w:sz w:val="22"/>
          <w:szCs w:val="22"/>
          <w:u w:val="single"/>
        </w:rPr>
        <w:t xml:space="preserve">Programmation et historique des allocations </w:t>
      </w:r>
    </w:p>
    <w:p w14:paraId="3A70BB40" w14:textId="77777777" w:rsidR="00974917" w:rsidRPr="00B133FF" w:rsidRDefault="00974917" w:rsidP="0065103C">
      <w:pPr>
        <w:suppressLineNumbers/>
        <w:suppressAutoHyphens/>
        <w:adjustRightInd w:val="0"/>
        <w:snapToGrid w:val="0"/>
        <w:spacing w:before="240" w:after="240"/>
        <w:ind w:left="1134"/>
        <w:rPr>
          <w:rFonts w:ascii="Arial" w:hAnsi="Arial" w:cs="Arial"/>
          <w:noProof/>
          <w:color w:val="000000"/>
          <w:sz w:val="22"/>
          <w:szCs w:val="22"/>
        </w:rPr>
      </w:pPr>
      <w:r>
        <w:rPr>
          <w:rFonts w:ascii="Arial" w:hAnsi="Arial" w:cs="Arial"/>
          <w:sz w:val="22"/>
          <w:szCs w:val="22"/>
        </w:rPr>
        <w:t>Sur la base de divers rapports du FEM</w:t>
      </w:r>
      <w:r>
        <w:rPr>
          <w:rStyle w:val="FootnoteReference"/>
          <w:rFonts w:ascii="Arial" w:hAnsi="Arial" w:cs="Arial"/>
          <w:sz w:val="22"/>
          <w:szCs w:val="22"/>
        </w:rPr>
        <w:footnoteReference w:id="10"/>
      </w:r>
      <w:r>
        <w:rPr>
          <w:rFonts w:ascii="Arial" w:hAnsi="Arial" w:cs="Arial"/>
          <w:sz w:val="22"/>
          <w:szCs w:val="22"/>
        </w:rPr>
        <w:t xml:space="preserve"> sont fournies </w:t>
      </w:r>
      <w:r>
        <w:rPr>
          <w:rFonts w:ascii="Arial" w:hAnsi="Arial" w:cs="Arial"/>
          <w:noProof/>
          <w:color w:val="000000"/>
          <w:sz w:val="22"/>
          <w:szCs w:val="22"/>
        </w:rPr>
        <w:t xml:space="preserve">des tendances en matière de cofinancement, de projets intégrés, de financement par le secteur privé et de répartition géographique. </w:t>
      </w:r>
    </w:p>
    <w:p w14:paraId="11CC486A" w14:textId="77777777" w:rsidR="00974917" w:rsidRPr="00B133FF" w:rsidRDefault="00974917" w:rsidP="0065103C">
      <w:pPr>
        <w:pStyle w:val="ListParagraph"/>
        <w:suppressLineNumbers/>
        <w:suppressAutoHyphens/>
        <w:adjustRightInd w:val="0"/>
        <w:snapToGrid w:val="0"/>
        <w:spacing w:before="240" w:after="240"/>
        <w:ind w:left="1134"/>
        <w:rPr>
          <w:rFonts w:ascii="Arial" w:hAnsi="Arial" w:cs="Arial"/>
          <w:noProof/>
          <w:color w:val="000000"/>
          <w:sz w:val="22"/>
          <w:szCs w:val="22"/>
        </w:rPr>
      </w:pPr>
      <w:r>
        <w:rPr>
          <w:rFonts w:ascii="Arial" w:hAnsi="Arial" w:cs="Arial"/>
          <w:bCs/>
          <w:sz w:val="22"/>
          <w:szCs w:val="22"/>
        </w:rPr>
        <w:t>La valeur totale des investissements de toutes les ressources du FEM pour réaliser les Objectifs d’Aichi pour la biodiversité de toutes les lignes de programmation pertinentes de la septième reconstitution des ressources du FEM (FEM-7) (stratégie du domaine d'intervention relatif à la biodiversité, programmes à impact du FEM-7, domaine d'intervention relatif aux eaux internationales, Fonds pour les pays les moins avancés pour l'adaptation aux changements climatiques, instruments ne reposant pas sur des subventions et programme de microfinancements) au cours des 18 premiers mois du FEM-7 s'élevait à 1,056 milliard de dollars. Cela a permis d'obtenir un cofinancement de 8,955 milliards de dollars pour un investissement total de 10,01 milliards de dollars, soit plus de 8 dollars de cofinancement pour chaque dollar fourni par le FEM.</w:t>
      </w:r>
      <w:r>
        <w:rPr>
          <w:rFonts w:ascii="Arial" w:hAnsi="Arial" w:cs="Arial"/>
          <w:noProof/>
          <w:color w:val="000000"/>
          <w:sz w:val="22"/>
          <w:szCs w:val="22"/>
        </w:rPr>
        <w:t xml:space="preserve"> Cela confirme un taux de cofinancement en constante augmentation pour les projets de biodiversité du FEM qui est supérieur à l'objectif de 1:17 fixé pour l'ensemble du portefeuille du FEM pendant la période couvrant le FEM-7. Un résumé de l'usage de la programmation du domaine d'intervention relatif à la biodiversité pour le FEM-7 est disponible</w:t>
      </w:r>
      <w:r>
        <w:rPr>
          <w:rStyle w:val="FootnoteReference"/>
          <w:rFonts w:ascii="Arial" w:hAnsi="Arial" w:cs="Arial"/>
          <w:noProof/>
          <w:color w:val="000000"/>
          <w:sz w:val="22"/>
          <w:szCs w:val="22"/>
        </w:rPr>
        <w:footnoteReference w:id="11"/>
      </w:r>
      <w:r>
        <w:rPr>
          <w:rFonts w:ascii="Arial" w:hAnsi="Arial" w:cs="Arial"/>
          <w:noProof/>
          <w:color w:val="000000"/>
          <w:sz w:val="22"/>
          <w:szCs w:val="22"/>
        </w:rPr>
        <w:t>.</w:t>
      </w:r>
    </w:p>
    <w:p w14:paraId="6502CCE4" w14:textId="77777777" w:rsidR="00974917" w:rsidRPr="00B133FF" w:rsidRDefault="00974917" w:rsidP="0065103C">
      <w:pPr>
        <w:suppressLineNumbers/>
        <w:suppressAutoHyphens/>
        <w:autoSpaceDE w:val="0"/>
        <w:autoSpaceDN w:val="0"/>
        <w:adjustRightInd w:val="0"/>
        <w:snapToGrid w:val="0"/>
        <w:ind w:left="1134"/>
        <w:rPr>
          <w:rFonts w:ascii="Arial" w:hAnsi="Arial" w:cs="Arial"/>
          <w:sz w:val="22"/>
          <w:szCs w:val="22"/>
        </w:rPr>
      </w:pPr>
      <w:r>
        <w:rPr>
          <w:rFonts w:ascii="Arial" w:hAnsi="Arial" w:cs="Arial"/>
          <w:sz w:val="22"/>
          <w:szCs w:val="22"/>
        </w:rPr>
        <w:t>Le tableau de bord du FEM (juin 2020)</w:t>
      </w:r>
      <w:r>
        <w:rPr>
          <w:rFonts w:ascii="Arial" w:hAnsi="Arial" w:cs="Arial"/>
          <w:sz w:val="22"/>
          <w:szCs w:val="22"/>
          <w:vertAlign w:val="superscript"/>
        </w:rPr>
        <w:footnoteReference w:id="12"/>
      </w:r>
      <w:r>
        <w:rPr>
          <w:rFonts w:ascii="Arial" w:hAnsi="Arial" w:cs="Arial"/>
          <w:sz w:val="22"/>
          <w:szCs w:val="22"/>
        </w:rPr>
        <w:t xml:space="preserve"> indique que l'utilisation totale par les régions géographiques bénéficiaires du FEM pour la biodiversité dans le cadre du Système transparent d'allocation des ressources (STAR) se présente comme suit : 64 % pour l'Afrique ; 54 % pour l'Asie ; 51 % pour l'Europe et l'Asie centrale et 65 % pour l'Amérique latine et les Caraïbes. L'utilisation pour la biodiversité au cours de la même période s'élevait à 58 % pour les pays les moins avancés (PMA) et à 45 % pour les petits États insulaires en développement (PEID).</w:t>
      </w:r>
    </w:p>
    <w:p w14:paraId="377B447C" w14:textId="77777777" w:rsidR="00974917" w:rsidRPr="00B133FF" w:rsidRDefault="00974917" w:rsidP="0065103C">
      <w:pPr>
        <w:suppressLineNumbers/>
        <w:suppressAutoHyphens/>
        <w:autoSpaceDE w:val="0"/>
        <w:autoSpaceDN w:val="0"/>
        <w:adjustRightInd w:val="0"/>
        <w:snapToGrid w:val="0"/>
        <w:ind w:left="1440"/>
        <w:rPr>
          <w:rFonts w:ascii="Arial" w:hAnsi="Arial" w:cs="Arial"/>
          <w:sz w:val="22"/>
          <w:szCs w:val="22"/>
        </w:rPr>
      </w:pPr>
    </w:p>
    <w:p w14:paraId="0EFF13FA" w14:textId="77777777" w:rsidR="00974917" w:rsidRPr="0065103C" w:rsidRDefault="00974917" w:rsidP="0065103C">
      <w:pPr>
        <w:pStyle w:val="ListParagraph"/>
        <w:numPr>
          <w:ilvl w:val="1"/>
          <w:numId w:val="18"/>
        </w:numPr>
        <w:suppressLineNumbers/>
        <w:suppressAutoHyphens/>
        <w:autoSpaceDE w:val="0"/>
        <w:autoSpaceDN w:val="0"/>
        <w:adjustRightInd w:val="0"/>
        <w:snapToGrid w:val="0"/>
        <w:ind w:left="1134" w:firstLine="0"/>
        <w:rPr>
          <w:rFonts w:ascii="Arial" w:eastAsiaTheme="minorEastAsia" w:hAnsi="Arial" w:cs="Arial"/>
          <w:color w:val="000000"/>
          <w:sz w:val="22"/>
          <w:szCs w:val="22"/>
          <w:u w:val="single"/>
          <w:lang w:val="en-GB"/>
        </w:rPr>
      </w:pPr>
      <w:r>
        <w:rPr>
          <w:rFonts w:ascii="Arial" w:eastAsiaTheme="minorEastAsia" w:hAnsi="Arial" w:cs="Arial"/>
          <w:color w:val="000000"/>
          <w:sz w:val="22"/>
          <w:szCs w:val="22"/>
          <w:u w:val="single"/>
        </w:rPr>
        <w:t>Expérience acquise à ce jour</w:t>
      </w:r>
    </w:p>
    <w:p w14:paraId="6AAE29DF" w14:textId="77777777" w:rsidR="00974917" w:rsidRPr="0065103C" w:rsidRDefault="00974917" w:rsidP="0065103C">
      <w:pPr>
        <w:suppressLineNumbers/>
        <w:suppressAutoHyphens/>
        <w:autoSpaceDE w:val="0"/>
        <w:autoSpaceDN w:val="0"/>
        <w:adjustRightInd w:val="0"/>
        <w:snapToGrid w:val="0"/>
        <w:ind w:left="1440"/>
        <w:rPr>
          <w:rFonts w:ascii="Arial" w:hAnsi="Arial" w:cs="Arial"/>
          <w:sz w:val="22"/>
          <w:szCs w:val="22"/>
          <w:lang w:val="en-GB"/>
        </w:rPr>
      </w:pPr>
    </w:p>
    <w:p w14:paraId="368937DD" w14:textId="77777777" w:rsidR="00974917" w:rsidRPr="00B133FF" w:rsidRDefault="00974917" w:rsidP="0065103C">
      <w:pPr>
        <w:suppressLineNumbers/>
        <w:suppressAutoHyphens/>
        <w:autoSpaceDE w:val="0"/>
        <w:autoSpaceDN w:val="0"/>
        <w:adjustRightInd w:val="0"/>
        <w:snapToGrid w:val="0"/>
        <w:ind w:left="1134"/>
        <w:rPr>
          <w:rFonts w:ascii="Arial" w:hAnsi="Arial" w:cs="Arial"/>
          <w:sz w:val="22"/>
          <w:szCs w:val="22"/>
        </w:rPr>
      </w:pPr>
      <w:r>
        <w:rPr>
          <w:rFonts w:ascii="Arial" w:hAnsi="Arial" w:cs="Arial"/>
          <w:sz w:val="22"/>
          <w:szCs w:val="22"/>
        </w:rPr>
        <w:lastRenderedPageBreak/>
        <w:t>On dénombre huit indicateurs pertinents pour la biodiversité sur les onze indicateurs de base du FEM pour suivre l'impact de ses projets</w:t>
      </w:r>
      <w:r>
        <w:rPr>
          <w:rStyle w:val="FootnoteReference"/>
          <w:rFonts w:ascii="Arial" w:hAnsi="Arial" w:cs="Arial"/>
          <w:sz w:val="22"/>
          <w:szCs w:val="22"/>
        </w:rPr>
        <w:footnoteReference w:id="13"/>
      </w:r>
      <w:r>
        <w:rPr>
          <w:rFonts w:ascii="Arial" w:hAnsi="Arial" w:cs="Arial"/>
          <w:sz w:val="22"/>
          <w:szCs w:val="22"/>
        </w:rPr>
        <w:t>. Comme indiqué, la contribution prévue aux indicateurs de base est disproportionnellement élevée pour les programmes à impact, en particulier pour les indicateurs relatifs aux zones terrestres protégées, à la restauration des sols et aux paysages impliquant des pratiques améliorées. Le cadre de la CDB compte actuellement environ 98 indicateurs révélateurs, que les pays sont encouragés à utiliser pour suivre les progrès accomplis dans la réalisation des Objectifs d’Aichi pour la biodiversité.</w:t>
      </w:r>
      <w:r>
        <w:rPr>
          <w:rFonts w:ascii="Arial" w:hAnsi="Arial" w:cs="Arial"/>
          <w:sz w:val="22"/>
          <w:szCs w:val="22"/>
        </w:rPr>
        <w:tab/>
      </w:r>
      <w:r>
        <w:rPr>
          <w:rFonts w:ascii="Arial" w:hAnsi="Arial" w:cs="Arial"/>
          <w:sz w:val="22"/>
          <w:szCs w:val="22"/>
        </w:rPr>
        <w:tab/>
      </w:r>
      <w:r>
        <w:rPr>
          <w:rFonts w:ascii="Arial" w:hAnsi="Arial" w:cs="Arial"/>
          <w:sz w:val="22"/>
          <w:szCs w:val="22"/>
        </w:rPr>
        <w:tab/>
      </w:r>
    </w:p>
    <w:p w14:paraId="4930E9AF" w14:textId="77777777" w:rsidR="00974917" w:rsidRPr="00B133FF" w:rsidRDefault="00974917" w:rsidP="0065103C">
      <w:pPr>
        <w:suppressLineNumbers/>
        <w:suppressAutoHyphens/>
        <w:autoSpaceDE w:val="0"/>
        <w:autoSpaceDN w:val="0"/>
        <w:adjustRightInd w:val="0"/>
        <w:snapToGrid w:val="0"/>
        <w:rPr>
          <w:rFonts w:ascii="Arial" w:eastAsiaTheme="minorEastAsia" w:hAnsi="Arial" w:cs="Arial"/>
          <w:color w:val="000000"/>
          <w:sz w:val="22"/>
          <w:szCs w:val="22"/>
        </w:rPr>
      </w:pPr>
    </w:p>
    <w:p w14:paraId="7481B497" w14:textId="77777777" w:rsidR="00974917" w:rsidRPr="00B133FF" w:rsidRDefault="00974917" w:rsidP="0065103C">
      <w:pPr>
        <w:suppressLineNumbers/>
        <w:suppressAutoHyphens/>
        <w:autoSpaceDE w:val="0"/>
        <w:autoSpaceDN w:val="0"/>
        <w:adjustRightInd w:val="0"/>
        <w:snapToGrid w:val="0"/>
        <w:ind w:left="1134"/>
        <w:rPr>
          <w:rFonts w:ascii="Arial" w:eastAsiaTheme="minorEastAsia" w:hAnsi="Arial" w:cs="Arial"/>
          <w:color w:val="000000"/>
          <w:sz w:val="22"/>
          <w:szCs w:val="22"/>
        </w:rPr>
      </w:pPr>
      <w:r>
        <w:rPr>
          <w:rFonts w:ascii="Arial" w:eastAsiaTheme="minorEastAsia" w:hAnsi="Arial" w:cs="Arial"/>
          <w:color w:val="000000"/>
          <w:sz w:val="22"/>
          <w:szCs w:val="22"/>
        </w:rPr>
        <w:t>Ces indicateurs permettent de constater que le FEM-7 progresse de façon satisfaisante dans la réalisation de ses objectifs concernant le domaine d'intervention relatif à la biodiversité. Il a atteint 35 % de l'objectif relatif aux zones terrestres protégées (200 millions d'hectares), 35,7 % dans le domaine marin et 78,1 % dans la restauration des sols (6 millions d'hectares)</w:t>
      </w:r>
      <w:r>
        <w:rPr>
          <w:rFonts w:ascii="Arial" w:eastAsiaTheme="minorEastAsia" w:hAnsi="Arial" w:cs="Arial"/>
          <w:color w:val="000000"/>
          <w:sz w:val="22"/>
          <w:szCs w:val="22"/>
          <w:vertAlign w:val="superscript"/>
        </w:rPr>
        <w:footnoteReference w:id="14"/>
      </w:r>
      <w:r>
        <w:rPr>
          <w:rFonts w:ascii="Arial" w:eastAsiaTheme="minorEastAsia" w:hAnsi="Arial" w:cs="Arial"/>
          <w:color w:val="000000"/>
          <w:sz w:val="22"/>
          <w:szCs w:val="22"/>
        </w:rPr>
        <w:t>.</w:t>
      </w:r>
      <w:r>
        <w:rPr>
          <w:rFonts w:ascii="Arial" w:eastAsiaTheme="minorEastAsia" w:hAnsi="Arial" w:cs="Arial"/>
          <w:color w:val="000000"/>
        </w:rPr>
        <w:t xml:space="preserve"> </w:t>
      </w:r>
    </w:p>
    <w:p w14:paraId="2EF9F2C7" w14:textId="77777777" w:rsidR="00974917" w:rsidRPr="00B133FF" w:rsidRDefault="00974917" w:rsidP="0065103C">
      <w:pPr>
        <w:pStyle w:val="ListParagraph"/>
        <w:suppressLineNumbers/>
        <w:suppressAutoHyphens/>
        <w:adjustRightInd w:val="0"/>
        <w:snapToGrid w:val="0"/>
        <w:spacing w:before="240" w:after="240"/>
        <w:ind w:left="1134"/>
        <w:rPr>
          <w:rFonts w:ascii="Arial" w:eastAsia="MS Mincho" w:hAnsi="Arial" w:cs="Arial"/>
          <w:snapToGrid w:val="0"/>
          <w:sz w:val="22"/>
          <w:szCs w:val="22"/>
        </w:rPr>
      </w:pPr>
      <w:r>
        <w:rPr>
          <w:rFonts w:ascii="Arial" w:hAnsi="Arial" w:cs="Arial"/>
          <w:sz w:val="22"/>
          <w:szCs w:val="22"/>
        </w:rPr>
        <w:t xml:space="preserve">Le FEM indique que ses </w:t>
      </w:r>
      <w:r>
        <w:rPr>
          <w:rFonts w:ascii="Arial" w:hAnsi="Arial" w:cs="Arial"/>
          <w:b/>
          <w:bCs/>
          <w:sz w:val="22"/>
          <w:szCs w:val="22"/>
        </w:rPr>
        <w:t>programmes à impact</w:t>
      </w:r>
      <w:r>
        <w:rPr>
          <w:rFonts w:ascii="Arial" w:hAnsi="Arial" w:cs="Arial"/>
          <w:sz w:val="22"/>
          <w:szCs w:val="22"/>
        </w:rPr>
        <w:t xml:space="preserve"> apportent une contribution significative à la réalisation de ses indicateurs de base. Les programmes à impact du FEM-7 visent à apporter des avantages environnementaux à grande échelle, leurs ressources étant désormais presque entièrement programmées. Au total, 60 pays participent à ces programmes, certains d'entre eux étant engagés dans plus d'un programme. Somme toute, ces projets favorisent une approche intégrée pour lutter contre les facteurs de dégradation de l'environnement par la gestion durable des forêts, les villes durables et les systèmes alimentaires, l'utilisation et la restauration des sols.</w:t>
      </w:r>
    </w:p>
    <w:p w14:paraId="45E381C0" w14:textId="77777777" w:rsidR="00974917" w:rsidRPr="00B133FF" w:rsidRDefault="00974917" w:rsidP="0065103C">
      <w:pPr>
        <w:pStyle w:val="ListParagraph"/>
        <w:suppressLineNumbers/>
        <w:suppressAutoHyphens/>
        <w:adjustRightInd w:val="0"/>
        <w:snapToGrid w:val="0"/>
        <w:spacing w:before="240" w:after="240"/>
        <w:ind w:left="1134"/>
        <w:rPr>
          <w:rFonts w:ascii="Arial" w:eastAsia="MS Mincho" w:hAnsi="Arial" w:cs="Arial"/>
          <w:snapToGrid w:val="0"/>
          <w:sz w:val="22"/>
          <w:szCs w:val="22"/>
        </w:rPr>
      </w:pPr>
    </w:p>
    <w:p w14:paraId="43F58B33" w14:textId="77777777" w:rsidR="00974917" w:rsidRPr="00B133FF" w:rsidRDefault="00974917" w:rsidP="0065103C">
      <w:pPr>
        <w:pStyle w:val="ListParagraph"/>
        <w:suppressLineNumbers/>
        <w:suppressAutoHyphens/>
        <w:adjustRightInd w:val="0"/>
        <w:snapToGrid w:val="0"/>
        <w:spacing w:before="240" w:after="240"/>
        <w:ind w:left="1134"/>
        <w:rPr>
          <w:rFonts w:ascii="Arial" w:eastAsia="MS Mincho" w:hAnsi="Arial" w:cs="Arial"/>
          <w:strike/>
          <w:snapToGrid w:val="0"/>
          <w:sz w:val="22"/>
          <w:szCs w:val="22"/>
        </w:rPr>
      </w:pPr>
      <w:r>
        <w:rPr>
          <w:rFonts w:ascii="Arial" w:eastAsia="MS Mincho" w:hAnsi="Arial" w:cs="Arial"/>
          <w:snapToGrid w:val="0"/>
          <w:sz w:val="22"/>
          <w:szCs w:val="22"/>
        </w:rPr>
        <w:t>Dans le cadre du FEM-7, l'accent a été mis sur l'utilisation d'</w:t>
      </w:r>
      <w:r>
        <w:rPr>
          <w:rFonts w:ascii="Arial" w:eastAsia="MS Mincho" w:hAnsi="Arial" w:cs="Arial"/>
          <w:b/>
          <w:bCs/>
          <w:snapToGrid w:val="0"/>
          <w:sz w:val="22"/>
          <w:szCs w:val="22"/>
        </w:rPr>
        <w:t>instruments ne reposant pas sur des subventions</w:t>
      </w:r>
      <w:r>
        <w:rPr>
          <w:rFonts w:ascii="Arial" w:eastAsia="MS Mincho" w:hAnsi="Arial" w:cs="Arial"/>
          <w:snapToGrid w:val="0"/>
          <w:sz w:val="22"/>
          <w:szCs w:val="22"/>
        </w:rPr>
        <w:t xml:space="preserve"> pour le financement mixte afin de catalyser les investissements des marchés de capitaux aux niveaux mondial et national, en harmonisation avec les objectifs des domaines d'intervention. </w:t>
      </w:r>
    </w:p>
    <w:p w14:paraId="3DEA054F" w14:textId="77777777" w:rsidR="00974917" w:rsidRPr="00B133FF" w:rsidRDefault="00974917" w:rsidP="0065103C">
      <w:pPr>
        <w:pStyle w:val="NoSpacing"/>
        <w:suppressLineNumbers/>
        <w:suppressAutoHyphens/>
        <w:adjustRightInd w:val="0"/>
        <w:snapToGrid w:val="0"/>
        <w:ind w:left="1134"/>
        <w:rPr>
          <w:rFonts w:ascii="Arial" w:hAnsi="Arial" w:cs="Arial"/>
        </w:rPr>
      </w:pPr>
      <w:r>
        <w:rPr>
          <w:rFonts w:ascii="Arial" w:hAnsi="Arial" w:cs="Arial"/>
        </w:rPr>
        <w:t xml:space="preserve">Les interventions du FEM en matière d'intégration du capital naturel dans la chaîne de valeur, la certification des produits, la gestion durable des paysages terrestres et marins pour garantir la disponibilité à long terme de matières premières dépendantes de la biodiversité et de services d'approvisionnement des écosystèmes sont particulièrement cruciales pour le secteur privé. </w:t>
      </w:r>
    </w:p>
    <w:p w14:paraId="55DA831C" w14:textId="77777777" w:rsidR="00974917" w:rsidRPr="00B133FF" w:rsidRDefault="00974917" w:rsidP="0065103C">
      <w:pPr>
        <w:pStyle w:val="ListParagraph"/>
        <w:suppressLineNumbers/>
        <w:suppressAutoHyphens/>
        <w:adjustRightInd w:val="0"/>
        <w:snapToGrid w:val="0"/>
        <w:spacing w:before="240" w:after="240"/>
        <w:ind w:left="1134"/>
        <w:rPr>
          <w:rFonts w:ascii="Arial" w:eastAsia="MS Mincho" w:hAnsi="Arial" w:cs="Arial"/>
          <w:snapToGrid w:val="0"/>
          <w:sz w:val="22"/>
          <w:szCs w:val="22"/>
        </w:rPr>
      </w:pPr>
      <w:r>
        <w:rPr>
          <w:rFonts w:ascii="Arial" w:eastAsia="MS Mincho" w:hAnsi="Arial" w:cs="Arial"/>
          <w:snapToGrid w:val="0"/>
          <w:sz w:val="22"/>
          <w:szCs w:val="22"/>
        </w:rPr>
        <w:t xml:space="preserve">Outre les projets, le FEM fournit également un financement important au </w:t>
      </w:r>
      <w:r>
        <w:rPr>
          <w:rFonts w:ascii="Arial" w:eastAsia="MS Mincho" w:hAnsi="Arial" w:cs="Arial"/>
          <w:b/>
          <w:bCs/>
          <w:snapToGrid w:val="0"/>
          <w:sz w:val="22"/>
          <w:szCs w:val="22"/>
        </w:rPr>
        <w:t>programme de microfinancements</w:t>
      </w:r>
      <w:r>
        <w:rPr>
          <w:rFonts w:ascii="Arial" w:eastAsia="MS Mincho" w:hAnsi="Arial" w:cs="Arial"/>
          <w:snapToGrid w:val="0"/>
          <w:sz w:val="22"/>
          <w:szCs w:val="22"/>
        </w:rPr>
        <w:t xml:space="preserve"> (PMF). Selon le rapport de suivi annuel du PMF pour l'année fiscale 2018 couvrant la période de juillet 2018 à juin 2019, le portefeuille actif de projets de microfinancements financés par les fonds du FEM comptait 3 182 projets pour un montant de 108,5 millions de dollars avec un cofinancement mobilisé de 99,5 millions de dollars. </w:t>
      </w:r>
    </w:p>
    <w:p w14:paraId="3AE4BA17" w14:textId="77777777" w:rsidR="00974917" w:rsidRPr="0065103C" w:rsidRDefault="00974917" w:rsidP="0065103C">
      <w:pPr>
        <w:pStyle w:val="ListParagraph"/>
        <w:numPr>
          <w:ilvl w:val="1"/>
          <w:numId w:val="18"/>
        </w:numPr>
        <w:suppressLineNumbers/>
        <w:suppressAutoHyphens/>
        <w:adjustRightInd w:val="0"/>
        <w:snapToGrid w:val="0"/>
        <w:spacing w:before="240" w:after="240"/>
        <w:rPr>
          <w:rFonts w:ascii="Arial" w:hAnsi="Arial" w:cs="Arial"/>
          <w:sz w:val="22"/>
          <w:szCs w:val="22"/>
          <w:u w:val="single"/>
          <w:lang w:val="en-GB" w:eastAsia="en-CA"/>
        </w:rPr>
      </w:pPr>
      <w:r>
        <w:rPr>
          <w:rFonts w:ascii="Arial" w:hAnsi="Arial" w:cs="Arial"/>
          <w:sz w:val="22"/>
          <w:szCs w:val="22"/>
          <w:u w:val="single"/>
        </w:rPr>
        <w:t>Performance du FEM</w:t>
      </w:r>
    </w:p>
    <w:p w14:paraId="73C3D3ED" w14:textId="77777777" w:rsidR="00974917" w:rsidRPr="00B133FF" w:rsidRDefault="00974917" w:rsidP="0065103C">
      <w:pPr>
        <w:pStyle w:val="ListParagraph"/>
        <w:suppressLineNumbers/>
        <w:suppressAutoHyphens/>
        <w:adjustRightInd w:val="0"/>
        <w:snapToGrid w:val="0"/>
        <w:ind w:left="1134"/>
        <w:rPr>
          <w:rFonts w:ascii="Arial" w:hAnsi="Arial" w:cs="Arial"/>
          <w:sz w:val="22"/>
          <w:szCs w:val="22"/>
        </w:rPr>
      </w:pPr>
      <w:r>
        <w:rPr>
          <w:rFonts w:ascii="Arial" w:hAnsi="Arial" w:cs="Arial"/>
          <w:sz w:val="22"/>
          <w:szCs w:val="22"/>
        </w:rPr>
        <w:lastRenderedPageBreak/>
        <w:t>Le sixième bilan global du Fonds pour l'environnement mondial a indiqué que, cumulativement, 80 % de tous les projets notés, qui représentent 78 % des subventions du FEM, sont classés dans la catégorie « résultats satisfaisants ».</w:t>
      </w:r>
    </w:p>
    <w:p w14:paraId="3AA6278E" w14:textId="77777777" w:rsidR="00974917" w:rsidRPr="00B133FF" w:rsidRDefault="00974917" w:rsidP="0065103C">
      <w:pPr>
        <w:pStyle w:val="NoSpacing"/>
        <w:suppressLineNumbers/>
        <w:suppressAutoHyphens/>
        <w:adjustRightInd w:val="0"/>
        <w:snapToGrid w:val="0"/>
        <w:ind w:left="1134"/>
        <w:rPr>
          <w:rFonts w:ascii="Arial" w:hAnsi="Arial" w:cs="Arial"/>
        </w:rPr>
      </w:pPr>
    </w:p>
    <w:p w14:paraId="13484130" w14:textId="77777777" w:rsidR="00974917" w:rsidRPr="00B133FF" w:rsidRDefault="00974917" w:rsidP="0065103C">
      <w:pPr>
        <w:pStyle w:val="NoSpacing"/>
        <w:suppressLineNumbers/>
        <w:suppressAutoHyphens/>
        <w:adjustRightInd w:val="0"/>
        <w:snapToGrid w:val="0"/>
        <w:ind w:left="1134"/>
        <w:rPr>
          <w:rFonts w:ascii="Arial" w:hAnsi="Arial" w:cs="Arial"/>
        </w:rPr>
      </w:pPr>
      <w:r>
        <w:rPr>
          <w:rFonts w:ascii="Arial" w:hAnsi="Arial" w:cs="Arial"/>
        </w:rPr>
        <w:t xml:space="preserve">Dans le cadre du sixième bilan global, le Bureau indépendant d'évaluation du FEM a entrepris deux études dans le domaine d'intervention relatif à la biodiversité : a) une évaluation des projets financés par le FEM sur l'accès et le partage des avantages et le Protocole de Nagoya, et b) une étude visant à évaluer le soutien apporté par le FEM dans la lutte contre le commerce illégal d'espèces sauvages par le biais du Programme mondial pour la vie sauvage du FEM. Ces deux études sont les premières études réalisées par le Bureau indépendant d'évaluation sur ces thèmes. L'évaluation de l'impact du soutien du FEM aux aires protégées et aux systèmes d'aires protégées a été achevée en octobre 2015. </w:t>
      </w:r>
    </w:p>
    <w:p w14:paraId="55F996AB" w14:textId="77777777" w:rsidR="00974917" w:rsidRPr="00B133FF" w:rsidRDefault="00974917" w:rsidP="0065103C">
      <w:pPr>
        <w:pStyle w:val="NoSpacing"/>
        <w:suppressLineNumbers/>
        <w:suppressAutoHyphens/>
        <w:adjustRightInd w:val="0"/>
        <w:snapToGrid w:val="0"/>
        <w:ind w:left="1134"/>
        <w:rPr>
          <w:rFonts w:ascii="Arial" w:hAnsi="Arial" w:cs="Arial"/>
        </w:rPr>
      </w:pPr>
    </w:p>
    <w:p w14:paraId="6315FBDB" w14:textId="510774DE" w:rsidR="00974917" w:rsidRPr="00B133FF" w:rsidRDefault="00974917" w:rsidP="0065103C">
      <w:pPr>
        <w:pStyle w:val="NoSpacing"/>
        <w:suppressLineNumbers/>
        <w:suppressAutoHyphens/>
        <w:adjustRightInd w:val="0"/>
        <w:snapToGrid w:val="0"/>
        <w:ind w:left="1134"/>
        <w:rPr>
          <w:rFonts w:ascii="Arial" w:hAnsi="Arial" w:cs="Arial"/>
        </w:rPr>
      </w:pPr>
      <w:r>
        <w:rPr>
          <w:rFonts w:ascii="Arial" w:hAnsi="Arial" w:cs="Arial"/>
        </w:rPr>
        <w:t xml:space="preserve">L'évaluation du soutien du FEM à l'intégration de la biodiversité a été présentée au Conseil du FEM en décembre 2018. Cette évaluation a estimé que l'intégration de la biodiversité était très pertinente pour la CDB, ses pays membres et le secteur privé. Les stratégies et plans d’action nationaux pour la diversité biologique (SPANB) commandés par la CDB constituent un instrument essentiel au niveau national pour la planification de l'intégration de la biodiversité (CDB et PNUE, 2008). </w:t>
      </w:r>
      <w:r w:rsidRPr="001D65D2">
        <w:rPr>
          <w:rFonts w:ascii="Arial" w:hAnsi="Arial" w:cs="Arial"/>
        </w:rPr>
        <w:t xml:space="preserve">Le soutien du FEM aux pays éligibles </w:t>
      </w:r>
      <w:r w:rsidR="001D65D2" w:rsidRPr="001D65D2">
        <w:rPr>
          <w:rFonts w:ascii="Arial" w:hAnsi="Arial" w:cs="Arial"/>
        </w:rPr>
        <w:t xml:space="preserve">a permis d’aboutir à une soumission quasi-universelle des SPANB par les Parties à la CDB (191 Parties sur 196, soit </w:t>
      </w:r>
      <w:r w:rsidRPr="001D65D2">
        <w:rPr>
          <w:rFonts w:ascii="Arial" w:hAnsi="Arial" w:cs="Arial"/>
        </w:rPr>
        <w:t>96 %)</w:t>
      </w:r>
      <w:r w:rsidR="001D65D2" w:rsidRPr="001D65D2">
        <w:rPr>
          <w:rFonts w:ascii="Arial" w:hAnsi="Arial" w:cs="Arial"/>
        </w:rPr>
        <w:t>.</w:t>
      </w:r>
      <w:r>
        <w:rPr>
          <w:rFonts w:ascii="Arial" w:hAnsi="Arial" w:cs="Arial"/>
        </w:rPr>
        <w:t xml:space="preserve"> </w:t>
      </w:r>
    </w:p>
    <w:p w14:paraId="5D6BE350" w14:textId="77777777" w:rsidR="00974917" w:rsidRPr="00B133FF" w:rsidRDefault="00974917" w:rsidP="0065103C">
      <w:pPr>
        <w:pStyle w:val="NoSpacing"/>
        <w:suppressLineNumbers/>
        <w:suppressAutoHyphens/>
        <w:adjustRightInd w:val="0"/>
        <w:snapToGrid w:val="0"/>
        <w:ind w:left="1134"/>
        <w:rPr>
          <w:rFonts w:ascii="Arial" w:hAnsi="Arial" w:cs="Arial"/>
        </w:rPr>
      </w:pPr>
    </w:p>
    <w:p w14:paraId="0EFC5D57" w14:textId="77777777" w:rsidR="00974917" w:rsidRPr="00B133FF" w:rsidRDefault="00974917" w:rsidP="0065103C">
      <w:pPr>
        <w:pStyle w:val="NoSpacing"/>
        <w:suppressLineNumbers/>
        <w:suppressAutoHyphens/>
        <w:adjustRightInd w:val="0"/>
        <w:snapToGrid w:val="0"/>
        <w:ind w:left="1134"/>
        <w:rPr>
          <w:rFonts w:ascii="Arial" w:hAnsi="Arial" w:cs="Arial"/>
        </w:rPr>
      </w:pPr>
      <w:r>
        <w:rPr>
          <w:rFonts w:ascii="Arial" w:hAnsi="Arial" w:cs="Arial"/>
        </w:rPr>
        <w:t xml:space="preserve">85 % des projets d'intégration de la biodiversité ont obtenu une note satisfaisante. Des notes élevées ont été obtenues pour la qualité de la mise en œuvre et de l'exécution, tandis que des notes inférieures ont été attribuées pour le suivi et l'évaluation et la durabilité. </w:t>
      </w:r>
    </w:p>
    <w:p w14:paraId="02958DF4" w14:textId="77777777" w:rsidR="00974917" w:rsidRPr="00B133FF" w:rsidRDefault="00974917" w:rsidP="0065103C">
      <w:pPr>
        <w:pStyle w:val="NoSpacing"/>
        <w:suppressLineNumbers/>
        <w:suppressAutoHyphens/>
        <w:adjustRightInd w:val="0"/>
        <w:snapToGrid w:val="0"/>
        <w:ind w:left="1134"/>
        <w:rPr>
          <w:rFonts w:ascii="Arial" w:hAnsi="Arial" w:cs="Arial"/>
        </w:rPr>
      </w:pPr>
    </w:p>
    <w:p w14:paraId="3E7377B9" w14:textId="77777777" w:rsidR="00974917" w:rsidRPr="00B133FF" w:rsidRDefault="00974917" w:rsidP="0065103C">
      <w:pPr>
        <w:pStyle w:val="NoSpacing"/>
        <w:suppressLineNumbers/>
        <w:suppressAutoHyphens/>
        <w:adjustRightInd w:val="0"/>
        <w:snapToGrid w:val="0"/>
        <w:ind w:left="1134"/>
        <w:rPr>
          <w:rFonts w:ascii="Arial" w:hAnsi="Arial" w:cs="Arial"/>
        </w:rPr>
      </w:pPr>
      <w:r>
        <w:rPr>
          <w:rFonts w:ascii="Arial" w:hAnsi="Arial" w:cs="Arial"/>
        </w:rPr>
        <w:t xml:space="preserve">Les </w:t>
      </w:r>
      <w:r>
        <w:rPr>
          <w:rFonts w:ascii="Arial" w:hAnsi="Arial" w:cs="Arial"/>
          <w:b/>
          <w:bCs/>
        </w:rPr>
        <w:t>résultats</w:t>
      </w:r>
      <w:r>
        <w:rPr>
          <w:rFonts w:ascii="Arial" w:hAnsi="Arial" w:cs="Arial"/>
        </w:rPr>
        <w:t xml:space="preserve"> des projets d'intégration de la biodiversité du FEM sont comparables au portefeuille global du FEM.</w:t>
      </w:r>
      <w:r>
        <w:rPr>
          <w:rFonts w:ascii="Arial" w:hAnsi="Arial" w:cs="Arial"/>
          <w:b/>
          <w:bCs/>
        </w:rPr>
        <w:t xml:space="preserve"> </w:t>
      </w:r>
      <w:r>
        <w:rPr>
          <w:rFonts w:ascii="Arial" w:hAnsi="Arial" w:cs="Arial"/>
        </w:rPr>
        <w:t xml:space="preserve">85 % des projets d'intégration de la biodiversité ont obtenu des résultats satisfaisants. Ce résultat est comparable à celui des projets ne concernant pas l'intégration de la biodiversité (82 %) et de l'ensemble des projets liés à la biodiversité (83 %). 85 % des projets d'intégration de la biodiversité obtiennent une note satisfaisante en ce qui concerne la qualité de l'exécution et de la mise en œuvre. Cependant, les projets d'intégration de la biodiversité obtiennent des notes plus faibles en matière d'élaboration et de mise en œuvre du suivi et de l'évaluation, et de durabilité. </w:t>
      </w:r>
    </w:p>
    <w:p w14:paraId="6EC4C2E2" w14:textId="77777777" w:rsidR="00974917" w:rsidRPr="00B133FF" w:rsidRDefault="00974917" w:rsidP="0065103C">
      <w:pPr>
        <w:pStyle w:val="NoSpacing"/>
        <w:suppressLineNumbers/>
        <w:suppressAutoHyphens/>
        <w:adjustRightInd w:val="0"/>
        <w:snapToGrid w:val="0"/>
        <w:rPr>
          <w:rFonts w:ascii="Arial" w:hAnsi="Arial" w:cs="Arial"/>
        </w:rPr>
      </w:pPr>
    </w:p>
    <w:p w14:paraId="0D753E4F" w14:textId="77777777" w:rsidR="00974917" w:rsidRPr="00B133FF" w:rsidRDefault="00974917" w:rsidP="0065103C">
      <w:pPr>
        <w:suppressLineNumbers/>
        <w:suppressAutoHyphens/>
        <w:autoSpaceDE w:val="0"/>
        <w:autoSpaceDN w:val="0"/>
        <w:adjustRightInd w:val="0"/>
        <w:snapToGrid w:val="0"/>
        <w:ind w:left="1134"/>
        <w:rPr>
          <w:rFonts w:ascii="Arial" w:hAnsi="Arial" w:cs="Arial"/>
          <w:sz w:val="22"/>
          <w:szCs w:val="22"/>
        </w:rPr>
      </w:pPr>
      <w:r>
        <w:rPr>
          <w:rFonts w:ascii="Arial" w:hAnsi="Arial" w:cs="Arial"/>
          <w:sz w:val="22"/>
          <w:szCs w:val="22"/>
        </w:rPr>
        <w:t>Toutes les évaluations finales et les notes sont examinées et validées par le Bureau indépendant d'évaluation et/ou le bureau d'évaluation de l'organisme partenaire concerné du FEM.</w:t>
      </w:r>
    </w:p>
    <w:p w14:paraId="65E406E2" w14:textId="77777777" w:rsidR="00974917" w:rsidRPr="00B133FF" w:rsidRDefault="00974917" w:rsidP="0065103C">
      <w:pPr>
        <w:pStyle w:val="NoSpacing"/>
        <w:suppressLineNumbers/>
        <w:suppressAutoHyphens/>
        <w:adjustRightInd w:val="0"/>
        <w:snapToGrid w:val="0"/>
        <w:ind w:left="1134"/>
        <w:rPr>
          <w:rFonts w:ascii="Arial" w:hAnsi="Arial" w:cs="Arial"/>
        </w:rPr>
      </w:pPr>
    </w:p>
    <w:p w14:paraId="77E8F00E" w14:textId="2581D1CF" w:rsidR="00974917" w:rsidRPr="00B133FF" w:rsidRDefault="00974917" w:rsidP="0065103C">
      <w:pPr>
        <w:pStyle w:val="NoSpacing"/>
        <w:suppressLineNumbers/>
        <w:suppressAutoHyphens/>
        <w:adjustRightInd w:val="0"/>
        <w:snapToGrid w:val="0"/>
        <w:ind w:left="1134"/>
        <w:rPr>
          <w:rFonts w:ascii="Arial" w:hAnsi="Arial" w:cs="Arial"/>
        </w:rPr>
      </w:pPr>
      <w:r>
        <w:rPr>
          <w:rFonts w:ascii="Arial" w:hAnsi="Arial" w:cs="Arial"/>
        </w:rPr>
        <w:t xml:space="preserve">Les indices de performance comportent des </w:t>
      </w:r>
      <w:r>
        <w:rPr>
          <w:rFonts w:ascii="Arial" w:hAnsi="Arial" w:cs="Arial"/>
          <w:b/>
          <w:bCs/>
        </w:rPr>
        <w:t>différences régionales</w:t>
      </w:r>
      <w:r>
        <w:rPr>
          <w:rFonts w:ascii="Arial" w:hAnsi="Arial" w:cs="Arial"/>
        </w:rPr>
        <w:t>.</w:t>
      </w:r>
      <w:r>
        <w:rPr>
          <w:rFonts w:ascii="Arial" w:hAnsi="Arial" w:cs="Arial"/>
          <w:b/>
          <w:bCs/>
        </w:rPr>
        <w:t xml:space="preserve"> </w:t>
      </w:r>
      <w:r>
        <w:rPr>
          <w:rFonts w:ascii="Arial" w:hAnsi="Arial" w:cs="Arial"/>
        </w:rPr>
        <w:t>Les projets d'intégration en Europe et en Asie centrale sont relativement meilleurs en termes de résultats, de suivi et d'évaluation de la mise en œuvre (87 %)</w:t>
      </w:r>
      <w:r w:rsidR="00F5189C">
        <w:rPr>
          <w:rFonts w:ascii="Arial" w:hAnsi="Arial" w:cs="Arial"/>
        </w:rPr>
        <w:t xml:space="preserve"> et</w:t>
      </w:r>
      <w:r>
        <w:rPr>
          <w:rFonts w:ascii="Arial" w:hAnsi="Arial" w:cs="Arial"/>
        </w:rPr>
        <w:t xml:space="preserve"> de qualité de la mise en œuvre (93 %). </w:t>
      </w:r>
      <w:r w:rsidR="00AF7419" w:rsidRPr="00AF7419">
        <w:rPr>
          <w:rFonts w:ascii="Arial" w:hAnsi="Arial" w:cs="Arial"/>
        </w:rPr>
        <w:t>Les rapports annuels sur le rendement concernant les projets d'intégration en Afrique ont les notes les plus faibles</w:t>
      </w:r>
      <w:r>
        <w:rPr>
          <w:rFonts w:ascii="Arial" w:hAnsi="Arial" w:cs="Arial"/>
        </w:rPr>
        <w:t xml:space="preserve">, tant en termes de durabilité (53 %), de mise en œuvre du suivi et de l'évaluation (52 %) que de résultats (81 %). Dans l'ensemble, les notes obtenues en termes de durabilité pour les projets d'intégration en Asie, en Europe et en Asie centrale, ainsi qu'en Amérique latine et aux Caraïbes sont comparables (70 %). Les projets mondiaux ont tendance à obtenir les meilleures notes en termes de résultats (93 %), de durabilité (91 %) et de qualité d'exécution (92 %), mais les notes sont plus faibles </w:t>
      </w:r>
      <w:r>
        <w:rPr>
          <w:rFonts w:ascii="Arial" w:hAnsi="Arial" w:cs="Arial"/>
        </w:rPr>
        <w:lastRenderedPageBreak/>
        <w:t xml:space="preserve">pour l'élaboration du suivi et de l'évaluation (53 %) et la mise en œuvre du suivi et de l'évaluation (69 %). </w:t>
      </w:r>
    </w:p>
    <w:p w14:paraId="3E4E2EC4" w14:textId="77777777" w:rsidR="00974917" w:rsidRPr="00B133FF" w:rsidRDefault="00974917" w:rsidP="0065103C">
      <w:pPr>
        <w:suppressLineNumbers/>
        <w:suppressAutoHyphens/>
        <w:autoSpaceDE w:val="0"/>
        <w:autoSpaceDN w:val="0"/>
        <w:adjustRightInd w:val="0"/>
        <w:snapToGrid w:val="0"/>
        <w:rPr>
          <w:rFonts w:ascii="Arial" w:hAnsi="Arial" w:cs="Arial"/>
          <w:color w:val="000000"/>
          <w:sz w:val="22"/>
          <w:szCs w:val="22"/>
        </w:rPr>
      </w:pPr>
    </w:p>
    <w:p w14:paraId="5864DB69" w14:textId="77777777" w:rsidR="00974917" w:rsidRPr="00B133FF" w:rsidRDefault="00974917" w:rsidP="0065103C">
      <w:pPr>
        <w:pStyle w:val="ListParagraph"/>
        <w:numPr>
          <w:ilvl w:val="1"/>
          <w:numId w:val="18"/>
        </w:numPr>
        <w:suppressLineNumbers/>
        <w:suppressAutoHyphens/>
        <w:autoSpaceDE w:val="0"/>
        <w:autoSpaceDN w:val="0"/>
        <w:adjustRightInd w:val="0"/>
        <w:snapToGrid w:val="0"/>
        <w:ind w:left="1134" w:firstLine="0"/>
        <w:rPr>
          <w:rFonts w:ascii="Arial" w:hAnsi="Arial" w:cs="Arial"/>
          <w:color w:val="000000"/>
          <w:sz w:val="22"/>
          <w:szCs w:val="22"/>
          <w:u w:val="single"/>
        </w:rPr>
      </w:pPr>
      <w:r>
        <w:rPr>
          <w:rFonts w:ascii="Arial" w:hAnsi="Arial" w:cs="Arial"/>
          <w:color w:val="000000"/>
          <w:sz w:val="22"/>
          <w:szCs w:val="22"/>
          <w:u w:val="single"/>
        </w:rPr>
        <w:t>Recommandation de la Conférence des Parties concernant les performances du FEM</w:t>
      </w:r>
    </w:p>
    <w:p w14:paraId="30422C8D" w14:textId="77777777" w:rsidR="00974917" w:rsidRPr="00B133FF" w:rsidRDefault="00974917" w:rsidP="0065103C">
      <w:pPr>
        <w:pStyle w:val="ListParagraph"/>
        <w:suppressLineNumbers/>
        <w:suppressAutoHyphens/>
        <w:autoSpaceDE w:val="0"/>
        <w:autoSpaceDN w:val="0"/>
        <w:adjustRightInd w:val="0"/>
        <w:snapToGrid w:val="0"/>
        <w:ind w:left="2160"/>
        <w:rPr>
          <w:rFonts w:ascii="Arial" w:hAnsi="Arial" w:cs="Arial"/>
          <w:color w:val="000000"/>
          <w:sz w:val="22"/>
          <w:szCs w:val="22"/>
          <w:u w:val="single"/>
        </w:rPr>
      </w:pPr>
    </w:p>
    <w:p w14:paraId="75B3FC27" w14:textId="77777777" w:rsidR="00974917" w:rsidRPr="00B133FF" w:rsidRDefault="00974917" w:rsidP="0065103C">
      <w:pPr>
        <w:suppressLineNumbers/>
        <w:suppressAutoHyphens/>
        <w:autoSpaceDE w:val="0"/>
        <w:autoSpaceDN w:val="0"/>
        <w:adjustRightInd w:val="0"/>
        <w:snapToGrid w:val="0"/>
        <w:ind w:left="1134"/>
        <w:rPr>
          <w:rFonts w:ascii="Arial" w:hAnsi="Arial" w:cs="Arial"/>
          <w:kern w:val="22"/>
          <w:sz w:val="22"/>
          <w:szCs w:val="22"/>
        </w:rPr>
      </w:pPr>
      <w:r>
        <w:rPr>
          <w:rFonts w:ascii="Arial" w:hAnsi="Arial" w:cs="Arial"/>
          <w:kern w:val="22"/>
          <w:sz w:val="22"/>
          <w:szCs w:val="22"/>
        </w:rPr>
        <w:t>La Conférence des Parties, à sa quatorzième réunion, a considéré que le sixième bilan global du Fonds pour l'environnement mondial constituait une bonne base pour le cinquième examen de l'efficacité du mécanisme de financement, tout comme les communications connexes adressées par les Parties, et a invité le Conseil du Fonds pour l'environnement mondial à agir</w:t>
      </w:r>
      <w:r>
        <w:rPr>
          <w:rStyle w:val="FootnoteReference"/>
          <w:rFonts w:ascii="Arial" w:hAnsi="Arial" w:cs="Arial"/>
          <w:kern w:val="22"/>
          <w:sz w:val="22"/>
          <w:szCs w:val="22"/>
        </w:rPr>
        <w:footnoteReference w:id="15"/>
      </w:r>
      <w:r>
        <w:rPr>
          <w:rFonts w:ascii="Arial" w:hAnsi="Arial" w:cs="Arial"/>
          <w:kern w:val="22"/>
          <w:sz w:val="22"/>
          <w:szCs w:val="22"/>
        </w:rPr>
        <w:t>* afin d'améliorer encore davantage l'efficacité du mécanisme de financement :</w:t>
      </w:r>
    </w:p>
    <w:p w14:paraId="14DD69B1" w14:textId="77777777" w:rsidR="00974917" w:rsidRPr="00B133FF" w:rsidRDefault="00974917" w:rsidP="0065103C">
      <w:pPr>
        <w:suppressLineNumbers/>
        <w:suppressAutoHyphens/>
        <w:autoSpaceDE w:val="0"/>
        <w:autoSpaceDN w:val="0"/>
        <w:adjustRightInd w:val="0"/>
        <w:snapToGrid w:val="0"/>
        <w:ind w:left="1134"/>
        <w:rPr>
          <w:rFonts w:ascii="Arial" w:hAnsi="Arial" w:cs="Arial"/>
          <w:kern w:val="22"/>
          <w:sz w:val="22"/>
          <w:szCs w:val="22"/>
        </w:rPr>
      </w:pPr>
    </w:p>
    <w:p w14:paraId="0D2C7928" w14:textId="77777777" w:rsidR="00974917" w:rsidRPr="0065103C" w:rsidRDefault="00974917" w:rsidP="0065103C">
      <w:pPr>
        <w:pStyle w:val="ListParagraph"/>
        <w:numPr>
          <w:ilvl w:val="1"/>
          <w:numId w:val="18"/>
        </w:numPr>
        <w:suppressLineNumbers/>
        <w:suppressAutoHyphens/>
        <w:adjustRightInd w:val="0"/>
        <w:snapToGrid w:val="0"/>
        <w:ind w:left="1134" w:firstLine="0"/>
        <w:rPr>
          <w:rFonts w:ascii="Arial" w:hAnsi="Arial" w:cs="Arial"/>
          <w:sz w:val="22"/>
          <w:szCs w:val="22"/>
          <w:lang w:val="en-GB"/>
        </w:rPr>
      </w:pPr>
      <w:r>
        <w:rPr>
          <w:rFonts w:ascii="Arial" w:hAnsi="Arial" w:cs="Arial"/>
          <w:sz w:val="22"/>
          <w:szCs w:val="22"/>
          <w:u w:val="single"/>
        </w:rPr>
        <w:t>Implications financières des orientations futures</w:t>
      </w:r>
    </w:p>
    <w:p w14:paraId="7E309C70" w14:textId="77777777" w:rsidR="00974917" w:rsidRPr="0065103C" w:rsidRDefault="00974917" w:rsidP="0065103C">
      <w:pPr>
        <w:pStyle w:val="ListParagraph"/>
        <w:suppressLineNumbers/>
        <w:suppressAutoHyphens/>
        <w:adjustRightInd w:val="0"/>
        <w:snapToGrid w:val="0"/>
        <w:ind w:left="1440"/>
        <w:rPr>
          <w:rFonts w:ascii="Arial" w:hAnsi="Arial" w:cs="Arial"/>
          <w:sz w:val="22"/>
          <w:szCs w:val="22"/>
          <w:lang w:val="en-GB"/>
        </w:rPr>
      </w:pPr>
    </w:p>
    <w:p w14:paraId="29EE7BA3" w14:textId="77777777" w:rsidR="00974917" w:rsidRPr="00B133FF" w:rsidRDefault="00974917" w:rsidP="0065103C">
      <w:pPr>
        <w:pStyle w:val="ListParagraph"/>
        <w:suppressLineNumbers/>
        <w:suppressAutoHyphens/>
        <w:adjustRightInd w:val="0"/>
        <w:snapToGrid w:val="0"/>
        <w:ind w:left="1134"/>
        <w:rPr>
          <w:rFonts w:ascii="Arial" w:hAnsi="Arial" w:cs="Arial"/>
          <w:sz w:val="22"/>
          <w:szCs w:val="22"/>
        </w:rPr>
      </w:pPr>
      <w:r>
        <w:rPr>
          <w:rFonts w:ascii="Arial" w:hAnsi="Arial" w:cs="Arial"/>
          <w:sz w:val="22"/>
          <w:szCs w:val="22"/>
        </w:rPr>
        <w:t>Les estimations concernant les implications financières des orientations de la CDB pour le mécanisme de financement, qui préconisent la mobilisation de futures ressources financières, et le cadre quadriennal des priorités de programme, ce qui s'applique aussi au Cadre mondial de la biodiversité pour l'après-2020, seront réalisées au fur et à mesure que les données seront disponibles. La section consacrée aux rapports mondiaux du présent rapport présente les informations disponibles concernant les besoins totaux en ressources.</w:t>
      </w:r>
    </w:p>
    <w:p w14:paraId="3D09D4F0" w14:textId="77777777" w:rsidR="00974917" w:rsidRPr="00B133FF" w:rsidRDefault="00974917" w:rsidP="0065103C">
      <w:pPr>
        <w:pStyle w:val="ListParagraph"/>
        <w:suppressLineNumbers/>
        <w:suppressAutoHyphens/>
        <w:adjustRightInd w:val="0"/>
        <w:snapToGrid w:val="0"/>
        <w:ind w:left="1440"/>
        <w:rPr>
          <w:rFonts w:ascii="Arial" w:hAnsi="Arial" w:cs="Arial"/>
          <w:sz w:val="22"/>
          <w:szCs w:val="22"/>
        </w:rPr>
      </w:pPr>
    </w:p>
    <w:p w14:paraId="3D3AC1EC" w14:textId="77777777" w:rsidR="00974917" w:rsidRPr="00B133FF" w:rsidRDefault="00974917" w:rsidP="0065103C">
      <w:pPr>
        <w:pStyle w:val="ListParagraph"/>
        <w:numPr>
          <w:ilvl w:val="0"/>
          <w:numId w:val="17"/>
        </w:numPr>
        <w:suppressLineNumbers/>
        <w:suppressAutoHyphens/>
        <w:adjustRightInd w:val="0"/>
        <w:snapToGrid w:val="0"/>
        <w:rPr>
          <w:rFonts w:ascii="Arial" w:hAnsi="Arial" w:cs="Arial"/>
          <w:b/>
          <w:bCs/>
          <w:color w:val="000000"/>
          <w:sz w:val="22"/>
          <w:szCs w:val="22"/>
        </w:rPr>
      </w:pPr>
      <w:r>
        <w:rPr>
          <w:rFonts w:ascii="Arial" w:hAnsi="Arial" w:cs="Arial"/>
          <w:b/>
          <w:bCs/>
          <w:color w:val="000000"/>
          <w:sz w:val="22"/>
          <w:szCs w:val="22"/>
        </w:rPr>
        <w:t>Analyse des rapports nationaux et mondiaux pertinents</w:t>
      </w:r>
    </w:p>
    <w:p w14:paraId="122E4032" w14:textId="77777777" w:rsidR="00974917" w:rsidRPr="00B133FF" w:rsidRDefault="00974917" w:rsidP="0065103C">
      <w:pPr>
        <w:suppressLineNumbers/>
        <w:suppressAutoHyphens/>
        <w:adjustRightInd w:val="0"/>
        <w:snapToGrid w:val="0"/>
        <w:ind w:left="720"/>
        <w:rPr>
          <w:rFonts w:ascii="Arial" w:hAnsi="Arial" w:cs="Arial"/>
          <w:b/>
          <w:bCs/>
          <w:color w:val="000000"/>
          <w:sz w:val="22"/>
          <w:szCs w:val="22"/>
        </w:rPr>
      </w:pPr>
    </w:p>
    <w:p w14:paraId="13618041" w14:textId="77777777" w:rsidR="00974917" w:rsidRPr="00B133FF" w:rsidRDefault="00974917" w:rsidP="0065103C">
      <w:pPr>
        <w:pStyle w:val="ListParagraph"/>
        <w:numPr>
          <w:ilvl w:val="1"/>
          <w:numId w:val="17"/>
        </w:numPr>
        <w:suppressLineNumbers/>
        <w:suppressAutoHyphens/>
        <w:adjustRightInd w:val="0"/>
        <w:snapToGrid w:val="0"/>
        <w:ind w:left="1134" w:firstLine="0"/>
        <w:rPr>
          <w:rFonts w:ascii="Arial" w:hAnsi="Arial" w:cs="Arial"/>
          <w:sz w:val="22"/>
          <w:szCs w:val="22"/>
          <w:u w:val="single"/>
        </w:rPr>
      </w:pPr>
      <w:r>
        <w:rPr>
          <w:rFonts w:ascii="Arial" w:hAnsi="Arial" w:cs="Arial"/>
          <w:sz w:val="22"/>
          <w:szCs w:val="22"/>
          <w:u w:val="single"/>
        </w:rPr>
        <w:t>Stratégies et plans d’action nationaux pour la diversité biologique (SPANB)</w:t>
      </w:r>
    </w:p>
    <w:p w14:paraId="1E81F909" w14:textId="77777777" w:rsidR="00974917" w:rsidRPr="00B133FF" w:rsidRDefault="00974917" w:rsidP="0065103C">
      <w:pPr>
        <w:pStyle w:val="Default"/>
        <w:suppressLineNumbers/>
        <w:suppressAutoHyphens/>
        <w:adjustRightInd w:val="0"/>
        <w:snapToGrid w:val="0"/>
        <w:rPr>
          <w:rFonts w:ascii="Arial" w:hAnsi="Arial" w:cs="Arial"/>
          <w:sz w:val="22"/>
          <w:szCs w:val="22"/>
        </w:rPr>
      </w:pPr>
    </w:p>
    <w:p w14:paraId="7B3B8351" w14:textId="77777777"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rPr>
        <w:t>Conformément à l'article 6 de la CDB et aux objectifs de la Convention, les Parties élaborent des stratégies, plans ou programmes nationaux en faveur de la conservation et de l'utilisation durable de la diversité biologique. L'équipe d'experts a examiné les SPANB soumis par les Parties jusqu'en avril 2020 afin d'y trouver des informations financières pertinentes sur les implications financières du plan.</w:t>
      </w:r>
    </w:p>
    <w:p w14:paraId="3529AB58" w14:textId="77777777"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rPr>
        <w:br/>
        <w:t>Dans le contexte du Cadre mondial de la biodiversité pour l'après-2020, la Conférence des Parties à la Convention sur la diversité biologique, à sa quatorzième réunion, en novembre 2018, a invité « les Parties et les autres gouvernements à envisager d'élaborer, (...) des engagements en faveur de la biodiversité qui contribuent à la réalisation des trois objectifs de la Convention, renforcent les stratégies et plans d’action nationaux pour la diversité biologique, facilitent la réalisation des Objectifs d’Aichi pour la biodiversité et contribuent à un cadre mondial efficace pour la biodiversité après 2020, (...) ».</w:t>
      </w:r>
    </w:p>
    <w:p w14:paraId="1A9F1E9F" w14:textId="77777777" w:rsidR="00974917" w:rsidRPr="00B133FF" w:rsidRDefault="00974917" w:rsidP="0065103C">
      <w:pPr>
        <w:pStyle w:val="Default"/>
        <w:suppressLineNumbers/>
        <w:suppressAutoHyphens/>
        <w:adjustRightInd w:val="0"/>
        <w:snapToGrid w:val="0"/>
        <w:ind w:left="1134"/>
        <w:rPr>
          <w:rFonts w:ascii="Arial" w:hAnsi="Arial" w:cs="Arial"/>
          <w:sz w:val="22"/>
          <w:szCs w:val="22"/>
        </w:rPr>
      </w:pPr>
    </w:p>
    <w:p w14:paraId="65667075" w14:textId="77777777"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rPr>
        <w:t xml:space="preserve">À la quatorzième réunion de la Conférence des Parties en novembre 2018, une mise à jour des SPANB a été présentée (CBD/COP/14/5/Add.1) par la Secrétaire exécutive. </w:t>
      </w:r>
    </w:p>
    <w:p w14:paraId="25F52946" w14:textId="77777777" w:rsidR="00974917" w:rsidRPr="00B133FF" w:rsidRDefault="00974917" w:rsidP="0065103C">
      <w:pPr>
        <w:pStyle w:val="Default"/>
        <w:suppressLineNumbers/>
        <w:suppressAutoHyphens/>
        <w:adjustRightInd w:val="0"/>
        <w:snapToGrid w:val="0"/>
        <w:ind w:left="1134"/>
        <w:rPr>
          <w:rFonts w:ascii="Arial" w:hAnsi="Arial" w:cs="Arial"/>
          <w:sz w:val="22"/>
          <w:szCs w:val="22"/>
        </w:rPr>
      </w:pPr>
    </w:p>
    <w:p w14:paraId="493D2411" w14:textId="1A952548" w:rsidR="00974917" w:rsidRPr="00B133FF" w:rsidRDefault="00974917" w:rsidP="0065103C">
      <w:pPr>
        <w:suppressLineNumbers/>
        <w:suppressAutoHyphens/>
        <w:adjustRightInd w:val="0"/>
        <w:snapToGrid w:val="0"/>
        <w:ind w:left="1134"/>
        <w:rPr>
          <w:rFonts w:ascii="Arial" w:hAnsi="Arial" w:cs="Arial"/>
          <w:b/>
          <w:bCs/>
          <w:sz w:val="22"/>
          <w:szCs w:val="22"/>
        </w:rPr>
      </w:pPr>
      <w:r>
        <w:rPr>
          <w:rFonts w:ascii="Arial" w:hAnsi="Arial" w:cs="Arial"/>
          <w:sz w:val="22"/>
          <w:szCs w:val="22"/>
        </w:rPr>
        <w:t xml:space="preserve">Sur les 143 pays bénéficiaires du FEM, 58 % des 12 pays européens ont communiqué un certain nombre de données financières dans leurs SPANB ; </w:t>
      </w:r>
      <w:r w:rsidRPr="00454381">
        <w:rPr>
          <w:rFonts w:ascii="Arial" w:hAnsi="Arial" w:cs="Arial"/>
          <w:sz w:val="22"/>
          <w:szCs w:val="22"/>
        </w:rPr>
        <w:t>68 % des 53 pays africains éligibles</w:t>
      </w:r>
      <w:r w:rsidR="00454381" w:rsidRPr="00454381">
        <w:rPr>
          <w:rFonts w:ascii="Arial" w:hAnsi="Arial" w:cs="Arial"/>
          <w:sz w:val="22"/>
          <w:szCs w:val="22"/>
        </w:rPr>
        <w:t> ;</w:t>
      </w:r>
      <w:r w:rsidRPr="00454381">
        <w:rPr>
          <w:rFonts w:ascii="Arial" w:hAnsi="Arial" w:cs="Arial"/>
          <w:sz w:val="22"/>
          <w:szCs w:val="22"/>
        </w:rPr>
        <w:t xml:space="preserve"> 55 % des 33 pays d'Amérique latine et des Caraïbes éligibles et 38 % des 45 pays d'Asie/Pacifique.</w:t>
      </w:r>
      <w:r>
        <w:rPr>
          <w:rFonts w:ascii="Arial" w:hAnsi="Arial" w:cs="Arial"/>
          <w:sz w:val="22"/>
          <w:szCs w:val="22"/>
        </w:rPr>
        <w:t xml:space="preserve"> Les données financières figurant </w:t>
      </w:r>
      <w:r>
        <w:rPr>
          <w:rFonts w:ascii="Arial" w:hAnsi="Arial" w:cs="Arial"/>
          <w:sz w:val="22"/>
          <w:szCs w:val="22"/>
        </w:rPr>
        <w:lastRenderedPageBreak/>
        <w:t>dans les SPANB indiquent le montant des fonds estimés pour réaliser les objectifs et les activités définis dans le SPANB. Lorsque les SPANB sont alignés sur les Objectifs d'Aichi, les besoins de financement estimés s'appliquent également à la réalisation des objectifs d'Aichi. Toutefois, nombreux sont les cas dans lesquels les SPANB vont au-delà des Objectifs d'Aichi et, par conséquent, les besoins de financement estimés reflètent également les priorités plus larges du pays en matière de biodiversité.</w:t>
      </w:r>
    </w:p>
    <w:p w14:paraId="499D7E83" w14:textId="77777777" w:rsidR="00974917" w:rsidRPr="00B133FF" w:rsidRDefault="00974917" w:rsidP="0065103C">
      <w:pPr>
        <w:pStyle w:val="Default"/>
        <w:suppressLineNumbers/>
        <w:suppressAutoHyphens/>
        <w:adjustRightInd w:val="0"/>
        <w:snapToGrid w:val="0"/>
        <w:ind w:left="1134"/>
        <w:rPr>
          <w:rFonts w:ascii="Arial" w:hAnsi="Arial" w:cs="Arial"/>
          <w:color w:val="auto"/>
          <w:sz w:val="22"/>
          <w:szCs w:val="22"/>
        </w:rPr>
      </w:pPr>
    </w:p>
    <w:p w14:paraId="3A0B355E" w14:textId="49995F15"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rPr>
        <w:t>L'équipe d'experts n'a pas pu exploiter les données des SPANB pour extrapoler les besoins de financement, car les SPANB qui comprenaient des informations financières ont fourni un chiffre global pour leur plan, généralement jusqu'en 2020, avec quelques exceptions concernant l'après-2020. Les SPANB couvraient différentes périodes et, en général, les informations financières n'étaient pas ventilées en fonction de la source.</w:t>
      </w:r>
    </w:p>
    <w:p w14:paraId="5B0B1F74" w14:textId="77777777" w:rsidR="00974917" w:rsidRPr="00B133FF" w:rsidRDefault="00974917" w:rsidP="0065103C">
      <w:pPr>
        <w:pStyle w:val="Default"/>
        <w:suppressLineNumbers/>
        <w:suppressAutoHyphens/>
        <w:adjustRightInd w:val="0"/>
        <w:snapToGrid w:val="0"/>
        <w:ind w:left="1134"/>
        <w:rPr>
          <w:rFonts w:ascii="Arial" w:hAnsi="Arial" w:cs="Arial"/>
          <w:color w:val="auto"/>
          <w:sz w:val="22"/>
          <w:szCs w:val="22"/>
        </w:rPr>
      </w:pPr>
    </w:p>
    <w:p w14:paraId="54C289D8" w14:textId="77777777"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rPr>
        <w:t>Néanmoins, l'équipe d'experts a pu extraire, pour certains pays, une estimation annuelle pour le SPANB qui a pu être comparée à l'estimation annuelle des besoins résultant de la réponse au questionnaire et de l'allocation annuelle du FEM-7. Cette comparaison peut fournir un aperçu de la cohérence du financement à ce jour.</w:t>
      </w:r>
    </w:p>
    <w:p w14:paraId="462F021A" w14:textId="77777777" w:rsidR="00974917" w:rsidRPr="00B133FF" w:rsidRDefault="00974917" w:rsidP="0065103C">
      <w:pPr>
        <w:suppressLineNumbers/>
        <w:suppressAutoHyphens/>
        <w:adjustRightInd w:val="0"/>
        <w:snapToGrid w:val="0"/>
        <w:rPr>
          <w:rFonts w:ascii="Arial" w:hAnsi="Arial" w:cs="Arial"/>
          <w:b/>
          <w:bCs/>
          <w:sz w:val="22"/>
          <w:szCs w:val="22"/>
          <w:lang w:eastAsia="en-GB"/>
        </w:rPr>
      </w:pPr>
    </w:p>
    <w:p w14:paraId="14708919" w14:textId="77777777" w:rsidR="00974917" w:rsidRPr="0065103C" w:rsidRDefault="00974917" w:rsidP="0065103C">
      <w:pPr>
        <w:pStyle w:val="ListParagraph"/>
        <w:numPr>
          <w:ilvl w:val="1"/>
          <w:numId w:val="17"/>
        </w:numPr>
        <w:suppressLineNumbers/>
        <w:suppressAutoHyphens/>
        <w:adjustRightInd w:val="0"/>
        <w:snapToGrid w:val="0"/>
        <w:ind w:left="1134" w:firstLine="0"/>
        <w:rPr>
          <w:rFonts w:ascii="Arial" w:hAnsi="Arial" w:cs="Arial"/>
          <w:sz w:val="22"/>
          <w:szCs w:val="22"/>
          <w:u w:val="single"/>
          <w:lang w:val="en-GB" w:eastAsia="en-GB"/>
        </w:rPr>
      </w:pPr>
      <w:r>
        <w:rPr>
          <w:rFonts w:ascii="Arial" w:hAnsi="Arial" w:cs="Arial"/>
          <w:sz w:val="22"/>
          <w:szCs w:val="22"/>
          <w:u w:val="single"/>
        </w:rPr>
        <w:t>Rapports nationaux</w:t>
      </w:r>
    </w:p>
    <w:p w14:paraId="3C483BE7" w14:textId="77777777" w:rsidR="00974917" w:rsidRPr="0065103C" w:rsidRDefault="00974917" w:rsidP="0065103C">
      <w:pPr>
        <w:pStyle w:val="ListParagraph"/>
        <w:suppressLineNumbers/>
        <w:suppressAutoHyphens/>
        <w:adjustRightInd w:val="0"/>
        <w:snapToGrid w:val="0"/>
        <w:ind w:left="1800"/>
        <w:rPr>
          <w:rFonts w:ascii="Arial" w:hAnsi="Arial" w:cs="Arial"/>
          <w:b/>
          <w:bCs/>
          <w:sz w:val="22"/>
          <w:szCs w:val="22"/>
          <w:lang w:val="en-GB" w:eastAsia="en-GB"/>
        </w:rPr>
      </w:pPr>
    </w:p>
    <w:p w14:paraId="3A2EF31F" w14:textId="08D0049C" w:rsidR="00974917" w:rsidRPr="00B133FF" w:rsidRDefault="00974917" w:rsidP="0065103C">
      <w:pPr>
        <w:suppressLineNumbers/>
        <w:suppressAutoHyphens/>
        <w:adjustRightInd w:val="0"/>
        <w:snapToGrid w:val="0"/>
        <w:ind w:left="1134"/>
        <w:rPr>
          <w:rFonts w:ascii="Arial" w:hAnsi="Arial" w:cs="Arial"/>
          <w:sz w:val="22"/>
          <w:szCs w:val="22"/>
          <w:lang w:eastAsia="en-GB"/>
        </w:rPr>
      </w:pPr>
      <w:r>
        <w:rPr>
          <w:rFonts w:ascii="Arial" w:hAnsi="Arial" w:cs="Arial"/>
          <w:sz w:val="22"/>
          <w:szCs w:val="22"/>
        </w:rPr>
        <w:t>L'article 26 de la Convention invite les Parties à présenter, sous la forme d'un rapport national, des informations sur les mesures qu'elles ont mises en œuvre pour réaliser les objectifs de la Convention. Les rapports nationaux doivent être présentés tous les 4 ans. Conformément à la décision XIII/27, les sixièmes rapports nationaux devaient être remis le 31 décembre 2018. En août 2020, 92 sixièmes rapports nationaux au total avaient été reçus par le Secrétariat de la CDB et étaient disponibles en ligne.</w:t>
      </w:r>
    </w:p>
    <w:p w14:paraId="3631BCD0" w14:textId="77777777" w:rsidR="00974917" w:rsidRPr="00B133FF" w:rsidRDefault="00974917" w:rsidP="0065103C">
      <w:pPr>
        <w:suppressLineNumbers/>
        <w:suppressAutoHyphens/>
        <w:adjustRightInd w:val="0"/>
        <w:snapToGrid w:val="0"/>
        <w:ind w:left="1134"/>
        <w:rPr>
          <w:rFonts w:ascii="Arial" w:hAnsi="Arial" w:cs="Arial"/>
          <w:sz w:val="22"/>
          <w:szCs w:val="22"/>
          <w:lang w:eastAsia="en-GB"/>
        </w:rPr>
      </w:pPr>
    </w:p>
    <w:p w14:paraId="2D253528" w14:textId="77777777" w:rsidR="00974917" w:rsidRPr="00B133FF" w:rsidRDefault="00974917" w:rsidP="0065103C">
      <w:pPr>
        <w:suppressLineNumbers/>
        <w:suppressAutoHyphens/>
        <w:adjustRightInd w:val="0"/>
        <w:snapToGrid w:val="0"/>
        <w:ind w:left="1134"/>
        <w:rPr>
          <w:rFonts w:ascii="Arial" w:hAnsi="Arial" w:cs="Arial"/>
          <w:sz w:val="22"/>
          <w:szCs w:val="22"/>
          <w:lang w:eastAsia="en-GB"/>
        </w:rPr>
      </w:pPr>
      <w:r>
        <w:rPr>
          <w:rFonts w:ascii="Arial" w:hAnsi="Arial" w:cs="Arial"/>
          <w:sz w:val="22"/>
          <w:szCs w:val="22"/>
        </w:rPr>
        <w:t>L'équipe d'experts a examiné l'ensemble des rapports nationaux disponibles sur le site Web de la CDB afin de déterminer les dépenses nationales moyennes.</w:t>
      </w:r>
    </w:p>
    <w:p w14:paraId="0774FED9" w14:textId="77777777" w:rsidR="00974917" w:rsidRPr="00B133FF" w:rsidRDefault="00974917" w:rsidP="0065103C">
      <w:pPr>
        <w:suppressLineNumbers/>
        <w:suppressAutoHyphens/>
        <w:adjustRightInd w:val="0"/>
        <w:snapToGrid w:val="0"/>
        <w:ind w:left="1134"/>
        <w:rPr>
          <w:rFonts w:ascii="Arial" w:hAnsi="Arial" w:cs="Arial"/>
          <w:sz w:val="22"/>
          <w:szCs w:val="22"/>
          <w:lang w:eastAsia="en-GB"/>
        </w:rPr>
      </w:pPr>
    </w:p>
    <w:p w14:paraId="2E6190F7" w14:textId="77777777" w:rsidR="00974917" w:rsidRPr="00B133FF" w:rsidRDefault="00974917" w:rsidP="0065103C">
      <w:pPr>
        <w:suppressLineNumbers/>
        <w:suppressAutoHyphens/>
        <w:adjustRightInd w:val="0"/>
        <w:snapToGrid w:val="0"/>
        <w:ind w:left="1134"/>
        <w:rPr>
          <w:rFonts w:ascii="Arial" w:hAnsi="Arial" w:cs="Arial"/>
          <w:sz w:val="22"/>
          <w:szCs w:val="22"/>
          <w:lang w:eastAsia="en-GB"/>
        </w:rPr>
      </w:pPr>
      <w:r>
        <w:rPr>
          <w:rFonts w:ascii="Arial" w:hAnsi="Arial" w:cs="Arial"/>
          <w:sz w:val="22"/>
          <w:szCs w:val="22"/>
        </w:rPr>
        <w:t>Sur les 12 pays européens éligibles, 58 % avaient communiqué un certain nombre de données financières dans leurs derniers rapports nationaux. De même, 43 % des 53 pays africains éligibles, 42 % des 33 pays éligibles d'Amérique latine et des Caraïbes et 27 % des 45 pays de la région Asie-Pacifique ont fourni certaines données financières.</w:t>
      </w:r>
    </w:p>
    <w:p w14:paraId="70032E2B" w14:textId="77777777" w:rsidR="00974917" w:rsidRPr="00B133FF" w:rsidRDefault="00974917" w:rsidP="0065103C">
      <w:pPr>
        <w:suppressLineNumbers/>
        <w:suppressAutoHyphens/>
        <w:adjustRightInd w:val="0"/>
        <w:snapToGrid w:val="0"/>
        <w:ind w:left="1134"/>
        <w:rPr>
          <w:rFonts w:ascii="Arial" w:hAnsi="Arial" w:cs="Arial"/>
          <w:sz w:val="22"/>
          <w:szCs w:val="22"/>
          <w:lang w:eastAsia="en-GB"/>
        </w:rPr>
      </w:pPr>
    </w:p>
    <w:p w14:paraId="450F0AAD" w14:textId="77777777" w:rsidR="00974917" w:rsidRPr="00B133FF" w:rsidRDefault="00974917" w:rsidP="0065103C">
      <w:pPr>
        <w:suppressLineNumbers/>
        <w:suppressAutoHyphens/>
        <w:adjustRightInd w:val="0"/>
        <w:snapToGrid w:val="0"/>
        <w:ind w:left="1134"/>
        <w:rPr>
          <w:rFonts w:ascii="Arial" w:hAnsi="Arial" w:cs="Arial"/>
          <w:sz w:val="22"/>
          <w:szCs w:val="22"/>
          <w:lang w:eastAsia="en-GB"/>
        </w:rPr>
      </w:pPr>
      <w:r>
        <w:rPr>
          <w:rFonts w:ascii="Arial" w:hAnsi="Arial" w:cs="Arial"/>
          <w:color w:val="000000"/>
          <w:sz w:val="22"/>
          <w:szCs w:val="22"/>
        </w:rPr>
        <w:t xml:space="preserve">Les données financières fournies dans les rapports financiers nationaux présentent le financement réel assuré pour la mise en œuvre du SPANB. Bien que ce financement ne soit ventilé que par sources nationales ou internationales, il permet de déterminer les fonds réellement mobilisés. </w:t>
      </w:r>
      <w:r>
        <w:rPr>
          <w:rFonts w:ascii="Arial" w:hAnsi="Arial" w:cs="Arial"/>
          <w:sz w:val="22"/>
          <w:szCs w:val="22"/>
        </w:rPr>
        <w:t xml:space="preserve">L'équipe d'experts pourrait exploiter ces données financières pour établir une comparaison avec les fonds alloués par le FEM-7 dans le cadre du système STAR, et ainsi obtenir un taux moyen qui pourrait être utilisé pour des extrapolations concernant le FEM-8. </w:t>
      </w:r>
      <w:r>
        <w:rPr>
          <w:rFonts w:ascii="Arial" w:hAnsi="Arial" w:cs="Arial"/>
          <w:color w:val="000000"/>
          <w:sz w:val="22"/>
          <w:szCs w:val="22"/>
        </w:rPr>
        <w:t>Néanmoins, le fait que moins de la moitié des Parties aient fourni des données financières dans leurs rapports nationaux limite la valeur de ces informations.</w:t>
      </w:r>
    </w:p>
    <w:p w14:paraId="6D196DC8" w14:textId="77777777" w:rsidR="00974917" w:rsidRPr="00B133FF" w:rsidRDefault="00974917" w:rsidP="0065103C">
      <w:pPr>
        <w:suppressLineNumbers/>
        <w:suppressAutoHyphens/>
        <w:adjustRightInd w:val="0"/>
        <w:snapToGrid w:val="0"/>
        <w:rPr>
          <w:rFonts w:ascii="Arial" w:hAnsi="Arial" w:cs="Arial"/>
          <w:sz w:val="22"/>
          <w:szCs w:val="22"/>
          <w:lang w:eastAsia="en-GB"/>
        </w:rPr>
      </w:pPr>
    </w:p>
    <w:p w14:paraId="039570D2" w14:textId="77777777"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rPr>
        <w:t xml:space="preserve">En ce qui concerne le Protocole de Cartagena sur la prévention des risques biotechnologiques à la Convention sur la diversité biologique, l'équipe d'experts a examiné les données fournies par les pays dans le cadre du quatrième rapport national. La question 167 du rapport national est liée à l'article 28 sur les mécanismes de financement et les ressources financières, qui demande aux pays </w:t>
      </w:r>
      <w:r>
        <w:rPr>
          <w:rFonts w:ascii="Arial" w:hAnsi="Arial" w:cs="Arial"/>
          <w:sz w:val="22"/>
          <w:szCs w:val="22"/>
        </w:rPr>
        <w:lastRenderedPageBreak/>
        <w:t>d'indiquer le montant des fonds qu'ils ont mobilisés en appui à la mise en œuvre du Protocole de Cartagena au-delà de l'allocation budgétaire nationale ordinaire au cours de la période de référence actuelle. Plus de 60 % des pays ont déclaré avoir mobilisé entre quelques milliers de dollars et 500 000 dollars ou plus au cours de la période de référence. Étant donné que la question 167 se limite aux efforts actuels déployés par les pays pour la mobilisation de ressources, les rapports nationaux au titre du Protocole ne fournissent aucune indication sur l'estimation des besoins de financement par le FEM à l'avenir.</w:t>
      </w:r>
    </w:p>
    <w:p w14:paraId="1715CFC7" w14:textId="77777777" w:rsidR="00974917" w:rsidRPr="00B133FF" w:rsidRDefault="00974917" w:rsidP="0065103C">
      <w:pPr>
        <w:suppressLineNumbers/>
        <w:suppressAutoHyphens/>
        <w:adjustRightInd w:val="0"/>
        <w:snapToGrid w:val="0"/>
        <w:ind w:left="1134"/>
        <w:rPr>
          <w:rFonts w:ascii="Arial" w:hAnsi="Arial" w:cs="Arial"/>
          <w:sz w:val="22"/>
          <w:szCs w:val="22"/>
        </w:rPr>
      </w:pPr>
    </w:p>
    <w:p w14:paraId="3AD0D491" w14:textId="77777777" w:rsidR="00974917" w:rsidRPr="00B133FF" w:rsidRDefault="00974917" w:rsidP="0065103C">
      <w:pPr>
        <w:suppressLineNumbers/>
        <w:suppressAutoHyphens/>
        <w:adjustRightInd w:val="0"/>
        <w:snapToGrid w:val="0"/>
        <w:ind w:left="1134"/>
        <w:rPr>
          <w:rFonts w:ascii="Arial" w:hAnsi="Arial" w:cs="Arial"/>
          <w:sz w:val="22"/>
          <w:szCs w:val="22"/>
          <w:lang w:eastAsia="en-GB"/>
        </w:rPr>
      </w:pPr>
      <w:r>
        <w:rPr>
          <w:rFonts w:ascii="Arial" w:hAnsi="Arial" w:cs="Arial"/>
          <w:sz w:val="22"/>
          <w:szCs w:val="22"/>
        </w:rPr>
        <w:t xml:space="preserve">De même pour le Protocole de Nagoya sur l'accès aux ressources génétiques et le partage juste et équitable des avantages découlant de leur utilisation à la Convention sur la diversité biologique, l'équipe d'experts a examiné les questions 62.1 </w:t>
      </w:r>
      <w:r>
        <w:rPr>
          <w:rFonts w:ascii="Arial" w:hAnsi="Arial" w:cs="Arial"/>
          <w:color w:val="333333"/>
          <w:sz w:val="22"/>
          <w:szCs w:val="22"/>
        </w:rPr>
        <w:t>(Votre pays a-t-il mis des ressources financières à la disposition d'autres Parties ou reçu des ressources financières d'autres Parties ou d'institutions financières aux fins de la mise en œuvre du Protocole, comme prévu à l'article 25 ?)</w:t>
      </w:r>
      <w:r>
        <w:rPr>
          <w:rFonts w:ascii="Arial" w:hAnsi="Arial" w:cs="Arial"/>
          <w:sz w:val="22"/>
          <w:szCs w:val="22"/>
        </w:rPr>
        <w:t xml:space="preserve"> et 62.3 </w:t>
      </w:r>
      <w:r>
        <w:rPr>
          <w:rFonts w:ascii="Arial" w:hAnsi="Arial" w:cs="Arial"/>
          <w:color w:val="333333"/>
          <w:sz w:val="22"/>
          <w:szCs w:val="22"/>
        </w:rPr>
        <w:t>(informations sur l'état des fonds mobilisés en appui à la mise en œuvre du Protocole)</w:t>
      </w:r>
      <w:r>
        <w:rPr>
          <w:rFonts w:ascii="Arial" w:hAnsi="Arial" w:cs="Arial"/>
          <w:sz w:val="22"/>
          <w:szCs w:val="22"/>
        </w:rPr>
        <w:t xml:space="preserve"> du rapport national provisoire sur la mise en œuvre du Protocole de Nagoya. Ces informations ont été fournies par un nombre limité de pays et, en raison des questions liées aux efforts actuels de mobilisation des ressources, les rapports nationaux ne fournissent aucune donnée sur les besoins de financement futurs provenant du FEM pour la période 2022-2026.</w:t>
      </w:r>
    </w:p>
    <w:p w14:paraId="78779F41" w14:textId="77777777" w:rsidR="00974917" w:rsidRPr="00B133FF" w:rsidRDefault="00974917" w:rsidP="0065103C">
      <w:pPr>
        <w:suppressLineNumbers/>
        <w:suppressAutoHyphens/>
        <w:adjustRightInd w:val="0"/>
        <w:snapToGrid w:val="0"/>
        <w:rPr>
          <w:rFonts w:ascii="Arial" w:hAnsi="Arial" w:cs="Arial"/>
          <w:color w:val="000000"/>
          <w:sz w:val="22"/>
          <w:szCs w:val="22"/>
        </w:rPr>
      </w:pPr>
      <w:r w:rsidRPr="00B133FF">
        <w:rPr>
          <w:rFonts w:ascii="Arial" w:hAnsi="Arial" w:cs="Arial"/>
          <w:color w:val="000000"/>
          <w:sz w:val="22"/>
          <w:szCs w:val="22"/>
        </w:rPr>
        <w:t xml:space="preserve"> </w:t>
      </w:r>
    </w:p>
    <w:p w14:paraId="202585FD" w14:textId="77777777" w:rsidR="00974917" w:rsidRPr="00B133FF" w:rsidRDefault="00974917" w:rsidP="0065103C">
      <w:pPr>
        <w:pStyle w:val="ListParagraph"/>
        <w:numPr>
          <w:ilvl w:val="1"/>
          <w:numId w:val="17"/>
        </w:numPr>
        <w:suppressLineNumbers/>
        <w:suppressAutoHyphens/>
        <w:adjustRightInd w:val="0"/>
        <w:snapToGrid w:val="0"/>
        <w:ind w:left="1134" w:firstLine="0"/>
        <w:rPr>
          <w:rFonts w:ascii="Arial" w:hAnsi="Arial" w:cs="Arial"/>
          <w:sz w:val="22"/>
          <w:szCs w:val="22"/>
          <w:u w:val="single"/>
          <w:lang w:eastAsia="en-GB"/>
        </w:rPr>
      </w:pPr>
      <w:r>
        <w:rPr>
          <w:rFonts w:ascii="Arial" w:hAnsi="Arial" w:cs="Arial"/>
          <w:sz w:val="22"/>
          <w:szCs w:val="22"/>
          <w:u w:val="single"/>
        </w:rPr>
        <w:t xml:space="preserve">Cadre de présentation de rapports financiers </w:t>
      </w:r>
    </w:p>
    <w:p w14:paraId="5A91FAAC" w14:textId="77777777" w:rsidR="00974917" w:rsidRPr="00B133FF" w:rsidRDefault="00974917" w:rsidP="0065103C">
      <w:pPr>
        <w:suppressLineNumbers/>
        <w:suppressAutoHyphens/>
        <w:adjustRightInd w:val="0"/>
        <w:snapToGrid w:val="0"/>
        <w:ind w:left="1134"/>
        <w:rPr>
          <w:rFonts w:ascii="Arial" w:hAnsi="Arial" w:cs="Arial"/>
          <w:sz w:val="22"/>
          <w:szCs w:val="22"/>
          <w:lang w:eastAsia="en-GB"/>
        </w:rPr>
      </w:pPr>
    </w:p>
    <w:p w14:paraId="2D4A886E" w14:textId="77777777" w:rsidR="00974917" w:rsidRPr="00B133FF" w:rsidRDefault="00974917" w:rsidP="0065103C">
      <w:pPr>
        <w:suppressLineNumbers/>
        <w:shd w:val="clear" w:color="auto" w:fill="FFFFFF"/>
        <w:suppressAutoHyphens/>
        <w:adjustRightInd w:val="0"/>
        <w:snapToGrid w:val="0"/>
        <w:ind w:left="1134"/>
        <w:outlineLvl w:val="3"/>
        <w:rPr>
          <w:rFonts w:ascii="Arial" w:hAnsi="Arial" w:cs="Arial"/>
          <w:sz w:val="22"/>
          <w:szCs w:val="22"/>
          <w:lang w:eastAsia="en-GB"/>
        </w:rPr>
      </w:pPr>
      <w:r>
        <w:rPr>
          <w:rFonts w:ascii="Arial" w:hAnsi="Arial" w:cs="Arial"/>
          <w:sz w:val="22"/>
          <w:szCs w:val="22"/>
        </w:rPr>
        <w:t xml:space="preserve">L'équipe d'experts a examiné les rapports publiés au titre du </w:t>
      </w:r>
      <w:r>
        <w:rPr>
          <w:rFonts w:ascii="Arial" w:hAnsi="Arial" w:cs="Arial"/>
          <w:i/>
          <w:iCs/>
          <w:color w:val="333333"/>
          <w:sz w:val="22"/>
          <w:szCs w:val="22"/>
        </w:rPr>
        <w:t>Cadre de présentation de rapports financiers : Rapports sur les progrès accomplis dans la réalisation des objectifs définis pour 2020</w:t>
      </w:r>
      <w:r>
        <w:rPr>
          <w:rFonts w:ascii="Arial" w:hAnsi="Arial" w:cs="Arial"/>
          <w:sz w:val="22"/>
          <w:szCs w:val="22"/>
        </w:rPr>
        <w:t xml:space="preserve"> qui étaient disponibles sur le Centre d'échange de la CDB jusqu'en mai 2020. Au total, 48 rapports de pays éligibles au FEM ont été soumis avec des données, jusqu'en 2015, sur les dépenses nationales, y compris les sources de financement, pour réaliser les Objectifs d’Aichi pour la biodiversité pour 2020.</w:t>
      </w:r>
    </w:p>
    <w:p w14:paraId="1F60A5AD" w14:textId="77777777" w:rsidR="00974917" w:rsidRPr="00B133FF" w:rsidRDefault="00974917" w:rsidP="0065103C">
      <w:pPr>
        <w:suppressLineNumbers/>
        <w:shd w:val="clear" w:color="auto" w:fill="FFFFFF"/>
        <w:suppressAutoHyphens/>
        <w:adjustRightInd w:val="0"/>
        <w:snapToGrid w:val="0"/>
        <w:ind w:left="1134"/>
        <w:outlineLvl w:val="3"/>
        <w:rPr>
          <w:rFonts w:ascii="Arial" w:hAnsi="Arial" w:cs="Arial"/>
          <w:sz w:val="22"/>
          <w:szCs w:val="22"/>
          <w:lang w:eastAsia="en-GB"/>
        </w:rPr>
      </w:pPr>
    </w:p>
    <w:p w14:paraId="59C09CC9" w14:textId="77777777" w:rsidR="00974917" w:rsidRPr="00B133FF" w:rsidRDefault="00974917" w:rsidP="0065103C">
      <w:pPr>
        <w:suppressLineNumbers/>
        <w:shd w:val="clear" w:color="auto" w:fill="FFFFFF"/>
        <w:suppressAutoHyphens/>
        <w:adjustRightInd w:val="0"/>
        <w:snapToGrid w:val="0"/>
        <w:ind w:left="1134"/>
        <w:outlineLvl w:val="3"/>
        <w:rPr>
          <w:rFonts w:ascii="Arial" w:hAnsi="Arial" w:cs="Arial"/>
          <w:color w:val="333333"/>
          <w:sz w:val="22"/>
          <w:szCs w:val="22"/>
          <w:lang w:eastAsia="en-CA"/>
        </w:rPr>
      </w:pPr>
      <w:r>
        <w:rPr>
          <w:rFonts w:ascii="Arial" w:hAnsi="Arial" w:cs="Arial"/>
          <w:sz w:val="22"/>
          <w:szCs w:val="22"/>
        </w:rPr>
        <w:t xml:space="preserve">Au total, 48 rapports de pays éligibles au FEM ont été soumis. En outre, 17 pays ont présenté des rapports financiers contenant des données jusqu'en 2020, dont quatre seulement provenaient de pays éligibles au FEM. </w:t>
      </w:r>
    </w:p>
    <w:p w14:paraId="4D4BBB09" w14:textId="77777777" w:rsidR="00974917" w:rsidRPr="00B133FF" w:rsidRDefault="00974917" w:rsidP="0065103C">
      <w:pPr>
        <w:suppressLineNumbers/>
        <w:suppressAutoHyphens/>
        <w:adjustRightInd w:val="0"/>
        <w:snapToGrid w:val="0"/>
        <w:ind w:left="1134"/>
        <w:rPr>
          <w:rFonts w:ascii="Arial" w:hAnsi="Arial" w:cs="Arial"/>
          <w:sz w:val="22"/>
          <w:szCs w:val="22"/>
          <w:lang w:eastAsia="en-GB"/>
        </w:rPr>
      </w:pPr>
    </w:p>
    <w:p w14:paraId="6D533750" w14:textId="77777777" w:rsidR="00974917" w:rsidRPr="00B133FF" w:rsidRDefault="00974917" w:rsidP="0065103C">
      <w:pPr>
        <w:suppressLineNumbers/>
        <w:suppressAutoHyphens/>
        <w:adjustRightInd w:val="0"/>
        <w:snapToGrid w:val="0"/>
        <w:ind w:left="1134"/>
        <w:rPr>
          <w:rFonts w:ascii="Arial" w:hAnsi="Arial" w:cs="Arial"/>
          <w:sz w:val="22"/>
          <w:szCs w:val="22"/>
          <w:lang w:eastAsia="en-GB"/>
        </w:rPr>
      </w:pPr>
      <w:r>
        <w:rPr>
          <w:rFonts w:ascii="Arial" w:hAnsi="Arial" w:cs="Arial"/>
          <w:sz w:val="22"/>
          <w:szCs w:val="22"/>
        </w:rPr>
        <w:t>Une comparaison des dépenses nationales annuelles déclarées pour une sélection de 48 pays d'Asie-Pacifique, d'Europe, d'Afrique et d'Amérique latine et des Caraïbes qui avaient fourni des informations financières jusqu'en 2015 par rapport à une allocation annualisée du FEM-7 dans le cadre du système STAR (au titre de la seule allocation pour la biodiversité) montre que pour une majorité (65 %, soit 31 sur 48), l'allocation annualisée du FEM dans le cadre du système STAR représentait entre 1 et 10 % de leurs propres dépenses nationales, tandis que pour 23 % (11 sur 48), elle représentait entre 11 et 50 % de leurs propres dépenses nationales et pour 13 % (6 sur 48), elle représentait plus de 51 % de leurs propres dépenses nationales.</w:t>
      </w:r>
    </w:p>
    <w:p w14:paraId="2C7DD93F" w14:textId="77777777" w:rsidR="00974917" w:rsidRPr="00B133FF" w:rsidRDefault="00974917" w:rsidP="0065103C">
      <w:pPr>
        <w:suppressLineNumbers/>
        <w:suppressAutoHyphens/>
        <w:adjustRightInd w:val="0"/>
        <w:snapToGrid w:val="0"/>
        <w:ind w:left="1134"/>
        <w:rPr>
          <w:rFonts w:ascii="Arial" w:hAnsi="Arial" w:cs="Arial"/>
          <w:sz w:val="22"/>
          <w:szCs w:val="22"/>
          <w:lang w:eastAsia="en-GB"/>
        </w:rPr>
      </w:pPr>
    </w:p>
    <w:p w14:paraId="73040FFD" w14:textId="1300E981" w:rsidR="00974917" w:rsidRPr="00B133FF" w:rsidRDefault="00974917" w:rsidP="0065103C">
      <w:pPr>
        <w:suppressLineNumbers/>
        <w:suppressAutoHyphens/>
        <w:adjustRightInd w:val="0"/>
        <w:snapToGrid w:val="0"/>
        <w:ind w:left="1134"/>
        <w:rPr>
          <w:rFonts w:ascii="Arial" w:hAnsi="Arial" w:cs="Arial"/>
          <w:sz w:val="22"/>
          <w:szCs w:val="22"/>
          <w:lang w:eastAsia="en-GB"/>
        </w:rPr>
      </w:pPr>
      <w:r>
        <w:rPr>
          <w:rFonts w:ascii="Arial" w:hAnsi="Arial" w:cs="Arial"/>
          <w:sz w:val="22"/>
          <w:szCs w:val="22"/>
        </w:rPr>
        <w:t xml:space="preserve">En ce qui concerne les rapports financiers jusqu'en 2020 inclus dans le Centre d'échange en ligne de la CDB, sur les </w:t>
      </w:r>
      <w:r>
        <w:rPr>
          <w:rFonts w:ascii="Arial" w:hAnsi="Arial" w:cs="Arial"/>
          <w:b/>
          <w:bCs/>
          <w:sz w:val="22"/>
          <w:szCs w:val="22"/>
        </w:rPr>
        <w:t>12</w:t>
      </w:r>
      <w:r>
        <w:rPr>
          <w:rFonts w:ascii="Arial" w:hAnsi="Arial" w:cs="Arial"/>
          <w:sz w:val="22"/>
          <w:szCs w:val="22"/>
        </w:rPr>
        <w:t xml:space="preserve"> pays européens éligibles, </w:t>
      </w:r>
      <w:r>
        <w:rPr>
          <w:rFonts w:ascii="Arial" w:hAnsi="Arial" w:cs="Arial"/>
          <w:b/>
          <w:bCs/>
          <w:sz w:val="22"/>
          <w:szCs w:val="22"/>
        </w:rPr>
        <w:t xml:space="preserve">33 % </w:t>
      </w:r>
      <w:r>
        <w:rPr>
          <w:rFonts w:ascii="Arial" w:hAnsi="Arial" w:cs="Arial"/>
          <w:sz w:val="22"/>
          <w:szCs w:val="22"/>
        </w:rPr>
        <w:t xml:space="preserve">avaient communiqué certaines données financières dans leurs derniers rapports nationaux ; </w:t>
      </w:r>
      <w:r>
        <w:rPr>
          <w:rFonts w:ascii="Arial" w:hAnsi="Arial" w:cs="Arial"/>
          <w:b/>
          <w:bCs/>
          <w:sz w:val="22"/>
          <w:szCs w:val="22"/>
        </w:rPr>
        <w:t>34 %</w:t>
      </w:r>
      <w:r>
        <w:rPr>
          <w:rFonts w:ascii="Arial" w:hAnsi="Arial" w:cs="Arial"/>
          <w:sz w:val="22"/>
          <w:szCs w:val="22"/>
        </w:rPr>
        <w:t xml:space="preserve"> des </w:t>
      </w:r>
      <w:r>
        <w:rPr>
          <w:rFonts w:ascii="Arial" w:hAnsi="Arial" w:cs="Arial"/>
          <w:b/>
          <w:bCs/>
          <w:sz w:val="22"/>
          <w:szCs w:val="22"/>
        </w:rPr>
        <w:t>53</w:t>
      </w:r>
      <w:r>
        <w:rPr>
          <w:rFonts w:ascii="Arial" w:hAnsi="Arial" w:cs="Arial"/>
          <w:sz w:val="22"/>
          <w:szCs w:val="22"/>
        </w:rPr>
        <w:t> pays africains éligibles</w:t>
      </w:r>
      <w:r w:rsidR="00454381">
        <w:rPr>
          <w:rFonts w:ascii="Arial" w:hAnsi="Arial" w:cs="Arial"/>
          <w:sz w:val="22"/>
          <w:szCs w:val="22"/>
        </w:rPr>
        <w:t> ;</w:t>
      </w:r>
      <w:r>
        <w:rPr>
          <w:rFonts w:ascii="Arial" w:hAnsi="Arial" w:cs="Arial"/>
          <w:sz w:val="22"/>
          <w:szCs w:val="22"/>
        </w:rPr>
        <w:t xml:space="preserve"> </w:t>
      </w:r>
      <w:r>
        <w:rPr>
          <w:rFonts w:ascii="Arial" w:hAnsi="Arial" w:cs="Arial"/>
          <w:b/>
          <w:bCs/>
          <w:sz w:val="22"/>
          <w:szCs w:val="22"/>
        </w:rPr>
        <w:t>45 %</w:t>
      </w:r>
      <w:r>
        <w:rPr>
          <w:rFonts w:ascii="Arial" w:hAnsi="Arial" w:cs="Arial"/>
          <w:sz w:val="22"/>
          <w:szCs w:val="22"/>
        </w:rPr>
        <w:t xml:space="preserve"> des </w:t>
      </w:r>
      <w:r>
        <w:rPr>
          <w:rFonts w:ascii="Arial" w:hAnsi="Arial" w:cs="Arial"/>
          <w:b/>
          <w:bCs/>
          <w:sz w:val="22"/>
          <w:szCs w:val="22"/>
        </w:rPr>
        <w:t>33</w:t>
      </w:r>
      <w:r>
        <w:rPr>
          <w:rFonts w:ascii="Arial" w:hAnsi="Arial" w:cs="Arial"/>
          <w:sz w:val="22"/>
          <w:szCs w:val="22"/>
        </w:rPr>
        <w:t xml:space="preserve"> pays d'Amérique latine et des Caraïbes éligibles et </w:t>
      </w:r>
      <w:r>
        <w:rPr>
          <w:rFonts w:ascii="Arial" w:hAnsi="Arial" w:cs="Arial"/>
          <w:b/>
          <w:bCs/>
          <w:sz w:val="22"/>
          <w:szCs w:val="22"/>
        </w:rPr>
        <w:t>27 %</w:t>
      </w:r>
      <w:r>
        <w:rPr>
          <w:rFonts w:ascii="Arial" w:hAnsi="Arial" w:cs="Arial"/>
          <w:sz w:val="22"/>
          <w:szCs w:val="22"/>
        </w:rPr>
        <w:t xml:space="preserve"> des </w:t>
      </w:r>
      <w:r>
        <w:rPr>
          <w:rFonts w:ascii="Arial" w:hAnsi="Arial" w:cs="Arial"/>
          <w:b/>
          <w:bCs/>
          <w:sz w:val="22"/>
          <w:szCs w:val="22"/>
        </w:rPr>
        <w:t>45</w:t>
      </w:r>
      <w:r>
        <w:rPr>
          <w:rFonts w:ascii="Arial" w:hAnsi="Arial" w:cs="Arial"/>
          <w:sz w:val="22"/>
          <w:szCs w:val="22"/>
        </w:rPr>
        <w:t xml:space="preserve"> pays d'Asie-Pacifique. Les données financières rapportées concernent les dépenses nationales. </w:t>
      </w:r>
    </w:p>
    <w:p w14:paraId="7DE64F66" w14:textId="77777777" w:rsidR="00974917" w:rsidRPr="00B133FF" w:rsidRDefault="00974917" w:rsidP="0065103C">
      <w:pPr>
        <w:suppressLineNumbers/>
        <w:suppressAutoHyphens/>
        <w:adjustRightInd w:val="0"/>
        <w:snapToGrid w:val="0"/>
        <w:ind w:left="1134"/>
        <w:rPr>
          <w:rFonts w:ascii="Arial" w:hAnsi="Arial" w:cs="Arial"/>
          <w:sz w:val="22"/>
          <w:szCs w:val="22"/>
          <w:lang w:eastAsia="en-GB"/>
        </w:rPr>
      </w:pPr>
    </w:p>
    <w:p w14:paraId="0780EAE1" w14:textId="77777777" w:rsidR="00974917" w:rsidRPr="00B133FF" w:rsidRDefault="00974917" w:rsidP="0065103C">
      <w:pPr>
        <w:suppressLineNumbers/>
        <w:suppressAutoHyphens/>
        <w:adjustRightInd w:val="0"/>
        <w:snapToGrid w:val="0"/>
        <w:ind w:left="1134"/>
        <w:rPr>
          <w:rFonts w:ascii="Arial" w:hAnsi="Arial" w:cs="Arial"/>
          <w:sz w:val="22"/>
          <w:szCs w:val="22"/>
          <w:lang w:eastAsia="en-GB"/>
        </w:rPr>
      </w:pPr>
      <w:r>
        <w:rPr>
          <w:rFonts w:ascii="Arial" w:hAnsi="Arial" w:cs="Arial"/>
          <w:sz w:val="22"/>
          <w:szCs w:val="22"/>
        </w:rPr>
        <w:t xml:space="preserve">Outre les données concernant les dépenses nationales au cours de la dernière décennie, l'équipe d'experts a examiné l'allocation STAR réelle des pays pour le FEM-7 par rapport à leurs besoins estimés en s'appuyant sur le questionnaire de la CDB sur l'évaluation des besoins en 2016. </w:t>
      </w:r>
    </w:p>
    <w:p w14:paraId="77BF5FB9" w14:textId="77777777" w:rsidR="00974917" w:rsidRPr="00B133FF" w:rsidRDefault="00974917" w:rsidP="0065103C">
      <w:pPr>
        <w:suppressLineNumbers/>
        <w:suppressAutoHyphens/>
        <w:adjustRightInd w:val="0"/>
        <w:snapToGrid w:val="0"/>
        <w:ind w:left="1134"/>
        <w:rPr>
          <w:rFonts w:ascii="Arial" w:hAnsi="Arial" w:cs="Arial"/>
          <w:sz w:val="22"/>
          <w:szCs w:val="22"/>
          <w:lang w:eastAsia="en-GB"/>
        </w:rPr>
      </w:pPr>
    </w:p>
    <w:p w14:paraId="03C83FEF" w14:textId="77777777"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rPr>
        <w:t>Pour 52 pays éligibles au FEM qui avaient rempli le questionnaire d'évaluation des besoins en 2016, l'équipe d'experts a comparé les besoins de financement estimés dans le questionnaire au montant alloué dans le cadre de l'allocation STAR du FEM-7 pour la seule biodiversité (n'incluant pas les financements des programmes à impact ou les allocations STAR des autres domaines qui ont pu inclure des résultats en matière de biodiversité)</w:t>
      </w:r>
      <w:r>
        <w:rPr>
          <w:rStyle w:val="FootnoteReference"/>
          <w:rFonts w:ascii="Arial" w:hAnsi="Arial" w:cs="Arial"/>
          <w:sz w:val="22"/>
          <w:szCs w:val="22"/>
        </w:rPr>
        <w:footnoteReference w:id="16"/>
      </w:r>
      <w:r>
        <w:rPr>
          <w:rFonts w:ascii="Arial" w:hAnsi="Arial" w:cs="Arial"/>
          <w:sz w:val="22"/>
          <w:szCs w:val="22"/>
        </w:rPr>
        <w:t>*.</w:t>
      </w:r>
    </w:p>
    <w:p w14:paraId="344973E4" w14:textId="77777777" w:rsidR="00974917" w:rsidRPr="00B133FF" w:rsidRDefault="00974917" w:rsidP="0065103C">
      <w:pPr>
        <w:suppressLineNumbers/>
        <w:suppressAutoHyphens/>
        <w:adjustRightInd w:val="0"/>
        <w:snapToGrid w:val="0"/>
        <w:ind w:left="1134"/>
        <w:rPr>
          <w:rFonts w:ascii="Arial" w:hAnsi="Arial" w:cs="Arial"/>
          <w:sz w:val="22"/>
          <w:szCs w:val="22"/>
        </w:rPr>
      </w:pPr>
    </w:p>
    <w:p w14:paraId="00EFB0EC" w14:textId="77777777"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rPr>
        <w:t xml:space="preserve">Cette comparaison montre que la plus grande partie des pays (40 %, soit 21 sur 52) qui ont rempli le questionnaire de 2016 ont reçu, dans le cadre de l'allocation STAR du FEM-7 pour la biodiversité, 20 % ou moins de leurs besoins de financement estimés dans le questionnaire ; 31 % (soit 16 sur 52) ont reçu entre 21 et 50 %, 19 % (soit 10 sur 52) ont reçu entre 51 et 100 %, tandis que 10 % (soit 5 sur 52) ont reçu plus que le montant demandé. Ces écarts peuvent s'expliquer par plusieurs raisons, notamment par le fait que : i) en définitive, les Parties n'ont peut-être pas communiqué au FEM-7 la même liste de projets que ceux qu'elles avaient envisagés au moment de remplir le questionnaire de 2016, ii) le budget effectif demandé était inférieur à celui estimé au moment de remplir le questionnaire, iii) les pays ont peut-être reçu un financement supplémentaire du FEM en dehors de l'allocation STAR pour la biodiversité ou iv) un cofinancement supplémentaire a été obtenu. </w:t>
      </w:r>
    </w:p>
    <w:p w14:paraId="0662FEF7" w14:textId="77777777" w:rsidR="00974917" w:rsidRPr="00B133FF" w:rsidRDefault="00974917" w:rsidP="0065103C">
      <w:pPr>
        <w:pStyle w:val="ListParagraph"/>
        <w:suppressLineNumbers/>
        <w:suppressAutoHyphens/>
        <w:adjustRightInd w:val="0"/>
        <w:snapToGrid w:val="0"/>
        <w:ind w:left="1134"/>
        <w:rPr>
          <w:rFonts w:ascii="Arial" w:hAnsi="Arial" w:cs="Arial"/>
          <w:color w:val="000000"/>
          <w:sz w:val="22"/>
          <w:szCs w:val="22"/>
          <w:u w:val="single"/>
        </w:rPr>
      </w:pPr>
    </w:p>
    <w:p w14:paraId="1EDC0A2C" w14:textId="77777777" w:rsidR="00974917" w:rsidRPr="0065103C" w:rsidRDefault="00974917" w:rsidP="0065103C">
      <w:pPr>
        <w:pStyle w:val="ListParagraph"/>
        <w:numPr>
          <w:ilvl w:val="1"/>
          <w:numId w:val="17"/>
        </w:numPr>
        <w:suppressLineNumbers/>
        <w:suppressAutoHyphens/>
        <w:adjustRightInd w:val="0"/>
        <w:snapToGrid w:val="0"/>
        <w:ind w:left="1134" w:firstLine="0"/>
        <w:rPr>
          <w:rFonts w:ascii="Arial" w:hAnsi="Arial" w:cs="Arial"/>
          <w:color w:val="000000"/>
          <w:sz w:val="22"/>
          <w:szCs w:val="22"/>
          <w:u w:val="single"/>
          <w:lang w:val="en-GB"/>
        </w:rPr>
      </w:pPr>
      <w:r>
        <w:rPr>
          <w:rFonts w:ascii="Arial" w:hAnsi="Arial" w:cs="Arial"/>
          <w:sz w:val="22"/>
          <w:szCs w:val="22"/>
          <w:u w:val="single"/>
        </w:rPr>
        <w:t>BIOFIN</w:t>
      </w:r>
    </w:p>
    <w:p w14:paraId="7A7F010C" w14:textId="77777777" w:rsidR="00974917" w:rsidRPr="0065103C" w:rsidRDefault="00974917" w:rsidP="0065103C">
      <w:pPr>
        <w:pStyle w:val="Default"/>
        <w:suppressLineNumbers/>
        <w:suppressAutoHyphens/>
        <w:adjustRightInd w:val="0"/>
        <w:snapToGrid w:val="0"/>
        <w:rPr>
          <w:rFonts w:ascii="Arial" w:hAnsi="Arial" w:cs="Arial"/>
          <w:sz w:val="22"/>
          <w:szCs w:val="22"/>
          <w:lang w:val="en-GB"/>
        </w:rPr>
      </w:pPr>
    </w:p>
    <w:p w14:paraId="755819B6" w14:textId="77777777" w:rsidR="00974917" w:rsidRPr="00B133FF" w:rsidRDefault="00974917" w:rsidP="0065103C">
      <w:pPr>
        <w:suppressLineNumbers/>
        <w:suppressAutoHyphens/>
        <w:adjustRightInd w:val="0"/>
        <w:snapToGrid w:val="0"/>
        <w:ind w:left="1134"/>
        <w:rPr>
          <w:rFonts w:ascii="Arial" w:hAnsi="Arial" w:cs="Arial"/>
          <w:color w:val="212121"/>
          <w:sz w:val="22"/>
          <w:szCs w:val="22"/>
        </w:rPr>
      </w:pPr>
      <w:r>
        <w:rPr>
          <w:rFonts w:ascii="Arial" w:hAnsi="Arial" w:cs="Arial"/>
          <w:sz w:val="22"/>
          <w:szCs w:val="22"/>
        </w:rPr>
        <w:t xml:space="preserve">Le groupe d'experts a examiné tous les rapports du programme PNUD-BIOFIN pour obtenir des informations et des données sur les besoins de financement des pays. </w:t>
      </w:r>
      <w:r>
        <w:rPr>
          <w:rFonts w:ascii="Arial" w:hAnsi="Arial" w:cs="Arial"/>
          <w:color w:val="212121"/>
          <w:sz w:val="22"/>
          <w:szCs w:val="22"/>
        </w:rPr>
        <w:t xml:space="preserve">Actuellement, BIOFIN aide 36 pays à examiner les politiques et les institutions pertinentes pour le financement de la biodiversité, à déterminer les investissements de base, à évaluer les coûts de mise en œuvre des stratégies et plans d’action nationaux pour la diversité biologique et à quantifier le déficit de financement de la biodiversité. </w:t>
      </w:r>
    </w:p>
    <w:p w14:paraId="4FDF5660" w14:textId="77777777" w:rsidR="00974917" w:rsidRPr="00B133FF" w:rsidRDefault="00974917" w:rsidP="0065103C">
      <w:pPr>
        <w:suppressLineNumbers/>
        <w:suppressAutoHyphens/>
        <w:adjustRightInd w:val="0"/>
        <w:snapToGrid w:val="0"/>
        <w:ind w:left="1440"/>
        <w:rPr>
          <w:rFonts w:ascii="Arial" w:hAnsi="Arial" w:cs="Arial"/>
          <w:color w:val="212121"/>
          <w:sz w:val="22"/>
          <w:szCs w:val="22"/>
        </w:rPr>
      </w:pPr>
    </w:p>
    <w:p w14:paraId="46017312" w14:textId="77777777" w:rsidR="00974917" w:rsidRPr="00B133FF" w:rsidRDefault="00974917" w:rsidP="0065103C">
      <w:pPr>
        <w:suppressLineNumbers/>
        <w:suppressAutoHyphens/>
        <w:adjustRightInd w:val="0"/>
        <w:snapToGrid w:val="0"/>
        <w:ind w:left="1134"/>
        <w:rPr>
          <w:rFonts w:ascii="Arial" w:hAnsi="Arial" w:cs="Arial"/>
          <w:color w:val="212121"/>
          <w:sz w:val="22"/>
          <w:szCs w:val="22"/>
        </w:rPr>
      </w:pPr>
      <w:r>
        <w:rPr>
          <w:rFonts w:ascii="Arial" w:hAnsi="Arial" w:cs="Arial"/>
          <w:color w:val="212121"/>
          <w:sz w:val="22"/>
          <w:szCs w:val="22"/>
        </w:rPr>
        <w:t>À ce jour, BIOFIN a travaillé avec la plupart des pays qu'il soutient afin d'examiner leurs dépenses liées à la biodiversité et d'élaborer des plans financiers pour mobiliser des ressources à l'avenir. Par exemple, dans son examen des dépenses pour 2018, la Colombie a indiqué que les investissements dans la biodiversité représentaient un total de 272 millions de dollars des États-Unis par an (0,12 % du PIB national) environ. En comparaison, son évaluation des besoins a fait état de besoins financiers s'élevant à 4,2 milliards de dollars des États-Unis pour la période 2017-2030, dont 24 % devraient provenir de mécanismes de financement</w:t>
      </w:r>
      <w:r>
        <w:rPr>
          <w:rStyle w:val="FootnoteReference"/>
          <w:rFonts w:ascii="Arial" w:hAnsi="Arial" w:cs="Arial"/>
          <w:color w:val="212121"/>
          <w:sz w:val="22"/>
          <w:szCs w:val="22"/>
        </w:rPr>
        <w:footnoteReference w:id="17"/>
      </w:r>
      <w:r>
        <w:rPr>
          <w:rFonts w:ascii="Arial" w:hAnsi="Arial" w:cs="Arial"/>
          <w:color w:val="212121"/>
          <w:sz w:val="22"/>
          <w:szCs w:val="22"/>
        </w:rPr>
        <w:t xml:space="preserve">. </w:t>
      </w:r>
    </w:p>
    <w:p w14:paraId="40A85D58" w14:textId="77777777" w:rsidR="00974917" w:rsidRPr="00B133FF" w:rsidRDefault="00974917" w:rsidP="0065103C">
      <w:pPr>
        <w:suppressLineNumbers/>
        <w:suppressAutoHyphens/>
        <w:adjustRightInd w:val="0"/>
        <w:snapToGrid w:val="0"/>
        <w:ind w:left="1440"/>
        <w:rPr>
          <w:rFonts w:ascii="Arial" w:hAnsi="Arial" w:cs="Arial"/>
          <w:color w:val="212121"/>
          <w:sz w:val="22"/>
          <w:szCs w:val="22"/>
        </w:rPr>
      </w:pPr>
    </w:p>
    <w:p w14:paraId="1611D0B6" w14:textId="77777777" w:rsidR="00974917" w:rsidRPr="00B133FF" w:rsidRDefault="00974917" w:rsidP="0065103C">
      <w:pPr>
        <w:suppressLineNumbers/>
        <w:suppressAutoHyphens/>
        <w:adjustRightInd w:val="0"/>
        <w:snapToGrid w:val="0"/>
        <w:ind w:left="1134"/>
        <w:rPr>
          <w:rFonts w:ascii="Arial" w:hAnsi="Arial" w:cs="Arial"/>
          <w:color w:val="212121"/>
          <w:sz w:val="22"/>
          <w:szCs w:val="22"/>
        </w:rPr>
      </w:pPr>
      <w:r>
        <w:rPr>
          <w:rFonts w:ascii="Arial" w:hAnsi="Arial" w:cs="Arial"/>
          <w:color w:val="212121"/>
          <w:sz w:val="22"/>
          <w:szCs w:val="22"/>
        </w:rPr>
        <w:t xml:space="preserve">Bien que certains rapports de dépenses soient disponibles pour certains pays sur son site Web, il n'y a pas de données pertinentes qui pourraient être utilisées pour identifier les besoins futurs dans leur ensemble pour la période 2022-2026 du FEM. </w:t>
      </w:r>
      <w:r>
        <w:rPr>
          <w:rFonts w:ascii="Arial" w:hAnsi="Arial" w:cs="Arial"/>
          <w:color w:val="212121"/>
          <w:sz w:val="22"/>
          <w:szCs w:val="22"/>
        </w:rPr>
        <w:lastRenderedPageBreak/>
        <w:t>Dès qu'un nombre important de pays auront terminé les projets BIOFIN, une estimation des besoins de financement totaux du pays au moins sera disponible et pourra être enregistrée pour cette évaluation.</w:t>
      </w:r>
    </w:p>
    <w:p w14:paraId="4480A47E" w14:textId="77777777" w:rsidR="00974917" w:rsidRPr="00B133FF" w:rsidRDefault="00974917" w:rsidP="0065103C">
      <w:pPr>
        <w:suppressLineNumbers/>
        <w:suppressAutoHyphens/>
        <w:adjustRightInd w:val="0"/>
        <w:snapToGrid w:val="0"/>
        <w:ind w:left="1440"/>
        <w:rPr>
          <w:rFonts w:ascii="Arial" w:hAnsi="Arial" w:cs="Arial"/>
          <w:color w:val="212121"/>
          <w:sz w:val="22"/>
          <w:szCs w:val="22"/>
        </w:rPr>
      </w:pPr>
    </w:p>
    <w:p w14:paraId="16334F77" w14:textId="77777777" w:rsidR="00974917" w:rsidRPr="0065103C" w:rsidRDefault="00974917" w:rsidP="0065103C">
      <w:pPr>
        <w:numPr>
          <w:ilvl w:val="1"/>
          <w:numId w:val="17"/>
        </w:numPr>
        <w:suppressLineNumbers/>
        <w:suppressAutoHyphens/>
        <w:adjustRightInd w:val="0"/>
        <w:snapToGrid w:val="0"/>
        <w:ind w:left="1134" w:firstLine="0"/>
        <w:rPr>
          <w:rFonts w:ascii="Arial" w:hAnsi="Arial" w:cs="Arial"/>
          <w:color w:val="000000"/>
          <w:sz w:val="22"/>
          <w:szCs w:val="22"/>
          <w:u w:val="single"/>
          <w:lang w:val="en-GB"/>
        </w:rPr>
      </w:pPr>
      <w:r>
        <w:rPr>
          <w:rFonts w:ascii="Arial" w:hAnsi="Arial" w:cs="Arial"/>
          <w:color w:val="000000"/>
          <w:sz w:val="22"/>
          <w:szCs w:val="22"/>
          <w:u w:val="single"/>
        </w:rPr>
        <w:t>Rapports mondiaux</w:t>
      </w:r>
    </w:p>
    <w:p w14:paraId="497C4BF7" w14:textId="77777777" w:rsidR="00974917" w:rsidRPr="00B133FF" w:rsidRDefault="00974917" w:rsidP="0065103C">
      <w:pPr>
        <w:suppressLineNumbers/>
        <w:suppressAutoHyphens/>
        <w:adjustRightInd w:val="0"/>
        <w:snapToGrid w:val="0"/>
        <w:ind w:left="1134"/>
        <w:rPr>
          <w:rFonts w:ascii="Arial" w:hAnsi="Arial" w:cs="Arial"/>
          <w:color w:val="000000"/>
          <w:sz w:val="22"/>
          <w:szCs w:val="22"/>
          <w:u w:val="single"/>
        </w:rPr>
      </w:pPr>
      <w:r>
        <w:rPr>
          <w:rFonts w:ascii="Arial" w:hAnsi="Arial" w:cs="Arial"/>
          <w:color w:val="212121"/>
          <w:sz w:val="22"/>
          <w:szCs w:val="22"/>
        </w:rPr>
        <w:t xml:space="preserve">Cinq rapports mondiaux sur les besoins financiers pour la conservation de la biodiversité sont inclus dans cette section. Ces rapports concernent l'estimation des flux mondiaux actuels de ressources financières pour la conservation de la biodiversité (OCDE et </w:t>
      </w:r>
      <w:proofErr w:type="spellStart"/>
      <w:r>
        <w:rPr>
          <w:rFonts w:ascii="Arial" w:hAnsi="Arial" w:cs="Arial"/>
          <w:color w:val="212121"/>
          <w:sz w:val="22"/>
          <w:szCs w:val="22"/>
        </w:rPr>
        <w:t>Financing</w:t>
      </w:r>
      <w:proofErr w:type="spellEnd"/>
      <w:r>
        <w:rPr>
          <w:rFonts w:ascii="Arial" w:hAnsi="Arial" w:cs="Arial"/>
          <w:color w:val="212121"/>
          <w:sz w:val="22"/>
          <w:szCs w:val="22"/>
        </w:rPr>
        <w:t xml:space="preserve"> Nature) ; les besoins de financement mondiaux futurs pour la conservation de la biodiversité ou l'écart entre les ressources actuelles et les besoins futurs (Groupe de haut niveau et </w:t>
      </w:r>
      <w:proofErr w:type="spellStart"/>
      <w:r>
        <w:rPr>
          <w:rFonts w:ascii="Arial" w:hAnsi="Arial" w:cs="Arial"/>
          <w:color w:val="212121"/>
          <w:sz w:val="22"/>
          <w:szCs w:val="22"/>
        </w:rPr>
        <w:t>Financing</w:t>
      </w:r>
      <w:proofErr w:type="spellEnd"/>
      <w:r>
        <w:rPr>
          <w:rFonts w:ascii="Arial" w:hAnsi="Arial" w:cs="Arial"/>
          <w:color w:val="212121"/>
          <w:sz w:val="22"/>
          <w:szCs w:val="22"/>
        </w:rPr>
        <w:t xml:space="preserve"> Nature) ; et les performances passées des ressources financières consacrées à la conservation de la biodiversité (WWF et Global Monitoring). Ces rapports indiquent que les pays ont doublé leurs efforts de mobilisation des ressources financières au cours de la dernière décennie en faveur de la biodiversité, mais que cet effort n'a pas nécessairement été égalé dans la même proportion par le FEM. </w:t>
      </w:r>
    </w:p>
    <w:p w14:paraId="407B245D" w14:textId="77777777" w:rsidR="00974917" w:rsidRPr="00B133FF" w:rsidRDefault="00974917" w:rsidP="0065103C">
      <w:pPr>
        <w:suppressLineNumbers/>
        <w:suppressAutoHyphens/>
        <w:adjustRightInd w:val="0"/>
        <w:snapToGrid w:val="0"/>
        <w:ind w:left="1440"/>
        <w:rPr>
          <w:rFonts w:ascii="Arial" w:hAnsi="Arial" w:cs="Arial"/>
          <w:color w:val="212121"/>
          <w:sz w:val="22"/>
          <w:szCs w:val="22"/>
        </w:rPr>
      </w:pPr>
    </w:p>
    <w:p w14:paraId="4F2ED143" w14:textId="77777777" w:rsidR="00974917" w:rsidRPr="00B133FF" w:rsidRDefault="00974917" w:rsidP="0065103C">
      <w:pPr>
        <w:suppressLineNumbers/>
        <w:suppressAutoHyphens/>
        <w:adjustRightInd w:val="0"/>
        <w:snapToGrid w:val="0"/>
        <w:ind w:left="1134"/>
        <w:rPr>
          <w:rFonts w:ascii="Arial" w:hAnsi="Arial" w:cs="Arial"/>
          <w:color w:val="212121"/>
          <w:sz w:val="22"/>
          <w:szCs w:val="22"/>
        </w:rPr>
      </w:pPr>
      <w:r>
        <w:rPr>
          <w:rFonts w:ascii="Arial" w:hAnsi="Arial" w:cs="Arial"/>
          <w:color w:val="212121"/>
          <w:sz w:val="22"/>
          <w:szCs w:val="22"/>
        </w:rPr>
        <w:t xml:space="preserve">Ces rapports sont inclus pour décrire le contexte relatif à l'écart important entre les flux financiers actuels et les besoins de financement futurs pour la conservation de la biodiversité, indiquant un besoin urgent d'augmenter les ressources financières de tous types pour le Cadre mondial de la biodiversité pour l'après-2020, y compris par le FEM. Selon ces estimations, l'écart entre les ressources financières est d'au moins 5 à 8 fois supérieur aux flux financiers actuels pour la conservation. Il n'y a aucune raison de croire que l'écart serait inférieur à cela pour le FEM. </w:t>
      </w:r>
    </w:p>
    <w:p w14:paraId="521ECA23" w14:textId="77777777" w:rsidR="00974917" w:rsidRPr="00B133FF" w:rsidRDefault="00974917" w:rsidP="0065103C">
      <w:pPr>
        <w:suppressLineNumbers/>
        <w:suppressAutoHyphens/>
        <w:adjustRightInd w:val="0"/>
        <w:snapToGrid w:val="0"/>
        <w:ind w:left="1134"/>
        <w:rPr>
          <w:rFonts w:ascii="Arial" w:hAnsi="Arial" w:cs="Arial"/>
          <w:color w:val="212121"/>
          <w:sz w:val="22"/>
          <w:szCs w:val="22"/>
        </w:rPr>
      </w:pPr>
    </w:p>
    <w:p w14:paraId="023D6F8B" w14:textId="77777777" w:rsidR="00974917" w:rsidRPr="00B133FF" w:rsidRDefault="00974917" w:rsidP="0065103C">
      <w:pPr>
        <w:suppressLineNumbers/>
        <w:suppressAutoHyphens/>
        <w:adjustRightInd w:val="0"/>
        <w:snapToGrid w:val="0"/>
        <w:ind w:left="1134"/>
        <w:rPr>
          <w:rFonts w:ascii="Arial" w:hAnsi="Arial" w:cs="Arial"/>
          <w:color w:val="212121"/>
          <w:sz w:val="22"/>
          <w:szCs w:val="22"/>
        </w:rPr>
      </w:pPr>
      <w:r>
        <w:rPr>
          <w:rFonts w:ascii="Arial" w:hAnsi="Arial" w:cs="Arial"/>
          <w:color w:val="212121"/>
          <w:sz w:val="22"/>
          <w:szCs w:val="22"/>
        </w:rPr>
        <w:t xml:space="preserve">Le montant des ressources pour la conservation de la biodiversité devrait augmenter à un rythme plus élevé qu'auparavant pour faire face aux objectifs ambitieux du nouveau cadre, et on peut donc en déduire que les ressources pour les deux prochains cycles du FEM (2022-2026 et 2026-2030) devraient également considérablement augmenter. </w:t>
      </w:r>
    </w:p>
    <w:p w14:paraId="09ECDE46" w14:textId="77777777" w:rsidR="00974917" w:rsidRPr="00B133FF" w:rsidRDefault="00974917" w:rsidP="0065103C">
      <w:pPr>
        <w:suppressLineNumbers/>
        <w:tabs>
          <w:tab w:val="right" w:pos="720"/>
        </w:tabs>
        <w:suppressAutoHyphens/>
        <w:kinsoku w:val="0"/>
        <w:overflowPunct w:val="0"/>
        <w:autoSpaceDE w:val="0"/>
        <w:autoSpaceDN w:val="0"/>
        <w:adjustRightInd w:val="0"/>
        <w:snapToGrid w:val="0"/>
        <w:spacing w:before="120" w:after="120"/>
        <w:jc w:val="both"/>
        <w:rPr>
          <w:rFonts w:ascii="Arial" w:hAnsi="Arial" w:cs="Arial"/>
          <w:snapToGrid w:val="0"/>
          <w:sz w:val="22"/>
          <w:szCs w:val="22"/>
        </w:rPr>
      </w:pPr>
      <w:r w:rsidRPr="00B133FF">
        <w:rPr>
          <w:rFonts w:ascii="Arial" w:hAnsi="Arial" w:cs="Arial"/>
          <w:snapToGrid w:val="0"/>
          <w:sz w:val="22"/>
          <w:szCs w:val="22"/>
        </w:rPr>
        <w:t xml:space="preserve"> </w:t>
      </w:r>
    </w:p>
    <w:p w14:paraId="5F17CE70" w14:textId="77777777" w:rsidR="00974917" w:rsidRPr="00B133FF" w:rsidRDefault="00974917" w:rsidP="0065103C">
      <w:pPr>
        <w:numPr>
          <w:ilvl w:val="2"/>
          <w:numId w:val="17"/>
        </w:numPr>
        <w:suppressLineNumbers/>
        <w:suppressAutoHyphens/>
        <w:adjustRightInd w:val="0"/>
        <w:snapToGrid w:val="0"/>
        <w:ind w:left="1701"/>
        <w:rPr>
          <w:rFonts w:ascii="Arial" w:hAnsi="Arial" w:cs="Arial"/>
          <w:sz w:val="22"/>
          <w:szCs w:val="22"/>
          <w:u w:val="single"/>
        </w:rPr>
      </w:pPr>
      <w:r>
        <w:rPr>
          <w:rFonts w:ascii="Arial" w:hAnsi="Arial" w:cs="Arial"/>
          <w:color w:val="000000"/>
          <w:sz w:val="22"/>
          <w:szCs w:val="22"/>
        </w:rPr>
        <w:t>Aperçu général du financement de la biodiversité à l'échelle mondiale par l'OCDE : méthodologie proposée et premiers résultats (2020)</w:t>
      </w:r>
      <w:r>
        <w:rPr>
          <w:rFonts w:ascii="Arial" w:hAnsi="Arial" w:cs="Arial"/>
          <w:color w:val="000000"/>
          <w:sz w:val="22"/>
          <w:szCs w:val="22"/>
          <w:vertAlign w:val="superscript"/>
        </w:rPr>
        <w:footnoteReference w:id="18"/>
      </w:r>
    </w:p>
    <w:p w14:paraId="2F579990" w14:textId="77777777" w:rsidR="00974917" w:rsidRPr="00B133FF" w:rsidRDefault="00974917" w:rsidP="0065103C">
      <w:pPr>
        <w:suppressLineNumbers/>
        <w:suppressAutoHyphens/>
        <w:adjustRightInd w:val="0"/>
        <w:snapToGrid w:val="0"/>
        <w:rPr>
          <w:rFonts w:ascii="Arial" w:hAnsi="Arial" w:cs="Arial"/>
          <w:sz w:val="22"/>
          <w:szCs w:val="22"/>
          <w:u w:val="single"/>
        </w:rPr>
      </w:pPr>
    </w:p>
    <w:p w14:paraId="4EAAEFAB" w14:textId="77777777" w:rsidR="00974917" w:rsidRPr="00B133FF" w:rsidRDefault="00974917" w:rsidP="0065103C">
      <w:pPr>
        <w:suppressLineNumbers/>
        <w:suppressAutoHyphens/>
        <w:adjustRightInd w:val="0"/>
        <w:snapToGrid w:val="0"/>
        <w:ind w:left="1440"/>
        <w:rPr>
          <w:rFonts w:ascii="Arial" w:hAnsi="Arial" w:cs="Arial"/>
          <w:sz w:val="22"/>
          <w:szCs w:val="22"/>
          <w:u w:val="single"/>
        </w:rPr>
      </w:pPr>
      <w:r>
        <w:rPr>
          <w:rFonts w:ascii="Arial" w:hAnsi="Arial" w:cs="Arial"/>
          <w:color w:val="000000" w:themeColor="text1"/>
          <w:sz w:val="22"/>
          <w:szCs w:val="22"/>
        </w:rPr>
        <w:t>Grâce à l'agrégation d'informations provenant de plusieurs ensembles de données communiquées par 80 pays, il a été estimé qu'un total de 78 à 91 milliards de dollars des États-Unis par an est consacré au financement de la biodiversité dans le monde. Les flux sont répartis entre les secteurs national, international public et privé. Les flux internationaux sont ensuite divisés en flux bilatéraux et multilatéraux et les flux du secteur privé sont classés en flux de philanthropie et de cotisations, d'obligations vertes, d'investissements à retombées sociales et environnementales, de compensations pour la biodiversité et de paiement des services écosystémiques.</w:t>
      </w:r>
    </w:p>
    <w:p w14:paraId="0EB96278" w14:textId="77777777" w:rsidR="00974917" w:rsidRPr="00B133FF" w:rsidRDefault="00974917" w:rsidP="0065103C">
      <w:pPr>
        <w:suppressLineNumbers/>
        <w:suppressAutoHyphens/>
        <w:adjustRightInd w:val="0"/>
        <w:snapToGrid w:val="0"/>
        <w:ind w:left="720"/>
        <w:rPr>
          <w:rFonts w:ascii="Arial" w:hAnsi="Arial" w:cs="Arial"/>
          <w:sz w:val="22"/>
          <w:szCs w:val="22"/>
          <w:u w:val="single"/>
        </w:rPr>
      </w:pPr>
    </w:p>
    <w:p w14:paraId="790345EB" w14:textId="77777777" w:rsidR="00974917" w:rsidRPr="0065103C" w:rsidRDefault="00974917" w:rsidP="0065103C">
      <w:pPr>
        <w:numPr>
          <w:ilvl w:val="2"/>
          <w:numId w:val="17"/>
        </w:numPr>
        <w:suppressLineNumbers/>
        <w:suppressAutoHyphens/>
        <w:adjustRightInd w:val="0"/>
        <w:snapToGrid w:val="0"/>
        <w:ind w:left="1418" w:firstLine="142"/>
        <w:rPr>
          <w:rFonts w:ascii="Arial" w:hAnsi="Arial" w:cs="Arial"/>
          <w:sz w:val="22"/>
          <w:szCs w:val="22"/>
          <w:lang w:val="en-GB"/>
        </w:rPr>
      </w:pPr>
      <w:r w:rsidRPr="00B133FF">
        <w:rPr>
          <w:rFonts w:ascii="Arial" w:hAnsi="Arial" w:cs="Arial"/>
          <w:sz w:val="22"/>
          <w:szCs w:val="22"/>
          <w:lang w:val="en-US"/>
        </w:rPr>
        <w:t>Financing Nature: Closing the Global Biodiversity Finance Gap Report (Deutz et al. 2020)</w:t>
      </w:r>
      <w:r>
        <w:rPr>
          <w:rFonts w:ascii="Arial" w:hAnsi="Arial" w:cs="Arial"/>
          <w:sz w:val="22"/>
          <w:szCs w:val="22"/>
          <w:vertAlign w:val="superscript"/>
        </w:rPr>
        <w:footnoteReference w:id="19"/>
      </w:r>
    </w:p>
    <w:p w14:paraId="0D9E4EA5" w14:textId="77777777" w:rsidR="00974917" w:rsidRPr="0065103C" w:rsidRDefault="00974917" w:rsidP="0065103C">
      <w:pPr>
        <w:suppressLineNumbers/>
        <w:suppressAutoHyphens/>
        <w:adjustRightInd w:val="0"/>
        <w:snapToGrid w:val="0"/>
        <w:ind w:left="2520"/>
        <w:rPr>
          <w:rFonts w:ascii="Arial" w:hAnsi="Arial" w:cs="Arial"/>
          <w:sz w:val="22"/>
          <w:szCs w:val="22"/>
          <w:lang w:val="en-GB"/>
        </w:rPr>
      </w:pPr>
    </w:p>
    <w:p w14:paraId="0D3BD69A" w14:textId="77777777" w:rsidR="00974917" w:rsidRPr="00B133FF" w:rsidRDefault="00974917" w:rsidP="0065103C">
      <w:pPr>
        <w:suppressLineNumbers/>
        <w:suppressAutoHyphens/>
        <w:adjustRightInd w:val="0"/>
        <w:snapToGrid w:val="0"/>
        <w:ind w:left="1440"/>
        <w:rPr>
          <w:rFonts w:ascii="Arial" w:hAnsi="Arial" w:cs="Arial"/>
          <w:sz w:val="22"/>
          <w:szCs w:val="22"/>
        </w:rPr>
      </w:pPr>
      <w:r>
        <w:rPr>
          <w:rFonts w:ascii="Arial" w:hAnsi="Arial" w:cs="Arial"/>
          <w:sz w:val="22"/>
          <w:szCs w:val="22"/>
        </w:rPr>
        <w:lastRenderedPageBreak/>
        <w:t xml:space="preserve">Ce rapport présente une estimation des flux de 2019 sur le financement de la conservation de la biodiversité à l'échelle mondiale (124-143 milliards de dollars des États-Unis) et une estimation des besoins de financement annuels en matière de conservation de la biodiversité à l'échelle mondiale d'ici à 2030 (722-967 milliards de dollars des États-Unis). La différence (598-843 milliards de dollars des États-Unis par an en 2030) montre le déficit de financement de la biodiversité par an d'ici à 2030 nécessaire pour atteindre les objectifs de conservation proposés d'un point de vue holistique, qui inclut la protection de la biodiversité existante par le biais d'aires protégées, mais qui tient également compte des besoins d'investissement général dans la conservation de la biodiversité pour gérer et utiliser de manière adéquate les paysages terrestres et marins « productifs ». </w:t>
      </w:r>
    </w:p>
    <w:p w14:paraId="4BA4906F" w14:textId="77777777" w:rsidR="00974917" w:rsidRPr="00B133FF" w:rsidRDefault="00974917" w:rsidP="0065103C">
      <w:pPr>
        <w:suppressLineNumbers/>
        <w:suppressAutoHyphens/>
        <w:autoSpaceDE w:val="0"/>
        <w:autoSpaceDN w:val="0"/>
        <w:adjustRightInd w:val="0"/>
        <w:snapToGrid w:val="0"/>
        <w:ind w:left="1080"/>
        <w:rPr>
          <w:rFonts w:ascii="Arial" w:hAnsi="Arial" w:cs="Arial"/>
          <w:sz w:val="22"/>
          <w:szCs w:val="22"/>
        </w:rPr>
      </w:pPr>
    </w:p>
    <w:p w14:paraId="0345DEE6" w14:textId="77777777" w:rsidR="00974917" w:rsidRPr="00B133FF" w:rsidRDefault="00974917" w:rsidP="0065103C">
      <w:pPr>
        <w:suppressLineNumbers/>
        <w:suppressAutoHyphens/>
        <w:adjustRightInd w:val="0"/>
        <w:snapToGrid w:val="0"/>
        <w:ind w:left="1440"/>
        <w:rPr>
          <w:rFonts w:ascii="Arial" w:hAnsi="Arial" w:cs="Arial"/>
          <w:sz w:val="22"/>
          <w:szCs w:val="22"/>
        </w:rPr>
      </w:pPr>
      <w:r>
        <w:rPr>
          <w:rFonts w:ascii="Arial" w:hAnsi="Arial" w:cs="Arial"/>
          <w:sz w:val="22"/>
          <w:szCs w:val="22"/>
        </w:rPr>
        <w:t xml:space="preserve">Il recommande que le financement international de la biodiversité double au moins d'ici à 2030 et couvre au moins les coûts d'élaboration des SPANB et des plans nationaux de financement de la biodiversité pour les pays en développement. En outre, il recommande que le FEM : a) fournisse des ressources supplémentaires aux pays en développement pour l'élaboration des plans de financement de la biodiversité parallèlement à leurs SPANB actualisés par le biais du guichet des activités habilitantes ; b) augmente le montant des ressources disponibles pour le domaine d'intervention relatif à la biodiversité afin de soutenir les pays dans la mise en œuvre des plans nationaux de financement de la biodiversité ; et c) accorde la priorité au financement de la réforme des politiques nationales, plutôt qu'à des projets individuels sur le terrain en matière de biodiversité. </w:t>
      </w:r>
    </w:p>
    <w:p w14:paraId="2A84D89A" w14:textId="77777777" w:rsidR="00974917" w:rsidRPr="00B133FF" w:rsidRDefault="00974917" w:rsidP="0065103C">
      <w:pPr>
        <w:suppressLineNumbers/>
        <w:suppressAutoHyphens/>
        <w:adjustRightInd w:val="0"/>
        <w:snapToGrid w:val="0"/>
        <w:rPr>
          <w:rFonts w:ascii="Arial" w:hAnsi="Arial" w:cs="Arial"/>
          <w:sz w:val="22"/>
          <w:szCs w:val="22"/>
        </w:rPr>
      </w:pPr>
    </w:p>
    <w:p w14:paraId="45764485" w14:textId="77777777" w:rsidR="00974917" w:rsidRPr="00B133FF" w:rsidRDefault="00974917" w:rsidP="0065103C">
      <w:pPr>
        <w:numPr>
          <w:ilvl w:val="2"/>
          <w:numId w:val="17"/>
        </w:numPr>
        <w:suppressLineNumbers/>
        <w:suppressAutoHyphens/>
        <w:adjustRightInd w:val="0"/>
        <w:snapToGrid w:val="0"/>
        <w:ind w:left="2410" w:hanging="709"/>
        <w:rPr>
          <w:rFonts w:ascii="Arial" w:hAnsi="Arial" w:cs="Arial"/>
          <w:sz w:val="22"/>
          <w:szCs w:val="22"/>
          <w:u w:val="single"/>
        </w:rPr>
      </w:pPr>
      <w:r>
        <w:rPr>
          <w:rFonts w:ascii="Arial" w:hAnsi="Arial" w:cs="Arial"/>
          <w:sz w:val="22"/>
          <w:szCs w:val="22"/>
        </w:rPr>
        <w:t xml:space="preserve">Groupe de haut niveau sur l'évaluation mondiale des ressources pour la mise en œuvre du Plan stratégique 2011-2020 pour la diversité biologique </w:t>
      </w:r>
      <w:r>
        <w:rPr>
          <w:rFonts w:ascii="Arial" w:hAnsi="Arial" w:cs="Arial"/>
          <w:color w:val="000000"/>
          <w:sz w:val="22"/>
          <w:szCs w:val="22"/>
        </w:rPr>
        <w:t>(</w:t>
      </w:r>
      <w:r>
        <w:rPr>
          <w:rFonts w:ascii="Arial" w:eastAsiaTheme="majorEastAsia" w:hAnsi="Arial" w:cs="Arial"/>
          <w:sz w:val="22"/>
          <w:szCs w:val="22"/>
        </w:rPr>
        <w:t>UNEP/CBD/COP/12/INF/4)</w:t>
      </w:r>
      <w:r>
        <w:rPr>
          <w:rFonts w:ascii="Arial" w:hAnsi="Arial" w:cs="Arial"/>
          <w:sz w:val="22"/>
          <w:szCs w:val="22"/>
          <w:vertAlign w:val="superscript"/>
        </w:rPr>
        <w:footnoteReference w:id="20"/>
      </w:r>
      <w:r>
        <w:rPr>
          <w:rFonts w:ascii="Arial" w:hAnsi="Arial" w:cs="Arial"/>
          <w:sz w:val="22"/>
          <w:szCs w:val="22"/>
        </w:rPr>
        <w:t xml:space="preserve"> </w:t>
      </w:r>
    </w:p>
    <w:p w14:paraId="652F721D" w14:textId="77777777" w:rsidR="00974917" w:rsidRPr="00B133FF" w:rsidRDefault="00974917" w:rsidP="0065103C">
      <w:pPr>
        <w:suppressLineNumbers/>
        <w:suppressAutoHyphens/>
        <w:adjustRightInd w:val="0"/>
        <w:snapToGrid w:val="0"/>
        <w:ind w:left="720"/>
        <w:rPr>
          <w:rFonts w:ascii="Arial" w:hAnsi="Arial" w:cs="Arial"/>
          <w:sz w:val="22"/>
          <w:szCs w:val="22"/>
          <w:u w:val="single"/>
        </w:rPr>
      </w:pPr>
    </w:p>
    <w:p w14:paraId="6839AD88" w14:textId="77777777" w:rsidR="00974917" w:rsidRPr="00B133FF" w:rsidRDefault="00974917" w:rsidP="0065103C">
      <w:pPr>
        <w:suppressLineNumbers/>
        <w:suppressAutoHyphens/>
        <w:adjustRightInd w:val="0"/>
        <w:snapToGrid w:val="0"/>
        <w:ind w:left="1440"/>
        <w:rPr>
          <w:rFonts w:ascii="Arial" w:hAnsi="Arial" w:cs="Arial"/>
          <w:sz w:val="22"/>
          <w:szCs w:val="22"/>
        </w:rPr>
      </w:pPr>
      <w:r>
        <w:rPr>
          <w:rFonts w:ascii="Arial" w:hAnsi="Arial" w:cs="Arial"/>
          <w:sz w:val="22"/>
          <w:szCs w:val="22"/>
        </w:rPr>
        <w:t>Un examen du Groupe de haut niveau de 2012 sur l'évaluation mondiale des ressources pour la mise en œuvre du Plan stratégique 2011-2020 pour la diversité biologique a également été réalisé. Le groupe a mis en évidence les coûts ainsi que les avantages découlant de la réalisation de chaque objectif d'Aichi. Le groupe a déclaré qu'il a été démontré que les avantages découlant de la conservation et de l'utilisation durable de la biodiversité dépassent largement les coûts d'investissement pour toutes les régions et pour un large éventail d'objectifs d'Aichi. Sur la base des estimations globales annuelles des besoins d'investissement réalisées par le Groupe de haut niveau (2012), il est estimé que l'investissement mondial moyen par habitant nécessaire à l'action en faveur de la biodiversité se situe environ entre 20 et 60 dollars des États-Unis. Cela se traduit par des besoins d'investissement allant de 0,08 à 0,25 % du PIB mondial.</w:t>
      </w:r>
    </w:p>
    <w:p w14:paraId="07C322EF" w14:textId="77777777" w:rsidR="00974917" w:rsidRPr="00B133FF" w:rsidRDefault="00974917" w:rsidP="0065103C">
      <w:pPr>
        <w:suppressLineNumbers/>
        <w:suppressAutoHyphens/>
        <w:autoSpaceDE w:val="0"/>
        <w:autoSpaceDN w:val="0"/>
        <w:adjustRightInd w:val="0"/>
        <w:snapToGrid w:val="0"/>
        <w:ind w:left="1080"/>
        <w:rPr>
          <w:rFonts w:ascii="Arial" w:hAnsi="Arial" w:cs="Arial"/>
          <w:sz w:val="22"/>
          <w:szCs w:val="22"/>
        </w:rPr>
      </w:pPr>
    </w:p>
    <w:p w14:paraId="641FED35" w14:textId="77777777" w:rsidR="00974917" w:rsidRPr="00B133FF" w:rsidRDefault="00974917" w:rsidP="0065103C">
      <w:pPr>
        <w:numPr>
          <w:ilvl w:val="2"/>
          <w:numId w:val="17"/>
        </w:numPr>
        <w:suppressLineNumbers/>
        <w:suppressAutoHyphens/>
        <w:adjustRightInd w:val="0"/>
        <w:snapToGrid w:val="0"/>
        <w:ind w:left="2410" w:hanging="709"/>
        <w:rPr>
          <w:rFonts w:ascii="Arial" w:hAnsi="Arial" w:cs="Arial"/>
          <w:sz w:val="22"/>
          <w:szCs w:val="22"/>
          <w:u w:val="single"/>
        </w:rPr>
      </w:pPr>
      <w:r>
        <w:rPr>
          <w:rFonts w:ascii="Arial" w:hAnsi="Arial" w:cs="Arial"/>
          <w:sz w:val="22"/>
          <w:szCs w:val="22"/>
        </w:rPr>
        <w:t>Rapport de suivi mondial 2016</w:t>
      </w:r>
      <w:r>
        <w:rPr>
          <w:rFonts w:ascii="Arial" w:hAnsi="Arial" w:cs="Arial"/>
          <w:color w:val="000000"/>
          <w:sz w:val="22"/>
          <w:szCs w:val="22"/>
        </w:rPr>
        <w:t xml:space="preserve"> (</w:t>
      </w:r>
      <w:r>
        <w:rPr>
          <w:rFonts w:ascii="Arial" w:hAnsi="Arial" w:cs="Arial"/>
          <w:kern w:val="22"/>
          <w:sz w:val="22"/>
          <w:szCs w:val="22"/>
        </w:rPr>
        <w:t>UNEP/CBD/SBI/1/INF/46)</w:t>
      </w:r>
      <w:r>
        <w:rPr>
          <w:rFonts w:ascii="Arial" w:hAnsi="Arial" w:cs="Arial"/>
          <w:kern w:val="22"/>
          <w:sz w:val="22"/>
          <w:szCs w:val="22"/>
          <w:vertAlign w:val="superscript"/>
        </w:rPr>
        <w:footnoteReference w:id="21"/>
      </w:r>
    </w:p>
    <w:p w14:paraId="37DC07E9" w14:textId="77777777" w:rsidR="00974917" w:rsidRPr="00B133FF" w:rsidRDefault="00974917" w:rsidP="0065103C">
      <w:pPr>
        <w:suppressLineNumbers/>
        <w:suppressAutoHyphens/>
        <w:adjustRightInd w:val="0"/>
        <w:snapToGrid w:val="0"/>
        <w:ind w:left="720"/>
        <w:rPr>
          <w:rFonts w:ascii="Arial" w:hAnsi="Arial" w:cs="Arial"/>
          <w:sz w:val="22"/>
          <w:szCs w:val="22"/>
          <w:u w:val="single"/>
        </w:rPr>
      </w:pPr>
    </w:p>
    <w:p w14:paraId="0F284093" w14:textId="77777777" w:rsidR="00974917" w:rsidRPr="00B133FF" w:rsidRDefault="00974917" w:rsidP="0065103C">
      <w:pPr>
        <w:suppressLineNumbers/>
        <w:suppressAutoHyphens/>
        <w:adjustRightInd w:val="0"/>
        <w:snapToGrid w:val="0"/>
        <w:ind w:left="1440"/>
        <w:rPr>
          <w:rFonts w:ascii="Arial" w:hAnsi="Arial" w:cs="Arial"/>
          <w:sz w:val="22"/>
          <w:szCs w:val="22"/>
        </w:rPr>
      </w:pPr>
      <w:r>
        <w:rPr>
          <w:rFonts w:ascii="Arial" w:hAnsi="Arial" w:cs="Arial"/>
          <w:sz w:val="22"/>
          <w:szCs w:val="22"/>
        </w:rPr>
        <w:t xml:space="preserve">Le rapport de suivi mondial 2016 fournit des informations sur l'état et les tendances des flux de ressources financières internationales en faveur de la biodiversité. Il énumère plusieurs types de sources : institutions financières et de développement pour la biodiversité, actions et marchés des actions, secteur des assurances, secteur bancaire, investissements institutionnels et obligations. Il </w:t>
      </w:r>
      <w:r>
        <w:rPr>
          <w:rFonts w:ascii="Arial" w:hAnsi="Arial" w:cs="Arial"/>
          <w:sz w:val="22"/>
          <w:szCs w:val="22"/>
        </w:rPr>
        <w:lastRenderedPageBreak/>
        <w:t xml:space="preserve">indique qu'en 2014, plus de 7 milliards de dollars des États-Unis d'aide au développement présélectionnés pour des objectifs de biodiversité avaient comme objectif politique principal ou significatif la biodiversité, et que le pourcentage d'aide présélectionné, une mesure des efforts de notification, a augmenté de manière substantielle, passant de 38 % en 2006 à 87 % en 2014. Il souligne également que parmi les pays membres du Système de notification des pays créanciers du Comité d'aide au développement de l'OCDE, plusieurs pays donateurs ont plus que doublé leurs flux de ressources financières internationales en faveur de la biodiversité, de la moyenne calculée pour la période 2006-2009 à 2014. </w:t>
      </w:r>
    </w:p>
    <w:p w14:paraId="16421375" w14:textId="77777777" w:rsidR="00974917" w:rsidRPr="00B133FF" w:rsidRDefault="00974917" w:rsidP="0065103C">
      <w:pPr>
        <w:suppressLineNumbers/>
        <w:suppressAutoHyphens/>
        <w:autoSpaceDE w:val="0"/>
        <w:autoSpaceDN w:val="0"/>
        <w:adjustRightInd w:val="0"/>
        <w:snapToGrid w:val="0"/>
        <w:ind w:left="1080"/>
        <w:rPr>
          <w:rFonts w:ascii="Arial" w:hAnsi="Arial" w:cs="Arial"/>
          <w:sz w:val="22"/>
          <w:szCs w:val="22"/>
        </w:rPr>
      </w:pPr>
    </w:p>
    <w:p w14:paraId="7FF130FD" w14:textId="77777777" w:rsidR="00974917" w:rsidRPr="00B133FF" w:rsidRDefault="00974917" w:rsidP="0065103C">
      <w:pPr>
        <w:numPr>
          <w:ilvl w:val="2"/>
          <w:numId w:val="17"/>
        </w:numPr>
        <w:suppressLineNumbers/>
        <w:suppressAutoHyphens/>
        <w:adjustRightInd w:val="0"/>
        <w:snapToGrid w:val="0"/>
        <w:ind w:hanging="819"/>
        <w:rPr>
          <w:rFonts w:ascii="Arial" w:hAnsi="Arial" w:cs="Arial"/>
          <w:sz w:val="22"/>
          <w:szCs w:val="22"/>
          <w:u w:val="single"/>
        </w:rPr>
      </w:pPr>
      <w:r>
        <w:rPr>
          <w:rFonts w:ascii="Arial" w:hAnsi="Arial" w:cs="Arial"/>
          <w:color w:val="000000"/>
          <w:sz w:val="22"/>
          <w:szCs w:val="22"/>
        </w:rPr>
        <w:t>Baromètre WWF sur la stratégie de mobilisation des ressources de la CDB</w:t>
      </w:r>
      <w:r>
        <w:rPr>
          <w:rFonts w:ascii="Arial" w:hAnsi="Arial" w:cs="Arial"/>
          <w:color w:val="000000"/>
          <w:sz w:val="22"/>
          <w:szCs w:val="22"/>
          <w:vertAlign w:val="superscript"/>
        </w:rPr>
        <w:footnoteReference w:id="22"/>
      </w:r>
    </w:p>
    <w:p w14:paraId="62F150AB" w14:textId="77777777" w:rsidR="00974917" w:rsidRPr="00B133FF" w:rsidRDefault="00974917" w:rsidP="0065103C">
      <w:pPr>
        <w:suppressLineNumbers/>
        <w:suppressAutoHyphens/>
        <w:adjustRightInd w:val="0"/>
        <w:snapToGrid w:val="0"/>
        <w:rPr>
          <w:rFonts w:ascii="Arial" w:hAnsi="Arial" w:cs="Arial"/>
          <w:sz w:val="22"/>
          <w:szCs w:val="22"/>
          <w:u w:val="single"/>
        </w:rPr>
      </w:pPr>
    </w:p>
    <w:p w14:paraId="5EB0AC93" w14:textId="77777777" w:rsidR="00974917" w:rsidRPr="00B133FF" w:rsidRDefault="00974917" w:rsidP="0065103C">
      <w:pPr>
        <w:suppressLineNumbers/>
        <w:suppressAutoHyphens/>
        <w:adjustRightInd w:val="0"/>
        <w:snapToGrid w:val="0"/>
        <w:ind w:left="1440"/>
        <w:rPr>
          <w:rFonts w:ascii="Arial" w:hAnsi="Arial" w:cs="Arial"/>
          <w:sz w:val="22"/>
          <w:szCs w:val="22"/>
        </w:rPr>
      </w:pPr>
      <w:r>
        <w:rPr>
          <w:rFonts w:ascii="Arial" w:hAnsi="Arial" w:cs="Arial"/>
          <w:sz w:val="22"/>
          <w:szCs w:val="22"/>
        </w:rPr>
        <w:t>Le rapport du Baromètre du WWF a évalué comment les pays de l'OCDE ont atteint l'objectif de mobilisation des ressources concernant les flux financiers internationaux, qui consistait à doubler le chiffre de base d'ici à 2015 et au moins à maintenir ce niveau jusqu'en 2020. Il utilise les données du Comité d'aide au développement de l'OCDE, comprenant seulement les fonds classés comme aide publique au développement et les données du portefeuille de financement du FEM.</w:t>
      </w:r>
    </w:p>
    <w:p w14:paraId="3AD9784B" w14:textId="77777777" w:rsidR="00974917" w:rsidRPr="00B133FF" w:rsidRDefault="00974917" w:rsidP="0065103C">
      <w:pPr>
        <w:suppressLineNumbers/>
        <w:suppressAutoHyphens/>
        <w:adjustRightInd w:val="0"/>
        <w:snapToGrid w:val="0"/>
        <w:ind w:left="1440"/>
        <w:rPr>
          <w:rFonts w:ascii="Arial" w:hAnsi="Arial" w:cs="Arial"/>
          <w:sz w:val="22"/>
          <w:szCs w:val="22"/>
        </w:rPr>
      </w:pPr>
    </w:p>
    <w:p w14:paraId="43E89682" w14:textId="77777777" w:rsidR="00974917" w:rsidRPr="00B133FF" w:rsidRDefault="00974917" w:rsidP="0065103C">
      <w:pPr>
        <w:suppressLineNumbers/>
        <w:suppressAutoHyphens/>
        <w:adjustRightInd w:val="0"/>
        <w:snapToGrid w:val="0"/>
        <w:ind w:left="1440"/>
        <w:rPr>
          <w:rFonts w:ascii="Arial" w:hAnsi="Arial" w:cs="Arial"/>
          <w:sz w:val="22"/>
          <w:szCs w:val="22"/>
        </w:rPr>
      </w:pPr>
      <w:r>
        <w:rPr>
          <w:rFonts w:ascii="Arial" w:hAnsi="Arial" w:cs="Arial"/>
          <w:sz w:val="22"/>
          <w:szCs w:val="22"/>
        </w:rPr>
        <w:t xml:space="preserve">Les pays de l'OCDE ont collectivement doublé leur financement lié à la biodiversité et augmenté leurs dépenses de 130 % à partir de 2015. Le niveau de financement a atteint 7,8 milliards de dollars des États-Unis en 2015. 43 % des pays ont doublé leurs dépenses ; 28 % des pays ont augmenté, mais pas encore doublé leur financement ; et 29 % des pays ont diminué leur financement en 2015 par rapport aux données de référence. De 2015 à 2016, le financement lié à la biodiversité a diminué de 20 % (1,5 milliard de dollars des États-Unis), passant à 6,2 milliards de dollars des États-Unis. Mais après un examen attentif des données, la majeure partie de la réduction des fonds (64 %) est due au fait que le Japon a réduit son financement de 2 milliards à 678 millions de dollars des États-Unis, soit une réduction de 1,4 milliard de dollars des États-Unis. </w:t>
      </w:r>
    </w:p>
    <w:p w14:paraId="4CE2DB15" w14:textId="77777777" w:rsidR="00974917" w:rsidRPr="00B133FF" w:rsidRDefault="00974917" w:rsidP="0065103C">
      <w:pPr>
        <w:suppressLineNumbers/>
        <w:suppressAutoHyphens/>
        <w:adjustRightInd w:val="0"/>
        <w:snapToGrid w:val="0"/>
        <w:ind w:left="1440"/>
        <w:rPr>
          <w:rFonts w:ascii="Arial" w:hAnsi="Arial" w:cs="Arial"/>
          <w:sz w:val="22"/>
          <w:szCs w:val="22"/>
        </w:rPr>
      </w:pPr>
    </w:p>
    <w:p w14:paraId="35FB9703" w14:textId="77777777" w:rsidR="00974917" w:rsidRPr="0065103C" w:rsidRDefault="00974917" w:rsidP="0065103C">
      <w:pPr>
        <w:suppressLineNumbers/>
        <w:suppressAutoHyphens/>
        <w:adjustRightInd w:val="0"/>
        <w:snapToGrid w:val="0"/>
        <w:ind w:left="1134"/>
        <w:rPr>
          <w:rFonts w:ascii="Arial" w:hAnsi="Arial" w:cs="Arial"/>
          <w:sz w:val="22"/>
          <w:szCs w:val="22"/>
          <w:lang w:val="en-GB"/>
        </w:rPr>
      </w:pPr>
      <w:r>
        <w:rPr>
          <w:rFonts w:ascii="Arial" w:hAnsi="Arial" w:cs="Arial"/>
          <w:sz w:val="22"/>
          <w:szCs w:val="22"/>
        </w:rPr>
        <w:t xml:space="preserve">En revanche, le financement du FEM lié à la biodiversité n'a augmenté que d'environ 30 % entre le FEM-4 et le FEM-7. Le financement du FEM ciblé sur la biodiversité n'a pas doublé en 2014, 2018, ou dans le cycle actuel 2018 - 2022 du FEM-7 par rapport à la période de référence 2006 - 2010. En revanche, le cofinancement a augmenté de manière exponentielle. </w:t>
      </w:r>
    </w:p>
    <w:p w14:paraId="0FDD1487" w14:textId="77777777" w:rsidR="00974917" w:rsidRPr="0065103C" w:rsidRDefault="00974917" w:rsidP="0065103C">
      <w:pPr>
        <w:suppressLineNumbers/>
        <w:suppressAutoHyphens/>
        <w:adjustRightInd w:val="0"/>
        <w:snapToGrid w:val="0"/>
        <w:ind w:left="720"/>
        <w:rPr>
          <w:rFonts w:ascii="Arial" w:hAnsi="Arial" w:cs="Arial"/>
          <w:sz w:val="22"/>
          <w:szCs w:val="22"/>
          <w:lang w:val="en-GB"/>
        </w:rPr>
      </w:pPr>
    </w:p>
    <w:p w14:paraId="2F6928A1" w14:textId="77777777" w:rsidR="00974917" w:rsidRPr="00B133FF" w:rsidRDefault="00974917" w:rsidP="0065103C">
      <w:pPr>
        <w:pStyle w:val="ListParagraph"/>
        <w:numPr>
          <w:ilvl w:val="0"/>
          <w:numId w:val="17"/>
        </w:numPr>
        <w:suppressLineNumbers/>
        <w:suppressAutoHyphens/>
        <w:adjustRightInd w:val="0"/>
        <w:snapToGrid w:val="0"/>
        <w:rPr>
          <w:rFonts w:ascii="Arial" w:hAnsi="Arial" w:cs="Arial"/>
          <w:sz w:val="22"/>
          <w:szCs w:val="22"/>
        </w:rPr>
      </w:pPr>
      <w:r>
        <w:rPr>
          <w:rFonts w:ascii="Arial" w:hAnsi="Arial" w:cs="Arial"/>
          <w:b/>
          <w:bCs/>
          <w:sz w:val="22"/>
          <w:szCs w:val="22"/>
        </w:rPr>
        <w:t>Consultations avec les groupes régionaux et les organismes d'exécution du FEM</w:t>
      </w:r>
    </w:p>
    <w:p w14:paraId="70487B0E" w14:textId="77777777" w:rsidR="00974917" w:rsidRPr="00B133FF" w:rsidRDefault="00974917" w:rsidP="0065103C">
      <w:pPr>
        <w:suppressLineNumbers/>
        <w:suppressAutoHyphens/>
        <w:adjustRightInd w:val="0"/>
        <w:snapToGrid w:val="0"/>
        <w:rPr>
          <w:rFonts w:ascii="Arial" w:hAnsi="Arial" w:cs="Arial"/>
          <w:sz w:val="22"/>
          <w:szCs w:val="22"/>
        </w:rPr>
      </w:pPr>
    </w:p>
    <w:p w14:paraId="27A5CEBC" w14:textId="77777777" w:rsidR="00974917" w:rsidRPr="00B133FF" w:rsidRDefault="00974917" w:rsidP="0065103C">
      <w:pPr>
        <w:suppressLineNumbers/>
        <w:suppressAutoHyphens/>
        <w:autoSpaceDE w:val="0"/>
        <w:autoSpaceDN w:val="0"/>
        <w:adjustRightInd w:val="0"/>
        <w:snapToGrid w:val="0"/>
        <w:ind w:left="1134"/>
        <w:rPr>
          <w:rFonts w:ascii="Arial" w:eastAsiaTheme="minorEastAsia" w:hAnsi="Arial" w:cs="Arial"/>
          <w:color w:val="000000"/>
          <w:sz w:val="22"/>
          <w:szCs w:val="22"/>
        </w:rPr>
      </w:pPr>
      <w:r>
        <w:rPr>
          <w:rFonts w:ascii="Arial" w:eastAsiaTheme="minorEastAsia" w:hAnsi="Arial" w:cs="Arial"/>
          <w:color w:val="000000"/>
          <w:sz w:val="22"/>
          <w:szCs w:val="22"/>
        </w:rPr>
        <w:t xml:space="preserve">L'équipe d'experts a participé à la deuxième réunion du Groupe de travail à composition non limitée sur le Cadre mondial de la biodiversité pour l'après-2020 à Rome et a présenté l'évaluation et le questionnaire à quatre groupes régionaux (PECO, GRULAC, Asie-Pacifique et Afrique), ce qui a permis d'organiser une séance de questions-réponses. Des réunions individuelles ont également été organisées avec les pays qui en ont fait la demande lors de la deuxième réunion du </w:t>
      </w:r>
      <w:r>
        <w:rPr>
          <w:rFonts w:ascii="Arial" w:eastAsiaTheme="minorEastAsia" w:hAnsi="Arial" w:cs="Arial"/>
          <w:color w:val="000000"/>
          <w:sz w:val="22"/>
          <w:szCs w:val="22"/>
        </w:rPr>
        <w:lastRenderedPageBreak/>
        <w:t xml:space="preserve">Groupe de travail à composition non limitée sur le Cadre mondial de la biodiversité pour l'après-2020. </w:t>
      </w:r>
    </w:p>
    <w:p w14:paraId="1EF8C583" w14:textId="77777777" w:rsidR="00974917" w:rsidRPr="00B133FF" w:rsidRDefault="00974917" w:rsidP="0065103C">
      <w:pPr>
        <w:numPr>
          <w:ilvl w:val="0"/>
          <w:numId w:val="19"/>
        </w:numPr>
        <w:suppressLineNumbers/>
        <w:suppressAutoHyphens/>
        <w:autoSpaceDE w:val="0"/>
        <w:autoSpaceDN w:val="0"/>
        <w:adjustRightInd w:val="0"/>
        <w:snapToGrid w:val="0"/>
        <w:spacing w:after="11"/>
        <w:rPr>
          <w:rFonts w:ascii="Arial" w:eastAsiaTheme="minorEastAsia" w:hAnsi="Arial" w:cs="Arial"/>
          <w:color w:val="000000"/>
          <w:sz w:val="22"/>
          <w:szCs w:val="22"/>
        </w:rPr>
      </w:pPr>
    </w:p>
    <w:p w14:paraId="48BDE371" w14:textId="77777777" w:rsidR="00974917" w:rsidRPr="00B133FF" w:rsidRDefault="00974917" w:rsidP="0065103C">
      <w:pPr>
        <w:numPr>
          <w:ilvl w:val="0"/>
          <w:numId w:val="20"/>
        </w:numPr>
        <w:suppressLineNumbers/>
        <w:suppressAutoHyphens/>
        <w:autoSpaceDE w:val="0"/>
        <w:autoSpaceDN w:val="0"/>
        <w:adjustRightInd w:val="0"/>
        <w:snapToGrid w:val="0"/>
        <w:spacing w:after="11"/>
        <w:rPr>
          <w:rFonts w:ascii="Arial" w:eastAsiaTheme="minorEastAsia" w:hAnsi="Arial" w:cs="Arial"/>
          <w:color w:val="000000"/>
          <w:sz w:val="22"/>
          <w:szCs w:val="22"/>
        </w:rPr>
      </w:pPr>
      <w:r>
        <w:rPr>
          <w:rFonts w:ascii="Arial" w:eastAsiaTheme="minorEastAsia" w:hAnsi="Arial" w:cs="Arial"/>
          <w:color w:val="000000"/>
          <w:sz w:val="22"/>
          <w:szCs w:val="22"/>
        </w:rPr>
        <w:t xml:space="preserve">Réunion régionale pour l'Afrique : présidée par le délégué de l'Afrique du Sud, la réunion a été particulièrement bien accueillie en termes de participation et de discussion. Des questions ont été spécifiquement soulevées par l'Éthiopie, l'Égypte, l'Afrique du Sud et le Swaziland. À titre de suivi, le membre du groupe d'experts a rencontré l'Afrique du Sud et Madagascar pour passer en revue le questionnaire. </w:t>
      </w:r>
    </w:p>
    <w:p w14:paraId="37CB5060" w14:textId="77777777" w:rsidR="00974917" w:rsidRPr="00B133FF" w:rsidRDefault="00974917" w:rsidP="0065103C">
      <w:pPr>
        <w:numPr>
          <w:ilvl w:val="0"/>
          <w:numId w:val="20"/>
        </w:numPr>
        <w:suppressLineNumbers/>
        <w:suppressAutoHyphens/>
        <w:autoSpaceDE w:val="0"/>
        <w:autoSpaceDN w:val="0"/>
        <w:adjustRightInd w:val="0"/>
        <w:snapToGrid w:val="0"/>
        <w:spacing w:after="11"/>
        <w:rPr>
          <w:rFonts w:ascii="Arial" w:eastAsiaTheme="minorEastAsia" w:hAnsi="Arial" w:cs="Arial"/>
          <w:color w:val="000000"/>
          <w:sz w:val="22"/>
          <w:szCs w:val="22"/>
        </w:rPr>
      </w:pPr>
      <w:r>
        <w:rPr>
          <w:rFonts w:ascii="Arial" w:eastAsiaTheme="minorEastAsia" w:hAnsi="Arial" w:cs="Arial"/>
          <w:color w:val="000000"/>
          <w:sz w:val="22"/>
          <w:szCs w:val="22"/>
        </w:rPr>
        <w:t xml:space="preserve">La réunion régionale des PECO a été présidée par le délégué de la Géorgie. Cette réunion a également reçu un excellent accueil et des questions ont été posées par l'Arménie, le Bélarus, la Russie, le Tadjikistan et la Bosnie-Herzégovine. À titre de suivi, le membre du groupe d'experts a rencontré l'Arménie pour passer en revue le questionnaire. </w:t>
      </w:r>
    </w:p>
    <w:p w14:paraId="0DD7430D" w14:textId="77777777" w:rsidR="00974917" w:rsidRPr="00B133FF" w:rsidRDefault="00974917" w:rsidP="0065103C">
      <w:pPr>
        <w:numPr>
          <w:ilvl w:val="0"/>
          <w:numId w:val="20"/>
        </w:numPr>
        <w:suppressLineNumbers/>
        <w:suppressAutoHyphens/>
        <w:autoSpaceDE w:val="0"/>
        <w:autoSpaceDN w:val="0"/>
        <w:adjustRightInd w:val="0"/>
        <w:snapToGrid w:val="0"/>
        <w:rPr>
          <w:rFonts w:ascii="Arial" w:eastAsiaTheme="minorEastAsia" w:hAnsi="Arial" w:cs="Arial"/>
          <w:color w:val="000000"/>
          <w:sz w:val="22"/>
          <w:szCs w:val="22"/>
        </w:rPr>
      </w:pPr>
      <w:r>
        <w:rPr>
          <w:rFonts w:ascii="Arial" w:eastAsiaTheme="minorEastAsia" w:hAnsi="Arial" w:cs="Arial"/>
          <w:color w:val="000000"/>
          <w:sz w:val="22"/>
          <w:szCs w:val="22"/>
        </w:rPr>
        <w:t>La réunion régionale du GRULAC a été présidée par le délégué du Mexique et des questions ont été soulevées par le Mexique et la Colombie. À titre de suivi, le membre du groupe d'experts a rencontré la Colombie, le Venezuela, le Mexique et le Pérou pour passer en revue le questionnaire.</w:t>
      </w:r>
      <w:r>
        <w:rPr>
          <w:rFonts w:ascii="Calibri" w:eastAsiaTheme="minorEastAsia" w:hAnsi="Calibri" w:cs="Calibri"/>
          <w:sz w:val="22"/>
          <w:szCs w:val="22"/>
        </w:rPr>
        <w:t xml:space="preserve"> </w:t>
      </w:r>
    </w:p>
    <w:p w14:paraId="16340AD7" w14:textId="1D2B0469" w:rsidR="00974917" w:rsidRPr="00B133FF" w:rsidRDefault="00974917" w:rsidP="0065103C">
      <w:pPr>
        <w:pStyle w:val="ListParagraph"/>
        <w:numPr>
          <w:ilvl w:val="0"/>
          <w:numId w:val="20"/>
        </w:numPr>
        <w:suppressLineNumbers/>
        <w:suppressAutoHyphens/>
        <w:autoSpaceDE w:val="0"/>
        <w:autoSpaceDN w:val="0"/>
        <w:adjustRightInd w:val="0"/>
        <w:snapToGrid w:val="0"/>
        <w:rPr>
          <w:rFonts w:ascii="Arial" w:eastAsiaTheme="minorEastAsia" w:hAnsi="Arial" w:cs="Arial"/>
          <w:color w:val="000000"/>
          <w:sz w:val="22"/>
          <w:szCs w:val="22"/>
        </w:rPr>
      </w:pPr>
      <w:r>
        <w:rPr>
          <w:rFonts w:ascii="Arial" w:eastAsiaTheme="minorEastAsia" w:hAnsi="Arial" w:cs="Arial"/>
          <w:sz w:val="22"/>
          <w:szCs w:val="22"/>
        </w:rPr>
        <w:t>La réunion Asie-Pacifique était présidée par le délégué de l'Inde et du Koweït.</w:t>
      </w:r>
      <w:r>
        <w:rPr>
          <w:rFonts w:ascii="Arial" w:eastAsiaTheme="minorEastAsia" w:hAnsi="Arial" w:cs="Arial"/>
          <w:color w:val="000000"/>
          <w:sz w:val="22"/>
          <w:szCs w:val="22"/>
        </w:rPr>
        <w:t xml:space="preserve"> Aucune question spécifique n'a été soulevée lors de la réunion. À titre de suivi, le membre du groupe d'experts a rencontré la Malaisie, </w:t>
      </w:r>
      <w:r w:rsidR="00410D04" w:rsidRPr="00410D04">
        <w:rPr>
          <w:rFonts w:ascii="Arial" w:eastAsiaTheme="minorEastAsia" w:hAnsi="Arial" w:cs="Arial"/>
          <w:color w:val="000000"/>
          <w:sz w:val="22"/>
          <w:szCs w:val="22"/>
        </w:rPr>
        <w:t xml:space="preserve">l'ASEAN Centre for </w:t>
      </w:r>
      <w:proofErr w:type="spellStart"/>
      <w:r w:rsidR="00410D04" w:rsidRPr="00410D04">
        <w:rPr>
          <w:rFonts w:ascii="Arial" w:eastAsiaTheme="minorEastAsia" w:hAnsi="Arial" w:cs="Arial"/>
          <w:color w:val="000000"/>
          <w:sz w:val="22"/>
          <w:szCs w:val="22"/>
        </w:rPr>
        <w:t>Biodiversity</w:t>
      </w:r>
      <w:proofErr w:type="spellEnd"/>
      <w:r w:rsidR="00410D04" w:rsidRPr="00410D04">
        <w:rPr>
          <w:rFonts w:ascii="Arial" w:eastAsiaTheme="minorEastAsia" w:hAnsi="Arial" w:cs="Arial"/>
          <w:color w:val="000000"/>
          <w:sz w:val="22"/>
          <w:szCs w:val="22"/>
        </w:rPr>
        <w:t xml:space="preserve"> (ACB),</w:t>
      </w:r>
      <w:r w:rsidR="00410D04">
        <w:t xml:space="preserve"> </w:t>
      </w:r>
      <w:r>
        <w:rPr>
          <w:rFonts w:ascii="Arial" w:eastAsiaTheme="minorEastAsia" w:hAnsi="Arial" w:cs="Arial"/>
          <w:color w:val="000000"/>
          <w:sz w:val="22"/>
          <w:szCs w:val="22"/>
        </w:rPr>
        <w:t xml:space="preserve">l'Inde et le Cambodge.  </w:t>
      </w:r>
    </w:p>
    <w:p w14:paraId="659087A9" w14:textId="77777777" w:rsidR="00974917" w:rsidRPr="0065103C" w:rsidRDefault="00974917" w:rsidP="0065103C">
      <w:pPr>
        <w:numPr>
          <w:ilvl w:val="0"/>
          <w:numId w:val="20"/>
        </w:numPr>
        <w:suppressLineNumbers/>
        <w:suppressAutoHyphens/>
        <w:autoSpaceDE w:val="0"/>
        <w:autoSpaceDN w:val="0"/>
        <w:adjustRightInd w:val="0"/>
        <w:snapToGrid w:val="0"/>
        <w:rPr>
          <w:rFonts w:ascii="Arial" w:eastAsiaTheme="minorEastAsia" w:hAnsi="Arial" w:cs="Arial"/>
          <w:color w:val="000000"/>
          <w:sz w:val="22"/>
          <w:szCs w:val="22"/>
          <w:lang w:val="en-GB"/>
        </w:rPr>
      </w:pPr>
      <w:r>
        <w:rPr>
          <w:rFonts w:ascii="Arial" w:eastAsiaTheme="minorEastAsia" w:hAnsi="Arial" w:cs="Arial"/>
          <w:color w:val="000000"/>
          <w:sz w:val="22"/>
          <w:szCs w:val="22"/>
        </w:rPr>
        <w:t>Le groupe d'experts a effectué des présentations lors de la session d'information de la CDB du 26 février 2020, organisée conjointement avec le groupe de mobilisation des ressources de la CDB présidé par M</w:t>
      </w:r>
      <w:r>
        <w:rPr>
          <w:rFonts w:ascii="Arial" w:eastAsiaTheme="minorEastAsia" w:hAnsi="Arial" w:cs="Arial"/>
          <w:color w:val="000000"/>
          <w:sz w:val="22"/>
          <w:szCs w:val="22"/>
          <w:vertAlign w:val="superscript"/>
        </w:rPr>
        <w:t>me </w:t>
      </w:r>
      <w:r>
        <w:rPr>
          <w:rFonts w:ascii="Arial" w:eastAsiaTheme="minorEastAsia" w:hAnsi="Arial" w:cs="Arial"/>
          <w:color w:val="000000"/>
          <w:sz w:val="22"/>
          <w:szCs w:val="22"/>
        </w:rPr>
        <w:t xml:space="preserve">Odile Conchou. La participation a été satisfaisante. </w:t>
      </w:r>
    </w:p>
    <w:p w14:paraId="74B14904" w14:textId="77777777" w:rsidR="00974917" w:rsidRPr="00B133FF" w:rsidRDefault="00974917" w:rsidP="0065103C">
      <w:pPr>
        <w:pStyle w:val="ListParagraph"/>
        <w:numPr>
          <w:ilvl w:val="0"/>
          <w:numId w:val="20"/>
        </w:numPr>
        <w:suppressLineNumbers/>
        <w:suppressAutoHyphens/>
        <w:autoSpaceDE w:val="0"/>
        <w:autoSpaceDN w:val="0"/>
        <w:adjustRightInd w:val="0"/>
        <w:snapToGrid w:val="0"/>
        <w:rPr>
          <w:rFonts w:ascii="Arial" w:eastAsiaTheme="minorEastAsia" w:hAnsi="Arial" w:cs="Arial"/>
          <w:color w:val="000000"/>
          <w:sz w:val="22"/>
          <w:szCs w:val="22"/>
        </w:rPr>
      </w:pPr>
      <w:r>
        <w:rPr>
          <w:rFonts w:ascii="Arial" w:eastAsiaTheme="minorEastAsia" w:hAnsi="Arial" w:cs="Arial"/>
          <w:color w:val="000000"/>
          <w:sz w:val="22"/>
          <w:szCs w:val="22"/>
        </w:rPr>
        <w:t xml:space="preserve">Une réunion s'est tenue avec les membres de l'équipe d'experts de la CDB en matière de mobilisation des ressources. </w:t>
      </w:r>
    </w:p>
    <w:p w14:paraId="504B0A80" w14:textId="77777777" w:rsidR="00974917" w:rsidRPr="00B133FF" w:rsidRDefault="00974917" w:rsidP="0065103C">
      <w:pPr>
        <w:suppressLineNumbers/>
        <w:suppressAutoHyphens/>
        <w:adjustRightInd w:val="0"/>
        <w:snapToGrid w:val="0"/>
        <w:rPr>
          <w:rFonts w:ascii="Arial" w:hAnsi="Arial" w:cs="Arial"/>
          <w:sz w:val="22"/>
          <w:szCs w:val="22"/>
        </w:rPr>
      </w:pPr>
    </w:p>
    <w:p w14:paraId="69DEA7A4" w14:textId="77777777"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rPr>
        <w:t>Le Secrétariat de la CDB a contacté cinq organismes d'exécution du FEM en vue d'une consultation avec l'équipe d'experts. À ce jour, des consultations ont eu lieu avec la Banque mondiale et l'UICN, tandis que d'autres consultations auront lieu au début de l'année 2021.</w:t>
      </w:r>
      <w:r>
        <w:rPr>
          <w:rFonts w:ascii="Arial" w:hAnsi="Arial" w:cs="Arial"/>
          <w:sz w:val="22"/>
          <w:szCs w:val="22"/>
        </w:rPr>
        <w:br/>
      </w:r>
      <w:r>
        <w:rPr>
          <w:rFonts w:ascii="Arial" w:hAnsi="Arial" w:cs="Arial"/>
          <w:sz w:val="22"/>
          <w:szCs w:val="22"/>
        </w:rPr>
        <w:br/>
        <w:t>La représentante de l'UICN a fait remarquer que le FEM dispose désormais d'un processus beaucoup plus simplifié qui fonctionne efficacement. Elle a souligné qu'il est important que les points focaux nationaux s'engagent auprès de l'organisme qui possède l'expertise la plus pertinente et qui est plus susceptible d'obtenir le cofinancement nécessaire.</w:t>
      </w:r>
      <w:r>
        <w:rPr>
          <w:rFonts w:ascii="Arial" w:hAnsi="Arial" w:cs="Arial"/>
          <w:sz w:val="22"/>
          <w:szCs w:val="22"/>
        </w:rPr>
        <w:br/>
      </w:r>
      <w:r>
        <w:rPr>
          <w:color w:val="D5DADE"/>
        </w:rPr>
        <w:br/>
      </w:r>
      <w:r>
        <w:rPr>
          <w:rFonts w:ascii="Arial" w:hAnsi="Arial" w:cs="Arial"/>
          <w:sz w:val="22"/>
          <w:szCs w:val="22"/>
        </w:rPr>
        <w:t>Les défis qu'elle a identifiés concernent les projets qui chevauchent plus d'un domaine d'intervention et qui peuvent donc ne pas entrer dans le cadre d'une allocation STAR. Elle a noté la concurrence inévitable générée par le nombre d'organismes du FEM désormais actifs et qui, dans certains pays, rivalisent tous pour obtenir des montants peu élevés par le biais de l'allocation STAR. Elle a également souligné l'importance du financement mixte comme moyen utile de générer des cofinancements, y compris sous la forme de financements autres que des subventions (qui peuvent atteindre des montants considérables).</w:t>
      </w:r>
      <w:r>
        <w:rPr>
          <w:rFonts w:ascii="Arial" w:hAnsi="Arial" w:cs="Arial"/>
          <w:sz w:val="22"/>
          <w:szCs w:val="22"/>
        </w:rPr>
        <w:br/>
      </w:r>
    </w:p>
    <w:p w14:paraId="1DD221EF" w14:textId="73E4C017"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rPr>
        <w:t>Un exemple de projet qu'elle considère comme réussi, concerne l</w:t>
      </w:r>
      <w:proofErr w:type="gramStart"/>
      <w:r>
        <w:rPr>
          <w:rFonts w:ascii="Arial" w:hAnsi="Arial" w:cs="Arial"/>
          <w:sz w:val="22"/>
          <w:szCs w:val="22"/>
        </w:rPr>
        <w:t>'«</w:t>
      </w:r>
      <w:proofErr w:type="gramEnd"/>
      <w:r>
        <w:rPr>
          <w:rFonts w:ascii="Arial" w:hAnsi="Arial" w:cs="Arial"/>
          <w:sz w:val="22"/>
          <w:szCs w:val="22"/>
        </w:rPr>
        <w:t xml:space="preserve"> Initiative de financement de la conservation - renforcement et démonstration de la valeur du financement mixte » (CPIC) qui est un exemple de partenariat innovant sur le financement mixte financé par le FEM-6. Elle réunit le Crédit-Suisse, l'université de Cornell, l'UICN et </w:t>
      </w:r>
      <w:r w:rsidR="00714CCC" w:rsidRPr="00714CCC">
        <w:rPr>
          <w:rFonts w:ascii="Arial" w:hAnsi="Arial" w:cs="Arial"/>
          <w:sz w:val="22"/>
          <w:szCs w:val="22"/>
        </w:rPr>
        <w:t xml:space="preserve">The Nature </w:t>
      </w:r>
      <w:proofErr w:type="spellStart"/>
      <w:r w:rsidR="00714CCC" w:rsidRPr="00714CCC">
        <w:rPr>
          <w:rFonts w:ascii="Arial" w:hAnsi="Arial" w:cs="Arial"/>
          <w:sz w:val="22"/>
          <w:szCs w:val="22"/>
        </w:rPr>
        <w:t>Conservancy</w:t>
      </w:r>
      <w:proofErr w:type="spellEnd"/>
      <w:r w:rsidR="00714CCC" w:rsidRPr="00714CCC">
        <w:rPr>
          <w:rFonts w:ascii="Arial" w:hAnsi="Arial" w:cs="Arial"/>
          <w:sz w:val="22"/>
          <w:szCs w:val="22"/>
        </w:rPr>
        <w:t xml:space="preserve"> (TNC)</w:t>
      </w:r>
      <w:r w:rsidR="00714CCC">
        <w:t xml:space="preserve"> </w:t>
      </w:r>
      <w:r>
        <w:rPr>
          <w:rFonts w:ascii="Arial" w:hAnsi="Arial" w:cs="Arial"/>
          <w:sz w:val="22"/>
          <w:szCs w:val="22"/>
        </w:rPr>
        <w:t xml:space="preserve">et compte aujourd'hui une </w:t>
      </w:r>
      <w:r>
        <w:rPr>
          <w:rFonts w:ascii="Arial" w:hAnsi="Arial" w:cs="Arial"/>
          <w:sz w:val="22"/>
          <w:szCs w:val="22"/>
        </w:rPr>
        <w:lastRenderedPageBreak/>
        <w:t>centaine de partenaires de coalition. L'objectif de l'initiative consiste à inciter les organismes financiers publics et privés, les organismes philanthropiques, les organisations de conservation et les conseillers spécialisés à proposer un ensemble de projets de conservation innovants dans lesquels les partenaires peuvent investir. Dans le cadre de cette initiative, les projets sont financés par une combinaison de subventions et de financements remboursables.</w:t>
      </w:r>
    </w:p>
    <w:p w14:paraId="216CA21F" w14:textId="77777777" w:rsidR="00974917" w:rsidRPr="00B133FF" w:rsidRDefault="00974917" w:rsidP="0065103C">
      <w:pPr>
        <w:suppressLineNumbers/>
        <w:suppressAutoHyphens/>
        <w:adjustRightInd w:val="0"/>
        <w:snapToGrid w:val="0"/>
        <w:ind w:left="1134"/>
        <w:rPr>
          <w:rFonts w:ascii="Arial" w:hAnsi="Arial" w:cs="Arial"/>
          <w:sz w:val="22"/>
          <w:szCs w:val="22"/>
        </w:rPr>
      </w:pPr>
    </w:p>
    <w:p w14:paraId="5F944000" w14:textId="7D9A9791"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rPr>
        <w:t>Les représentants de la Banque mondiale ont noté que la source de financement du FEM pour le soutien à la biodiversité est de 26 % et que la biodiversité est l'un des domaines les plus importants, bien que l'utilisation des fonds du FEM ait diminué. Parmi les raisons expliquant ceci figure la difficulté fréquente à en démontrer la fonctionnalité. Il y a également davantage de concurrence et une plus grande capacité à mettre en œuvre des projets. La Banque mondiale n'est qu'une organisation de plus parmi les nombreux organismes de mise en œuvre des capacités.</w:t>
      </w:r>
    </w:p>
    <w:p w14:paraId="55681771" w14:textId="77777777" w:rsidR="00974917" w:rsidRPr="00B133FF" w:rsidRDefault="00974917" w:rsidP="0065103C">
      <w:pPr>
        <w:suppressLineNumbers/>
        <w:suppressAutoHyphens/>
        <w:adjustRightInd w:val="0"/>
        <w:snapToGrid w:val="0"/>
        <w:ind w:left="1134"/>
        <w:rPr>
          <w:rFonts w:ascii="Arial" w:hAnsi="Arial" w:cs="Arial"/>
          <w:sz w:val="22"/>
          <w:szCs w:val="22"/>
        </w:rPr>
      </w:pPr>
    </w:p>
    <w:p w14:paraId="155822EB" w14:textId="2EB592E2"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rPr>
        <w:t>Ils nous ont présenté deux exemples de projets réussis mis en œuvre par la Banque mondiale pour la conservation de la biodiversité : l'obligation bleue des Seychelles et le projet Paysages durables de Madagascar. Dans le cadre du projet des Seychelles, ils ont aidé le gouvernement à émettre la première obligation bleue au monde en 2018. Ils ont mobilisé 15 millions de dollars des États-Unis d'investissements issus du secteur privé en soutien à l'économie océanique et aidé le gouvernement des Seychelles à économiser plus de 8 millions de dollars des États-Unis en frais d'intérêt au cours des dix prochaines années. À Madagascar, avec un financement total de 107 millions de dollars des États-Unis, ils ont développé un projet visant à renforcer l'accès à des services d'irrigation et à des intrants agricoles, à renforcer la gestion intégrée des ressources naturelles par les acteurs locaux et à apporter une réponse immédiate et efficace aux situations d'urgence.</w:t>
      </w:r>
    </w:p>
    <w:p w14:paraId="7140552E" w14:textId="77777777" w:rsidR="00974917" w:rsidRPr="00B133FF" w:rsidRDefault="00974917" w:rsidP="0065103C">
      <w:pPr>
        <w:suppressLineNumbers/>
        <w:suppressAutoHyphens/>
        <w:adjustRightInd w:val="0"/>
        <w:snapToGrid w:val="0"/>
        <w:ind w:left="720"/>
        <w:rPr>
          <w:rFonts w:ascii="Arial" w:hAnsi="Arial" w:cs="Arial"/>
          <w:sz w:val="22"/>
          <w:szCs w:val="22"/>
        </w:rPr>
      </w:pPr>
    </w:p>
    <w:p w14:paraId="4C10AE4F" w14:textId="06D0AFA9"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rPr>
        <w:t>Ils ont également mentionné qu'à l'avenir, dans un monde post-COVID-19, la Banque mondiale obtiendra des fonds supplémentaires du FEM et ne s'intéressera pas seulement aux écosystèmes, mais aussi à d'autres domaines (par exemple, la sécurité alimentaire).</w:t>
      </w:r>
    </w:p>
    <w:p w14:paraId="36FBFC6B" w14:textId="77777777" w:rsidR="00974917" w:rsidRPr="00B133FF" w:rsidRDefault="00974917" w:rsidP="0065103C">
      <w:pPr>
        <w:suppressLineNumbers/>
        <w:suppressAutoHyphens/>
        <w:adjustRightInd w:val="0"/>
        <w:snapToGrid w:val="0"/>
        <w:ind w:left="1134"/>
        <w:rPr>
          <w:rFonts w:ascii="Arial" w:hAnsi="Arial" w:cs="Arial"/>
          <w:sz w:val="22"/>
          <w:szCs w:val="22"/>
        </w:rPr>
      </w:pPr>
    </w:p>
    <w:p w14:paraId="7C0F680A" w14:textId="0EEFABC8" w:rsidR="00974917" w:rsidRPr="00B133FF" w:rsidRDefault="00974917" w:rsidP="0065103C">
      <w:pPr>
        <w:suppressLineNumbers/>
        <w:suppressAutoHyphens/>
        <w:adjustRightInd w:val="0"/>
        <w:snapToGrid w:val="0"/>
        <w:ind w:left="1134"/>
        <w:rPr>
          <w:rFonts w:ascii="Arial" w:hAnsi="Arial" w:cs="Arial"/>
          <w:sz w:val="22"/>
          <w:szCs w:val="22"/>
          <w:u w:val="single"/>
        </w:rPr>
      </w:pPr>
      <w:r>
        <w:rPr>
          <w:rFonts w:ascii="Arial" w:hAnsi="Arial" w:cs="Arial"/>
          <w:sz w:val="22"/>
          <w:szCs w:val="22"/>
        </w:rPr>
        <w:t>Dans le cadre de la consultation, ils ont également souligné la manière dont ils élaborent différents scénarios de modèles économiques mondiaux afin de comprendre les implications en termes de bien-être des changements dans les services écosystémiques, ce qui permettra d'avoir une connaissance plus approfondie de l'impact du financement de la conservation qui pourrait également être pertinent pour les projets du FEM.</w:t>
      </w:r>
    </w:p>
    <w:p w14:paraId="7617394C" w14:textId="77777777" w:rsidR="00974917" w:rsidRPr="00B133FF" w:rsidRDefault="00974917" w:rsidP="0065103C">
      <w:pPr>
        <w:suppressLineNumbers/>
        <w:suppressAutoHyphens/>
        <w:adjustRightInd w:val="0"/>
        <w:snapToGrid w:val="0"/>
        <w:ind w:left="720"/>
        <w:rPr>
          <w:rFonts w:ascii="Arial" w:hAnsi="Arial" w:cs="Arial"/>
          <w:sz w:val="22"/>
          <w:szCs w:val="22"/>
          <w:u w:val="single"/>
        </w:rPr>
      </w:pPr>
    </w:p>
    <w:p w14:paraId="73FE0793" w14:textId="77777777" w:rsidR="00974917" w:rsidRPr="00B133FF" w:rsidRDefault="00974917" w:rsidP="0065103C">
      <w:pPr>
        <w:pStyle w:val="ListParagraph"/>
        <w:numPr>
          <w:ilvl w:val="0"/>
          <w:numId w:val="17"/>
        </w:numPr>
        <w:suppressLineNumbers/>
        <w:suppressAutoHyphens/>
        <w:adjustRightInd w:val="0"/>
        <w:snapToGrid w:val="0"/>
        <w:rPr>
          <w:rFonts w:ascii="Arial" w:hAnsi="Arial" w:cs="Arial"/>
          <w:b/>
          <w:bCs/>
          <w:sz w:val="22"/>
          <w:szCs w:val="22"/>
        </w:rPr>
      </w:pPr>
      <w:r>
        <w:rPr>
          <w:rFonts w:ascii="Arial" w:hAnsi="Arial" w:cs="Arial"/>
          <w:b/>
          <w:bCs/>
          <w:sz w:val="22"/>
          <w:szCs w:val="22"/>
        </w:rPr>
        <w:t>Évaluation du questionnaire soumis sur les besoins de financement</w:t>
      </w:r>
    </w:p>
    <w:p w14:paraId="7375930D" w14:textId="77777777" w:rsidR="00974917" w:rsidRPr="00B133FF" w:rsidRDefault="00974917" w:rsidP="0065103C">
      <w:pPr>
        <w:suppressLineNumbers/>
        <w:suppressAutoHyphens/>
        <w:adjustRightInd w:val="0"/>
        <w:snapToGrid w:val="0"/>
        <w:rPr>
          <w:rFonts w:ascii="Arial" w:hAnsi="Arial" w:cs="Arial"/>
          <w:b/>
          <w:bCs/>
          <w:sz w:val="22"/>
          <w:szCs w:val="22"/>
        </w:rPr>
      </w:pPr>
    </w:p>
    <w:p w14:paraId="00975549" w14:textId="77777777"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rPr>
        <w:t>Conformément au paragraphe 11 du mandat, un questionnaire a été élaboré par l'équipe d'experts afin de fournir des informations sur les besoins de financement totaux des projets prioritaires pour le FEM-8</w:t>
      </w:r>
      <w:r>
        <w:rPr>
          <w:rStyle w:val="FootnoteReference"/>
          <w:rFonts w:ascii="Arial" w:hAnsi="Arial" w:cs="Arial"/>
          <w:sz w:val="22"/>
          <w:szCs w:val="22"/>
        </w:rPr>
        <w:footnoteReference w:id="23"/>
      </w:r>
      <w:r>
        <w:rPr>
          <w:rFonts w:ascii="Arial" w:hAnsi="Arial" w:cs="Arial"/>
          <w:sz w:val="22"/>
          <w:szCs w:val="22"/>
        </w:rPr>
        <w:t xml:space="preserve">. Le questionnaire et ses orientations ont été mis en ligne dans les langues anglaise, française et espagnole entre fin février et juillet 2020. En outre, l'équipe d'experts a tenu des séances d'information lors de la réunion du groupe de travail à composition non limitée qui s'est déroulée à </w:t>
      </w:r>
      <w:r>
        <w:rPr>
          <w:rFonts w:ascii="Arial" w:hAnsi="Arial" w:cs="Arial"/>
          <w:sz w:val="22"/>
          <w:szCs w:val="22"/>
        </w:rPr>
        <w:lastRenderedPageBreak/>
        <w:t>Rome en février 2020 pour présenter le questionnaire et répondre aux questions. Après la réunion du groupe de travail à composition non limitée, l'équipe d'experts a également contacté tous les correspondants nationaux des pays éligibles au FEM pour leur proposer de répondre à toute question relative au questionnaire. Au total, 11 discussions de suivi ont été menées avec les Parties. Les réponses au questionnaire obtenues jusqu'à présent étaient positives, les Parties ayant confirmé qu'il était facile à remplir.</w:t>
      </w:r>
    </w:p>
    <w:p w14:paraId="48AF72DD" w14:textId="77777777" w:rsidR="00974917" w:rsidRPr="00B133FF" w:rsidRDefault="00974917" w:rsidP="0065103C">
      <w:pPr>
        <w:suppressLineNumbers/>
        <w:suppressAutoHyphens/>
        <w:adjustRightInd w:val="0"/>
        <w:snapToGrid w:val="0"/>
        <w:ind w:left="1134"/>
        <w:rPr>
          <w:rFonts w:ascii="Arial" w:hAnsi="Arial" w:cs="Arial"/>
          <w:sz w:val="22"/>
          <w:szCs w:val="22"/>
          <w:u w:val="single"/>
        </w:rPr>
      </w:pPr>
    </w:p>
    <w:p w14:paraId="0DD65B9C" w14:textId="1B9DD2C7"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rPr>
        <w:t>Le questionnaire comprend des informations à la fois qualitatives et quantitatives. Il demande aux Parties d'énumérer pour chaque projet les besoins de financement totaux estimés, le cofinancement probable disponible et les besoins de financements issus du FEM en utilisant la méthode des coûts différentiels. En outre, des informations ont été demandées aux Parties concernant les caractéristiques probables des projets proposés. Ces caractéristiques ont été divisées entre 1) le biome, 2) les espèces, 3) les programmes intégrés, 4) les stratégies. Enfin, il a également été demandé aux Parties de fournir des informations sur les liens avec d'autres conventions et les objectifs de développement durable pour chaque projet proposé.</w:t>
      </w:r>
    </w:p>
    <w:p w14:paraId="73852E02" w14:textId="77777777" w:rsidR="00974917" w:rsidRPr="00B133FF" w:rsidRDefault="00974917" w:rsidP="0065103C">
      <w:pPr>
        <w:suppressLineNumbers/>
        <w:suppressAutoHyphens/>
        <w:adjustRightInd w:val="0"/>
        <w:snapToGrid w:val="0"/>
        <w:ind w:left="1134"/>
        <w:rPr>
          <w:rFonts w:ascii="Arial" w:hAnsi="Arial" w:cs="Arial"/>
          <w:sz w:val="22"/>
          <w:szCs w:val="22"/>
          <w:u w:val="single"/>
        </w:rPr>
      </w:pPr>
    </w:p>
    <w:p w14:paraId="574307B9" w14:textId="77777777"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rPr>
        <w:t>Au 27 septembre 2020, 15 pays bénéficiaires du FEM avaient répondu au questionnaire, fournissant des données sur un total de 66 projets potentiels. Cette proportion (10 %) est insuffisante pour tirer des conclusions définitives, bien qu'une analyse indicative ait été effectuée pour le présent rapport. Les taux de réponse limités s'expliquent par les circonstances exceptionnelles dues à la pandémie de Covid-19, les difficultés à prévoir les besoins financiers pour le FEM-8 au stade initial de la discussion sur le Cadre mondial de la biodiversité pour l'après-2020 et un délai court. Toutefois, il est prévu que davantage de questionnaires soient remplis avant la troisième réunion de l'Organe subsidiaire chargé de l'application et la quinzième réunion de la Conférence des Parties.</w:t>
      </w:r>
    </w:p>
    <w:p w14:paraId="418C2DEE" w14:textId="77777777" w:rsidR="00974917" w:rsidRPr="00B133FF" w:rsidRDefault="00974917" w:rsidP="0065103C">
      <w:pPr>
        <w:suppressLineNumbers/>
        <w:suppressAutoHyphens/>
        <w:adjustRightInd w:val="0"/>
        <w:snapToGrid w:val="0"/>
        <w:ind w:left="1134"/>
        <w:rPr>
          <w:rFonts w:ascii="Arial" w:hAnsi="Arial" w:cs="Arial"/>
          <w:sz w:val="22"/>
          <w:szCs w:val="22"/>
        </w:rPr>
      </w:pPr>
    </w:p>
    <w:p w14:paraId="39CAE89D" w14:textId="10ABDBD6"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rPr>
        <w:t>Comme les années précédentes, dans l'hypothèse où toutes les Parties ne répondraient pas, il est prévu que des extrapolations seront nécessaires pour atteindre le chiffre global final des besoins de financement pour le FEM-8.</w:t>
      </w:r>
    </w:p>
    <w:p w14:paraId="384AB11E" w14:textId="77777777" w:rsidR="00974917" w:rsidRPr="00B133FF" w:rsidRDefault="00974917" w:rsidP="0065103C">
      <w:pPr>
        <w:suppressLineNumbers/>
        <w:suppressAutoHyphens/>
        <w:adjustRightInd w:val="0"/>
        <w:snapToGrid w:val="0"/>
        <w:ind w:left="1134"/>
        <w:rPr>
          <w:rFonts w:ascii="Arial" w:hAnsi="Arial" w:cs="Arial"/>
          <w:sz w:val="22"/>
          <w:szCs w:val="22"/>
        </w:rPr>
      </w:pPr>
    </w:p>
    <w:p w14:paraId="24799CD3" w14:textId="77777777"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rPr>
        <w:t>L'analyse du questionnaire fournit également une description qualitative de l'ensemble du portefeuille de projets susceptibles d'être soumis au FEM-8. La description du portefeuille global de projets proposés est répartie entre les biomes, les caractéristiques des espèces, les stratégies et les programmes intégrés. Un pourcentage global a été estimé pour chacune des options des catégories ci-dessus. L'analyse repose entièrement sur les données fournies par les Parties qui ont répondu au questionnaire. Deux réserves s'appliquent donc à cette analyse : 1. elle ne représente pas la totalité du portefeuille susceptible d'être soumis au FEM-8 (compte tenu d'un taux de réponse extrêmement faible) ; et 2. elle est sujette à d'éventuelles disparités dans le questionnaire (c'est-à-dire à d'éventuelles erreurs ou interprétations erronées). Ces informations peuvent être utiles pour orienter les décisions programmatiques.</w:t>
      </w:r>
    </w:p>
    <w:p w14:paraId="688204B8" w14:textId="77777777" w:rsidR="00974917" w:rsidRPr="00B133FF" w:rsidRDefault="00974917" w:rsidP="0065103C">
      <w:pPr>
        <w:suppressLineNumbers/>
        <w:suppressAutoHyphens/>
        <w:adjustRightInd w:val="0"/>
        <w:snapToGrid w:val="0"/>
        <w:rPr>
          <w:rFonts w:ascii="Arial" w:hAnsi="Arial" w:cs="Arial"/>
          <w:sz w:val="22"/>
          <w:szCs w:val="22"/>
        </w:rPr>
      </w:pPr>
    </w:p>
    <w:p w14:paraId="5EFBFE47" w14:textId="77777777" w:rsidR="00974917" w:rsidRPr="00B133FF" w:rsidRDefault="00974917" w:rsidP="0065103C">
      <w:pPr>
        <w:pStyle w:val="ListParagraph"/>
        <w:numPr>
          <w:ilvl w:val="1"/>
          <w:numId w:val="16"/>
        </w:numPr>
        <w:suppressLineNumbers/>
        <w:suppressAutoHyphens/>
        <w:adjustRightInd w:val="0"/>
        <w:snapToGrid w:val="0"/>
        <w:rPr>
          <w:rFonts w:ascii="Arial" w:hAnsi="Arial" w:cs="Arial"/>
          <w:sz w:val="22"/>
          <w:szCs w:val="22"/>
          <w:u w:val="single"/>
        </w:rPr>
      </w:pPr>
      <w:r>
        <w:rPr>
          <w:rFonts w:ascii="Arial" w:hAnsi="Arial" w:cs="Arial"/>
          <w:sz w:val="22"/>
          <w:szCs w:val="22"/>
          <w:u w:val="single"/>
        </w:rPr>
        <w:t>Description du portefeuille proposée sur la base des réponses limitées au questionnaire</w:t>
      </w:r>
    </w:p>
    <w:p w14:paraId="0456D82B" w14:textId="77777777" w:rsidR="00974917" w:rsidRPr="00B133FF" w:rsidRDefault="00974917" w:rsidP="0065103C">
      <w:pPr>
        <w:suppressLineNumbers/>
        <w:tabs>
          <w:tab w:val="left" w:pos="1134"/>
          <w:tab w:val="left" w:pos="1418"/>
        </w:tabs>
        <w:suppressAutoHyphens/>
        <w:adjustRightInd w:val="0"/>
        <w:snapToGrid w:val="0"/>
        <w:ind w:left="1134"/>
        <w:rPr>
          <w:rFonts w:ascii="Arial" w:hAnsi="Arial" w:cs="Arial"/>
          <w:sz w:val="22"/>
          <w:szCs w:val="22"/>
        </w:rPr>
      </w:pPr>
      <w:r>
        <w:rPr>
          <w:rFonts w:ascii="Arial" w:hAnsi="Arial" w:cs="Arial"/>
          <w:sz w:val="22"/>
          <w:szCs w:val="22"/>
        </w:rPr>
        <w:t>Le nombre total de pays ayant répondu à ce jour est de 15 (6 d'Afrique, 3 d'Europe de l'Est, 3 d'Asie et du Pacifique et 3 d'Amérique latine et des Caraïbes). Les montants demandés sont indiqués dans le tableau 1 ci-dessous.</w:t>
      </w:r>
    </w:p>
    <w:p w14:paraId="12AF8C17" w14:textId="77777777" w:rsidR="00974917" w:rsidRPr="00B133FF" w:rsidRDefault="00974917" w:rsidP="0065103C">
      <w:pPr>
        <w:suppressLineNumbers/>
        <w:suppressAutoHyphens/>
        <w:adjustRightInd w:val="0"/>
        <w:snapToGrid w:val="0"/>
        <w:ind w:left="1134"/>
        <w:rPr>
          <w:rFonts w:ascii="Arial" w:hAnsi="Arial" w:cs="Arial"/>
          <w:b/>
          <w:bCs/>
          <w:sz w:val="22"/>
          <w:szCs w:val="22"/>
        </w:rPr>
      </w:pPr>
    </w:p>
    <w:p w14:paraId="739E171C" w14:textId="77777777" w:rsidR="00974917" w:rsidRPr="00B133FF" w:rsidRDefault="00974917" w:rsidP="0065103C">
      <w:pPr>
        <w:suppressLineNumbers/>
        <w:suppressAutoHyphens/>
        <w:adjustRightInd w:val="0"/>
        <w:snapToGrid w:val="0"/>
        <w:spacing w:after="160"/>
        <w:rPr>
          <w:rFonts w:ascii="Arial" w:hAnsi="Arial" w:cs="Arial"/>
          <w:sz w:val="22"/>
          <w:szCs w:val="22"/>
        </w:rPr>
      </w:pPr>
      <w:r w:rsidRPr="00B133FF">
        <w:rPr>
          <w:rFonts w:ascii="Arial" w:hAnsi="Arial" w:cs="Arial"/>
          <w:sz w:val="22"/>
          <w:szCs w:val="22"/>
        </w:rPr>
        <w:br w:type="page"/>
      </w:r>
    </w:p>
    <w:p w14:paraId="12E97553" w14:textId="77777777"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rPr>
        <w:lastRenderedPageBreak/>
        <w:t>Tableau 1 : Réponses des pays au questionnaire sur les besoins de financement</w:t>
      </w:r>
    </w:p>
    <w:p w14:paraId="0BFB7071" w14:textId="77777777" w:rsidR="00A46099" w:rsidRPr="001D65D2" w:rsidRDefault="00A46099" w:rsidP="00A46099">
      <w:pPr>
        <w:suppressLineNumbers/>
        <w:suppressAutoHyphens/>
        <w:adjustRightInd w:val="0"/>
        <w:snapToGrid w:val="0"/>
        <w:ind w:left="1134"/>
        <w:rPr>
          <w:rFonts w:ascii="Arial" w:hAnsi="Arial" w:cs="Arial"/>
          <w:sz w:val="22"/>
          <w:szCs w:val="22"/>
        </w:rPr>
      </w:pPr>
    </w:p>
    <w:tbl>
      <w:tblPr>
        <w:tblpPr w:leftFromText="180" w:rightFromText="180" w:vertAnchor="text" w:horzAnchor="page" w:tblpX="1981" w:tblpY="122"/>
        <w:tblW w:w="9944" w:type="dxa"/>
        <w:tblLook w:val="04A0" w:firstRow="1" w:lastRow="0" w:firstColumn="1" w:lastColumn="0" w:noHBand="0" w:noVBand="1"/>
      </w:tblPr>
      <w:tblGrid>
        <w:gridCol w:w="1713"/>
        <w:gridCol w:w="1896"/>
        <w:gridCol w:w="2216"/>
        <w:gridCol w:w="2256"/>
        <w:gridCol w:w="2016"/>
      </w:tblGrid>
      <w:tr w:rsidR="00A46099" w:rsidRPr="00ED1D28" w14:paraId="09BCCBCE" w14:textId="77777777" w:rsidTr="00C60794">
        <w:trPr>
          <w:trHeight w:val="288"/>
        </w:trPr>
        <w:tc>
          <w:tcPr>
            <w:tcW w:w="1560" w:type="dxa"/>
            <w:tcBorders>
              <w:top w:val="nil"/>
              <w:left w:val="nil"/>
              <w:bottom w:val="single" w:sz="4" w:space="0" w:color="8EA9DB"/>
              <w:right w:val="nil"/>
            </w:tcBorders>
            <w:shd w:val="clear" w:color="auto" w:fill="D9E1F2"/>
            <w:noWrap/>
            <w:vAlign w:val="bottom"/>
            <w:hideMark/>
          </w:tcPr>
          <w:p w14:paraId="481549C2" w14:textId="420511C7" w:rsidR="00A46099" w:rsidRPr="00ED1D28" w:rsidRDefault="00A46099" w:rsidP="00C60794">
            <w:pPr>
              <w:suppressLineNumbers/>
              <w:suppressAutoHyphens/>
              <w:adjustRightInd w:val="0"/>
              <w:snapToGrid w:val="0"/>
              <w:ind w:left="176"/>
              <w:rPr>
                <w:rFonts w:ascii="Arial" w:hAnsi="Arial" w:cs="Arial"/>
                <w:b/>
                <w:bCs/>
                <w:color w:val="000000"/>
                <w:sz w:val="22"/>
                <w:szCs w:val="22"/>
              </w:rPr>
            </w:pPr>
            <w:r w:rsidRPr="00ED1D28">
              <w:rPr>
                <w:rFonts w:ascii="Arial" w:hAnsi="Arial" w:cs="Arial"/>
                <w:b/>
                <w:bCs/>
                <w:color w:val="000000"/>
                <w:sz w:val="22"/>
                <w:szCs w:val="22"/>
              </w:rPr>
              <w:t>Pays</w:t>
            </w:r>
          </w:p>
        </w:tc>
        <w:tc>
          <w:tcPr>
            <w:tcW w:w="1896" w:type="dxa"/>
            <w:tcBorders>
              <w:top w:val="nil"/>
              <w:left w:val="nil"/>
              <w:bottom w:val="single" w:sz="4" w:space="0" w:color="8EA9DB"/>
              <w:right w:val="nil"/>
            </w:tcBorders>
            <w:shd w:val="clear" w:color="auto" w:fill="D9E1F2"/>
            <w:noWrap/>
            <w:vAlign w:val="bottom"/>
            <w:hideMark/>
          </w:tcPr>
          <w:p w14:paraId="73BB85D8" w14:textId="43F8FB77" w:rsidR="00A46099" w:rsidRPr="00ED1D28" w:rsidRDefault="00A46099" w:rsidP="00C60794">
            <w:pPr>
              <w:suppressLineNumbers/>
              <w:suppressAutoHyphens/>
              <w:adjustRightInd w:val="0"/>
              <w:snapToGrid w:val="0"/>
              <w:rPr>
                <w:rFonts w:ascii="Arial" w:hAnsi="Arial" w:cs="Arial"/>
                <w:b/>
                <w:bCs/>
                <w:color w:val="000000"/>
                <w:sz w:val="22"/>
                <w:szCs w:val="22"/>
              </w:rPr>
            </w:pPr>
            <w:r w:rsidRPr="00ED1D28">
              <w:rPr>
                <w:rFonts w:ascii="Arial" w:hAnsi="Arial" w:cs="Arial"/>
                <w:b/>
                <w:bCs/>
                <w:color w:val="000000"/>
                <w:sz w:val="22"/>
                <w:szCs w:val="22"/>
              </w:rPr>
              <w:t xml:space="preserve"> </w:t>
            </w:r>
            <w:r w:rsidR="00732105" w:rsidRPr="00ED1D28">
              <w:rPr>
                <w:rFonts w:ascii="Arial" w:hAnsi="Arial" w:cs="Arial"/>
                <w:b/>
                <w:bCs/>
                <w:color w:val="000000"/>
                <w:sz w:val="22"/>
                <w:szCs w:val="22"/>
              </w:rPr>
              <w:t>Financement</w:t>
            </w:r>
            <w:r w:rsidRPr="00ED1D28">
              <w:rPr>
                <w:rFonts w:ascii="Arial" w:hAnsi="Arial" w:cs="Arial"/>
                <w:b/>
                <w:bCs/>
                <w:color w:val="000000"/>
                <w:sz w:val="22"/>
                <w:szCs w:val="22"/>
              </w:rPr>
              <w:t xml:space="preserve"> </w:t>
            </w:r>
            <w:r w:rsidR="00732105" w:rsidRPr="00ED1D28">
              <w:rPr>
                <w:rFonts w:ascii="Arial" w:hAnsi="Arial" w:cs="Arial"/>
                <w:b/>
                <w:bCs/>
                <w:color w:val="000000"/>
                <w:sz w:val="22"/>
                <w:szCs w:val="22"/>
              </w:rPr>
              <w:t>du FEM</w:t>
            </w:r>
            <w:r w:rsidRPr="00ED1D28">
              <w:rPr>
                <w:rFonts w:ascii="Arial" w:hAnsi="Arial" w:cs="Arial"/>
                <w:b/>
                <w:bCs/>
                <w:color w:val="000000"/>
                <w:sz w:val="22"/>
                <w:szCs w:val="22"/>
              </w:rPr>
              <w:t xml:space="preserve"> (US</w:t>
            </w:r>
            <w:r w:rsidR="00732105" w:rsidRPr="00ED1D28">
              <w:rPr>
                <w:rFonts w:ascii="Arial" w:hAnsi="Arial" w:cs="Arial"/>
                <w:b/>
                <w:bCs/>
                <w:color w:val="000000"/>
                <w:sz w:val="22"/>
                <w:szCs w:val="22"/>
              </w:rPr>
              <w:t>D</w:t>
            </w:r>
            <w:r w:rsidRPr="00ED1D28">
              <w:rPr>
                <w:rFonts w:ascii="Arial" w:hAnsi="Arial" w:cs="Arial"/>
                <w:b/>
                <w:bCs/>
                <w:color w:val="000000"/>
                <w:sz w:val="22"/>
                <w:szCs w:val="22"/>
              </w:rPr>
              <w:t>)</w:t>
            </w:r>
          </w:p>
        </w:tc>
        <w:tc>
          <w:tcPr>
            <w:tcW w:w="2216" w:type="dxa"/>
            <w:tcBorders>
              <w:top w:val="nil"/>
              <w:left w:val="nil"/>
              <w:bottom w:val="single" w:sz="4" w:space="0" w:color="8EA9DB"/>
              <w:right w:val="nil"/>
            </w:tcBorders>
            <w:shd w:val="clear" w:color="auto" w:fill="D9E1F2"/>
            <w:noWrap/>
            <w:vAlign w:val="bottom"/>
            <w:hideMark/>
          </w:tcPr>
          <w:p w14:paraId="7C0A9EA9" w14:textId="1A83CDD3" w:rsidR="00A46099" w:rsidRPr="00ED1D28" w:rsidRDefault="00A46099" w:rsidP="00C60794">
            <w:pPr>
              <w:suppressLineNumbers/>
              <w:suppressAutoHyphens/>
              <w:adjustRightInd w:val="0"/>
              <w:snapToGrid w:val="0"/>
              <w:rPr>
                <w:rFonts w:ascii="Arial" w:hAnsi="Arial" w:cs="Arial"/>
                <w:b/>
                <w:bCs/>
                <w:color w:val="000000"/>
                <w:sz w:val="22"/>
                <w:szCs w:val="22"/>
              </w:rPr>
            </w:pPr>
            <w:r w:rsidRPr="00ED1D28">
              <w:rPr>
                <w:rFonts w:ascii="Arial" w:hAnsi="Arial" w:cs="Arial"/>
                <w:b/>
                <w:bCs/>
                <w:color w:val="000000"/>
                <w:sz w:val="22"/>
                <w:szCs w:val="22"/>
              </w:rPr>
              <w:t xml:space="preserve"> </w:t>
            </w:r>
            <w:r w:rsidR="00732105" w:rsidRPr="00ED1D28">
              <w:rPr>
                <w:rFonts w:ascii="Arial" w:hAnsi="Arial" w:cs="Arial"/>
                <w:b/>
                <w:bCs/>
                <w:color w:val="000000"/>
                <w:sz w:val="22"/>
                <w:szCs w:val="22"/>
              </w:rPr>
              <w:t>Financement</w:t>
            </w:r>
            <w:r w:rsidRPr="00ED1D28">
              <w:rPr>
                <w:rFonts w:ascii="Arial" w:hAnsi="Arial" w:cs="Arial"/>
                <w:b/>
                <w:bCs/>
                <w:color w:val="000000"/>
                <w:sz w:val="22"/>
                <w:szCs w:val="22"/>
              </w:rPr>
              <w:t xml:space="preserve"> </w:t>
            </w:r>
            <w:proofErr w:type="spellStart"/>
            <w:r w:rsidR="00732105" w:rsidRPr="00ED1D28">
              <w:rPr>
                <w:rFonts w:ascii="Arial" w:hAnsi="Arial" w:cs="Arial"/>
                <w:b/>
                <w:bCs/>
                <w:color w:val="000000"/>
                <w:sz w:val="22"/>
                <w:szCs w:val="22"/>
              </w:rPr>
              <w:t>gouv</w:t>
            </w:r>
            <w:proofErr w:type="spellEnd"/>
            <w:r w:rsidR="00732105" w:rsidRPr="00ED1D28">
              <w:rPr>
                <w:rFonts w:ascii="Arial" w:hAnsi="Arial" w:cs="Arial"/>
                <w:b/>
                <w:bCs/>
                <w:color w:val="000000"/>
                <w:sz w:val="22"/>
                <w:szCs w:val="22"/>
              </w:rPr>
              <w:t>.</w:t>
            </w:r>
            <w:r w:rsidRPr="00ED1D28">
              <w:rPr>
                <w:rFonts w:ascii="Arial" w:hAnsi="Arial" w:cs="Arial"/>
                <w:b/>
                <w:bCs/>
                <w:color w:val="000000"/>
                <w:sz w:val="22"/>
                <w:szCs w:val="22"/>
              </w:rPr>
              <w:t xml:space="preserve"> (US</w:t>
            </w:r>
            <w:r w:rsidR="00732105" w:rsidRPr="00ED1D28">
              <w:rPr>
                <w:rFonts w:ascii="Arial" w:hAnsi="Arial" w:cs="Arial"/>
                <w:b/>
                <w:bCs/>
                <w:color w:val="000000"/>
                <w:sz w:val="22"/>
                <w:szCs w:val="22"/>
              </w:rPr>
              <w:t>D</w:t>
            </w:r>
            <w:r w:rsidRPr="00ED1D28">
              <w:rPr>
                <w:rFonts w:ascii="Arial" w:hAnsi="Arial" w:cs="Arial"/>
                <w:b/>
                <w:bCs/>
                <w:color w:val="000000"/>
                <w:sz w:val="22"/>
                <w:szCs w:val="22"/>
              </w:rPr>
              <w:t>)</w:t>
            </w:r>
          </w:p>
        </w:tc>
        <w:tc>
          <w:tcPr>
            <w:tcW w:w="2256" w:type="dxa"/>
            <w:tcBorders>
              <w:top w:val="nil"/>
              <w:left w:val="nil"/>
              <w:bottom w:val="single" w:sz="4" w:space="0" w:color="8EA9DB"/>
              <w:right w:val="nil"/>
            </w:tcBorders>
            <w:shd w:val="clear" w:color="auto" w:fill="D9E1F2"/>
            <w:noWrap/>
            <w:vAlign w:val="bottom"/>
            <w:hideMark/>
          </w:tcPr>
          <w:p w14:paraId="3E75A883" w14:textId="4B7533D9" w:rsidR="00A46099" w:rsidRPr="00ED1D28" w:rsidRDefault="00A46099" w:rsidP="00C60794">
            <w:pPr>
              <w:suppressLineNumbers/>
              <w:suppressAutoHyphens/>
              <w:adjustRightInd w:val="0"/>
              <w:snapToGrid w:val="0"/>
              <w:rPr>
                <w:rFonts w:ascii="Arial" w:hAnsi="Arial" w:cs="Arial"/>
                <w:b/>
                <w:bCs/>
                <w:color w:val="000000"/>
                <w:sz w:val="22"/>
                <w:szCs w:val="22"/>
              </w:rPr>
            </w:pPr>
            <w:r w:rsidRPr="00ED1D28">
              <w:rPr>
                <w:rFonts w:ascii="Arial" w:hAnsi="Arial" w:cs="Arial"/>
                <w:b/>
                <w:bCs/>
                <w:color w:val="000000"/>
                <w:sz w:val="22"/>
                <w:szCs w:val="22"/>
              </w:rPr>
              <w:t xml:space="preserve"> </w:t>
            </w:r>
            <w:r w:rsidR="00732105" w:rsidRPr="00ED1D28">
              <w:rPr>
                <w:rFonts w:ascii="Arial" w:hAnsi="Arial" w:cs="Arial"/>
                <w:b/>
                <w:bCs/>
                <w:color w:val="000000"/>
                <w:sz w:val="22"/>
                <w:szCs w:val="22"/>
              </w:rPr>
              <w:t>Autres</w:t>
            </w:r>
            <w:r w:rsidRPr="00ED1D28">
              <w:rPr>
                <w:rFonts w:ascii="Arial" w:hAnsi="Arial" w:cs="Arial"/>
                <w:b/>
                <w:bCs/>
                <w:color w:val="000000"/>
                <w:sz w:val="22"/>
                <w:szCs w:val="22"/>
              </w:rPr>
              <w:t xml:space="preserve"> </w:t>
            </w:r>
            <w:r w:rsidR="00732105" w:rsidRPr="00ED1D28">
              <w:rPr>
                <w:rFonts w:ascii="Arial" w:hAnsi="Arial" w:cs="Arial"/>
                <w:b/>
                <w:bCs/>
                <w:color w:val="000000"/>
                <w:sz w:val="22"/>
                <w:szCs w:val="22"/>
              </w:rPr>
              <w:t>cofinancements</w:t>
            </w:r>
            <w:r w:rsidRPr="00ED1D28">
              <w:rPr>
                <w:rFonts w:ascii="Arial" w:hAnsi="Arial" w:cs="Arial"/>
                <w:b/>
                <w:bCs/>
                <w:color w:val="000000"/>
                <w:sz w:val="22"/>
                <w:szCs w:val="22"/>
              </w:rPr>
              <w:t xml:space="preserve"> (US</w:t>
            </w:r>
            <w:r w:rsidR="00732105" w:rsidRPr="00ED1D28">
              <w:rPr>
                <w:rFonts w:ascii="Arial" w:hAnsi="Arial" w:cs="Arial"/>
                <w:b/>
                <w:bCs/>
                <w:color w:val="000000"/>
                <w:sz w:val="22"/>
                <w:szCs w:val="22"/>
              </w:rPr>
              <w:t>D</w:t>
            </w:r>
            <w:r w:rsidRPr="00ED1D28">
              <w:rPr>
                <w:rFonts w:ascii="Arial" w:hAnsi="Arial" w:cs="Arial"/>
                <w:b/>
                <w:bCs/>
                <w:color w:val="000000"/>
                <w:sz w:val="22"/>
                <w:szCs w:val="22"/>
              </w:rPr>
              <w:t>)</w:t>
            </w:r>
          </w:p>
        </w:tc>
        <w:tc>
          <w:tcPr>
            <w:tcW w:w="2016" w:type="dxa"/>
            <w:tcBorders>
              <w:top w:val="nil"/>
              <w:left w:val="nil"/>
              <w:bottom w:val="single" w:sz="4" w:space="0" w:color="8EA9DB"/>
              <w:right w:val="nil"/>
            </w:tcBorders>
            <w:shd w:val="clear" w:color="auto" w:fill="D9E1F2"/>
            <w:noWrap/>
            <w:vAlign w:val="bottom"/>
            <w:hideMark/>
          </w:tcPr>
          <w:p w14:paraId="42CE91D1" w14:textId="0B0234FC" w:rsidR="00A46099" w:rsidRPr="00ED1D28" w:rsidRDefault="00A46099" w:rsidP="00C60794">
            <w:pPr>
              <w:suppressLineNumbers/>
              <w:suppressAutoHyphens/>
              <w:adjustRightInd w:val="0"/>
              <w:snapToGrid w:val="0"/>
              <w:rPr>
                <w:rFonts w:ascii="Arial" w:hAnsi="Arial" w:cs="Arial"/>
                <w:b/>
                <w:bCs/>
                <w:color w:val="000000"/>
                <w:sz w:val="22"/>
                <w:szCs w:val="22"/>
              </w:rPr>
            </w:pPr>
            <w:r w:rsidRPr="00ED1D28">
              <w:rPr>
                <w:rFonts w:ascii="Arial" w:hAnsi="Arial" w:cs="Arial"/>
                <w:b/>
                <w:bCs/>
                <w:color w:val="000000"/>
                <w:sz w:val="22"/>
                <w:szCs w:val="22"/>
              </w:rPr>
              <w:t xml:space="preserve"> Total (US</w:t>
            </w:r>
            <w:r w:rsidR="00732105" w:rsidRPr="00ED1D28">
              <w:rPr>
                <w:rFonts w:ascii="Arial" w:hAnsi="Arial" w:cs="Arial"/>
                <w:b/>
                <w:bCs/>
                <w:color w:val="000000"/>
                <w:sz w:val="22"/>
                <w:szCs w:val="22"/>
              </w:rPr>
              <w:t>D</w:t>
            </w:r>
            <w:r w:rsidRPr="00ED1D28">
              <w:rPr>
                <w:rFonts w:ascii="Arial" w:hAnsi="Arial" w:cs="Arial"/>
                <w:b/>
                <w:bCs/>
                <w:color w:val="000000"/>
                <w:sz w:val="22"/>
                <w:szCs w:val="22"/>
              </w:rPr>
              <w:t>)</w:t>
            </w:r>
          </w:p>
        </w:tc>
      </w:tr>
      <w:tr w:rsidR="00A46099" w:rsidRPr="00ED1D28" w14:paraId="1E7802B5" w14:textId="77777777" w:rsidTr="00C60794">
        <w:trPr>
          <w:trHeight w:val="288"/>
        </w:trPr>
        <w:tc>
          <w:tcPr>
            <w:tcW w:w="1560" w:type="dxa"/>
            <w:noWrap/>
            <w:vAlign w:val="bottom"/>
            <w:hideMark/>
          </w:tcPr>
          <w:p w14:paraId="2AE35F40" w14:textId="1617293C" w:rsidR="00A46099" w:rsidRPr="00ED1D28" w:rsidRDefault="00A46099" w:rsidP="00C60794">
            <w:pPr>
              <w:suppressLineNumbers/>
              <w:suppressAutoHyphens/>
              <w:adjustRightInd w:val="0"/>
              <w:snapToGrid w:val="0"/>
              <w:ind w:left="176"/>
              <w:rPr>
                <w:rFonts w:ascii="Arial" w:hAnsi="Arial" w:cs="Arial"/>
                <w:color w:val="000000"/>
                <w:sz w:val="22"/>
                <w:szCs w:val="22"/>
              </w:rPr>
            </w:pPr>
            <w:r w:rsidRPr="00ED1D28">
              <w:rPr>
                <w:rFonts w:ascii="Arial" w:hAnsi="Arial" w:cs="Arial"/>
                <w:color w:val="000000"/>
                <w:sz w:val="22"/>
                <w:szCs w:val="22"/>
              </w:rPr>
              <w:t>Alg</w:t>
            </w:r>
            <w:r w:rsidR="00933596" w:rsidRPr="00ED1D28">
              <w:rPr>
                <w:rFonts w:ascii="Arial" w:hAnsi="Arial" w:cs="Arial"/>
                <w:color w:val="000000"/>
                <w:sz w:val="22"/>
                <w:szCs w:val="22"/>
              </w:rPr>
              <w:t>é</w:t>
            </w:r>
            <w:r w:rsidRPr="00ED1D28">
              <w:rPr>
                <w:rFonts w:ascii="Arial" w:hAnsi="Arial" w:cs="Arial"/>
                <w:color w:val="000000"/>
                <w:sz w:val="22"/>
                <w:szCs w:val="22"/>
              </w:rPr>
              <w:t>ri</w:t>
            </w:r>
            <w:r w:rsidR="00732105" w:rsidRPr="00ED1D28">
              <w:rPr>
                <w:rFonts w:ascii="Arial" w:hAnsi="Arial" w:cs="Arial"/>
                <w:color w:val="000000"/>
                <w:sz w:val="22"/>
                <w:szCs w:val="22"/>
              </w:rPr>
              <w:t>e</w:t>
            </w:r>
          </w:p>
        </w:tc>
        <w:tc>
          <w:tcPr>
            <w:tcW w:w="1896" w:type="dxa"/>
            <w:noWrap/>
            <w:vAlign w:val="bottom"/>
            <w:hideMark/>
          </w:tcPr>
          <w:p w14:paraId="6FC9E3AD" w14:textId="38235282"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21</w:t>
            </w:r>
            <w:r w:rsidR="00732105" w:rsidRPr="00ED1D28">
              <w:rPr>
                <w:rFonts w:ascii="Arial" w:hAnsi="Arial" w:cs="Arial"/>
                <w:color w:val="000000"/>
                <w:sz w:val="22"/>
                <w:szCs w:val="22"/>
              </w:rPr>
              <w:t> </w:t>
            </w:r>
            <w:r w:rsidRPr="00ED1D28">
              <w:rPr>
                <w:rFonts w:ascii="Arial" w:hAnsi="Arial" w:cs="Arial"/>
                <w:color w:val="000000"/>
                <w:sz w:val="22"/>
                <w:szCs w:val="22"/>
              </w:rPr>
              <w:t>424</w:t>
            </w:r>
            <w:r w:rsidR="00732105" w:rsidRPr="00ED1D28">
              <w:rPr>
                <w:rFonts w:ascii="Arial" w:hAnsi="Arial" w:cs="Arial"/>
                <w:color w:val="000000"/>
                <w:sz w:val="22"/>
                <w:szCs w:val="22"/>
              </w:rPr>
              <w:t> </w:t>
            </w:r>
            <w:r w:rsidRPr="00ED1D28">
              <w:rPr>
                <w:rFonts w:ascii="Arial" w:hAnsi="Arial" w:cs="Arial"/>
                <w:color w:val="000000"/>
                <w:sz w:val="22"/>
                <w:szCs w:val="22"/>
              </w:rPr>
              <w:t xml:space="preserve">500 </w:t>
            </w:r>
          </w:p>
        </w:tc>
        <w:tc>
          <w:tcPr>
            <w:tcW w:w="2216" w:type="dxa"/>
            <w:noWrap/>
            <w:vAlign w:val="bottom"/>
            <w:hideMark/>
          </w:tcPr>
          <w:p w14:paraId="2F30645A" w14:textId="792C67E7"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89</w:t>
            </w:r>
            <w:r w:rsidR="00933596" w:rsidRPr="00ED1D28">
              <w:rPr>
                <w:rFonts w:ascii="Arial" w:hAnsi="Arial" w:cs="Arial"/>
                <w:color w:val="000000"/>
                <w:sz w:val="22"/>
                <w:szCs w:val="22"/>
              </w:rPr>
              <w:t> </w:t>
            </w:r>
            <w:r w:rsidRPr="00ED1D28">
              <w:rPr>
                <w:rFonts w:ascii="Arial" w:hAnsi="Arial" w:cs="Arial"/>
                <w:color w:val="000000"/>
                <w:sz w:val="22"/>
                <w:szCs w:val="22"/>
              </w:rPr>
              <w:t>847</w:t>
            </w:r>
            <w:r w:rsidR="00933596" w:rsidRPr="00ED1D28">
              <w:rPr>
                <w:rFonts w:ascii="Arial" w:hAnsi="Arial" w:cs="Arial"/>
                <w:color w:val="000000"/>
                <w:sz w:val="22"/>
                <w:szCs w:val="22"/>
              </w:rPr>
              <w:t> </w:t>
            </w:r>
            <w:r w:rsidRPr="00ED1D28">
              <w:rPr>
                <w:rFonts w:ascii="Arial" w:hAnsi="Arial" w:cs="Arial"/>
                <w:color w:val="000000"/>
                <w:sz w:val="22"/>
                <w:szCs w:val="22"/>
              </w:rPr>
              <w:t>000</w:t>
            </w:r>
          </w:p>
        </w:tc>
        <w:tc>
          <w:tcPr>
            <w:tcW w:w="2256" w:type="dxa"/>
            <w:noWrap/>
            <w:vAlign w:val="bottom"/>
            <w:hideMark/>
          </w:tcPr>
          <w:p w14:paraId="6E8697F3" w14:textId="2C1A0645"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16</w:t>
            </w:r>
            <w:r w:rsidR="00933596" w:rsidRPr="00ED1D28">
              <w:rPr>
                <w:rFonts w:ascii="Arial" w:hAnsi="Arial" w:cs="Arial"/>
                <w:color w:val="000000"/>
                <w:sz w:val="22"/>
                <w:szCs w:val="22"/>
              </w:rPr>
              <w:t> </w:t>
            </w:r>
            <w:r w:rsidRPr="00ED1D28">
              <w:rPr>
                <w:rFonts w:ascii="Arial" w:hAnsi="Arial" w:cs="Arial"/>
                <w:color w:val="000000"/>
                <w:sz w:val="22"/>
                <w:szCs w:val="22"/>
              </w:rPr>
              <w:t>600</w:t>
            </w:r>
            <w:r w:rsidR="00933596" w:rsidRPr="00ED1D28">
              <w:rPr>
                <w:rFonts w:ascii="Arial" w:hAnsi="Arial" w:cs="Arial"/>
                <w:color w:val="000000"/>
                <w:sz w:val="22"/>
                <w:szCs w:val="22"/>
              </w:rPr>
              <w:t> </w:t>
            </w:r>
            <w:r w:rsidRPr="00ED1D28">
              <w:rPr>
                <w:rFonts w:ascii="Arial" w:hAnsi="Arial" w:cs="Arial"/>
                <w:color w:val="000000"/>
                <w:sz w:val="22"/>
                <w:szCs w:val="22"/>
              </w:rPr>
              <w:t xml:space="preserve">000                    </w:t>
            </w:r>
          </w:p>
        </w:tc>
        <w:tc>
          <w:tcPr>
            <w:tcW w:w="2016" w:type="dxa"/>
            <w:noWrap/>
            <w:vAlign w:val="bottom"/>
            <w:hideMark/>
          </w:tcPr>
          <w:p w14:paraId="3C803B84" w14:textId="0D44A1AC"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127</w:t>
            </w:r>
            <w:r w:rsidR="00933596" w:rsidRPr="00ED1D28">
              <w:rPr>
                <w:rFonts w:ascii="Arial" w:hAnsi="Arial" w:cs="Arial"/>
                <w:color w:val="000000"/>
                <w:sz w:val="22"/>
                <w:szCs w:val="22"/>
              </w:rPr>
              <w:t> </w:t>
            </w:r>
            <w:r w:rsidRPr="00ED1D28">
              <w:rPr>
                <w:rFonts w:ascii="Arial" w:hAnsi="Arial" w:cs="Arial"/>
                <w:color w:val="000000"/>
                <w:sz w:val="22"/>
                <w:szCs w:val="22"/>
              </w:rPr>
              <w:t>871</w:t>
            </w:r>
            <w:r w:rsidR="00933596" w:rsidRPr="00ED1D28">
              <w:rPr>
                <w:rFonts w:ascii="Arial" w:hAnsi="Arial" w:cs="Arial"/>
                <w:color w:val="000000"/>
                <w:sz w:val="22"/>
                <w:szCs w:val="22"/>
              </w:rPr>
              <w:t> </w:t>
            </w:r>
            <w:r w:rsidRPr="00ED1D28">
              <w:rPr>
                <w:rFonts w:ascii="Arial" w:hAnsi="Arial" w:cs="Arial"/>
                <w:color w:val="000000"/>
                <w:sz w:val="22"/>
                <w:szCs w:val="22"/>
              </w:rPr>
              <w:t xml:space="preserve">500 </w:t>
            </w:r>
          </w:p>
        </w:tc>
      </w:tr>
      <w:tr w:rsidR="00A46099" w:rsidRPr="00ED1D28" w14:paraId="50B7CF4F" w14:textId="77777777" w:rsidTr="00C60794">
        <w:trPr>
          <w:trHeight w:val="288"/>
        </w:trPr>
        <w:tc>
          <w:tcPr>
            <w:tcW w:w="1560" w:type="dxa"/>
            <w:noWrap/>
            <w:vAlign w:val="bottom"/>
            <w:hideMark/>
          </w:tcPr>
          <w:p w14:paraId="7D0CA5BA" w14:textId="489B729E" w:rsidR="00A46099" w:rsidRPr="00ED1D28" w:rsidRDefault="00A46099" w:rsidP="00C60794">
            <w:pPr>
              <w:suppressLineNumbers/>
              <w:suppressAutoHyphens/>
              <w:adjustRightInd w:val="0"/>
              <w:snapToGrid w:val="0"/>
              <w:ind w:left="176"/>
              <w:rPr>
                <w:rFonts w:ascii="Arial" w:hAnsi="Arial" w:cs="Arial"/>
                <w:color w:val="000000"/>
                <w:sz w:val="22"/>
                <w:szCs w:val="22"/>
              </w:rPr>
            </w:pPr>
            <w:r w:rsidRPr="00ED1D28">
              <w:rPr>
                <w:rFonts w:ascii="Arial" w:hAnsi="Arial" w:cs="Arial"/>
                <w:color w:val="000000"/>
                <w:sz w:val="22"/>
                <w:szCs w:val="22"/>
              </w:rPr>
              <w:t>Arm</w:t>
            </w:r>
            <w:r w:rsidR="00933596" w:rsidRPr="00ED1D28">
              <w:rPr>
                <w:rFonts w:ascii="Arial" w:hAnsi="Arial" w:cs="Arial"/>
                <w:color w:val="000000"/>
                <w:sz w:val="22"/>
                <w:szCs w:val="22"/>
              </w:rPr>
              <w:t>énie</w:t>
            </w:r>
          </w:p>
        </w:tc>
        <w:tc>
          <w:tcPr>
            <w:tcW w:w="1896" w:type="dxa"/>
            <w:noWrap/>
            <w:vAlign w:val="bottom"/>
            <w:hideMark/>
          </w:tcPr>
          <w:p w14:paraId="693ED7D0" w14:textId="0B2CE8FC"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17</w:t>
            </w:r>
            <w:r w:rsidR="00B44B15" w:rsidRPr="00ED1D28">
              <w:rPr>
                <w:rFonts w:ascii="Arial" w:hAnsi="Arial" w:cs="Arial"/>
                <w:color w:val="000000"/>
                <w:sz w:val="22"/>
                <w:szCs w:val="22"/>
              </w:rPr>
              <w:t> </w:t>
            </w:r>
            <w:r w:rsidRPr="00ED1D28">
              <w:rPr>
                <w:rFonts w:ascii="Arial" w:hAnsi="Arial" w:cs="Arial"/>
                <w:color w:val="000000"/>
                <w:sz w:val="22"/>
                <w:szCs w:val="22"/>
              </w:rPr>
              <w:t>300</w:t>
            </w:r>
            <w:r w:rsidR="00B44B15" w:rsidRPr="00ED1D28">
              <w:rPr>
                <w:rFonts w:ascii="Arial" w:hAnsi="Arial" w:cs="Arial"/>
                <w:color w:val="000000"/>
                <w:sz w:val="22"/>
                <w:szCs w:val="22"/>
              </w:rPr>
              <w:t> </w:t>
            </w:r>
            <w:r w:rsidRPr="00ED1D28">
              <w:rPr>
                <w:rFonts w:ascii="Arial" w:hAnsi="Arial" w:cs="Arial"/>
                <w:color w:val="000000"/>
                <w:sz w:val="22"/>
                <w:szCs w:val="22"/>
              </w:rPr>
              <w:t xml:space="preserve">000 </w:t>
            </w:r>
          </w:p>
        </w:tc>
        <w:tc>
          <w:tcPr>
            <w:tcW w:w="2216" w:type="dxa"/>
            <w:noWrap/>
            <w:vAlign w:val="bottom"/>
            <w:hideMark/>
          </w:tcPr>
          <w:p w14:paraId="2AEA4185" w14:textId="472EADF6"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3</w:t>
            </w:r>
            <w:r w:rsidR="00B44B15" w:rsidRPr="00ED1D28">
              <w:rPr>
                <w:rFonts w:ascii="Arial" w:hAnsi="Arial" w:cs="Arial"/>
                <w:color w:val="000000"/>
                <w:sz w:val="22"/>
                <w:szCs w:val="22"/>
              </w:rPr>
              <w:t> </w:t>
            </w:r>
            <w:r w:rsidRPr="00ED1D28">
              <w:rPr>
                <w:rFonts w:ascii="Arial" w:hAnsi="Arial" w:cs="Arial"/>
                <w:color w:val="000000"/>
                <w:sz w:val="22"/>
                <w:szCs w:val="22"/>
              </w:rPr>
              <w:t>650</w:t>
            </w:r>
            <w:r w:rsidR="00B44B15" w:rsidRPr="00ED1D28">
              <w:rPr>
                <w:rFonts w:ascii="Arial" w:hAnsi="Arial" w:cs="Arial"/>
                <w:color w:val="000000"/>
                <w:sz w:val="22"/>
                <w:szCs w:val="22"/>
              </w:rPr>
              <w:t> </w:t>
            </w:r>
            <w:r w:rsidRPr="00ED1D28">
              <w:rPr>
                <w:rFonts w:ascii="Arial" w:hAnsi="Arial" w:cs="Arial"/>
                <w:color w:val="000000"/>
                <w:sz w:val="22"/>
                <w:szCs w:val="22"/>
              </w:rPr>
              <w:t xml:space="preserve">000 </w:t>
            </w:r>
          </w:p>
        </w:tc>
        <w:tc>
          <w:tcPr>
            <w:tcW w:w="2256" w:type="dxa"/>
            <w:noWrap/>
            <w:vAlign w:val="bottom"/>
            <w:hideMark/>
          </w:tcPr>
          <w:p w14:paraId="77E067ED" w14:textId="447DED5B"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5</w:t>
            </w:r>
            <w:r w:rsidR="00B44B15" w:rsidRPr="00ED1D28">
              <w:rPr>
                <w:rFonts w:ascii="Arial" w:hAnsi="Arial" w:cs="Arial"/>
                <w:color w:val="000000"/>
                <w:sz w:val="22"/>
                <w:szCs w:val="22"/>
              </w:rPr>
              <w:t> </w:t>
            </w:r>
            <w:r w:rsidRPr="00ED1D28">
              <w:rPr>
                <w:rFonts w:ascii="Arial" w:hAnsi="Arial" w:cs="Arial"/>
                <w:color w:val="000000"/>
                <w:sz w:val="22"/>
                <w:szCs w:val="22"/>
              </w:rPr>
              <w:t>750</w:t>
            </w:r>
            <w:r w:rsidR="00B44B15" w:rsidRPr="00ED1D28">
              <w:rPr>
                <w:rFonts w:ascii="Arial" w:hAnsi="Arial" w:cs="Arial"/>
                <w:color w:val="000000"/>
                <w:sz w:val="22"/>
                <w:szCs w:val="22"/>
              </w:rPr>
              <w:t> </w:t>
            </w:r>
            <w:r w:rsidRPr="00ED1D28">
              <w:rPr>
                <w:rFonts w:ascii="Arial" w:hAnsi="Arial" w:cs="Arial"/>
                <w:color w:val="000000"/>
                <w:sz w:val="22"/>
                <w:szCs w:val="22"/>
              </w:rPr>
              <w:t xml:space="preserve">000 </w:t>
            </w:r>
          </w:p>
        </w:tc>
        <w:tc>
          <w:tcPr>
            <w:tcW w:w="2016" w:type="dxa"/>
            <w:noWrap/>
            <w:vAlign w:val="bottom"/>
            <w:hideMark/>
          </w:tcPr>
          <w:p w14:paraId="76FFDC6A" w14:textId="6B026872"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26</w:t>
            </w:r>
            <w:r w:rsidR="00B44B15" w:rsidRPr="00ED1D28">
              <w:rPr>
                <w:rFonts w:ascii="Arial" w:hAnsi="Arial" w:cs="Arial"/>
                <w:color w:val="000000"/>
                <w:sz w:val="22"/>
                <w:szCs w:val="22"/>
              </w:rPr>
              <w:t> </w:t>
            </w:r>
            <w:r w:rsidRPr="00ED1D28">
              <w:rPr>
                <w:rFonts w:ascii="Arial" w:hAnsi="Arial" w:cs="Arial"/>
                <w:color w:val="000000"/>
                <w:sz w:val="22"/>
                <w:szCs w:val="22"/>
              </w:rPr>
              <w:t>700</w:t>
            </w:r>
            <w:r w:rsidR="00B44B15" w:rsidRPr="00ED1D28">
              <w:rPr>
                <w:rFonts w:ascii="Arial" w:hAnsi="Arial" w:cs="Arial"/>
                <w:color w:val="000000"/>
                <w:sz w:val="22"/>
                <w:szCs w:val="22"/>
              </w:rPr>
              <w:t> </w:t>
            </w:r>
            <w:r w:rsidRPr="00ED1D28">
              <w:rPr>
                <w:rFonts w:ascii="Arial" w:hAnsi="Arial" w:cs="Arial"/>
                <w:color w:val="000000"/>
                <w:sz w:val="22"/>
                <w:szCs w:val="22"/>
              </w:rPr>
              <w:t xml:space="preserve">000 </w:t>
            </w:r>
          </w:p>
        </w:tc>
      </w:tr>
      <w:tr w:rsidR="00A46099" w:rsidRPr="00ED1D28" w14:paraId="73545C3C" w14:textId="77777777" w:rsidTr="00C60794">
        <w:trPr>
          <w:trHeight w:val="288"/>
        </w:trPr>
        <w:tc>
          <w:tcPr>
            <w:tcW w:w="1560" w:type="dxa"/>
            <w:noWrap/>
            <w:vAlign w:val="bottom"/>
            <w:hideMark/>
          </w:tcPr>
          <w:p w14:paraId="3698ECD5" w14:textId="77777777" w:rsidR="00A46099" w:rsidRPr="00ED1D28" w:rsidRDefault="00A46099" w:rsidP="00C60794">
            <w:pPr>
              <w:suppressLineNumbers/>
              <w:suppressAutoHyphens/>
              <w:adjustRightInd w:val="0"/>
              <w:snapToGrid w:val="0"/>
              <w:ind w:left="176"/>
              <w:rPr>
                <w:rFonts w:ascii="Arial" w:hAnsi="Arial" w:cs="Arial"/>
                <w:color w:val="000000"/>
                <w:sz w:val="22"/>
                <w:szCs w:val="22"/>
              </w:rPr>
            </w:pPr>
            <w:r w:rsidRPr="00ED1D28">
              <w:rPr>
                <w:rFonts w:ascii="Arial" w:hAnsi="Arial" w:cs="Arial"/>
                <w:color w:val="000000"/>
                <w:sz w:val="22"/>
                <w:szCs w:val="22"/>
              </w:rPr>
              <w:t>Bahamas</w:t>
            </w:r>
          </w:p>
        </w:tc>
        <w:tc>
          <w:tcPr>
            <w:tcW w:w="1896" w:type="dxa"/>
            <w:noWrap/>
            <w:vAlign w:val="bottom"/>
            <w:hideMark/>
          </w:tcPr>
          <w:p w14:paraId="23C266C5" w14:textId="6882866F"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2</w:t>
            </w:r>
            <w:r w:rsidR="00B44B15" w:rsidRPr="00ED1D28">
              <w:rPr>
                <w:rFonts w:ascii="Arial" w:hAnsi="Arial" w:cs="Arial"/>
                <w:color w:val="000000"/>
                <w:sz w:val="22"/>
                <w:szCs w:val="22"/>
              </w:rPr>
              <w:t> </w:t>
            </w:r>
            <w:r w:rsidRPr="00ED1D28">
              <w:rPr>
                <w:rFonts w:ascii="Arial" w:hAnsi="Arial" w:cs="Arial"/>
                <w:color w:val="000000"/>
                <w:sz w:val="22"/>
                <w:szCs w:val="22"/>
              </w:rPr>
              <w:t>500</w:t>
            </w:r>
            <w:r w:rsidR="00B44B15" w:rsidRPr="00ED1D28">
              <w:rPr>
                <w:rFonts w:ascii="Arial" w:hAnsi="Arial" w:cs="Arial"/>
                <w:color w:val="000000"/>
                <w:sz w:val="22"/>
                <w:szCs w:val="22"/>
              </w:rPr>
              <w:t> </w:t>
            </w:r>
            <w:r w:rsidRPr="00ED1D28">
              <w:rPr>
                <w:rFonts w:ascii="Arial" w:hAnsi="Arial" w:cs="Arial"/>
                <w:color w:val="000000"/>
                <w:sz w:val="22"/>
                <w:szCs w:val="22"/>
              </w:rPr>
              <w:t xml:space="preserve">000 </w:t>
            </w:r>
          </w:p>
        </w:tc>
        <w:tc>
          <w:tcPr>
            <w:tcW w:w="2216" w:type="dxa"/>
            <w:noWrap/>
            <w:vAlign w:val="bottom"/>
            <w:hideMark/>
          </w:tcPr>
          <w:p w14:paraId="73ED60AA" w14:textId="2A152BB2"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1</w:t>
            </w:r>
            <w:r w:rsidR="00B44B15" w:rsidRPr="00ED1D28">
              <w:rPr>
                <w:rFonts w:ascii="Arial" w:hAnsi="Arial" w:cs="Arial"/>
                <w:color w:val="000000"/>
                <w:sz w:val="22"/>
                <w:szCs w:val="22"/>
              </w:rPr>
              <w:t> </w:t>
            </w:r>
            <w:r w:rsidRPr="00ED1D28">
              <w:rPr>
                <w:rFonts w:ascii="Arial" w:hAnsi="Arial" w:cs="Arial"/>
                <w:color w:val="000000"/>
                <w:sz w:val="22"/>
                <w:szCs w:val="22"/>
              </w:rPr>
              <w:t>000</w:t>
            </w:r>
            <w:r w:rsidR="00B44B15" w:rsidRPr="00ED1D28">
              <w:rPr>
                <w:rFonts w:ascii="Arial" w:hAnsi="Arial" w:cs="Arial"/>
                <w:color w:val="000000"/>
                <w:sz w:val="22"/>
                <w:szCs w:val="22"/>
              </w:rPr>
              <w:t> </w:t>
            </w:r>
            <w:r w:rsidRPr="00ED1D28">
              <w:rPr>
                <w:rFonts w:ascii="Arial" w:hAnsi="Arial" w:cs="Arial"/>
                <w:color w:val="000000"/>
                <w:sz w:val="22"/>
                <w:szCs w:val="22"/>
              </w:rPr>
              <w:t xml:space="preserve">000 </w:t>
            </w:r>
          </w:p>
        </w:tc>
        <w:tc>
          <w:tcPr>
            <w:tcW w:w="2256" w:type="dxa"/>
            <w:noWrap/>
            <w:vAlign w:val="bottom"/>
            <w:hideMark/>
          </w:tcPr>
          <w:p w14:paraId="74A25670" w14:textId="77777777" w:rsidR="00A46099" w:rsidRPr="00ED1D28" w:rsidRDefault="00A46099" w:rsidP="00C60794">
            <w:pPr>
              <w:suppressLineNumbers/>
              <w:suppressAutoHyphens/>
              <w:adjustRightInd w:val="0"/>
              <w:snapToGrid w:val="0"/>
              <w:jc w:val="right"/>
              <w:rPr>
                <w:rFonts w:ascii="Arial" w:hAnsi="Arial" w:cs="Arial"/>
                <w:color w:val="000000"/>
                <w:sz w:val="22"/>
                <w:szCs w:val="22"/>
              </w:rPr>
            </w:pPr>
          </w:p>
        </w:tc>
        <w:tc>
          <w:tcPr>
            <w:tcW w:w="2016" w:type="dxa"/>
            <w:noWrap/>
            <w:vAlign w:val="bottom"/>
            <w:hideMark/>
          </w:tcPr>
          <w:p w14:paraId="12DAEA1F" w14:textId="3919CD9C"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2</w:t>
            </w:r>
            <w:r w:rsidR="00B44B15" w:rsidRPr="00ED1D28">
              <w:rPr>
                <w:rFonts w:ascii="Arial" w:hAnsi="Arial" w:cs="Arial"/>
                <w:color w:val="000000"/>
                <w:sz w:val="22"/>
                <w:szCs w:val="22"/>
              </w:rPr>
              <w:t> </w:t>
            </w:r>
            <w:r w:rsidRPr="00ED1D28">
              <w:rPr>
                <w:rFonts w:ascii="Arial" w:hAnsi="Arial" w:cs="Arial"/>
                <w:color w:val="000000"/>
                <w:sz w:val="22"/>
                <w:szCs w:val="22"/>
              </w:rPr>
              <w:t>500</w:t>
            </w:r>
            <w:r w:rsidR="00B44B15" w:rsidRPr="00ED1D28">
              <w:rPr>
                <w:rFonts w:ascii="Arial" w:hAnsi="Arial" w:cs="Arial"/>
                <w:color w:val="000000"/>
                <w:sz w:val="22"/>
                <w:szCs w:val="22"/>
              </w:rPr>
              <w:t> </w:t>
            </w:r>
            <w:r w:rsidRPr="00ED1D28">
              <w:rPr>
                <w:rFonts w:ascii="Arial" w:hAnsi="Arial" w:cs="Arial"/>
                <w:color w:val="000000"/>
                <w:sz w:val="22"/>
                <w:szCs w:val="22"/>
              </w:rPr>
              <w:t xml:space="preserve">000 </w:t>
            </w:r>
          </w:p>
        </w:tc>
      </w:tr>
      <w:tr w:rsidR="00A46099" w:rsidRPr="00ED1D28" w14:paraId="63DB2687" w14:textId="77777777" w:rsidTr="00C60794">
        <w:trPr>
          <w:trHeight w:val="288"/>
        </w:trPr>
        <w:tc>
          <w:tcPr>
            <w:tcW w:w="1560" w:type="dxa"/>
            <w:noWrap/>
            <w:vAlign w:val="bottom"/>
            <w:hideMark/>
          </w:tcPr>
          <w:p w14:paraId="066353C0" w14:textId="29D4590B" w:rsidR="00A46099" w:rsidRPr="00ED1D28" w:rsidRDefault="00A46099" w:rsidP="00C60794">
            <w:pPr>
              <w:suppressLineNumbers/>
              <w:suppressAutoHyphens/>
              <w:adjustRightInd w:val="0"/>
              <w:snapToGrid w:val="0"/>
              <w:ind w:left="176"/>
              <w:rPr>
                <w:rFonts w:ascii="Arial" w:hAnsi="Arial" w:cs="Arial"/>
                <w:color w:val="000000"/>
                <w:sz w:val="22"/>
                <w:szCs w:val="22"/>
              </w:rPr>
            </w:pPr>
            <w:r w:rsidRPr="00ED1D28">
              <w:rPr>
                <w:rFonts w:ascii="Arial" w:hAnsi="Arial" w:cs="Arial"/>
                <w:color w:val="000000"/>
                <w:sz w:val="22"/>
                <w:szCs w:val="22"/>
              </w:rPr>
              <w:t>B</w:t>
            </w:r>
            <w:r w:rsidR="00B44B15" w:rsidRPr="00ED1D28">
              <w:rPr>
                <w:rFonts w:ascii="Arial" w:hAnsi="Arial" w:cs="Arial"/>
                <w:color w:val="000000"/>
                <w:sz w:val="22"/>
                <w:szCs w:val="22"/>
              </w:rPr>
              <w:t>é</w:t>
            </w:r>
            <w:r w:rsidRPr="00ED1D28">
              <w:rPr>
                <w:rFonts w:ascii="Arial" w:hAnsi="Arial" w:cs="Arial"/>
                <w:color w:val="000000"/>
                <w:sz w:val="22"/>
                <w:szCs w:val="22"/>
              </w:rPr>
              <w:t>larus</w:t>
            </w:r>
          </w:p>
        </w:tc>
        <w:tc>
          <w:tcPr>
            <w:tcW w:w="1896" w:type="dxa"/>
            <w:noWrap/>
            <w:vAlign w:val="bottom"/>
            <w:hideMark/>
          </w:tcPr>
          <w:p w14:paraId="2B909A3C" w14:textId="5CEB258C"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2</w:t>
            </w:r>
            <w:r w:rsidR="00B44B15" w:rsidRPr="00ED1D28">
              <w:rPr>
                <w:rFonts w:ascii="Arial" w:hAnsi="Arial" w:cs="Arial"/>
                <w:color w:val="000000"/>
                <w:sz w:val="22"/>
                <w:szCs w:val="22"/>
              </w:rPr>
              <w:t> </w:t>
            </w:r>
            <w:r w:rsidRPr="00ED1D28">
              <w:rPr>
                <w:rFonts w:ascii="Arial" w:hAnsi="Arial" w:cs="Arial"/>
                <w:color w:val="000000"/>
                <w:sz w:val="22"/>
                <w:szCs w:val="22"/>
              </w:rPr>
              <w:t>000</w:t>
            </w:r>
            <w:r w:rsidR="00B44B15" w:rsidRPr="00ED1D28">
              <w:rPr>
                <w:rFonts w:ascii="Arial" w:hAnsi="Arial" w:cs="Arial"/>
                <w:color w:val="000000"/>
                <w:sz w:val="22"/>
                <w:szCs w:val="22"/>
              </w:rPr>
              <w:t> </w:t>
            </w:r>
            <w:r w:rsidRPr="00ED1D28">
              <w:rPr>
                <w:rFonts w:ascii="Arial" w:hAnsi="Arial" w:cs="Arial"/>
                <w:color w:val="000000"/>
                <w:sz w:val="22"/>
                <w:szCs w:val="22"/>
              </w:rPr>
              <w:t xml:space="preserve">000 </w:t>
            </w:r>
          </w:p>
        </w:tc>
        <w:tc>
          <w:tcPr>
            <w:tcW w:w="2216" w:type="dxa"/>
            <w:noWrap/>
            <w:vAlign w:val="bottom"/>
            <w:hideMark/>
          </w:tcPr>
          <w:p w14:paraId="6579AD16" w14:textId="77777777" w:rsidR="00A46099" w:rsidRPr="00ED1D28" w:rsidRDefault="00A46099" w:rsidP="00C60794">
            <w:pPr>
              <w:suppressLineNumbers/>
              <w:suppressAutoHyphens/>
              <w:adjustRightInd w:val="0"/>
              <w:snapToGrid w:val="0"/>
              <w:jc w:val="right"/>
              <w:rPr>
                <w:rFonts w:ascii="Arial" w:hAnsi="Arial" w:cs="Arial"/>
                <w:color w:val="000000"/>
                <w:sz w:val="22"/>
                <w:szCs w:val="22"/>
              </w:rPr>
            </w:pPr>
          </w:p>
        </w:tc>
        <w:tc>
          <w:tcPr>
            <w:tcW w:w="2256" w:type="dxa"/>
            <w:noWrap/>
            <w:vAlign w:val="bottom"/>
            <w:hideMark/>
          </w:tcPr>
          <w:p w14:paraId="07F2152A" w14:textId="77777777" w:rsidR="00A46099" w:rsidRPr="00ED1D28" w:rsidRDefault="00A46099" w:rsidP="00C60794">
            <w:pPr>
              <w:suppressLineNumbers/>
              <w:suppressAutoHyphens/>
              <w:adjustRightInd w:val="0"/>
              <w:snapToGrid w:val="0"/>
              <w:jc w:val="right"/>
              <w:rPr>
                <w:rFonts w:ascii="Arial" w:hAnsi="Arial" w:cs="Arial"/>
                <w:sz w:val="22"/>
                <w:szCs w:val="22"/>
                <w:lang w:eastAsia="en-CA"/>
              </w:rPr>
            </w:pPr>
          </w:p>
        </w:tc>
        <w:tc>
          <w:tcPr>
            <w:tcW w:w="2016" w:type="dxa"/>
            <w:noWrap/>
            <w:vAlign w:val="bottom"/>
            <w:hideMark/>
          </w:tcPr>
          <w:p w14:paraId="6D229C82" w14:textId="4D41AA7E" w:rsidR="00A46099" w:rsidRPr="00ED1D28" w:rsidRDefault="00A46099" w:rsidP="00C60794">
            <w:pPr>
              <w:suppressLineNumbers/>
              <w:suppressAutoHyphens/>
              <w:adjustRightInd w:val="0"/>
              <w:snapToGrid w:val="0"/>
              <w:jc w:val="right"/>
              <w:rPr>
                <w:rFonts w:ascii="Arial" w:hAnsi="Arial" w:cs="Arial"/>
                <w:sz w:val="22"/>
                <w:szCs w:val="22"/>
              </w:rPr>
            </w:pPr>
            <w:r w:rsidRPr="00ED1D28">
              <w:rPr>
                <w:rFonts w:ascii="Arial" w:hAnsi="Arial" w:cs="Arial"/>
                <w:color w:val="000000"/>
                <w:sz w:val="22"/>
                <w:szCs w:val="22"/>
              </w:rPr>
              <w:t>2</w:t>
            </w:r>
            <w:r w:rsidR="00B44B15" w:rsidRPr="00ED1D28">
              <w:rPr>
                <w:rFonts w:ascii="Arial" w:hAnsi="Arial" w:cs="Arial"/>
                <w:color w:val="000000"/>
                <w:sz w:val="22"/>
                <w:szCs w:val="22"/>
              </w:rPr>
              <w:t> </w:t>
            </w:r>
            <w:r w:rsidRPr="00ED1D28">
              <w:rPr>
                <w:rFonts w:ascii="Arial" w:hAnsi="Arial" w:cs="Arial"/>
                <w:color w:val="000000"/>
                <w:sz w:val="22"/>
                <w:szCs w:val="22"/>
              </w:rPr>
              <w:t>000</w:t>
            </w:r>
            <w:r w:rsidR="00B44B15" w:rsidRPr="00ED1D28">
              <w:rPr>
                <w:rFonts w:ascii="Arial" w:hAnsi="Arial" w:cs="Arial"/>
                <w:color w:val="000000"/>
                <w:sz w:val="22"/>
                <w:szCs w:val="22"/>
              </w:rPr>
              <w:t> </w:t>
            </w:r>
            <w:r w:rsidRPr="00ED1D28">
              <w:rPr>
                <w:rFonts w:ascii="Arial" w:hAnsi="Arial" w:cs="Arial"/>
                <w:color w:val="000000"/>
                <w:sz w:val="22"/>
                <w:szCs w:val="22"/>
              </w:rPr>
              <w:t>000</w:t>
            </w:r>
          </w:p>
        </w:tc>
      </w:tr>
      <w:tr w:rsidR="00A46099" w:rsidRPr="00ED1D28" w14:paraId="69039A78" w14:textId="77777777" w:rsidTr="00C60794">
        <w:trPr>
          <w:trHeight w:val="288"/>
        </w:trPr>
        <w:tc>
          <w:tcPr>
            <w:tcW w:w="1560" w:type="dxa"/>
            <w:noWrap/>
            <w:vAlign w:val="bottom"/>
            <w:hideMark/>
          </w:tcPr>
          <w:p w14:paraId="6961FA42" w14:textId="77777777" w:rsidR="00A46099" w:rsidRPr="00ED1D28" w:rsidRDefault="00A46099" w:rsidP="00C60794">
            <w:pPr>
              <w:suppressLineNumbers/>
              <w:suppressAutoHyphens/>
              <w:adjustRightInd w:val="0"/>
              <w:snapToGrid w:val="0"/>
              <w:ind w:left="176"/>
              <w:rPr>
                <w:rFonts w:ascii="Arial" w:hAnsi="Arial" w:cs="Arial"/>
                <w:color w:val="000000"/>
                <w:sz w:val="22"/>
                <w:szCs w:val="22"/>
              </w:rPr>
            </w:pPr>
          </w:p>
          <w:p w14:paraId="6ECAA16C" w14:textId="27115F68" w:rsidR="00A46099" w:rsidRPr="00ED1D28" w:rsidRDefault="00B44B15" w:rsidP="00C60794">
            <w:pPr>
              <w:suppressLineNumbers/>
              <w:suppressAutoHyphens/>
              <w:adjustRightInd w:val="0"/>
              <w:snapToGrid w:val="0"/>
              <w:ind w:left="176"/>
              <w:rPr>
                <w:rFonts w:ascii="Arial" w:hAnsi="Arial" w:cs="Arial"/>
                <w:color w:val="000000"/>
                <w:sz w:val="22"/>
                <w:szCs w:val="22"/>
              </w:rPr>
            </w:pPr>
            <w:r w:rsidRPr="00ED1D28">
              <w:rPr>
                <w:rFonts w:ascii="Arial" w:hAnsi="Arial" w:cs="Arial"/>
                <w:color w:val="000000"/>
                <w:sz w:val="22"/>
                <w:szCs w:val="22"/>
              </w:rPr>
              <w:t>République</w:t>
            </w:r>
            <w:r w:rsidR="00A46099" w:rsidRPr="00ED1D28">
              <w:rPr>
                <w:rFonts w:ascii="Arial" w:hAnsi="Arial" w:cs="Arial"/>
                <w:color w:val="000000"/>
                <w:sz w:val="22"/>
                <w:szCs w:val="22"/>
              </w:rPr>
              <w:t xml:space="preserve"> </w:t>
            </w:r>
            <w:r w:rsidRPr="00ED1D28">
              <w:rPr>
                <w:rFonts w:ascii="Arial" w:hAnsi="Arial" w:cs="Arial"/>
                <w:color w:val="000000"/>
                <w:sz w:val="22"/>
                <w:szCs w:val="22"/>
              </w:rPr>
              <w:t>centrafricaine</w:t>
            </w:r>
          </w:p>
        </w:tc>
        <w:tc>
          <w:tcPr>
            <w:tcW w:w="1896" w:type="dxa"/>
            <w:noWrap/>
            <w:vAlign w:val="bottom"/>
            <w:hideMark/>
          </w:tcPr>
          <w:p w14:paraId="6E9F9834" w14:textId="6B9C4F83"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23</w:t>
            </w:r>
            <w:r w:rsidR="00670CF9" w:rsidRPr="00ED1D28">
              <w:rPr>
                <w:rFonts w:ascii="Arial" w:hAnsi="Arial" w:cs="Arial"/>
                <w:color w:val="000000"/>
                <w:sz w:val="22"/>
                <w:szCs w:val="22"/>
              </w:rPr>
              <w:t> </w:t>
            </w:r>
            <w:r w:rsidRPr="00ED1D28">
              <w:rPr>
                <w:rFonts w:ascii="Arial" w:hAnsi="Arial" w:cs="Arial"/>
                <w:color w:val="000000"/>
                <w:sz w:val="22"/>
                <w:szCs w:val="22"/>
              </w:rPr>
              <w:t>488</w:t>
            </w:r>
            <w:r w:rsidR="00670CF9" w:rsidRPr="00ED1D28">
              <w:rPr>
                <w:rFonts w:ascii="Arial" w:hAnsi="Arial" w:cs="Arial"/>
                <w:color w:val="000000"/>
                <w:sz w:val="22"/>
                <w:szCs w:val="22"/>
              </w:rPr>
              <w:t> </w:t>
            </w:r>
            <w:r w:rsidRPr="00ED1D28">
              <w:rPr>
                <w:rFonts w:ascii="Arial" w:hAnsi="Arial" w:cs="Arial"/>
                <w:color w:val="000000"/>
                <w:sz w:val="22"/>
                <w:szCs w:val="22"/>
              </w:rPr>
              <w:t xml:space="preserve">724 </w:t>
            </w:r>
          </w:p>
        </w:tc>
        <w:tc>
          <w:tcPr>
            <w:tcW w:w="2216" w:type="dxa"/>
            <w:noWrap/>
            <w:vAlign w:val="bottom"/>
            <w:hideMark/>
          </w:tcPr>
          <w:p w14:paraId="7B9EF959" w14:textId="4DF7BE86"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1</w:t>
            </w:r>
            <w:r w:rsidR="00670CF9" w:rsidRPr="00ED1D28">
              <w:rPr>
                <w:rFonts w:ascii="Arial" w:hAnsi="Arial" w:cs="Arial"/>
                <w:color w:val="000000"/>
                <w:sz w:val="22"/>
                <w:szCs w:val="22"/>
              </w:rPr>
              <w:t> </w:t>
            </w:r>
            <w:r w:rsidRPr="00ED1D28">
              <w:rPr>
                <w:rFonts w:ascii="Arial" w:hAnsi="Arial" w:cs="Arial"/>
                <w:color w:val="000000"/>
                <w:sz w:val="22"/>
                <w:szCs w:val="22"/>
              </w:rPr>
              <w:t>824</w:t>
            </w:r>
            <w:r w:rsidR="00670CF9" w:rsidRPr="00ED1D28">
              <w:rPr>
                <w:rFonts w:ascii="Arial" w:hAnsi="Arial" w:cs="Arial"/>
                <w:color w:val="000000"/>
                <w:sz w:val="22"/>
                <w:szCs w:val="22"/>
              </w:rPr>
              <w:t> </w:t>
            </w:r>
            <w:r w:rsidRPr="00ED1D28">
              <w:rPr>
                <w:rFonts w:ascii="Arial" w:hAnsi="Arial" w:cs="Arial"/>
                <w:color w:val="000000"/>
                <w:sz w:val="22"/>
                <w:szCs w:val="22"/>
              </w:rPr>
              <w:t xml:space="preserve">890 </w:t>
            </w:r>
          </w:p>
        </w:tc>
        <w:tc>
          <w:tcPr>
            <w:tcW w:w="2256" w:type="dxa"/>
            <w:noWrap/>
            <w:vAlign w:val="bottom"/>
            <w:hideMark/>
          </w:tcPr>
          <w:p w14:paraId="1CD0D248" w14:textId="77777777" w:rsidR="00A46099" w:rsidRPr="00ED1D28" w:rsidRDefault="00A46099" w:rsidP="00C60794">
            <w:pPr>
              <w:suppressLineNumbers/>
              <w:suppressAutoHyphens/>
              <w:adjustRightInd w:val="0"/>
              <w:snapToGrid w:val="0"/>
              <w:jc w:val="right"/>
              <w:rPr>
                <w:rFonts w:ascii="Arial" w:hAnsi="Arial" w:cs="Arial"/>
                <w:color w:val="000000"/>
                <w:sz w:val="22"/>
                <w:szCs w:val="22"/>
              </w:rPr>
            </w:pPr>
          </w:p>
        </w:tc>
        <w:tc>
          <w:tcPr>
            <w:tcW w:w="2016" w:type="dxa"/>
            <w:noWrap/>
            <w:vAlign w:val="bottom"/>
            <w:hideMark/>
          </w:tcPr>
          <w:p w14:paraId="121FCCE1" w14:textId="4453D5FA"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25</w:t>
            </w:r>
            <w:r w:rsidR="00670CF9" w:rsidRPr="00ED1D28">
              <w:rPr>
                <w:rFonts w:ascii="Arial" w:hAnsi="Arial" w:cs="Arial"/>
                <w:color w:val="000000"/>
                <w:sz w:val="22"/>
                <w:szCs w:val="22"/>
              </w:rPr>
              <w:t> </w:t>
            </w:r>
            <w:r w:rsidRPr="00ED1D28">
              <w:rPr>
                <w:rFonts w:ascii="Arial" w:hAnsi="Arial" w:cs="Arial"/>
                <w:color w:val="000000"/>
                <w:sz w:val="22"/>
                <w:szCs w:val="22"/>
              </w:rPr>
              <w:t>313</w:t>
            </w:r>
            <w:r w:rsidR="00670CF9" w:rsidRPr="00ED1D28">
              <w:rPr>
                <w:rFonts w:ascii="Arial" w:hAnsi="Arial" w:cs="Arial"/>
                <w:color w:val="000000"/>
                <w:sz w:val="22"/>
                <w:szCs w:val="22"/>
              </w:rPr>
              <w:t> </w:t>
            </w:r>
            <w:r w:rsidRPr="00ED1D28">
              <w:rPr>
                <w:rFonts w:ascii="Arial" w:hAnsi="Arial" w:cs="Arial"/>
                <w:color w:val="000000"/>
                <w:sz w:val="22"/>
                <w:szCs w:val="22"/>
              </w:rPr>
              <w:t xml:space="preserve">614 </w:t>
            </w:r>
          </w:p>
        </w:tc>
      </w:tr>
      <w:tr w:rsidR="00A46099" w:rsidRPr="00ED1D28" w14:paraId="6E6FD44F" w14:textId="77777777" w:rsidTr="00C60794">
        <w:trPr>
          <w:trHeight w:val="288"/>
        </w:trPr>
        <w:tc>
          <w:tcPr>
            <w:tcW w:w="1560" w:type="dxa"/>
            <w:noWrap/>
            <w:vAlign w:val="bottom"/>
            <w:hideMark/>
          </w:tcPr>
          <w:p w14:paraId="4A49D96A" w14:textId="69B3CE50" w:rsidR="00A46099" w:rsidRPr="00ED1D28" w:rsidRDefault="00A46099" w:rsidP="00C60794">
            <w:pPr>
              <w:suppressLineNumbers/>
              <w:suppressAutoHyphens/>
              <w:adjustRightInd w:val="0"/>
              <w:snapToGrid w:val="0"/>
              <w:ind w:left="176"/>
              <w:rPr>
                <w:rFonts w:ascii="Arial" w:hAnsi="Arial" w:cs="Arial"/>
                <w:color w:val="000000"/>
                <w:sz w:val="22"/>
                <w:szCs w:val="22"/>
              </w:rPr>
            </w:pPr>
            <w:r w:rsidRPr="00ED1D28">
              <w:rPr>
                <w:rFonts w:ascii="Arial" w:hAnsi="Arial" w:cs="Arial"/>
                <w:color w:val="000000"/>
                <w:sz w:val="22"/>
                <w:szCs w:val="22"/>
              </w:rPr>
              <w:t>Comor</w:t>
            </w:r>
            <w:r w:rsidR="00670CF9" w:rsidRPr="00ED1D28">
              <w:rPr>
                <w:rFonts w:ascii="Arial" w:hAnsi="Arial" w:cs="Arial"/>
                <w:color w:val="000000"/>
                <w:sz w:val="22"/>
                <w:szCs w:val="22"/>
              </w:rPr>
              <w:t>e</w:t>
            </w:r>
            <w:r w:rsidRPr="00ED1D28">
              <w:rPr>
                <w:rFonts w:ascii="Arial" w:hAnsi="Arial" w:cs="Arial"/>
                <w:color w:val="000000"/>
                <w:sz w:val="22"/>
                <w:szCs w:val="22"/>
              </w:rPr>
              <w:t>s</w:t>
            </w:r>
          </w:p>
        </w:tc>
        <w:tc>
          <w:tcPr>
            <w:tcW w:w="1896" w:type="dxa"/>
            <w:noWrap/>
            <w:vAlign w:val="bottom"/>
            <w:hideMark/>
          </w:tcPr>
          <w:p w14:paraId="0E269FF6" w14:textId="5FE01EBF"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5</w:t>
            </w:r>
            <w:r w:rsidR="00670CF9" w:rsidRPr="00ED1D28">
              <w:rPr>
                <w:rFonts w:ascii="Arial" w:hAnsi="Arial" w:cs="Arial"/>
                <w:color w:val="000000"/>
                <w:sz w:val="22"/>
                <w:szCs w:val="22"/>
              </w:rPr>
              <w:t> </w:t>
            </w:r>
            <w:r w:rsidRPr="00ED1D28">
              <w:rPr>
                <w:rFonts w:ascii="Arial" w:hAnsi="Arial" w:cs="Arial"/>
                <w:color w:val="000000"/>
                <w:sz w:val="22"/>
                <w:szCs w:val="22"/>
              </w:rPr>
              <w:t>935</w:t>
            </w:r>
            <w:r w:rsidR="00670CF9" w:rsidRPr="00ED1D28">
              <w:rPr>
                <w:rFonts w:ascii="Arial" w:hAnsi="Arial" w:cs="Arial"/>
                <w:color w:val="000000"/>
                <w:sz w:val="22"/>
                <w:szCs w:val="22"/>
              </w:rPr>
              <w:t> </w:t>
            </w:r>
            <w:r w:rsidRPr="00ED1D28">
              <w:rPr>
                <w:rFonts w:ascii="Arial" w:hAnsi="Arial" w:cs="Arial"/>
                <w:color w:val="000000"/>
                <w:sz w:val="22"/>
                <w:szCs w:val="22"/>
              </w:rPr>
              <w:t xml:space="preserve">000 </w:t>
            </w:r>
          </w:p>
        </w:tc>
        <w:tc>
          <w:tcPr>
            <w:tcW w:w="2216" w:type="dxa"/>
            <w:noWrap/>
            <w:vAlign w:val="bottom"/>
            <w:hideMark/>
          </w:tcPr>
          <w:p w14:paraId="7AD35BC8" w14:textId="43AC7E0A"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15</w:t>
            </w:r>
            <w:r w:rsidR="00670CF9" w:rsidRPr="00ED1D28">
              <w:rPr>
                <w:rFonts w:ascii="Arial" w:hAnsi="Arial" w:cs="Arial"/>
                <w:color w:val="000000"/>
                <w:sz w:val="22"/>
                <w:szCs w:val="22"/>
              </w:rPr>
              <w:t> </w:t>
            </w:r>
            <w:r w:rsidRPr="00ED1D28">
              <w:rPr>
                <w:rFonts w:ascii="Arial" w:hAnsi="Arial" w:cs="Arial"/>
                <w:color w:val="000000"/>
                <w:sz w:val="22"/>
                <w:szCs w:val="22"/>
              </w:rPr>
              <w:t xml:space="preserve">000 </w:t>
            </w:r>
          </w:p>
        </w:tc>
        <w:tc>
          <w:tcPr>
            <w:tcW w:w="2256" w:type="dxa"/>
            <w:noWrap/>
            <w:vAlign w:val="bottom"/>
            <w:hideMark/>
          </w:tcPr>
          <w:p w14:paraId="1975096F" w14:textId="0E0E95FC"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50</w:t>
            </w:r>
            <w:r w:rsidR="00670CF9" w:rsidRPr="00ED1D28">
              <w:rPr>
                <w:rFonts w:ascii="Arial" w:hAnsi="Arial" w:cs="Arial"/>
                <w:color w:val="000000"/>
                <w:sz w:val="22"/>
                <w:szCs w:val="22"/>
              </w:rPr>
              <w:t> </w:t>
            </w:r>
            <w:r w:rsidRPr="00ED1D28">
              <w:rPr>
                <w:rFonts w:ascii="Arial" w:hAnsi="Arial" w:cs="Arial"/>
                <w:color w:val="000000"/>
                <w:sz w:val="22"/>
                <w:szCs w:val="22"/>
              </w:rPr>
              <w:t xml:space="preserve">000 </w:t>
            </w:r>
          </w:p>
        </w:tc>
        <w:tc>
          <w:tcPr>
            <w:tcW w:w="2016" w:type="dxa"/>
            <w:noWrap/>
            <w:vAlign w:val="bottom"/>
            <w:hideMark/>
          </w:tcPr>
          <w:p w14:paraId="39F7B1E1" w14:textId="1ECF428F"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6</w:t>
            </w:r>
            <w:r w:rsidR="00670CF9" w:rsidRPr="00ED1D28">
              <w:rPr>
                <w:rFonts w:ascii="Arial" w:hAnsi="Arial" w:cs="Arial"/>
                <w:color w:val="000000"/>
                <w:sz w:val="22"/>
                <w:szCs w:val="22"/>
              </w:rPr>
              <w:t> </w:t>
            </w:r>
            <w:r w:rsidRPr="00ED1D28">
              <w:rPr>
                <w:rFonts w:ascii="Arial" w:hAnsi="Arial" w:cs="Arial"/>
                <w:color w:val="000000"/>
                <w:sz w:val="22"/>
                <w:szCs w:val="22"/>
              </w:rPr>
              <w:t>000</w:t>
            </w:r>
            <w:r w:rsidR="00670CF9" w:rsidRPr="00ED1D28">
              <w:rPr>
                <w:rFonts w:ascii="Arial" w:hAnsi="Arial" w:cs="Arial"/>
                <w:color w:val="000000"/>
                <w:sz w:val="22"/>
                <w:szCs w:val="22"/>
              </w:rPr>
              <w:t> </w:t>
            </w:r>
            <w:r w:rsidRPr="00ED1D28">
              <w:rPr>
                <w:rFonts w:ascii="Arial" w:hAnsi="Arial" w:cs="Arial"/>
                <w:color w:val="000000"/>
                <w:sz w:val="22"/>
                <w:szCs w:val="22"/>
              </w:rPr>
              <w:t xml:space="preserve">000 </w:t>
            </w:r>
          </w:p>
        </w:tc>
      </w:tr>
      <w:tr w:rsidR="00A46099" w:rsidRPr="00ED1D28" w14:paraId="150206E9" w14:textId="77777777" w:rsidTr="00C60794">
        <w:trPr>
          <w:trHeight w:val="288"/>
        </w:trPr>
        <w:tc>
          <w:tcPr>
            <w:tcW w:w="1560" w:type="dxa"/>
            <w:noWrap/>
            <w:vAlign w:val="bottom"/>
            <w:hideMark/>
          </w:tcPr>
          <w:p w14:paraId="5330D727" w14:textId="77777777" w:rsidR="00A46099" w:rsidRPr="00ED1D28" w:rsidRDefault="00A46099" w:rsidP="00C60794">
            <w:pPr>
              <w:suppressLineNumbers/>
              <w:suppressAutoHyphens/>
              <w:adjustRightInd w:val="0"/>
              <w:snapToGrid w:val="0"/>
              <w:ind w:left="176"/>
              <w:rPr>
                <w:rFonts w:ascii="Arial" w:hAnsi="Arial" w:cs="Arial"/>
                <w:color w:val="000000"/>
                <w:sz w:val="22"/>
                <w:szCs w:val="22"/>
              </w:rPr>
            </w:pPr>
            <w:r w:rsidRPr="00ED1D28">
              <w:rPr>
                <w:rFonts w:ascii="Arial" w:hAnsi="Arial" w:cs="Arial"/>
                <w:color w:val="000000"/>
                <w:sz w:val="22"/>
                <w:szCs w:val="22"/>
              </w:rPr>
              <w:t>Costa Rica</w:t>
            </w:r>
          </w:p>
        </w:tc>
        <w:tc>
          <w:tcPr>
            <w:tcW w:w="1896" w:type="dxa"/>
            <w:noWrap/>
            <w:vAlign w:val="bottom"/>
            <w:hideMark/>
          </w:tcPr>
          <w:p w14:paraId="13BAE822" w14:textId="7C5379F2"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55</w:t>
            </w:r>
            <w:r w:rsidR="00670CF9" w:rsidRPr="00ED1D28">
              <w:rPr>
                <w:rFonts w:ascii="Arial" w:hAnsi="Arial" w:cs="Arial"/>
                <w:color w:val="000000"/>
                <w:sz w:val="22"/>
                <w:szCs w:val="22"/>
              </w:rPr>
              <w:t> </w:t>
            </w:r>
            <w:r w:rsidRPr="00ED1D28">
              <w:rPr>
                <w:rFonts w:ascii="Arial" w:hAnsi="Arial" w:cs="Arial"/>
                <w:color w:val="000000"/>
                <w:sz w:val="22"/>
                <w:szCs w:val="22"/>
              </w:rPr>
              <w:t xml:space="preserve">000 </w:t>
            </w:r>
          </w:p>
        </w:tc>
        <w:tc>
          <w:tcPr>
            <w:tcW w:w="2216" w:type="dxa"/>
            <w:noWrap/>
            <w:vAlign w:val="bottom"/>
            <w:hideMark/>
          </w:tcPr>
          <w:p w14:paraId="04682896" w14:textId="4DD78922"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15</w:t>
            </w:r>
            <w:r w:rsidR="00670CF9" w:rsidRPr="00ED1D28">
              <w:rPr>
                <w:rFonts w:ascii="Arial" w:hAnsi="Arial" w:cs="Arial"/>
                <w:color w:val="000000"/>
                <w:sz w:val="22"/>
                <w:szCs w:val="22"/>
              </w:rPr>
              <w:t> </w:t>
            </w:r>
            <w:r w:rsidRPr="00ED1D28">
              <w:rPr>
                <w:rFonts w:ascii="Arial" w:hAnsi="Arial" w:cs="Arial"/>
                <w:color w:val="000000"/>
                <w:sz w:val="22"/>
                <w:szCs w:val="22"/>
              </w:rPr>
              <w:t xml:space="preserve">000 </w:t>
            </w:r>
          </w:p>
        </w:tc>
        <w:tc>
          <w:tcPr>
            <w:tcW w:w="2256" w:type="dxa"/>
            <w:noWrap/>
            <w:vAlign w:val="bottom"/>
            <w:hideMark/>
          </w:tcPr>
          <w:p w14:paraId="2AE9B9DE" w14:textId="77777777" w:rsidR="00A46099" w:rsidRPr="00ED1D28" w:rsidRDefault="00A46099" w:rsidP="00C60794">
            <w:pPr>
              <w:suppressLineNumbers/>
              <w:suppressAutoHyphens/>
              <w:adjustRightInd w:val="0"/>
              <w:snapToGrid w:val="0"/>
              <w:jc w:val="right"/>
              <w:rPr>
                <w:rFonts w:ascii="Arial" w:hAnsi="Arial" w:cs="Arial"/>
                <w:color w:val="000000"/>
                <w:sz w:val="22"/>
                <w:szCs w:val="22"/>
              </w:rPr>
            </w:pPr>
          </w:p>
        </w:tc>
        <w:tc>
          <w:tcPr>
            <w:tcW w:w="2016" w:type="dxa"/>
            <w:noWrap/>
            <w:vAlign w:val="bottom"/>
            <w:hideMark/>
          </w:tcPr>
          <w:p w14:paraId="638C360A" w14:textId="12EFA16E"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70</w:t>
            </w:r>
            <w:r w:rsidR="00670CF9" w:rsidRPr="00ED1D28">
              <w:rPr>
                <w:rFonts w:ascii="Arial" w:hAnsi="Arial" w:cs="Arial"/>
                <w:color w:val="000000"/>
                <w:sz w:val="22"/>
                <w:szCs w:val="22"/>
              </w:rPr>
              <w:t> </w:t>
            </w:r>
            <w:r w:rsidRPr="00ED1D28">
              <w:rPr>
                <w:rFonts w:ascii="Arial" w:hAnsi="Arial" w:cs="Arial"/>
                <w:color w:val="000000"/>
                <w:sz w:val="22"/>
                <w:szCs w:val="22"/>
              </w:rPr>
              <w:t xml:space="preserve">000 </w:t>
            </w:r>
          </w:p>
        </w:tc>
      </w:tr>
      <w:tr w:rsidR="00A46099" w:rsidRPr="00ED1D28" w14:paraId="5AA622E1" w14:textId="77777777" w:rsidTr="00C60794">
        <w:trPr>
          <w:trHeight w:val="288"/>
        </w:trPr>
        <w:tc>
          <w:tcPr>
            <w:tcW w:w="1560" w:type="dxa"/>
            <w:noWrap/>
            <w:vAlign w:val="bottom"/>
            <w:hideMark/>
          </w:tcPr>
          <w:p w14:paraId="09CFD3FE" w14:textId="75BD25E3" w:rsidR="00A46099" w:rsidRPr="00ED1D28" w:rsidRDefault="00A46099" w:rsidP="00C60794">
            <w:pPr>
              <w:suppressLineNumbers/>
              <w:suppressAutoHyphens/>
              <w:adjustRightInd w:val="0"/>
              <w:snapToGrid w:val="0"/>
              <w:ind w:left="176"/>
              <w:rPr>
                <w:rFonts w:ascii="Arial" w:hAnsi="Arial" w:cs="Arial"/>
                <w:color w:val="000000"/>
                <w:sz w:val="22"/>
                <w:szCs w:val="22"/>
              </w:rPr>
            </w:pPr>
            <w:r w:rsidRPr="00ED1D28">
              <w:rPr>
                <w:rFonts w:ascii="Arial" w:hAnsi="Arial" w:cs="Arial"/>
                <w:color w:val="000000"/>
                <w:sz w:val="22"/>
                <w:szCs w:val="22"/>
              </w:rPr>
              <w:t>G</w:t>
            </w:r>
            <w:r w:rsidR="00670CF9" w:rsidRPr="00ED1D28">
              <w:rPr>
                <w:rFonts w:ascii="Arial" w:hAnsi="Arial" w:cs="Arial"/>
                <w:color w:val="000000"/>
                <w:sz w:val="22"/>
                <w:szCs w:val="22"/>
              </w:rPr>
              <w:t>é</w:t>
            </w:r>
            <w:r w:rsidRPr="00ED1D28">
              <w:rPr>
                <w:rFonts w:ascii="Arial" w:hAnsi="Arial" w:cs="Arial"/>
                <w:color w:val="000000"/>
                <w:sz w:val="22"/>
                <w:szCs w:val="22"/>
              </w:rPr>
              <w:t>org</w:t>
            </w:r>
            <w:r w:rsidR="00670CF9" w:rsidRPr="00ED1D28">
              <w:rPr>
                <w:rFonts w:ascii="Arial" w:hAnsi="Arial" w:cs="Arial"/>
                <w:color w:val="000000"/>
                <w:sz w:val="22"/>
                <w:szCs w:val="22"/>
              </w:rPr>
              <w:t>ie</w:t>
            </w:r>
          </w:p>
        </w:tc>
        <w:tc>
          <w:tcPr>
            <w:tcW w:w="1896" w:type="dxa"/>
            <w:noWrap/>
            <w:vAlign w:val="bottom"/>
            <w:hideMark/>
          </w:tcPr>
          <w:p w14:paraId="0504655C" w14:textId="3466712D"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5</w:t>
            </w:r>
            <w:r w:rsidR="008104F6" w:rsidRPr="00ED1D28">
              <w:rPr>
                <w:rFonts w:ascii="Arial" w:hAnsi="Arial" w:cs="Arial"/>
                <w:color w:val="000000"/>
                <w:sz w:val="22"/>
                <w:szCs w:val="22"/>
              </w:rPr>
              <w:t> </w:t>
            </w:r>
            <w:r w:rsidRPr="00ED1D28">
              <w:rPr>
                <w:rFonts w:ascii="Arial" w:hAnsi="Arial" w:cs="Arial"/>
                <w:color w:val="000000"/>
                <w:sz w:val="22"/>
                <w:szCs w:val="22"/>
              </w:rPr>
              <w:t>000</w:t>
            </w:r>
            <w:r w:rsidR="008104F6" w:rsidRPr="00ED1D28">
              <w:rPr>
                <w:rFonts w:ascii="Arial" w:hAnsi="Arial" w:cs="Arial"/>
                <w:color w:val="000000"/>
                <w:sz w:val="22"/>
                <w:szCs w:val="22"/>
              </w:rPr>
              <w:t> </w:t>
            </w:r>
            <w:r w:rsidRPr="00ED1D28">
              <w:rPr>
                <w:rFonts w:ascii="Arial" w:hAnsi="Arial" w:cs="Arial"/>
                <w:color w:val="000000"/>
                <w:sz w:val="22"/>
                <w:szCs w:val="22"/>
              </w:rPr>
              <w:t xml:space="preserve">000 </w:t>
            </w:r>
          </w:p>
        </w:tc>
        <w:tc>
          <w:tcPr>
            <w:tcW w:w="2216" w:type="dxa"/>
            <w:noWrap/>
            <w:vAlign w:val="bottom"/>
            <w:hideMark/>
          </w:tcPr>
          <w:p w14:paraId="14B122BC" w14:textId="6D6A61F2"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800</w:t>
            </w:r>
            <w:r w:rsidR="008104F6" w:rsidRPr="00ED1D28">
              <w:rPr>
                <w:rFonts w:ascii="Arial" w:hAnsi="Arial" w:cs="Arial"/>
                <w:color w:val="000000"/>
                <w:sz w:val="22"/>
                <w:szCs w:val="22"/>
              </w:rPr>
              <w:t> </w:t>
            </w:r>
            <w:r w:rsidRPr="00ED1D28">
              <w:rPr>
                <w:rFonts w:ascii="Arial" w:hAnsi="Arial" w:cs="Arial"/>
                <w:color w:val="000000"/>
                <w:sz w:val="22"/>
                <w:szCs w:val="22"/>
              </w:rPr>
              <w:t xml:space="preserve">000 </w:t>
            </w:r>
          </w:p>
        </w:tc>
        <w:tc>
          <w:tcPr>
            <w:tcW w:w="2256" w:type="dxa"/>
            <w:noWrap/>
            <w:vAlign w:val="bottom"/>
            <w:hideMark/>
          </w:tcPr>
          <w:p w14:paraId="6A8E557E" w14:textId="1B82FF3D"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16</w:t>
            </w:r>
            <w:r w:rsidR="008104F6" w:rsidRPr="00ED1D28">
              <w:rPr>
                <w:rFonts w:ascii="Arial" w:hAnsi="Arial" w:cs="Arial"/>
                <w:color w:val="000000"/>
                <w:sz w:val="22"/>
                <w:szCs w:val="22"/>
              </w:rPr>
              <w:t> </w:t>
            </w:r>
            <w:r w:rsidRPr="00ED1D28">
              <w:rPr>
                <w:rFonts w:ascii="Arial" w:hAnsi="Arial" w:cs="Arial"/>
                <w:color w:val="000000"/>
                <w:sz w:val="22"/>
                <w:szCs w:val="22"/>
              </w:rPr>
              <w:t>000</w:t>
            </w:r>
            <w:r w:rsidR="008104F6" w:rsidRPr="00ED1D28">
              <w:rPr>
                <w:rFonts w:ascii="Arial" w:hAnsi="Arial" w:cs="Arial"/>
                <w:color w:val="000000"/>
                <w:sz w:val="22"/>
                <w:szCs w:val="22"/>
              </w:rPr>
              <w:t> </w:t>
            </w:r>
            <w:r w:rsidRPr="00ED1D28">
              <w:rPr>
                <w:rFonts w:ascii="Arial" w:hAnsi="Arial" w:cs="Arial"/>
                <w:color w:val="000000"/>
                <w:sz w:val="22"/>
                <w:szCs w:val="22"/>
              </w:rPr>
              <w:t xml:space="preserve">000 </w:t>
            </w:r>
          </w:p>
        </w:tc>
        <w:tc>
          <w:tcPr>
            <w:tcW w:w="2016" w:type="dxa"/>
            <w:noWrap/>
            <w:vAlign w:val="bottom"/>
            <w:hideMark/>
          </w:tcPr>
          <w:p w14:paraId="7172C2C0" w14:textId="721F82FC"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21</w:t>
            </w:r>
            <w:r w:rsidR="008104F6" w:rsidRPr="00ED1D28">
              <w:rPr>
                <w:rFonts w:ascii="Arial" w:hAnsi="Arial" w:cs="Arial"/>
                <w:color w:val="000000"/>
                <w:sz w:val="22"/>
                <w:szCs w:val="22"/>
              </w:rPr>
              <w:t> </w:t>
            </w:r>
            <w:r w:rsidRPr="00ED1D28">
              <w:rPr>
                <w:rFonts w:ascii="Arial" w:hAnsi="Arial" w:cs="Arial"/>
                <w:color w:val="000000"/>
                <w:sz w:val="22"/>
                <w:szCs w:val="22"/>
              </w:rPr>
              <w:t>800</w:t>
            </w:r>
            <w:r w:rsidR="008104F6" w:rsidRPr="00ED1D28">
              <w:rPr>
                <w:rFonts w:ascii="Arial" w:hAnsi="Arial" w:cs="Arial"/>
                <w:color w:val="000000"/>
                <w:sz w:val="22"/>
                <w:szCs w:val="22"/>
              </w:rPr>
              <w:t> </w:t>
            </w:r>
            <w:r w:rsidRPr="00ED1D28">
              <w:rPr>
                <w:rFonts w:ascii="Arial" w:hAnsi="Arial" w:cs="Arial"/>
                <w:color w:val="000000"/>
                <w:sz w:val="22"/>
                <w:szCs w:val="22"/>
              </w:rPr>
              <w:t xml:space="preserve">000 </w:t>
            </w:r>
          </w:p>
        </w:tc>
      </w:tr>
      <w:tr w:rsidR="00A46099" w:rsidRPr="00ED1D28" w14:paraId="00BC8E0E" w14:textId="77777777" w:rsidTr="00C60794">
        <w:trPr>
          <w:trHeight w:val="288"/>
        </w:trPr>
        <w:tc>
          <w:tcPr>
            <w:tcW w:w="1560" w:type="dxa"/>
            <w:noWrap/>
            <w:vAlign w:val="bottom"/>
            <w:hideMark/>
          </w:tcPr>
          <w:p w14:paraId="3294F791" w14:textId="77777777" w:rsidR="00A46099" w:rsidRPr="00ED1D28" w:rsidRDefault="00A46099" w:rsidP="00C60794">
            <w:pPr>
              <w:suppressLineNumbers/>
              <w:suppressAutoHyphens/>
              <w:adjustRightInd w:val="0"/>
              <w:snapToGrid w:val="0"/>
              <w:ind w:left="176"/>
              <w:rPr>
                <w:rFonts w:ascii="Arial" w:hAnsi="Arial" w:cs="Arial"/>
                <w:color w:val="000000"/>
                <w:sz w:val="22"/>
                <w:szCs w:val="22"/>
              </w:rPr>
            </w:pPr>
            <w:r w:rsidRPr="00ED1D28">
              <w:rPr>
                <w:rFonts w:ascii="Arial" w:hAnsi="Arial" w:cs="Arial"/>
                <w:color w:val="000000"/>
                <w:sz w:val="22"/>
                <w:szCs w:val="22"/>
              </w:rPr>
              <w:t>Iraq</w:t>
            </w:r>
          </w:p>
        </w:tc>
        <w:tc>
          <w:tcPr>
            <w:tcW w:w="1896" w:type="dxa"/>
            <w:noWrap/>
            <w:vAlign w:val="bottom"/>
            <w:hideMark/>
          </w:tcPr>
          <w:p w14:paraId="17EA49C0" w14:textId="5F32984B"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300</w:t>
            </w:r>
            <w:r w:rsidR="008104F6" w:rsidRPr="00ED1D28">
              <w:rPr>
                <w:rFonts w:ascii="Arial" w:hAnsi="Arial" w:cs="Arial"/>
                <w:color w:val="000000"/>
                <w:sz w:val="22"/>
                <w:szCs w:val="22"/>
              </w:rPr>
              <w:t> </w:t>
            </w:r>
            <w:r w:rsidRPr="00ED1D28">
              <w:rPr>
                <w:rFonts w:ascii="Arial" w:hAnsi="Arial" w:cs="Arial"/>
                <w:color w:val="000000"/>
                <w:sz w:val="22"/>
                <w:szCs w:val="22"/>
              </w:rPr>
              <w:t xml:space="preserve">000 </w:t>
            </w:r>
          </w:p>
        </w:tc>
        <w:tc>
          <w:tcPr>
            <w:tcW w:w="2216" w:type="dxa"/>
            <w:noWrap/>
            <w:vAlign w:val="bottom"/>
            <w:hideMark/>
          </w:tcPr>
          <w:p w14:paraId="121BF696" w14:textId="06CCF4F0"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100</w:t>
            </w:r>
            <w:r w:rsidR="008104F6" w:rsidRPr="00ED1D28">
              <w:rPr>
                <w:rFonts w:ascii="Arial" w:hAnsi="Arial" w:cs="Arial"/>
                <w:color w:val="000000"/>
                <w:sz w:val="22"/>
                <w:szCs w:val="22"/>
              </w:rPr>
              <w:t> </w:t>
            </w:r>
            <w:r w:rsidRPr="00ED1D28">
              <w:rPr>
                <w:rFonts w:ascii="Arial" w:hAnsi="Arial" w:cs="Arial"/>
                <w:color w:val="000000"/>
                <w:sz w:val="22"/>
                <w:szCs w:val="22"/>
              </w:rPr>
              <w:t xml:space="preserve">000 </w:t>
            </w:r>
          </w:p>
        </w:tc>
        <w:tc>
          <w:tcPr>
            <w:tcW w:w="2256" w:type="dxa"/>
            <w:noWrap/>
            <w:vAlign w:val="bottom"/>
            <w:hideMark/>
          </w:tcPr>
          <w:p w14:paraId="55CF95EF" w14:textId="6570A056"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100</w:t>
            </w:r>
            <w:r w:rsidR="008104F6" w:rsidRPr="00ED1D28">
              <w:rPr>
                <w:rFonts w:ascii="Arial" w:hAnsi="Arial" w:cs="Arial"/>
                <w:color w:val="000000"/>
                <w:sz w:val="22"/>
                <w:szCs w:val="22"/>
              </w:rPr>
              <w:t> </w:t>
            </w:r>
            <w:r w:rsidRPr="00ED1D28">
              <w:rPr>
                <w:rFonts w:ascii="Arial" w:hAnsi="Arial" w:cs="Arial"/>
                <w:color w:val="000000"/>
                <w:sz w:val="22"/>
                <w:szCs w:val="22"/>
              </w:rPr>
              <w:t xml:space="preserve">000 </w:t>
            </w:r>
          </w:p>
        </w:tc>
        <w:tc>
          <w:tcPr>
            <w:tcW w:w="2016" w:type="dxa"/>
            <w:noWrap/>
            <w:vAlign w:val="bottom"/>
            <w:hideMark/>
          </w:tcPr>
          <w:p w14:paraId="17B7C991" w14:textId="74D69454"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500</w:t>
            </w:r>
            <w:r w:rsidR="008104F6" w:rsidRPr="00ED1D28">
              <w:rPr>
                <w:rFonts w:ascii="Arial" w:hAnsi="Arial" w:cs="Arial"/>
                <w:color w:val="000000"/>
                <w:sz w:val="22"/>
                <w:szCs w:val="22"/>
              </w:rPr>
              <w:t> </w:t>
            </w:r>
            <w:r w:rsidRPr="00ED1D28">
              <w:rPr>
                <w:rFonts w:ascii="Arial" w:hAnsi="Arial" w:cs="Arial"/>
                <w:color w:val="000000"/>
                <w:sz w:val="22"/>
                <w:szCs w:val="22"/>
              </w:rPr>
              <w:t xml:space="preserve">000 </w:t>
            </w:r>
          </w:p>
        </w:tc>
      </w:tr>
      <w:tr w:rsidR="00A46099" w:rsidRPr="00ED1D28" w14:paraId="55C53D79" w14:textId="77777777" w:rsidTr="00C60794">
        <w:trPr>
          <w:trHeight w:val="288"/>
        </w:trPr>
        <w:tc>
          <w:tcPr>
            <w:tcW w:w="1560" w:type="dxa"/>
            <w:noWrap/>
            <w:vAlign w:val="bottom"/>
            <w:hideMark/>
          </w:tcPr>
          <w:p w14:paraId="5CA26269" w14:textId="77777777" w:rsidR="00A46099" w:rsidRPr="00ED1D28" w:rsidRDefault="00A46099" w:rsidP="00C60794">
            <w:pPr>
              <w:suppressLineNumbers/>
              <w:suppressAutoHyphens/>
              <w:adjustRightInd w:val="0"/>
              <w:snapToGrid w:val="0"/>
              <w:ind w:left="176"/>
              <w:rPr>
                <w:rFonts w:ascii="Arial" w:hAnsi="Arial" w:cs="Arial"/>
                <w:color w:val="000000"/>
                <w:sz w:val="22"/>
                <w:szCs w:val="22"/>
              </w:rPr>
            </w:pPr>
            <w:r w:rsidRPr="00ED1D28">
              <w:rPr>
                <w:rFonts w:ascii="Arial" w:hAnsi="Arial" w:cs="Arial"/>
                <w:color w:val="000000"/>
                <w:sz w:val="22"/>
                <w:szCs w:val="22"/>
              </w:rPr>
              <w:t>Madagascar</w:t>
            </w:r>
          </w:p>
        </w:tc>
        <w:tc>
          <w:tcPr>
            <w:tcW w:w="1896" w:type="dxa"/>
            <w:noWrap/>
            <w:vAlign w:val="bottom"/>
            <w:hideMark/>
          </w:tcPr>
          <w:p w14:paraId="5CA6403E" w14:textId="54685387"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59</w:t>
            </w:r>
            <w:r w:rsidR="008104F6" w:rsidRPr="00ED1D28">
              <w:rPr>
                <w:rFonts w:ascii="Arial" w:hAnsi="Arial" w:cs="Arial"/>
                <w:color w:val="000000"/>
                <w:sz w:val="22"/>
                <w:szCs w:val="22"/>
              </w:rPr>
              <w:t> </w:t>
            </w:r>
            <w:r w:rsidRPr="00ED1D28">
              <w:rPr>
                <w:rFonts w:ascii="Arial" w:hAnsi="Arial" w:cs="Arial"/>
                <w:color w:val="000000"/>
                <w:sz w:val="22"/>
                <w:szCs w:val="22"/>
              </w:rPr>
              <w:t>000</w:t>
            </w:r>
            <w:r w:rsidR="008104F6" w:rsidRPr="00ED1D28">
              <w:rPr>
                <w:rFonts w:ascii="Arial" w:hAnsi="Arial" w:cs="Arial"/>
                <w:color w:val="000000"/>
                <w:sz w:val="22"/>
                <w:szCs w:val="22"/>
              </w:rPr>
              <w:t> </w:t>
            </w:r>
            <w:r w:rsidRPr="00ED1D28">
              <w:rPr>
                <w:rFonts w:ascii="Arial" w:hAnsi="Arial" w:cs="Arial"/>
                <w:color w:val="000000"/>
                <w:sz w:val="22"/>
                <w:szCs w:val="22"/>
              </w:rPr>
              <w:t xml:space="preserve">000 </w:t>
            </w:r>
          </w:p>
        </w:tc>
        <w:tc>
          <w:tcPr>
            <w:tcW w:w="2216" w:type="dxa"/>
            <w:noWrap/>
            <w:vAlign w:val="bottom"/>
            <w:hideMark/>
          </w:tcPr>
          <w:p w14:paraId="70FB779E" w14:textId="6FF961ED"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11</w:t>
            </w:r>
            <w:r w:rsidR="008104F6" w:rsidRPr="00ED1D28">
              <w:rPr>
                <w:rFonts w:ascii="Arial" w:hAnsi="Arial" w:cs="Arial"/>
                <w:color w:val="000000"/>
                <w:sz w:val="22"/>
                <w:szCs w:val="22"/>
              </w:rPr>
              <w:t> </w:t>
            </w:r>
            <w:r w:rsidRPr="00ED1D28">
              <w:rPr>
                <w:rFonts w:ascii="Arial" w:hAnsi="Arial" w:cs="Arial"/>
                <w:color w:val="000000"/>
                <w:sz w:val="22"/>
                <w:szCs w:val="22"/>
              </w:rPr>
              <w:t>750</w:t>
            </w:r>
            <w:r w:rsidR="008104F6" w:rsidRPr="00ED1D28">
              <w:rPr>
                <w:rFonts w:ascii="Arial" w:hAnsi="Arial" w:cs="Arial"/>
                <w:color w:val="000000"/>
                <w:sz w:val="22"/>
                <w:szCs w:val="22"/>
              </w:rPr>
              <w:t> </w:t>
            </w:r>
            <w:r w:rsidRPr="00ED1D28">
              <w:rPr>
                <w:rFonts w:ascii="Arial" w:hAnsi="Arial" w:cs="Arial"/>
                <w:color w:val="000000"/>
                <w:sz w:val="22"/>
                <w:szCs w:val="22"/>
              </w:rPr>
              <w:t xml:space="preserve">000 </w:t>
            </w:r>
          </w:p>
        </w:tc>
        <w:tc>
          <w:tcPr>
            <w:tcW w:w="2256" w:type="dxa"/>
            <w:noWrap/>
            <w:vAlign w:val="bottom"/>
            <w:hideMark/>
          </w:tcPr>
          <w:p w14:paraId="7A28D438" w14:textId="52A4FED5"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41</w:t>
            </w:r>
            <w:r w:rsidR="008104F6" w:rsidRPr="00ED1D28">
              <w:rPr>
                <w:rFonts w:ascii="Arial" w:hAnsi="Arial" w:cs="Arial"/>
                <w:color w:val="000000"/>
                <w:sz w:val="22"/>
                <w:szCs w:val="22"/>
              </w:rPr>
              <w:t> </w:t>
            </w:r>
            <w:r w:rsidRPr="00ED1D28">
              <w:rPr>
                <w:rFonts w:ascii="Arial" w:hAnsi="Arial" w:cs="Arial"/>
                <w:color w:val="000000"/>
                <w:sz w:val="22"/>
                <w:szCs w:val="22"/>
              </w:rPr>
              <w:t>000</w:t>
            </w:r>
            <w:r w:rsidR="008104F6" w:rsidRPr="00ED1D28">
              <w:rPr>
                <w:rFonts w:ascii="Arial" w:hAnsi="Arial" w:cs="Arial"/>
                <w:color w:val="000000"/>
                <w:sz w:val="22"/>
                <w:szCs w:val="22"/>
              </w:rPr>
              <w:t> </w:t>
            </w:r>
            <w:r w:rsidRPr="00ED1D28">
              <w:rPr>
                <w:rFonts w:ascii="Arial" w:hAnsi="Arial" w:cs="Arial"/>
                <w:color w:val="000000"/>
                <w:sz w:val="22"/>
                <w:szCs w:val="22"/>
              </w:rPr>
              <w:t xml:space="preserve">000 </w:t>
            </w:r>
          </w:p>
        </w:tc>
        <w:tc>
          <w:tcPr>
            <w:tcW w:w="2016" w:type="dxa"/>
            <w:noWrap/>
            <w:vAlign w:val="bottom"/>
            <w:hideMark/>
          </w:tcPr>
          <w:p w14:paraId="0B6250DF" w14:textId="6D49D82C"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111</w:t>
            </w:r>
            <w:r w:rsidR="008104F6" w:rsidRPr="00ED1D28">
              <w:rPr>
                <w:rFonts w:ascii="Arial" w:hAnsi="Arial" w:cs="Arial"/>
                <w:color w:val="000000"/>
                <w:sz w:val="22"/>
                <w:szCs w:val="22"/>
              </w:rPr>
              <w:t> </w:t>
            </w:r>
            <w:r w:rsidRPr="00ED1D28">
              <w:rPr>
                <w:rFonts w:ascii="Arial" w:hAnsi="Arial" w:cs="Arial"/>
                <w:color w:val="000000"/>
                <w:sz w:val="22"/>
                <w:szCs w:val="22"/>
              </w:rPr>
              <w:t>750</w:t>
            </w:r>
            <w:r w:rsidR="008104F6" w:rsidRPr="00ED1D28">
              <w:rPr>
                <w:rFonts w:ascii="Arial" w:hAnsi="Arial" w:cs="Arial"/>
                <w:color w:val="000000"/>
                <w:sz w:val="22"/>
                <w:szCs w:val="22"/>
              </w:rPr>
              <w:t> </w:t>
            </w:r>
            <w:r w:rsidRPr="00ED1D28">
              <w:rPr>
                <w:rFonts w:ascii="Arial" w:hAnsi="Arial" w:cs="Arial"/>
                <w:color w:val="000000"/>
                <w:sz w:val="22"/>
                <w:szCs w:val="22"/>
              </w:rPr>
              <w:t xml:space="preserve">000 </w:t>
            </w:r>
          </w:p>
        </w:tc>
      </w:tr>
      <w:tr w:rsidR="00A46099" w:rsidRPr="00ED1D28" w14:paraId="2D01417F" w14:textId="77777777" w:rsidTr="00C60794">
        <w:trPr>
          <w:trHeight w:val="288"/>
        </w:trPr>
        <w:tc>
          <w:tcPr>
            <w:tcW w:w="1560" w:type="dxa"/>
            <w:noWrap/>
            <w:vAlign w:val="bottom"/>
            <w:hideMark/>
          </w:tcPr>
          <w:p w14:paraId="0AD42938" w14:textId="6264E4CC" w:rsidR="00A46099" w:rsidRPr="00ED1D28" w:rsidRDefault="00A46099" w:rsidP="00C60794">
            <w:pPr>
              <w:suppressLineNumbers/>
              <w:suppressAutoHyphens/>
              <w:adjustRightInd w:val="0"/>
              <w:snapToGrid w:val="0"/>
              <w:ind w:left="176"/>
              <w:rPr>
                <w:rFonts w:ascii="Arial" w:hAnsi="Arial" w:cs="Arial"/>
                <w:color w:val="000000"/>
                <w:sz w:val="22"/>
                <w:szCs w:val="22"/>
              </w:rPr>
            </w:pPr>
            <w:r w:rsidRPr="00ED1D28">
              <w:rPr>
                <w:rFonts w:ascii="Arial" w:hAnsi="Arial" w:cs="Arial"/>
                <w:color w:val="000000"/>
                <w:sz w:val="22"/>
                <w:szCs w:val="22"/>
              </w:rPr>
              <w:t>Mexi</w:t>
            </w:r>
            <w:r w:rsidR="0021686C" w:rsidRPr="00ED1D28">
              <w:rPr>
                <w:rFonts w:ascii="Arial" w:hAnsi="Arial" w:cs="Arial"/>
                <w:color w:val="000000"/>
                <w:sz w:val="22"/>
                <w:szCs w:val="22"/>
              </w:rPr>
              <w:t>que</w:t>
            </w:r>
          </w:p>
        </w:tc>
        <w:tc>
          <w:tcPr>
            <w:tcW w:w="1896" w:type="dxa"/>
            <w:noWrap/>
            <w:vAlign w:val="bottom"/>
            <w:hideMark/>
          </w:tcPr>
          <w:p w14:paraId="083E1028" w14:textId="477FC55D"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140</w:t>
            </w:r>
            <w:r w:rsidR="00FC7C83">
              <w:rPr>
                <w:rFonts w:ascii="Arial" w:hAnsi="Arial" w:cs="Arial"/>
                <w:color w:val="000000"/>
                <w:sz w:val="22"/>
                <w:szCs w:val="22"/>
              </w:rPr>
              <w:t> </w:t>
            </w:r>
            <w:r w:rsidRPr="00ED1D28">
              <w:rPr>
                <w:rFonts w:ascii="Arial" w:hAnsi="Arial" w:cs="Arial"/>
                <w:color w:val="000000"/>
                <w:sz w:val="22"/>
                <w:szCs w:val="22"/>
              </w:rPr>
              <w:t>780</w:t>
            </w:r>
            <w:r w:rsidR="00FC7C83">
              <w:rPr>
                <w:rFonts w:ascii="Arial" w:hAnsi="Arial" w:cs="Arial"/>
                <w:color w:val="000000"/>
                <w:sz w:val="22"/>
                <w:szCs w:val="22"/>
              </w:rPr>
              <w:t> </w:t>
            </w:r>
            <w:r w:rsidRPr="00ED1D28">
              <w:rPr>
                <w:rFonts w:ascii="Arial" w:hAnsi="Arial" w:cs="Arial"/>
                <w:color w:val="000000"/>
                <w:sz w:val="22"/>
                <w:szCs w:val="22"/>
              </w:rPr>
              <w:t xml:space="preserve">000 </w:t>
            </w:r>
          </w:p>
        </w:tc>
        <w:tc>
          <w:tcPr>
            <w:tcW w:w="2216" w:type="dxa"/>
            <w:noWrap/>
            <w:vAlign w:val="bottom"/>
            <w:hideMark/>
          </w:tcPr>
          <w:p w14:paraId="4FFE7498" w14:textId="6F077A32"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579</w:t>
            </w:r>
            <w:r w:rsidR="00FC7C83">
              <w:rPr>
                <w:rFonts w:ascii="Arial" w:hAnsi="Arial" w:cs="Arial"/>
                <w:color w:val="000000"/>
                <w:sz w:val="22"/>
                <w:szCs w:val="22"/>
              </w:rPr>
              <w:t> </w:t>
            </w:r>
            <w:r w:rsidRPr="00ED1D28">
              <w:rPr>
                <w:rFonts w:ascii="Arial" w:hAnsi="Arial" w:cs="Arial"/>
                <w:color w:val="000000"/>
                <w:sz w:val="22"/>
                <w:szCs w:val="22"/>
              </w:rPr>
              <w:t>184</w:t>
            </w:r>
            <w:r w:rsidR="00FC7C83">
              <w:rPr>
                <w:rFonts w:ascii="Arial" w:hAnsi="Arial" w:cs="Arial"/>
                <w:color w:val="000000"/>
                <w:sz w:val="22"/>
                <w:szCs w:val="22"/>
              </w:rPr>
              <w:t> </w:t>
            </w:r>
            <w:r w:rsidRPr="00ED1D28">
              <w:rPr>
                <w:rFonts w:ascii="Arial" w:hAnsi="Arial" w:cs="Arial"/>
                <w:color w:val="000000"/>
                <w:sz w:val="22"/>
                <w:szCs w:val="22"/>
              </w:rPr>
              <w:t xml:space="preserve">936 </w:t>
            </w:r>
          </w:p>
        </w:tc>
        <w:tc>
          <w:tcPr>
            <w:tcW w:w="2256" w:type="dxa"/>
            <w:noWrap/>
            <w:vAlign w:val="bottom"/>
            <w:hideMark/>
          </w:tcPr>
          <w:p w14:paraId="6FCBCF8C" w14:textId="42920F08"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201</w:t>
            </w:r>
            <w:r w:rsidR="00FC7C83">
              <w:rPr>
                <w:rFonts w:ascii="Arial" w:hAnsi="Arial" w:cs="Arial"/>
                <w:color w:val="000000"/>
                <w:sz w:val="22"/>
                <w:szCs w:val="22"/>
              </w:rPr>
              <w:t> </w:t>
            </w:r>
            <w:r w:rsidRPr="00ED1D28">
              <w:rPr>
                <w:rFonts w:ascii="Arial" w:hAnsi="Arial" w:cs="Arial"/>
                <w:color w:val="000000"/>
                <w:sz w:val="22"/>
                <w:szCs w:val="22"/>
              </w:rPr>
              <w:t>420</w:t>
            </w:r>
            <w:r w:rsidR="00FC7C83">
              <w:rPr>
                <w:rFonts w:ascii="Arial" w:hAnsi="Arial" w:cs="Arial"/>
                <w:color w:val="000000"/>
                <w:sz w:val="22"/>
                <w:szCs w:val="22"/>
              </w:rPr>
              <w:t> </w:t>
            </w:r>
            <w:r w:rsidRPr="00ED1D28">
              <w:rPr>
                <w:rFonts w:ascii="Arial" w:hAnsi="Arial" w:cs="Arial"/>
                <w:color w:val="000000"/>
                <w:sz w:val="22"/>
                <w:szCs w:val="22"/>
              </w:rPr>
              <w:t xml:space="preserve">000 </w:t>
            </w:r>
          </w:p>
        </w:tc>
        <w:tc>
          <w:tcPr>
            <w:tcW w:w="2016" w:type="dxa"/>
            <w:noWrap/>
            <w:vAlign w:val="bottom"/>
            <w:hideMark/>
          </w:tcPr>
          <w:p w14:paraId="78E61003" w14:textId="4EAC9238"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921</w:t>
            </w:r>
            <w:r w:rsidR="00FC7C83">
              <w:rPr>
                <w:rFonts w:ascii="Arial" w:hAnsi="Arial" w:cs="Arial"/>
                <w:color w:val="000000"/>
                <w:sz w:val="22"/>
                <w:szCs w:val="22"/>
              </w:rPr>
              <w:t> </w:t>
            </w:r>
            <w:r w:rsidRPr="00ED1D28">
              <w:rPr>
                <w:rFonts w:ascii="Arial" w:hAnsi="Arial" w:cs="Arial"/>
                <w:color w:val="000000"/>
                <w:sz w:val="22"/>
                <w:szCs w:val="22"/>
              </w:rPr>
              <w:t>384</w:t>
            </w:r>
            <w:r w:rsidR="00FC7C83">
              <w:rPr>
                <w:rFonts w:ascii="Arial" w:hAnsi="Arial" w:cs="Arial"/>
                <w:color w:val="000000"/>
                <w:sz w:val="22"/>
                <w:szCs w:val="22"/>
              </w:rPr>
              <w:t> </w:t>
            </w:r>
            <w:r w:rsidRPr="00ED1D28">
              <w:rPr>
                <w:rFonts w:ascii="Arial" w:hAnsi="Arial" w:cs="Arial"/>
                <w:color w:val="000000"/>
                <w:sz w:val="22"/>
                <w:szCs w:val="22"/>
              </w:rPr>
              <w:t xml:space="preserve">936 </w:t>
            </w:r>
          </w:p>
        </w:tc>
      </w:tr>
      <w:tr w:rsidR="00A46099" w:rsidRPr="00ED1D28" w14:paraId="7E5133A8" w14:textId="77777777" w:rsidTr="00C60794">
        <w:trPr>
          <w:trHeight w:val="288"/>
        </w:trPr>
        <w:tc>
          <w:tcPr>
            <w:tcW w:w="1560" w:type="dxa"/>
            <w:noWrap/>
            <w:vAlign w:val="bottom"/>
            <w:hideMark/>
          </w:tcPr>
          <w:p w14:paraId="243A6919" w14:textId="4A4C466F" w:rsidR="00A46099" w:rsidRPr="00ED1D28" w:rsidRDefault="00A46099" w:rsidP="00C60794">
            <w:pPr>
              <w:suppressLineNumbers/>
              <w:suppressAutoHyphens/>
              <w:adjustRightInd w:val="0"/>
              <w:snapToGrid w:val="0"/>
              <w:ind w:left="176"/>
              <w:rPr>
                <w:rFonts w:ascii="Arial" w:hAnsi="Arial" w:cs="Arial"/>
                <w:color w:val="000000"/>
                <w:sz w:val="22"/>
                <w:szCs w:val="22"/>
              </w:rPr>
            </w:pPr>
            <w:r w:rsidRPr="00ED1D28">
              <w:rPr>
                <w:rFonts w:ascii="Arial" w:hAnsi="Arial" w:cs="Arial"/>
                <w:color w:val="000000"/>
                <w:sz w:val="22"/>
                <w:szCs w:val="22"/>
              </w:rPr>
              <w:t>Mongoli</w:t>
            </w:r>
            <w:r w:rsidR="0021686C" w:rsidRPr="00ED1D28">
              <w:rPr>
                <w:rFonts w:ascii="Arial" w:hAnsi="Arial" w:cs="Arial"/>
                <w:color w:val="000000"/>
                <w:sz w:val="22"/>
                <w:szCs w:val="22"/>
              </w:rPr>
              <w:t>e</w:t>
            </w:r>
          </w:p>
        </w:tc>
        <w:tc>
          <w:tcPr>
            <w:tcW w:w="1896" w:type="dxa"/>
            <w:noWrap/>
            <w:vAlign w:val="bottom"/>
            <w:hideMark/>
          </w:tcPr>
          <w:p w14:paraId="6FDEB441" w14:textId="224638E8"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3</w:t>
            </w:r>
            <w:r w:rsidR="00FC7C83">
              <w:rPr>
                <w:rFonts w:ascii="Arial" w:hAnsi="Arial" w:cs="Arial"/>
                <w:color w:val="000000"/>
                <w:sz w:val="22"/>
                <w:szCs w:val="22"/>
              </w:rPr>
              <w:t> </w:t>
            </w:r>
            <w:r w:rsidRPr="00ED1D28">
              <w:rPr>
                <w:rFonts w:ascii="Arial" w:hAnsi="Arial" w:cs="Arial"/>
                <w:color w:val="000000"/>
                <w:sz w:val="22"/>
                <w:szCs w:val="22"/>
              </w:rPr>
              <w:t>400</w:t>
            </w:r>
            <w:r w:rsidR="00FC7C83">
              <w:rPr>
                <w:rFonts w:ascii="Arial" w:hAnsi="Arial" w:cs="Arial"/>
                <w:color w:val="000000"/>
                <w:sz w:val="22"/>
                <w:szCs w:val="22"/>
              </w:rPr>
              <w:t> </w:t>
            </w:r>
            <w:r w:rsidRPr="00ED1D28">
              <w:rPr>
                <w:rFonts w:ascii="Arial" w:hAnsi="Arial" w:cs="Arial"/>
                <w:color w:val="000000"/>
                <w:sz w:val="22"/>
                <w:szCs w:val="22"/>
              </w:rPr>
              <w:t xml:space="preserve">000 </w:t>
            </w:r>
          </w:p>
        </w:tc>
        <w:tc>
          <w:tcPr>
            <w:tcW w:w="2216" w:type="dxa"/>
            <w:noWrap/>
            <w:vAlign w:val="bottom"/>
            <w:hideMark/>
          </w:tcPr>
          <w:p w14:paraId="4DB60917" w14:textId="1409E36C"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250</w:t>
            </w:r>
            <w:r w:rsidR="00FC7C83">
              <w:rPr>
                <w:rFonts w:ascii="Arial" w:hAnsi="Arial" w:cs="Arial"/>
                <w:color w:val="000000"/>
                <w:sz w:val="22"/>
                <w:szCs w:val="22"/>
              </w:rPr>
              <w:t> </w:t>
            </w:r>
            <w:r w:rsidRPr="00ED1D28">
              <w:rPr>
                <w:rFonts w:ascii="Arial" w:hAnsi="Arial" w:cs="Arial"/>
                <w:color w:val="000000"/>
                <w:sz w:val="22"/>
                <w:szCs w:val="22"/>
              </w:rPr>
              <w:t xml:space="preserve">000 </w:t>
            </w:r>
          </w:p>
        </w:tc>
        <w:tc>
          <w:tcPr>
            <w:tcW w:w="2256" w:type="dxa"/>
            <w:noWrap/>
            <w:vAlign w:val="bottom"/>
            <w:hideMark/>
          </w:tcPr>
          <w:p w14:paraId="5B878B59" w14:textId="77777777" w:rsidR="00A46099" w:rsidRPr="00ED1D28" w:rsidRDefault="00A46099" w:rsidP="00C60794">
            <w:pPr>
              <w:suppressLineNumbers/>
              <w:suppressAutoHyphens/>
              <w:adjustRightInd w:val="0"/>
              <w:snapToGrid w:val="0"/>
              <w:jc w:val="right"/>
              <w:rPr>
                <w:rFonts w:ascii="Arial" w:hAnsi="Arial" w:cs="Arial"/>
                <w:color w:val="000000"/>
                <w:sz w:val="22"/>
                <w:szCs w:val="22"/>
              </w:rPr>
            </w:pPr>
          </w:p>
        </w:tc>
        <w:tc>
          <w:tcPr>
            <w:tcW w:w="2016" w:type="dxa"/>
            <w:noWrap/>
            <w:vAlign w:val="bottom"/>
            <w:hideMark/>
          </w:tcPr>
          <w:p w14:paraId="79F9C6EC" w14:textId="30D8EE97"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3</w:t>
            </w:r>
            <w:r w:rsidR="00FC7C83">
              <w:rPr>
                <w:rFonts w:ascii="Arial" w:hAnsi="Arial" w:cs="Arial"/>
                <w:color w:val="000000"/>
                <w:sz w:val="22"/>
                <w:szCs w:val="22"/>
              </w:rPr>
              <w:t> </w:t>
            </w:r>
            <w:r w:rsidRPr="00ED1D28">
              <w:rPr>
                <w:rFonts w:ascii="Arial" w:hAnsi="Arial" w:cs="Arial"/>
                <w:color w:val="000000"/>
                <w:sz w:val="22"/>
                <w:szCs w:val="22"/>
              </w:rPr>
              <w:t>500</w:t>
            </w:r>
            <w:r w:rsidR="00FC7C83">
              <w:rPr>
                <w:rFonts w:ascii="Arial" w:hAnsi="Arial" w:cs="Arial"/>
                <w:color w:val="000000"/>
                <w:sz w:val="22"/>
                <w:szCs w:val="22"/>
              </w:rPr>
              <w:t> </w:t>
            </w:r>
            <w:r w:rsidRPr="00ED1D28">
              <w:rPr>
                <w:rFonts w:ascii="Arial" w:hAnsi="Arial" w:cs="Arial"/>
                <w:color w:val="000000"/>
                <w:sz w:val="22"/>
                <w:szCs w:val="22"/>
              </w:rPr>
              <w:t xml:space="preserve">000 </w:t>
            </w:r>
          </w:p>
        </w:tc>
      </w:tr>
      <w:tr w:rsidR="00A46099" w:rsidRPr="00ED1D28" w14:paraId="4BEA5AEA" w14:textId="77777777" w:rsidTr="00C60794">
        <w:trPr>
          <w:trHeight w:val="288"/>
        </w:trPr>
        <w:tc>
          <w:tcPr>
            <w:tcW w:w="1560" w:type="dxa"/>
            <w:noWrap/>
            <w:vAlign w:val="bottom"/>
            <w:hideMark/>
          </w:tcPr>
          <w:p w14:paraId="0C37B1D7" w14:textId="77777777" w:rsidR="00A46099" w:rsidRPr="00ED1D28" w:rsidRDefault="00A46099" w:rsidP="00C60794">
            <w:pPr>
              <w:suppressLineNumbers/>
              <w:suppressAutoHyphens/>
              <w:adjustRightInd w:val="0"/>
              <w:snapToGrid w:val="0"/>
              <w:ind w:left="176"/>
              <w:rPr>
                <w:rFonts w:ascii="Arial" w:hAnsi="Arial" w:cs="Arial"/>
                <w:color w:val="000000"/>
                <w:sz w:val="22"/>
                <w:szCs w:val="22"/>
              </w:rPr>
            </w:pPr>
            <w:r w:rsidRPr="00ED1D28">
              <w:rPr>
                <w:rFonts w:ascii="Arial" w:hAnsi="Arial" w:cs="Arial"/>
                <w:color w:val="000000"/>
                <w:sz w:val="22"/>
                <w:szCs w:val="22"/>
              </w:rPr>
              <w:t>Myanmar</w:t>
            </w:r>
          </w:p>
        </w:tc>
        <w:tc>
          <w:tcPr>
            <w:tcW w:w="1896" w:type="dxa"/>
            <w:noWrap/>
            <w:vAlign w:val="bottom"/>
            <w:hideMark/>
          </w:tcPr>
          <w:p w14:paraId="4FAE37AE" w14:textId="5FC0CE69"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12</w:t>
            </w:r>
            <w:r w:rsidR="00FC7C83">
              <w:rPr>
                <w:rFonts w:ascii="Arial" w:hAnsi="Arial" w:cs="Arial"/>
                <w:color w:val="000000"/>
                <w:sz w:val="22"/>
                <w:szCs w:val="22"/>
              </w:rPr>
              <w:t> </w:t>
            </w:r>
            <w:r w:rsidRPr="00ED1D28">
              <w:rPr>
                <w:rFonts w:ascii="Arial" w:hAnsi="Arial" w:cs="Arial"/>
                <w:color w:val="000000"/>
                <w:sz w:val="22"/>
                <w:szCs w:val="22"/>
              </w:rPr>
              <w:t>500</w:t>
            </w:r>
            <w:r w:rsidR="00FC7C83">
              <w:rPr>
                <w:rFonts w:ascii="Arial" w:hAnsi="Arial" w:cs="Arial"/>
                <w:color w:val="000000"/>
                <w:sz w:val="22"/>
                <w:szCs w:val="22"/>
              </w:rPr>
              <w:t> </w:t>
            </w:r>
            <w:r w:rsidRPr="00ED1D28">
              <w:rPr>
                <w:rFonts w:ascii="Arial" w:hAnsi="Arial" w:cs="Arial"/>
                <w:color w:val="000000"/>
                <w:sz w:val="22"/>
                <w:szCs w:val="22"/>
              </w:rPr>
              <w:t xml:space="preserve">000 </w:t>
            </w:r>
          </w:p>
        </w:tc>
        <w:tc>
          <w:tcPr>
            <w:tcW w:w="2216" w:type="dxa"/>
            <w:noWrap/>
            <w:vAlign w:val="bottom"/>
            <w:hideMark/>
          </w:tcPr>
          <w:p w14:paraId="699AFF5A" w14:textId="77777777" w:rsidR="00A46099" w:rsidRPr="00ED1D28" w:rsidRDefault="00A46099" w:rsidP="00C60794">
            <w:pPr>
              <w:suppressLineNumbers/>
              <w:suppressAutoHyphens/>
              <w:adjustRightInd w:val="0"/>
              <w:snapToGrid w:val="0"/>
              <w:jc w:val="right"/>
              <w:rPr>
                <w:rFonts w:ascii="Arial" w:hAnsi="Arial" w:cs="Arial"/>
                <w:color w:val="000000"/>
                <w:sz w:val="22"/>
                <w:szCs w:val="22"/>
              </w:rPr>
            </w:pPr>
          </w:p>
        </w:tc>
        <w:tc>
          <w:tcPr>
            <w:tcW w:w="2256" w:type="dxa"/>
            <w:noWrap/>
            <w:vAlign w:val="bottom"/>
            <w:hideMark/>
          </w:tcPr>
          <w:p w14:paraId="7A43042C" w14:textId="77777777" w:rsidR="00A46099" w:rsidRPr="00ED1D28" w:rsidRDefault="00A46099" w:rsidP="00C60794">
            <w:pPr>
              <w:suppressLineNumbers/>
              <w:suppressAutoHyphens/>
              <w:adjustRightInd w:val="0"/>
              <w:snapToGrid w:val="0"/>
              <w:jc w:val="right"/>
              <w:rPr>
                <w:rFonts w:ascii="Arial" w:hAnsi="Arial" w:cs="Arial"/>
                <w:sz w:val="22"/>
                <w:szCs w:val="22"/>
                <w:lang w:eastAsia="en-CA"/>
              </w:rPr>
            </w:pPr>
          </w:p>
        </w:tc>
        <w:tc>
          <w:tcPr>
            <w:tcW w:w="2016" w:type="dxa"/>
            <w:noWrap/>
            <w:vAlign w:val="bottom"/>
            <w:hideMark/>
          </w:tcPr>
          <w:p w14:paraId="7803FC13" w14:textId="0241D378"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12</w:t>
            </w:r>
            <w:r w:rsidR="00FC7C83">
              <w:rPr>
                <w:rFonts w:ascii="Arial" w:hAnsi="Arial" w:cs="Arial"/>
                <w:color w:val="000000"/>
                <w:sz w:val="22"/>
                <w:szCs w:val="22"/>
              </w:rPr>
              <w:t> </w:t>
            </w:r>
            <w:r w:rsidRPr="00ED1D28">
              <w:rPr>
                <w:rFonts w:ascii="Arial" w:hAnsi="Arial" w:cs="Arial"/>
                <w:color w:val="000000"/>
                <w:sz w:val="22"/>
                <w:szCs w:val="22"/>
              </w:rPr>
              <w:t>500</w:t>
            </w:r>
            <w:r w:rsidR="00FC7C83">
              <w:rPr>
                <w:rFonts w:ascii="Arial" w:hAnsi="Arial" w:cs="Arial"/>
                <w:color w:val="000000"/>
                <w:sz w:val="22"/>
                <w:szCs w:val="22"/>
              </w:rPr>
              <w:t> </w:t>
            </w:r>
            <w:r w:rsidRPr="00ED1D28">
              <w:rPr>
                <w:rFonts w:ascii="Arial" w:hAnsi="Arial" w:cs="Arial"/>
                <w:color w:val="000000"/>
                <w:sz w:val="22"/>
                <w:szCs w:val="22"/>
              </w:rPr>
              <w:t xml:space="preserve">000 </w:t>
            </w:r>
          </w:p>
        </w:tc>
      </w:tr>
      <w:tr w:rsidR="00A46099" w:rsidRPr="00ED1D28" w14:paraId="7EDCA62F" w14:textId="77777777" w:rsidTr="00C60794">
        <w:trPr>
          <w:trHeight w:val="288"/>
        </w:trPr>
        <w:tc>
          <w:tcPr>
            <w:tcW w:w="1560" w:type="dxa"/>
            <w:noWrap/>
            <w:vAlign w:val="bottom"/>
            <w:hideMark/>
          </w:tcPr>
          <w:p w14:paraId="78AEA024" w14:textId="19ACB2F5" w:rsidR="00A46099" w:rsidRPr="00ED1D28" w:rsidRDefault="00A46099" w:rsidP="00C60794">
            <w:pPr>
              <w:suppressLineNumbers/>
              <w:suppressAutoHyphens/>
              <w:adjustRightInd w:val="0"/>
              <w:snapToGrid w:val="0"/>
              <w:ind w:left="176"/>
              <w:rPr>
                <w:rFonts w:ascii="Arial" w:hAnsi="Arial" w:cs="Arial"/>
                <w:color w:val="000000"/>
                <w:sz w:val="22"/>
                <w:szCs w:val="22"/>
              </w:rPr>
            </w:pPr>
            <w:r w:rsidRPr="00ED1D28">
              <w:rPr>
                <w:rFonts w:ascii="Arial" w:hAnsi="Arial" w:cs="Arial"/>
                <w:color w:val="000000"/>
                <w:sz w:val="22"/>
                <w:szCs w:val="22"/>
              </w:rPr>
              <w:t>S</w:t>
            </w:r>
            <w:r w:rsidR="0021686C" w:rsidRPr="00ED1D28">
              <w:rPr>
                <w:rFonts w:ascii="Arial" w:hAnsi="Arial" w:cs="Arial"/>
                <w:color w:val="000000"/>
                <w:sz w:val="22"/>
                <w:szCs w:val="22"/>
              </w:rPr>
              <w:t>é</w:t>
            </w:r>
            <w:r w:rsidRPr="00ED1D28">
              <w:rPr>
                <w:rFonts w:ascii="Arial" w:hAnsi="Arial" w:cs="Arial"/>
                <w:color w:val="000000"/>
                <w:sz w:val="22"/>
                <w:szCs w:val="22"/>
              </w:rPr>
              <w:t>n</w:t>
            </w:r>
            <w:r w:rsidR="0021686C" w:rsidRPr="00ED1D28">
              <w:rPr>
                <w:rFonts w:ascii="Arial" w:hAnsi="Arial" w:cs="Arial"/>
                <w:color w:val="000000"/>
                <w:sz w:val="22"/>
                <w:szCs w:val="22"/>
              </w:rPr>
              <w:t>é</w:t>
            </w:r>
            <w:r w:rsidRPr="00ED1D28">
              <w:rPr>
                <w:rFonts w:ascii="Arial" w:hAnsi="Arial" w:cs="Arial"/>
                <w:color w:val="000000"/>
                <w:sz w:val="22"/>
                <w:szCs w:val="22"/>
              </w:rPr>
              <w:t>gal</w:t>
            </w:r>
          </w:p>
        </w:tc>
        <w:tc>
          <w:tcPr>
            <w:tcW w:w="1896" w:type="dxa"/>
            <w:noWrap/>
            <w:vAlign w:val="bottom"/>
            <w:hideMark/>
          </w:tcPr>
          <w:p w14:paraId="5E427CD0" w14:textId="75D6A4D6"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22</w:t>
            </w:r>
            <w:r w:rsidR="006E6274">
              <w:rPr>
                <w:rFonts w:ascii="Arial" w:hAnsi="Arial" w:cs="Arial"/>
                <w:color w:val="000000"/>
                <w:sz w:val="22"/>
                <w:szCs w:val="22"/>
              </w:rPr>
              <w:t> </w:t>
            </w:r>
            <w:r w:rsidRPr="00ED1D28">
              <w:rPr>
                <w:rFonts w:ascii="Arial" w:hAnsi="Arial" w:cs="Arial"/>
                <w:color w:val="000000"/>
                <w:sz w:val="22"/>
                <w:szCs w:val="22"/>
              </w:rPr>
              <w:t>600</w:t>
            </w:r>
            <w:r w:rsidR="006E6274">
              <w:rPr>
                <w:rFonts w:ascii="Arial" w:hAnsi="Arial" w:cs="Arial"/>
                <w:color w:val="000000"/>
                <w:sz w:val="22"/>
                <w:szCs w:val="22"/>
              </w:rPr>
              <w:t> </w:t>
            </w:r>
            <w:r w:rsidRPr="00ED1D28">
              <w:rPr>
                <w:rFonts w:ascii="Arial" w:hAnsi="Arial" w:cs="Arial"/>
                <w:color w:val="000000"/>
                <w:sz w:val="22"/>
                <w:szCs w:val="22"/>
              </w:rPr>
              <w:t xml:space="preserve">000 </w:t>
            </w:r>
          </w:p>
        </w:tc>
        <w:tc>
          <w:tcPr>
            <w:tcW w:w="2216" w:type="dxa"/>
            <w:noWrap/>
            <w:vAlign w:val="bottom"/>
            <w:hideMark/>
          </w:tcPr>
          <w:p w14:paraId="37BB1B98" w14:textId="0042EFFA"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5</w:t>
            </w:r>
            <w:r w:rsidR="006E6274">
              <w:t> </w:t>
            </w:r>
            <w:r w:rsidRPr="00ED1D28">
              <w:rPr>
                <w:rFonts w:ascii="Arial" w:hAnsi="Arial" w:cs="Arial"/>
                <w:color w:val="000000"/>
                <w:sz w:val="22"/>
                <w:szCs w:val="22"/>
              </w:rPr>
              <w:t>550</w:t>
            </w:r>
            <w:r w:rsidR="006E6274">
              <w:rPr>
                <w:rFonts w:ascii="Arial" w:hAnsi="Arial" w:cs="Arial"/>
                <w:color w:val="000000"/>
                <w:sz w:val="22"/>
                <w:szCs w:val="22"/>
              </w:rPr>
              <w:t> </w:t>
            </w:r>
            <w:r w:rsidRPr="00ED1D28">
              <w:rPr>
                <w:rFonts w:ascii="Arial" w:hAnsi="Arial" w:cs="Arial"/>
                <w:color w:val="000000"/>
                <w:sz w:val="22"/>
                <w:szCs w:val="22"/>
              </w:rPr>
              <w:t xml:space="preserve">000 </w:t>
            </w:r>
          </w:p>
        </w:tc>
        <w:tc>
          <w:tcPr>
            <w:tcW w:w="2256" w:type="dxa"/>
            <w:noWrap/>
            <w:vAlign w:val="bottom"/>
            <w:hideMark/>
          </w:tcPr>
          <w:p w14:paraId="201E5C81" w14:textId="3ECB50D0"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7</w:t>
            </w:r>
            <w:r w:rsidR="006E6274">
              <w:rPr>
                <w:rFonts w:ascii="Arial" w:hAnsi="Arial" w:cs="Arial"/>
                <w:color w:val="000000"/>
                <w:sz w:val="22"/>
                <w:szCs w:val="22"/>
              </w:rPr>
              <w:t> </w:t>
            </w:r>
            <w:r w:rsidRPr="00ED1D28">
              <w:rPr>
                <w:rFonts w:ascii="Arial" w:hAnsi="Arial" w:cs="Arial"/>
                <w:color w:val="000000"/>
                <w:sz w:val="22"/>
                <w:szCs w:val="22"/>
              </w:rPr>
              <w:t>700</w:t>
            </w:r>
            <w:r w:rsidR="006E6274">
              <w:rPr>
                <w:rFonts w:ascii="Arial" w:hAnsi="Arial" w:cs="Arial"/>
                <w:color w:val="000000"/>
                <w:sz w:val="22"/>
                <w:szCs w:val="22"/>
              </w:rPr>
              <w:t> </w:t>
            </w:r>
            <w:r w:rsidRPr="00ED1D28">
              <w:rPr>
                <w:rFonts w:ascii="Arial" w:hAnsi="Arial" w:cs="Arial"/>
                <w:color w:val="000000"/>
                <w:sz w:val="22"/>
                <w:szCs w:val="22"/>
              </w:rPr>
              <w:t xml:space="preserve">000 </w:t>
            </w:r>
          </w:p>
        </w:tc>
        <w:tc>
          <w:tcPr>
            <w:tcW w:w="2016" w:type="dxa"/>
            <w:noWrap/>
            <w:vAlign w:val="bottom"/>
            <w:hideMark/>
          </w:tcPr>
          <w:p w14:paraId="47CF82E0" w14:textId="200B174C"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35</w:t>
            </w:r>
            <w:r w:rsidR="006E6274">
              <w:rPr>
                <w:rFonts w:ascii="Arial" w:hAnsi="Arial" w:cs="Arial"/>
                <w:color w:val="000000"/>
                <w:sz w:val="22"/>
                <w:szCs w:val="22"/>
              </w:rPr>
              <w:t> </w:t>
            </w:r>
            <w:r w:rsidRPr="00ED1D28">
              <w:rPr>
                <w:rFonts w:ascii="Arial" w:hAnsi="Arial" w:cs="Arial"/>
                <w:color w:val="000000"/>
                <w:sz w:val="22"/>
                <w:szCs w:val="22"/>
              </w:rPr>
              <w:t>850</w:t>
            </w:r>
            <w:r w:rsidR="006E6274">
              <w:rPr>
                <w:rFonts w:ascii="Arial" w:hAnsi="Arial" w:cs="Arial"/>
                <w:color w:val="000000"/>
                <w:sz w:val="22"/>
                <w:szCs w:val="22"/>
              </w:rPr>
              <w:t> </w:t>
            </w:r>
            <w:r w:rsidRPr="00ED1D28">
              <w:rPr>
                <w:rFonts w:ascii="Arial" w:hAnsi="Arial" w:cs="Arial"/>
                <w:color w:val="000000"/>
                <w:sz w:val="22"/>
                <w:szCs w:val="22"/>
              </w:rPr>
              <w:t xml:space="preserve">000 </w:t>
            </w:r>
          </w:p>
        </w:tc>
      </w:tr>
      <w:tr w:rsidR="00A46099" w:rsidRPr="00ED1D28" w14:paraId="4929C432" w14:textId="77777777" w:rsidTr="00C60794">
        <w:trPr>
          <w:trHeight w:val="288"/>
        </w:trPr>
        <w:tc>
          <w:tcPr>
            <w:tcW w:w="1560" w:type="dxa"/>
            <w:noWrap/>
            <w:vAlign w:val="bottom"/>
            <w:hideMark/>
          </w:tcPr>
          <w:p w14:paraId="71E05EF8" w14:textId="77777777" w:rsidR="00A46099" w:rsidRPr="00ED1D28" w:rsidRDefault="00A46099" w:rsidP="00C60794">
            <w:pPr>
              <w:suppressLineNumbers/>
              <w:suppressAutoHyphens/>
              <w:adjustRightInd w:val="0"/>
              <w:snapToGrid w:val="0"/>
              <w:ind w:left="176"/>
              <w:rPr>
                <w:rFonts w:ascii="Arial" w:hAnsi="Arial" w:cs="Arial"/>
                <w:color w:val="000000"/>
                <w:sz w:val="22"/>
                <w:szCs w:val="22"/>
              </w:rPr>
            </w:pPr>
            <w:r w:rsidRPr="00ED1D28">
              <w:rPr>
                <w:rFonts w:ascii="Arial" w:hAnsi="Arial" w:cs="Arial"/>
                <w:color w:val="000000"/>
                <w:sz w:val="22"/>
                <w:szCs w:val="22"/>
              </w:rPr>
              <w:t>Togo</w:t>
            </w:r>
          </w:p>
        </w:tc>
        <w:tc>
          <w:tcPr>
            <w:tcW w:w="1896" w:type="dxa"/>
            <w:noWrap/>
            <w:vAlign w:val="bottom"/>
            <w:hideMark/>
          </w:tcPr>
          <w:p w14:paraId="47A840B6" w14:textId="7E0A09B2"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7</w:t>
            </w:r>
            <w:r w:rsidR="006E6274">
              <w:rPr>
                <w:rFonts w:ascii="Arial" w:hAnsi="Arial" w:cs="Arial"/>
                <w:color w:val="000000"/>
                <w:sz w:val="22"/>
                <w:szCs w:val="22"/>
              </w:rPr>
              <w:t> </w:t>
            </w:r>
            <w:r w:rsidRPr="00ED1D28">
              <w:rPr>
                <w:rFonts w:ascii="Arial" w:hAnsi="Arial" w:cs="Arial"/>
                <w:color w:val="000000"/>
                <w:sz w:val="22"/>
                <w:szCs w:val="22"/>
              </w:rPr>
              <w:t>900</w:t>
            </w:r>
            <w:r w:rsidR="006E6274">
              <w:rPr>
                <w:rFonts w:ascii="Arial" w:hAnsi="Arial" w:cs="Arial"/>
                <w:color w:val="000000"/>
                <w:sz w:val="22"/>
                <w:szCs w:val="22"/>
              </w:rPr>
              <w:t> </w:t>
            </w:r>
            <w:r w:rsidRPr="00ED1D28">
              <w:rPr>
                <w:rFonts w:ascii="Arial" w:hAnsi="Arial" w:cs="Arial"/>
                <w:color w:val="000000"/>
                <w:sz w:val="22"/>
                <w:szCs w:val="22"/>
              </w:rPr>
              <w:t xml:space="preserve">500 </w:t>
            </w:r>
          </w:p>
        </w:tc>
        <w:tc>
          <w:tcPr>
            <w:tcW w:w="2216" w:type="dxa"/>
            <w:noWrap/>
            <w:vAlign w:val="bottom"/>
            <w:hideMark/>
          </w:tcPr>
          <w:p w14:paraId="1CC76042" w14:textId="7016154B"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550</w:t>
            </w:r>
            <w:r w:rsidR="006E6274">
              <w:rPr>
                <w:rFonts w:ascii="Arial" w:hAnsi="Arial" w:cs="Arial"/>
                <w:color w:val="000000"/>
                <w:sz w:val="22"/>
                <w:szCs w:val="22"/>
              </w:rPr>
              <w:t> </w:t>
            </w:r>
            <w:r w:rsidRPr="00ED1D28">
              <w:rPr>
                <w:rFonts w:ascii="Arial" w:hAnsi="Arial" w:cs="Arial"/>
                <w:color w:val="000000"/>
                <w:sz w:val="22"/>
                <w:szCs w:val="22"/>
              </w:rPr>
              <w:t xml:space="preserve">000 </w:t>
            </w:r>
          </w:p>
        </w:tc>
        <w:tc>
          <w:tcPr>
            <w:tcW w:w="2256" w:type="dxa"/>
            <w:noWrap/>
            <w:vAlign w:val="bottom"/>
            <w:hideMark/>
          </w:tcPr>
          <w:p w14:paraId="27C48B29" w14:textId="313F6751"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10</w:t>
            </w:r>
            <w:r w:rsidR="006E6274">
              <w:rPr>
                <w:rFonts w:ascii="Arial" w:hAnsi="Arial" w:cs="Arial"/>
                <w:color w:val="000000"/>
                <w:sz w:val="22"/>
                <w:szCs w:val="22"/>
              </w:rPr>
              <w:t> </w:t>
            </w:r>
            <w:r w:rsidRPr="00ED1D28">
              <w:rPr>
                <w:rFonts w:ascii="Arial" w:hAnsi="Arial" w:cs="Arial"/>
                <w:color w:val="000000"/>
                <w:sz w:val="22"/>
                <w:szCs w:val="22"/>
              </w:rPr>
              <w:t>500</w:t>
            </w:r>
            <w:r w:rsidR="006E6274">
              <w:rPr>
                <w:rFonts w:ascii="Arial" w:hAnsi="Arial" w:cs="Arial"/>
                <w:color w:val="000000"/>
                <w:sz w:val="22"/>
                <w:szCs w:val="22"/>
              </w:rPr>
              <w:t> </w:t>
            </w:r>
            <w:r w:rsidRPr="00ED1D28">
              <w:rPr>
                <w:rFonts w:ascii="Arial" w:hAnsi="Arial" w:cs="Arial"/>
                <w:color w:val="000000"/>
                <w:sz w:val="22"/>
                <w:szCs w:val="22"/>
              </w:rPr>
              <w:t xml:space="preserve">000 </w:t>
            </w:r>
          </w:p>
        </w:tc>
        <w:tc>
          <w:tcPr>
            <w:tcW w:w="2016" w:type="dxa"/>
            <w:noWrap/>
            <w:vAlign w:val="bottom"/>
            <w:hideMark/>
          </w:tcPr>
          <w:p w14:paraId="3A1B6CCD" w14:textId="0FA5B874" w:rsidR="00A46099" w:rsidRPr="00ED1D28" w:rsidRDefault="00A46099" w:rsidP="00C60794">
            <w:pPr>
              <w:suppressLineNumbers/>
              <w:suppressAutoHyphens/>
              <w:adjustRightInd w:val="0"/>
              <w:snapToGrid w:val="0"/>
              <w:jc w:val="right"/>
              <w:rPr>
                <w:rFonts w:ascii="Arial" w:hAnsi="Arial" w:cs="Arial"/>
                <w:color w:val="000000"/>
                <w:sz w:val="22"/>
                <w:szCs w:val="22"/>
              </w:rPr>
            </w:pPr>
            <w:r w:rsidRPr="00ED1D28">
              <w:rPr>
                <w:rFonts w:ascii="Arial" w:hAnsi="Arial" w:cs="Arial"/>
                <w:color w:val="000000"/>
                <w:sz w:val="22"/>
                <w:szCs w:val="22"/>
              </w:rPr>
              <w:t xml:space="preserve">                18</w:t>
            </w:r>
            <w:r w:rsidR="006E6274">
              <w:rPr>
                <w:rFonts w:ascii="Arial" w:hAnsi="Arial" w:cs="Arial"/>
                <w:color w:val="000000"/>
                <w:sz w:val="22"/>
                <w:szCs w:val="22"/>
              </w:rPr>
              <w:t> </w:t>
            </w:r>
            <w:r w:rsidRPr="00ED1D28">
              <w:rPr>
                <w:rFonts w:ascii="Arial" w:hAnsi="Arial" w:cs="Arial"/>
                <w:color w:val="000000"/>
                <w:sz w:val="22"/>
                <w:szCs w:val="22"/>
              </w:rPr>
              <w:t>950</w:t>
            </w:r>
            <w:r w:rsidR="006E6274">
              <w:rPr>
                <w:rFonts w:ascii="Arial" w:hAnsi="Arial" w:cs="Arial"/>
                <w:color w:val="000000"/>
                <w:sz w:val="22"/>
                <w:szCs w:val="22"/>
              </w:rPr>
              <w:t> </w:t>
            </w:r>
            <w:r w:rsidRPr="00ED1D28">
              <w:rPr>
                <w:rFonts w:ascii="Arial" w:hAnsi="Arial" w:cs="Arial"/>
                <w:color w:val="000000"/>
                <w:sz w:val="22"/>
                <w:szCs w:val="22"/>
              </w:rPr>
              <w:t xml:space="preserve">500 </w:t>
            </w:r>
          </w:p>
        </w:tc>
      </w:tr>
      <w:tr w:rsidR="00A46099" w:rsidRPr="00ED1D28" w14:paraId="3E7122F8" w14:textId="77777777" w:rsidTr="00C60794">
        <w:trPr>
          <w:trHeight w:val="288"/>
        </w:trPr>
        <w:tc>
          <w:tcPr>
            <w:tcW w:w="1560" w:type="dxa"/>
            <w:tcBorders>
              <w:top w:val="single" w:sz="4" w:space="0" w:color="8EA9DB"/>
              <w:left w:val="nil"/>
              <w:bottom w:val="nil"/>
              <w:right w:val="nil"/>
            </w:tcBorders>
            <w:shd w:val="clear" w:color="auto" w:fill="D9E1F2"/>
            <w:noWrap/>
            <w:vAlign w:val="bottom"/>
            <w:hideMark/>
          </w:tcPr>
          <w:p w14:paraId="62589631" w14:textId="77777777" w:rsidR="00A46099" w:rsidRPr="00ED1D28" w:rsidRDefault="00A46099" w:rsidP="00C60794">
            <w:pPr>
              <w:suppressLineNumbers/>
              <w:suppressAutoHyphens/>
              <w:adjustRightInd w:val="0"/>
              <w:snapToGrid w:val="0"/>
              <w:ind w:left="176"/>
              <w:rPr>
                <w:rFonts w:ascii="Arial" w:hAnsi="Arial" w:cs="Arial"/>
                <w:b/>
                <w:bCs/>
                <w:color w:val="000000"/>
                <w:sz w:val="22"/>
                <w:szCs w:val="22"/>
              </w:rPr>
            </w:pPr>
            <w:r w:rsidRPr="00ED1D28">
              <w:rPr>
                <w:rFonts w:ascii="Arial" w:hAnsi="Arial" w:cs="Arial"/>
                <w:b/>
                <w:bCs/>
                <w:color w:val="000000"/>
                <w:sz w:val="22"/>
                <w:szCs w:val="22"/>
              </w:rPr>
              <w:t>Total</w:t>
            </w:r>
          </w:p>
        </w:tc>
        <w:tc>
          <w:tcPr>
            <w:tcW w:w="1896" w:type="dxa"/>
            <w:tcBorders>
              <w:top w:val="single" w:sz="4" w:space="0" w:color="8EA9DB"/>
              <w:left w:val="nil"/>
              <w:bottom w:val="nil"/>
              <w:right w:val="nil"/>
            </w:tcBorders>
            <w:shd w:val="clear" w:color="auto" w:fill="D9E1F2"/>
            <w:noWrap/>
            <w:vAlign w:val="bottom"/>
            <w:hideMark/>
          </w:tcPr>
          <w:p w14:paraId="7B86C272" w14:textId="7B2BBDEA" w:rsidR="00A46099" w:rsidRPr="00ED1D28" w:rsidRDefault="00A46099" w:rsidP="00C60794">
            <w:pPr>
              <w:suppressLineNumbers/>
              <w:suppressAutoHyphens/>
              <w:adjustRightInd w:val="0"/>
              <w:snapToGrid w:val="0"/>
              <w:jc w:val="right"/>
              <w:rPr>
                <w:rFonts w:ascii="Arial" w:hAnsi="Arial" w:cs="Arial"/>
                <w:b/>
                <w:bCs/>
                <w:color w:val="000000"/>
                <w:sz w:val="22"/>
                <w:szCs w:val="22"/>
              </w:rPr>
            </w:pPr>
            <w:r w:rsidRPr="00ED1D28">
              <w:rPr>
                <w:rFonts w:ascii="Arial" w:hAnsi="Arial" w:cs="Arial"/>
                <w:b/>
                <w:bCs/>
                <w:color w:val="000000"/>
                <w:sz w:val="22"/>
                <w:szCs w:val="22"/>
              </w:rPr>
              <w:t xml:space="preserve">           324</w:t>
            </w:r>
            <w:r w:rsidR="006E6274">
              <w:rPr>
                <w:rFonts w:ascii="Arial" w:hAnsi="Arial" w:cs="Arial"/>
                <w:b/>
                <w:bCs/>
                <w:color w:val="000000"/>
                <w:sz w:val="22"/>
                <w:szCs w:val="22"/>
              </w:rPr>
              <w:t> </w:t>
            </w:r>
            <w:r w:rsidRPr="00ED1D28">
              <w:rPr>
                <w:rFonts w:ascii="Arial" w:hAnsi="Arial" w:cs="Arial"/>
                <w:b/>
                <w:bCs/>
                <w:color w:val="000000"/>
                <w:sz w:val="22"/>
                <w:szCs w:val="22"/>
              </w:rPr>
              <w:t>183</w:t>
            </w:r>
            <w:r w:rsidR="006E6274">
              <w:rPr>
                <w:rFonts w:ascii="Arial" w:hAnsi="Arial" w:cs="Arial"/>
                <w:b/>
                <w:bCs/>
                <w:color w:val="000000"/>
                <w:sz w:val="22"/>
                <w:szCs w:val="22"/>
              </w:rPr>
              <w:t> </w:t>
            </w:r>
            <w:r w:rsidRPr="00ED1D28">
              <w:rPr>
                <w:rFonts w:ascii="Arial" w:hAnsi="Arial" w:cs="Arial"/>
                <w:b/>
                <w:bCs/>
                <w:color w:val="000000"/>
                <w:sz w:val="22"/>
                <w:szCs w:val="22"/>
              </w:rPr>
              <w:t xml:space="preserve">724 </w:t>
            </w:r>
          </w:p>
        </w:tc>
        <w:tc>
          <w:tcPr>
            <w:tcW w:w="2216" w:type="dxa"/>
            <w:tcBorders>
              <w:top w:val="single" w:sz="4" w:space="0" w:color="8EA9DB"/>
              <w:left w:val="nil"/>
              <w:bottom w:val="nil"/>
              <w:right w:val="nil"/>
            </w:tcBorders>
            <w:shd w:val="clear" w:color="auto" w:fill="D9E1F2"/>
            <w:noWrap/>
            <w:vAlign w:val="bottom"/>
            <w:hideMark/>
          </w:tcPr>
          <w:p w14:paraId="7BDE77C9" w14:textId="63C8D9B9" w:rsidR="00A46099" w:rsidRPr="00ED1D28" w:rsidRDefault="00A46099" w:rsidP="00C60794">
            <w:pPr>
              <w:suppressLineNumbers/>
              <w:suppressAutoHyphens/>
              <w:adjustRightInd w:val="0"/>
              <w:snapToGrid w:val="0"/>
              <w:jc w:val="right"/>
              <w:rPr>
                <w:rFonts w:ascii="Arial" w:hAnsi="Arial" w:cs="Arial"/>
                <w:b/>
                <w:bCs/>
                <w:color w:val="000000"/>
                <w:sz w:val="22"/>
                <w:szCs w:val="22"/>
              </w:rPr>
            </w:pPr>
            <w:r w:rsidRPr="00ED1D28">
              <w:rPr>
                <w:rFonts w:ascii="Arial" w:hAnsi="Arial" w:cs="Arial"/>
                <w:b/>
                <w:bCs/>
                <w:color w:val="000000"/>
                <w:sz w:val="22"/>
                <w:szCs w:val="22"/>
              </w:rPr>
              <w:t xml:space="preserve">                 694</w:t>
            </w:r>
            <w:r w:rsidR="006E6274">
              <w:rPr>
                <w:rFonts w:ascii="Arial" w:hAnsi="Arial" w:cs="Arial"/>
                <w:b/>
                <w:bCs/>
                <w:color w:val="000000"/>
                <w:sz w:val="22"/>
                <w:szCs w:val="22"/>
              </w:rPr>
              <w:t> </w:t>
            </w:r>
            <w:r w:rsidRPr="00ED1D28">
              <w:rPr>
                <w:rFonts w:ascii="Arial" w:hAnsi="Arial" w:cs="Arial"/>
                <w:b/>
                <w:bCs/>
                <w:color w:val="000000"/>
                <w:sz w:val="22"/>
                <w:szCs w:val="22"/>
              </w:rPr>
              <w:t>536</w:t>
            </w:r>
            <w:r w:rsidR="006E6274">
              <w:rPr>
                <w:rFonts w:ascii="Arial" w:hAnsi="Arial" w:cs="Arial"/>
                <w:b/>
                <w:bCs/>
                <w:color w:val="000000"/>
                <w:sz w:val="22"/>
                <w:szCs w:val="22"/>
              </w:rPr>
              <w:t> </w:t>
            </w:r>
            <w:r w:rsidRPr="00ED1D28">
              <w:rPr>
                <w:rFonts w:ascii="Arial" w:hAnsi="Arial" w:cs="Arial"/>
                <w:b/>
                <w:bCs/>
                <w:color w:val="000000"/>
                <w:sz w:val="22"/>
                <w:szCs w:val="22"/>
              </w:rPr>
              <w:t>826</w:t>
            </w:r>
          </w:p>
        </w:tc>
        <w:tc>
          <w:tcPr>
            <w:tcW w:w="2256" w:type="dxa"/>
            <w:tcBorders>
              <w:top w:val="single" w:sz="4" w:space="0" w:color="8EA9DB"/>
              <w:left w:val="nil"/>
              <w:bottom w:val="nil"/>
              <w:right w:val="nil"/>
            </w:tcBorders>
            <w:shd w:val="clear" w:color="auto" w:fill="D9E1F2"/>
            <w:noWrap/>
            <w:vAlign w:val="bottom"/>
            <w:hideMark/>
          </w:tcPr>
          <w:p w14:paraId="20A65B46" w14:textId="2B3D81E2" w:rsidR="00A46099" w:rsidRPr="00ED1D28" w:rsidRDefault="00A46099" w:rsidP="00C60794">
            <w:pPr>
              <w:suppressLineNumbers/>
              <w:suppressAutoHyphens/>
              <w:adjustRightInd w:val="0"/>
              <w:snapToGrid w:val="0"/>
              <w:jc w:val="right"/>
              <w:rPr>
                <w:rFonts w:ascii="Arial" w:hAnsi="Arial" w:cs="Arial"/>
                <w:b/>
                <w:bCs/>
                <w:color w:val="000000"/>
                <w:sz w:val="22"/>
                <w:szCs w:val="22"/>
              </w:rPr>
            </w:pPr>
            <w:r w:rsidRPr="00ED1D28">
              <w:rPr>
                <w:rFonts w:ascii="Arial" w:hAnsi="Arial" w:cs="Arial"/>
                <w:b/>
                <w:bCs/>
                <w:color w:val="000000"/>
                <w:sz w:val="22"/>
                <w:szCs w:val="22"/>
              </w:rPr>
              <w:t>299</w:t>
            </w:r>
            <w:r w:rsidR="006E6274">
              <w:rPr>
                <w:rFonts w:ascii="Arial" w:hAnsi="Arial" w:cs="Arial"/>
                <w:b/>
                <w:bCs/>
                <w:color w:val="000000"/>
                <w:sz w:val="22"/>
                <w:szCs w:val="22"/>
              </w:rPr>
              <w:t> </w:t>
            </w:r>
            <w:r w:rsidRPr="00ED1D28">
              <w:rPr>
                <w:rFonts w:ascii="Arial" w:hAnsi="Arial" w:cs="Arial"/>
                <w:b/>
                <w:bCs/>
                <w:color w:val="000000"/>
                <w:sz w:val="22"/>
                <w:szCs w:val="22"/>
              </w:rPr>
              <w:t>120</w:t>
            </w:r>
            <w:r w:rsidR="006E6274">
              <w:rPr>
                <w:rFonts w:ascii="Arial" w:hAnsi="Arial" w:cs="Arial"/>
                <w:b/>
                <w:bCs/>
                <w:color w:val="000000"/>
                <w:sz w:val="22"/>
                <w:szCs w:val="22"/>
              </w:rPr>
              <w:t> </w:t>
            </w:r>
            <w:r w:rsidRPr="00ED1D28">
              <w:rPr>
                <w:rFonts w:ascii="Arial" w:hAnsi="Arial" w:cs="Arial"/>
                <w:b/>
                <w:bCs/>
                <w:color w:val="000000"/>
                <w:sz w:val="22"/>
                <w:szCs w:val="22"/>
              </w:rPr>
              <w:t xml:space="preserve">000     </w:t>
            </w:r>
          </w:p>
        </w:tc>
        <w:tc>
          <w:tcPr>
            <w:tcW w:w="2016" w:type="dxa"/>
            <w:tcBorders>
              <w:top w:val="single" w:sz="4" w:space="0" w:color="8EA9DB"/>
              <w:left w:val="nil"/>
              <w:bottom w:val="nil"/>
              <w:right w:val="nil"/>
            </w:tcBorders>
            <w:shd w:val="clear" w:color="auto" w:fill="D9E1F2"/>
            <w:noWrap/>
            <w:vAlign w:val="bottom"/>
            <w:hideMark/>
          </w:tcPr>
          <w:p w14:paraId="29084CA5" w14:textId="1A49C873" w:rsidR="00A46099" w:rsidRPr="00ED1D28" w:rsidRDefault="00A46099" w:rsidP="00C60794">
            <w:pPr>
              <w:suppressLineNumbers/>
              <w:suppressAutoHyphens/>
              <w:adjustRightInd w:val="0"/>
              <w:snapToGrid w:val="0"/>
              <w:jc w:val="right"/>
              <w:rPr>
                <w:rFonts w:ascii="Arial" w:hAnsi="Arial" w:cs="Arial"/>
                <w:b/>
                <w:bCs/>
                <w:color w:val="000000"/>
                <w:sz w:val="22"/>
                <w:szCs w:val="22"/>
              </w:rPr>
            </w:pPr>
            <w:r w:rsidRPr="00ED1D28">
              <w:rPr>
                <w:rFonts w:ascii="Arial" w:hAnsi="Arial" w:cs="Arial"/>
                <w:b/>
                <w:bCs/>
                <w:color w:val="000000"/>
                <w:sz w:val="22"/>
                <w:szCs w:val="22"/>
              </w:rPr>
              <w:t xml:space="preserve">          1</w:t>
            </w:r>
            <w:r w:rsidR="006E6274">
              <w:rPr>
                <w:rFonts w:ascii="Arial" w:hAnsi="Arial" w:cs="Arial"/>
                <w:b/>
                <w:bCs/>
                <w:color w:val="000000"/>
                <w:sz w:val="22"/>
                <w:szCs w:val="22"/>
              </w:rPr>
              <w:t> </w:t>
            </w:r>
            <w:r w:rsidRPr="00ED1D28">
              <w:rPr>
                <w:rFonts w:ascii="Arial" w:hAnsi="Arial" w:cs="Arial"/>
                <w:b/>
                <w:bCs/>
                <w:color w:val="000000"/>
                <w:sz w:val="22"/>
                <w:szCs w:val="22"/>
              </w:rPr>
              <w:t>316</w:t>
            </w:r>
            <w:r w:rsidR="006E6274">
              <w:rPr>
                <w:rFonts w:ascii="Arial" w:hAnsi="Arial" w:cs="Arial"/>
                <w:b/>
                <w:bCs/>
                <w:color w:val="000000"/>
                <w:sz w:val="22"/>
                <w:szCs w:val="22"/>
              </w:rPr>
              <w:t> </w:t>
            </w:r>
            <w:r w:rsidRPr="00ED1D28">
              <w:rPr>
                <w:rFonts w:ascii="Arial" w:hAnsi="Arial" w:cs="Arial"/>
                <w:b/>
                <w:bCs/>
                <w:color w:val="000000"/>
                <w:sz w:val="22"/>
                <w:szCs w:val="22"/>
              </w:rPr>
              <w:t>690</w:t>
            </w:r>
            <w:r w:rsidR="006E6274">
              <w:rPr>
                <w:rFonts w:ascii="Arial" w:hAnsi="Arial" w:cs="Arial"/>
                <w:b/>
                <w:bCs/>
                <w:color w:val="000000"/>
                <w:sz w:val="22"/>
                <w:szCs w:val="22"/>
              </w:rPr>
              <w:t> </w:t>
            </w:r>
            <w:r w:rsidRPr="00ED1D28">
              <w:rPr>
                <w:rFonts w:ascii="Arial" w:hAnsi="Arial" w:cs="Arial"/>
                <w:b/>
                <w:bCs/>
                <w:color w:val="000000"/>
                <w:sz w:val="22"/>
                <w:szCs w:val="22"/>
              </w:rPr>
              <w:t xml:space="preserve">550 </w:t>
            </w:r>
          </w:p>
        </w:tc>
      </w:tr>
    </w:tbl>
    <w:p w14:paraId="15575372" w14:textId="77777777" w:rsidR="00A46099" w:rsidRPr="0098432D" w:rsidRDefault="00A46099" w:rsidP="0098432D">
      <w:pPr>
        <w:suppressLineNumbers/>
        <w:suppressAutoHyphens/>
        <w:adjustRightInd w:val="0"/>
        <w:snapToGrid w:val="0"/>
        <w:spacing w:after="160"/>
        <w:ind w:left="1134"/>
        <w:rPr>
          <w:rFonts w:ascii="Arial" w:hAnsi="Arial" w:cs="Arial"/>
          <w:sz w:val="22"/>
          <w:szCs w:val="22"/>
          <w:lang w:val="en-GB" w:eastAsia="en-US"/>
        </w:rPr>
      </w:pPr>
    </w:p>
    <w:p w14:paraId="05F02494" w14:textId="77777777" w:rsidR="00974917" w:rsidRPr="00B133FF" w:rsidRDefault="00974917" w:rsidP="0065103C">
      <w:pPr>
        <w:suppressLineNumbers/>
        <w:suppressAutoHyphens/>
        <w:adjustRightInd w:val="0"/>
        <w:snapToGrid w:val="0"/>
        <w:spacing w:after="160"/>
        <w:ind w:left="1134"/>
        <w:rPr>
          <w:rFonts w:ascii="Arial" w:hAnsi="Arial" w:cs="Arial"/>
          <w:sz w:val="22"/>
          <w:szCs w:val="22"/>
        </w:rPr>
      </w:pPr>
      <w:r>
        <w:rPr>
          <w:rFonts w:ascii="Arial" w:hAnsi="Arial" w:cs="Arial"/>
          <w:sz w:val="22"/>
          <w:szCs w:val="22"/>
        </w:rPr>
        <w:t>Le nombre total de projets proposés par les 15 Parties est de 67. Le total des besoins de financement demandés par les 15 Parties s'élève à 1,317 milliard de dollars des États-Unis. Le total des besoins de financement demandés au FEM par les 15 Parties s'élève à 324 millions de dollars des États-Unis. Le cofinancement total fourni par les sources nationales des Parties est de 695 millions de dollars des États-Unis, tandis que les autres cofinancements s'élèvent à 299 millions de dollars des États-Unis.</w:t>
      </w:r>
    </w:p>
    <w:p w14:paraId="68B7F9D0" w14:textId="77777777" w:rsidR="00974917" w:rsidRPr="00B133FF" w:rsidRDefault="00974917" w:rsidP="0065103C">
      <w:pPr>
        <w:suppressLineNumbers/>
        <w:suppressAutoHyphens/>
        <w:adjustRightInd w:val="0"/>
        <w:snapToGrid w:val="0"/>
        <w:rPr>
          <w:rFonts w:ascii="Arial" w:hAnsi="Arial" w:cs="Arial"/>
          <w:b/>
          <w:bCs/>
          <w:sz w:val="22"/>
          <w:szCs w:val="22"/>
        </w:rPr>
      </w:pPr>
    </w:p>
    <w:p w14:paraId="74F783AD" w14:textId="77777777" w:rsidR="00974917" w:rsidRPr="0065103C" w:rsidRDefault="00974917" w:rsidP="0065103C">
      <w:pPr>
        <w:pStyle w:val="ListParagraph"/>
        <w:numPr>
          <w:ilvl w:val="1"/>
          <w:numId w:val="16"/>
        </w:numPr>
        <w:suppressLineNumbers/>
        <w:suppressAutoHyphens/>
        <w:adjustRightInd w:val="0"/>
        <w:snapToGrid w:val="0"/>
        <w:spacing w:after="160"/>
        <w:rPr>
          <w:rFonts w:ascii="Arial" w:hAnsi="Arial" w:cs="Arial"/>
          <w:sz w:val="22"/>
          <w:szCs w:val="22"/>
          <w:highlight w:val="lightGray"/>
          <w:u w:val="single"/>
          <w:lang w:val="en-GB"/>
        </w:rPr>
      </w:pPr>
      <w:r>
        <w:rPr>
          <w:rFonts w:ascii="Arial" w:hAnsi="Arial" w:cs="Arial"/>
          <w:sz w:val="22"/>
          <w:szCs w:val="22"/>
          <w:u w:val="single"/>
        </w:rPr>
        <w:t>Scénarios possibles</w:t>
      </w:r>
    </w:p>
    <w:p w14:paraId="5683791C" w14:textId="77777777"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rPr>
        <w:t xml:space="preserve">L'objectif des travaux menés par l'équipe d'experts est de recueillir les besoins de financement de toutes les Parties à la CDB éligibles au FEM afin de recenser les besoins globaux pour le FEM-8. Si toutes les Parties répondent au questionnaire, celui-ci servira de base à l'analyse. Toutefois, puisqu'il est peu probable que toutes </w:t>
      </w:r>
      <w:r>
        <w:rPr>
          <w:rFonts w:ascii="Arial" w:hAnsi="Arial" w:cs="Arial"/>
          <w:sz w:val="22"/>
          <w:szCs w:val="22"/>
        </w:rPr>
        <w:lastRenderedPageBreak/>
        <w:t>les Parties soumettent ces données, différents scénarios peuvent être utilisés pour extrapoler les données à partir des sources existantes et définir les besoins de financement pour le FEM-8. Ainsi, sur la base des données fournies par les réponses au questionnaire, ainsi que des informations provenant des montants précédemment alloués par le programme STAR du FEM pour la biodiversité, il est possible d'utiliser quelques scénarios pour prévoir le montant total estimé pour le FEM-8. Plus le nombre de réponses aux questionnaires sera élevé, plus ces estimations seront précises. À ce jour, seules 15 Parties ont répondu, ce qui rend les estimations très incertaines. Néanmoins, pour les besoins de la réunion de l'Organe subsidiaire chargé de l'application, l'équipe d'experts présente ci-dessous 3 scénarios possibles pour estimer le montant total des fonds nécessaires pour le FEM-8.</w:t>
      </w:r>
    </w:p>
    <w:p w14:paraId="0CCA0B5B" w14:textId="77777777" w:rsidR="00974917" w:rsidRPr="00B133FF" w:rsidRDefault="00974917" w:rsidP="0065103C">
      <w:pPr>
        <w:suppressLineNumbers/>
        <w:suppressAutoHyphens/>
        <w:adjustRightInd w:val="0"/>
        <w:snapToGrid w:val="0"/>
        <w:rPr>
          <w:rFonts w:ascii="Arial" w:hAnsi="Arial" w:cs="Arial"/>
          <w:b/>
          <w:bCs/>
          <w:sz w:val="22"/>
          <w:szCs w:val="22"/>
        </w:rPr>
      </w:pPr>
    </w:p>
    <w:p w14:paraId="3E224FEA" w14:textId="77777777"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u w:val="single"/>
        </w:rPr>
        <w:t xml:space="preserve">Scénario 1 : </w:t>
      </w:r>
      <w:r>
        <w:rPr>
          <w:rFonts w:ascii="Arial" w:hAnsi="Arial" w:cs="Arial"/>
          <w:sz w:val="22"/>
          <w:szCs w:val="22"/>
        </w:rPr>
        <w:t>estimation basée sur les réponses au questionnaire et application d'un multiplicateur à l'allocation du programme STAR du FEM-7 pour la biodiversité</w:t>
      </w:r>
    </w:p>
    <w:p w14:paraId="4560A424" w14:textId="77777777" w:rsidR="00974917" w:rsidRPr="00B133FF" w:rsidRDefault="00974917" w:rsidP="0065103C">
      <w:pPr>
        <w:suppressLineNumbers/>
        <w:suppressAutoHyphens/>
        <w:adjustRightInd w:val="0"/>
        <w:snapToGrid w:val="0"/>
        <w:rPr>
          <w:rFonts w:ascii="Arial" w:hAnsi="Arial" w:cs="Arial"/>
          <w:sz w:val="22"/>
          <w:szCs w:val="22"/>
        </w:rPr>
      </w:pPr>
    </w:p>
    <w:p w14:paraId="2785D4A4" w14:textId="77777777"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rPr>
        <w:t>Nous avons utilisé les données des Parties qui ont répondu au questionnaire (15 à ce jour) pour les comparer à l'allocation STAR du FEM-7 pour la biodiversité (n'incluant pas les financements des programmes à impact ou les allocations STAR des autres domaines qui ont pu inclure des résultats relatifs à la biodiversité). Le pourcentage d'augmentation (ou de diminution) entre l'allocation STAR du FEM-7 pour la biodiversité et le montant du questionnaire a été calculé. La moyenne de ces pourcentages a été calculée pour obtenir un multiplicateur de 195 %. L'application de ce chiffre au montant total de l'allocation STAR du FEM-7 pour la biodiversité peut fournir un moyen d'estimer les besoins de financement du FEM-8. Plus le nombre de réponses au questionnaire est élevé, plus ce chiffre multiplicateur est précis.</w:t>
      </w:r>
    </w:p>
    <w:p w14:paraId="543B7011" w14:textId="77777777" w:rsidR="00974917" w:rsidRPr="00B133FF" w:rsidRDefault="00974917" w:rsidP="0065103C">
      <w:pPr>
        <w:suppressLineNumbers/>
        <w:suppressAutoHyphens/>
        <w:adjustRightInd w:val="0"/>
        <w:snapToGrid w:val="0"/>
        <w:rPr>
          <w:rFonts w:ascii="Arial" w:hAnsi="Arial" w:cs="Arial"/>
          <w:b/>
          <w:bCs/>
          <w:sz w:val="22"/>
          <w:szCs w:val="22"/>
        </w:rPr>
      </w:pPr>
    </w:p>
    <w:p w14:paraId="074729E0" w14:textId="77777777"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u w:val="single"/>
        </w:rPr>
        <w:t xml:space="preserve">Scénario 2 </w:t>
      </w:r>
      <w:r>
        <w:rPr>
          <w:rFonts w:ascii="Arial" w:hAnsi="Arial" w:cs="Arial"/>
          <w:sz w:val="22"/>
          <w:szCs w:val="22"/>
        </w:rPr>
        <w:t>: estimation basée sur l'allocation STAR du FEM-6 et du FEM-7 pour la biodiversité</w:t>
      </w:r>
    </w:p>
    <w:p w14:paraId="501E26DA" w14:textId="77777777" w:rsidR="00974917" w:rsidRPr="00B133FF" w:rsidRDefault="00974917" w:rsidP="0065103C">
      <w:pPr>
        <w:suppressLineNumbers/>
        <w:suppressAutoHyphens/>
        <w:adjustRightInd w:val="0"/>
        <w:snapToGrid w:val="0"/>
        <w:rPr>
          <w:rFonts w:ascii="Arial" w:hAnsi="Arial" w:cs="Arial"/>
          <w:sz w:val="22"/>
          <w:szCs w:val="22"/>
        </w:rPr>
      </w:pPr>
    </w:p>
    <w:p w14:paraId="2FC5670B" w14:textId="77777777"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rPr>
        <w:t>En calculant la variation en pourcentage entre le FEM 6 et le FEM 7 pour chacun des 144 pays bénéficiant de l'allocation STAR (biodiversité) et en faisant la moyenne de ce pourcentage sur le total, nous obtenons une augmentation moyenne de 14 % entre les Parties. Ce multiplicateur pourrait alors être utilisé de deux façons : a) pour calculer simplement une variation peu ambitieuse au même niveau pour le FEM-8, ou b) en doublant ce multiplicateur pour obtenir une estimation plus ambitieuse.</w:t>
      </w:r>
    </w:p>
    <w:p w14:paraId="430ECF69" w14:textId="77777777" w:rsidR="00974917" w:rsidRPr="00B133FF" w:rsidRDefault="00974917" w:rsidP="0065103C">
      <w:pPr>
        <w:suppressLineNumbers/>
        <w:suppressAutoHyphens/>
        <w:adjustRightInd w:val="0"/>
        <w:snapToGrid w:val="0"/>
        <w:rPr>
          <w:rFonts w:ascii="Arial" w:hAnsi="Arial" w:cs="Arial"/>
          <w:b/>
          <w:bCs/>
          <w:sz w:val="22"/>
          <w:szCs w:val="22"/>
        </w:rPr>
      </w:pPr>
    </w:p>
    <w:p w14:paraId="2A37D4C0" w14:textId="77777777"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u w:val="single"/>
        </w:rPr>
        <w:t>Scénario 3 :</w:t>
      </w:r>
      <w:r>
        <w:rPr>
          <w:rFonts w:ascii="Arial" w:hAnsi="Arial" w:cs="Arial"/>
          <w:sz w:val="22"/>
          <w:szCs w:val="22"/>
        </w:rPr>
        <w:t xml:space="preserve"> estimation basée sur l'extrapolation des réponses aux questionnaires par rapport au nombre total de Parties éligibles au FEM à partir d'un modèle statistique</w:t>
      </w:r>
    </w:p>
    <w:p w14:paraId="3AE988EA" w14:textId="77777777" w:rsidR="00974917" w:rsidRPr="00B133FF" w:rsidRDefault="00974917" w:rsidP="0065103C">
      <w:pPr>
        <w:suppressLineNumbers/>
        <w:suppressAutoHyphens/>
        <w:adjustRightInd w:val="0"/>
        <w:snapToGrid w:val="0"/>
        <w:rPr>
          <w:rFonts w:ascii="Arial" w:hAnsi="Arial" w:cs="Arial"/>
          <w:sz w:val="22"/>
          <w:szCs w:val="22"/>
        </w:rPr>
      </w:pPr>
    </w:p>
    <w:p w14:paraId="2C365792" w14:textId="77777777" w:rsidR="00974917" w:rsidRPr="00B133FF" w:rsidRDefault="00974917" w:rsidP="0065103C">
      <w:pPr>
        <w:suppressLineNumbers/>
        <w:suppressAutoHyphens/>
        <w:adjustRightInd w:val="0"/>
        <w:snapToGrid w:val="0"/>
        <w:ind w:left="1134"/>
        <w:rPr>
          <w:rFonts w:ascii="Arial" w:hAnsi="Arial" w:cs="Arial"/>
          <w:b/>
          <w:bCs/>
          <w:sz w:val="22"/>
          <w:szCs w:val="22"/>
        </w:rPr>
      </w:pPr>
      <w:r>
        <w:rPr>
          <w:rFonts w:ascii="Arial" w:hAnsi="Arial" w:cs="Arial"/>
          <w:sz w:val="22"/>
          <w:szCs w:val="22"/>
        </w:rPr>
        <w:t xml:space="preserve">Dans ce cas, nous utilisons le montant des besoins déclarés dans le questionnaire (15 à ce jour) et le produit intérieur brut (PIB) pour chaque pays ayant déclaré des besoins pour élaborer un modèle de régression avec les besoins comme variable explicative et le PIB comme variable explicative. Ce modèle fournit une relation statistique entre le PIB et les estimations des besoins dans le questionnaire. Nous utilisons ce modèle pour projeter les fonds sur toutes les autres Parties qui n'ont pas fait état de leurs besoins dans les questionnaires. Cette méthode fournira une projection des besoins par pays qui est basée sur une moyenne pondérée des fonds déclarés par les 15 réponses recueillies et ancrées sur le PIB nominal. Ainsi, la projection des besoins sera relativement plus importante pour les pays dont le </w:t>
      </w:r>
      <w:r>
        <w:rPr>
          <w:rFonts w:ascii="Arial" w:hAnsi="Arial" w:cs="Arial"/>
          <w:sz w:val="22"/>
          <w:szCs w:val="22"/>
        </w:rPr>
        <w:lastRenderedPageBreak/>
        <w:t xml:space="preserve">PIB est plus élevé que la moyenne, et plus faible pour les pays dont le PIB est plus faible que la moyenne. </w:t>
      </w:r>
    </w:p>
    <w:p w14:paraId="3BCA385B" w14:textId="77777777" w:rsidR="00974917" w:rsidRPr="00B133FF" w:rsidRDefault="00974917" w:rsidP="0065103C">
      <w:pPr>
        <w:suppressLineNumbers/>
        <w:suppressAutoHyphens/>
        <w:adjustRightInd w:val="0"/>
        <w:snapToGrid w:val="0"/>
        <w:ind w:left="720"/>
        <w:rPr>
          <w:rFonts w:ascii="Arial" w:hAnsi="Arial" w:cs="Arial"/>
          <w:b/>
          <w:bCs/>
          <w:sz w:val="22"/>
          <w:szCs w:val="22"/>
        </w:rPr>
      </w:pPr>
    </w:p>
    <w:p w14:paraId="57E0DD5D" w14:textId="77777777" w:rsidR="00974917" w:rsidRPr="00B133FF" w:rsidRDefault="00974917" w:rsidP="0065103C">
      <w:pPr>
        <w:suppressLineNumbers/>
        <w:suppressAutoHyphens/>
        <w:adjustRightInd w:val="0"/>
        <w:snapToGrid w:val="0"/>
        <w:ind w:left="1134"/>
        <w:rPr>
          <w:rFonts w:ascii="Arial" w:hAnsi="Arial" w:cs="Arial"/>
          <w:sz w:val="22"/>
          <w:szCs w:val="22"/>
          <w:u w:val="single"/>
        </w:rPr>
      </w:pPr>
      <w:r>
        <w:rPr>
          <w:rFonts w:ascii="Arial" w:hAnsi="Arial" w:cs="Arial"/>
          <w:sz w:val="22"/>
          <w:szCs w:val="22"/>
          <w:u w:val="single"/>
        </w:rPr>
        <w:t>Conclusion</w:t>
      </w:r>
    </w:p>
    <w:p w14:paraId="68991E9C" w14:textId="77777777" w:rsidR="00974917" w:rsidRPr="00B133FF" w:rsidRDefault="00974917" w:rsidP="0065103C">
      <w:pPr>
        <w:suppressLineNumbers/>
        <w:suppressAutoHyphens/>
        <w:adjustRightInd w:val="0"/>
        <w:snapToGrid w:val="0"/>
        <w:ind w:left="1134"/>
        <w:rPr>
          <w:rFonts w:ascii="Arial" w:hAnsi="Arial" w:cs="Arial"/>
          <w:sz w:val="22"/>
          <w:szCs w:val="22"/>
        </w:rPr>
      </w:pPr>
    </w:p>
    <w:p w14:paraId="5538411B" w14:textId="77777777"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rPr>
        <w:t xml:space="preserve">En comparant les objectifs de mobilisation des ressources indiqués dans le projet de Cadre mondial de la biodiversité pour l'après-2020 avec les objectifs précédents de la CDB sur la mobilisation des ressources, on peut observer que les objectifs actuels sont plus ambitieux et nécessiteront un soutien financier plus important que prévu. </w:t>
      </w:r>
    </w:p>
    <w:p w14:paraId="6A267B01" w14:textId="77777777" w:rsidR="00974917" w:rsidRPr="00B133FF" w:rsidRDefault="00974917" w:rsidP="0065103C">
      <w:pPr>
        <w:suppressLineNumbers/>
        <w:suppressAutoHyphens/>
        <w:adjustRightInd w:val="0"/>
        <w:snapToGrid w:val="0"/>
        <w:ind w:left="1134"/>
        <w:rPr>
          <w:rFonts w:ascii="Arial" w:hAnsi="Arial" w:cs="Arial"/>
          <w:sz w:val="22"/>
          <w:szCs w:val="22"/>
        </w:rPr>
      </w:pPr>
    </w:p>
    <w:p w14:paraId="6149B92B" w14:textId="77777777"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rPr>
        <w:t>Dans le cadre des commentaires soumis pour le premier rapport du groupe d'experts sur la mobilisation des ressources pour le Cadre mondial de la biodiversité pour l'après-2020 en ce qui concerne l'objectif 3 sur le renforcement des institutions financières existantes et la promotion de la reproduction et du renforcement des mécanismes et instruments financiers efficaces, il a été mentionné qu'il existe une lacune dans la stratégie de mobilisation des ressources par rapport aux limites du FEM à fournir des financements ne reposant pas sur des subventions</w:t>
      </w:r>
      <w:r>
        <w:rPr>
          <w:rFonts w:ascii="Arial" w:hAnsi="Arial" w:cs="Arial"/>
          <w:sz w:val="22"/>
          <w:szCs w:val="22"/>
          <w:vertAlign w:val="superscript"/>
        </w:rPr>
        <w:footnoteReference w:id="24"/>
      </w:r>
      <w:r>
        <w:rPr>
          <w:rFonts w:ascii="Arial" w:hAnsi="Arial" w:cs="Arial"/>
          <w:sz w:val="22"/>
          <w:szCs w:val="22"/>
        </w:rPr>
        <w:t>.</w:t>
      </w:r>
    </w:p>
    <w:p w14:paraId="64517E5C" w14:textId="77777777" w:rsidR="00974917" w:rsidRPr="00B133FF" w:rsidRDefault="00974917" w:rsidP="0065103C">
      <w:pPr>
        <w:suppressLineNumbers/>
        <w:suppressAutoHyphens/>
        <w:adjustRightInd w:val="0"/>
        <w:snapToGrid w:val="0"/>
        <w:ind w:left="1134"/>
        <w:rPr>
          <w:rFonts w:ascii="Arial" w:hAnsi="Arial" w:cs="Arial"/>
          <w:sz w:val="22"/>
          <w:szCs w:val="22"/>
        </w:rPr>
      </w:pPr>
    </w:p>
    <w:p w14:paraId="25698429" w14:textId="77777777"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rPr>
        <w:t xml:space="preserve">De manière générale, il a également été mentionné que le FEM étant le mécanisme de financement de la CDB, son financement lié à la biodiversité n'a augmenté que d'environ 30 % entre le FEM-4 et le FEM-7. Le FEM a soutenu environ 1 300 projets dans plus de 155 pays grâce à des investissements de plus de 3,5 milliards de dollars des États-Unis et à plus de 10 milliards de dollars des États-Unis de cofinancement. </w:t>
      </w:r>
    </w:p>
    <w:p w14:paraId="5BFFF295" w14:textId="77777777" w:rsidR="00974917" w:rsidRPr="00B133FF" w:rsidRDefault="00974917" w:rsidP="0065103C">
      <w:pPr>
        <w:suppressLineNumbers/>
        <w:suppressAutoHyphens/>
        <w:adjustRightInd w:val="0"/>
        <w:snapToGrid w:val="0"/>
        <w:ind w:left="1134"/>
        <w:rPr>
          <w:rFonts w:ascii="Arial" w:hAnsi="Arial" w:cs="Arial"/>
          <w:sz w:val="22"/>
          <w:szCs w:val="22"/>
        </w:rPr>
      </w:pPr>
    </w:p>
    <w:p w14:paraId="050A283B" w14:textId="77777777" w:rsidR="00974917" w:rsidRPr="00B133FF" w:rsidRDefault="00974917" w:rsidP="0065103C">
      <w:pPr>
        <w:suppressLineNumbers/>
        <w:suppressAutoHyphens/>
        <w:adjustRightInd w:val="0"/>
        <w:snapToGrid w:val="0"/>
        <w:ind w:left="1134"/>
        <w:rPr>
          <w:rFonts w:ascii="Arial" w:hAnsi="Arial" w:cs="Arial"/>
          <w:sz w:val="22"/>
          <w:szCs w:val="22"/>
        </w:rPr>
      </w:pPr>
      <w:r>
        <w:rPr>
          <w:rFonts w:ascii="Arial" w:hAnsi="Arial" w:cs="Arial"/>
          <w:sz w:val="22"/>
          <w:szCs w:val="22"/>
        </w:rPr>
        <w:t>Le troisième rapport du groupe d'experts sur la mobilisation des ressources pour le nouveau Cadre mondial de la biodiversité pour l'après-2020 mentionne, à titre de recommandation, qu'étant donné que le FEM est le mécanisme de financement de la CDB, il devrait : a) conserver un rôle clé dans la mobilisation des ressources pour la mise en œuvre de la Convention, compte tenu de son rôle dans l'intégration de la biodiversité dans les efforts de développement, et assurer l'utilisation efficace des ressources, et b) renforcer les liens avec le Fonds vert pour le climat (FVC) afin de catalyser des financements supplémentaires pour la biodiversité.</w:t>
      </w:r>
    </w:p>
    <w:p w14:paraId="71B61AB3" w14:textId="77777777" w:rsidR="00974917" w:rsidRPr="00B133FF" w:rsidRDefault="00974917" w:rsidP="0065103C">
      <w:pPr>
        <w:suppressLineNumbers/>
        <w:suppressAutoHyphens/>
        <w:adjustRightInd w:val="0"/>
        <w:snapToGrid w:val="0"/>
        <w:ind w:left="1134"/>
        <w:rPr>
          <w:rFonts w:ascii="Arial" w:hAnsi="Arial" w:cs="Arial"/>
          <w:strike/>
          <w:sz w:val="18"/>
          <w:szCs w:val="18"/>
        </w:rPr>
      </w:pPr>
    </w:p>
    <w:p w14:paraId="3AFD761E" w14:textId="73E9DC38" w:rsidR="00AE7A38" w:rsidRPr="0065103C" w:rsidRDefault="00735C02" w:rsidP="0065103C">
      <w:pPr>
        <w:pStyle w:val="Para1"/>
        <w:suppressLineNumbers/>
        <w:suppressAutoHyphens/>
        <w:adjustRightInd w:val="0"/>
        <w:snapToGrid w:val="0"/>
        <w:spacing w:before="120"/>
        <w:jc w:val="center"/>
        <w:rPr>
          <w:kern w:val="22"/>
          <w:sz w:val="22"/>
          <w:szCs w:val="22"/>
          <w:lang w:val="en-GB"/>
        </w:rPr>
      </w:pPr>
      <w:r>
        <w:rPr>
          <w:kern w:val="22"/>
          <w:sz w:val="22"/>
          <w:szCs w:val="22"/>
        </w:rPr>
        <w:t>__________</w:t>
      </w:r>
    </w:p>
    <w:sectPr w:rsidR="00AE7A38" w:rsidRPr="0065103C" w:rsidSect="001B7FE3">
      <w:headerReference w:type="even" r:id="rId14"/>
      <w:headerReference w:type="default" r:id="rId15"/>
      <w:footerReference w:type="even" r:id="rId16"/>
      <w:footerReference w:type="first" r:id="rId17"/>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2CEB5" w14:textId="77777777" w:rsidR="007663D9" w:rsidRDefault="007663D9">
      <w:r>
        <w:separator/>
      </w:r>
    </w:p>
  </w:endnote>
  <w:endnote w:type="continuationSeparator" w:id="0">
    <w:p w14:paraId="39FAFF9F" w14:textId="77777777" w:rsidR="007663D9" w:rsidRDefault="007663D9">
      <w:r>
        <w:continuationSeparator/>
      </w:r>
    </w:p>
  </w:endnote>
  <w:endnote w:type="continuationNotice" w:id="1">
    <w:p w14:paraId="7E3AB875" w14:textId="77777777" w:rsidR="007663D9" w:rsidRDefault="00766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4F17" w14:textId="77777777" w:rsidR="00853CAC" w:rsidRDefault="00853CAC" w:rsidP="006F4060">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8732" w14:textId="77777777" w:rsidR="00853CAC" w:rsidRPr="009F11A4" w:rsidRDefault="00853CAC" w:rsidP="009F11A4">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B34D5" w14:textId="77777777" w:rsidR="007663D9" w:rsidRDefault="007663D9">
      <w:r>
        <w:separator/>
      </w:r>
    </w:p>
  </w:footnote>
  <w:footnote w:type="continuationSeparator" w:id="0">
    <w:p w14:paraId="50103DCA" w14:textId="77777777" w:rsidR="007663D9" w:rsidRDefault="007663D9">
      <w:r>
        <w:continuationSeparator/>
      </w:r>
    </w:p>
  </w:footnote>
  <w:footnote w:type="continuationNotice" w:id="1">
    <w:p w14:paraId="3B791785" w14:textId="77777777" w:rsidR="007663D9" w:rsidRDefault="007663D9"/>
  </w:footnote>
  <w:footnote w:id="2">
    <w:p w14:paraId="22CA86A6" w14:textId="77777777" w:rsidR="002F66FC" w:rsidRPr="002F66FC" w:rsidRDefault="002F66FC" w:rsidP="002F66FC">
      <w:pPr>
        <w:pStyle w:val="FootnoteText"/>
        <w:suppressLineNumbers/>
        <w:suppressAutoHyphens/>
        <w:ind w:firstLine="0"/>
        <w:rPr>
          <w:rFonts w:ascii="Arial" w:hAnsi="Arial" w:cs="Arial"/>
          <w:szCs w:val="18"/>
        </w:rPr>
      </w:pPr>
      <w:r w:rsidRPr="002F66FC">
        <w:rPr>
          <w:rStyle w:val="FootnoteReference"/>
          <w:rFonts w:ascii="Arial" w:hAnsi="Arial" w:cs="Arial"/>
          <w:szCs w:val="18"/>
          <w:u w:val="none"/>
        </w:rPr>
        <w:t>*</w:t>
      </w:r>
      <w:r w:rsidRPr="002F66FC">
        <w:rPr>
          <w:rFonts w:ascii="Arial" w:hAnsi="Arial" w:cs="Arial"/>
          <w:szCs w:val="18"/>
        </w:rPr>
        <w:t xml:space="preserve"> CBD/SBI/3/1.</w:t>
      </w:r>
    </w:p>
  </w:footnote>
  <w:footnote w:id="3">
    <w:p w14:paraId="722B38DD" w14:textId="77777777" w:rsidR="00974917" w:rsidRPr="00B133FF" w:rsidRDefault="00974917" w:rsidP="0065103C">
      <w:pPr>
        <w:pStyle w:val="FootnoteText"/>
        <w:suppressLineNumbers/>
        <w:tabs>
          <w:tab w:val="left" w:pos="2160"/>
        </w:tabs>
        <w:suppressAutoHyphens/>
        <w:ind w:firstLine="0"/>
        <w:rPr>
          <w:rFonts w:ascii="Arial" w:hAnsi="Arial" w:cs="Arial"/>
          <w:szCs w:val="18"/>
        </w:rPr>
      </w:pPr>
      <w:r>
        <w:rPr>
          <w:rStyle w:val="FootnoteReference"/>
          <w:rFonts w:ascii="Arial" w:hAnsi="Arial" w:cs="Arial"/>
          <w:szCs w:val="18"/>
        </w:rPr>
        <w:footnoteRef/>
      </w:r>
      <w:r>
        <w:rPr>
          <w:rFonts w:ascii="Arial" w:hAnsi="Arial" w:cs="Arial"/>
          <w:szCs w:val="18"/>
        </w:rPr>
        <w:t xml:space="preserve"> </w:t>
      </w:r>
      <w:r>
        <w:rPr>
          <w:rFonts w:ascii="Arial" w:hAnsi="Arial" w:cs="Arial"/>
          <w:color w:val="212529"/>
          <w:szCs w:val="18"/>
          <w:shd w:val="clear" w:color="auto" w:fill="FFFFFF"/>
        </w:rPr>
        <w:t>Décision III/8 de la troisième réunion de la Conférence des Parties</w:t>
      </w:r>
    </w:p>
  </w:footnote>
  <w:footnote w:id="4">
    <w:p w14:paraId="7F316F97" w14:textId="77777777" w:rsidR="00974917" w:rsidRPr="00B133FF" w:rsidRDefault="00974917" w:rsidP="0065103C">
      <w:pPr>
        <w:pStyle w:val="FootnoteText"/>
        <w:suppressLineNumbers/>
        <w:tabs>
          <w:tab w:val="left" w:pos="2160"/>
        </w:tabs>
        <w:suppressAutoHyphens/>
        <w:ind w:firstLine="0"/>
        <w:rPr>
          <w:rFonts w:ascii="Arial" w:hAnsi="Arial" w:cs="Arial"/>
          <w:szCs w:val="18"/>
        </w:rPr>
      </w:pPr>
      <w:r>
        <w:rPr>
          <w:rStyle w:val="FootnoteReference"/>
          <w:rFonts w:ascii="Arial" w:hAnsi="Arial" w:cs="Arial"/>
          <w:szCs w:val="18"/>
        </w:rPr>
        <w:footnoteRef/>
      </w:r>
      <w:r>
        <w:rPr>
          <w:rFonts w:ascii="Arial" w:hAnsi="Arial" w:cs="Arial"/>
          <w:szCs w:val="18"/>
        </w:rPr>
        <w:t xml:space="preserve"> </w:t>
      </w:r>
      <w:hyperlink r:id="rId1" w:history="1">
        <w:r>
          <w:rPr>
            <w:rStyle w:val="Hyperlink"/>
            <w:rFonts w:ascii="Arial" w:eastAsiaTheme="majorEastAsia" w:hAnsi="Arial" w:cs="Arial"/>
            <w:szCs w:val="18"/>
          </w:rPr>
          <w:t>https://www.cbd.int/doc/decisions/cop-14/cop-14-dec-23-fr.pdf</w:t>
        </w:r>
      </w:hyperlink>
    </w:p>
  </w:footnote>
  <w:footnote w:id="5">
    <w:p w14:paraId="2692F70F" w14:textId="77777777" w:rsidR="00974917" w:rsidRPr="00B133FF" w:rsidRDefault="00974917" w:rsidP="0065103C">
      <w:pPr>
        <w:pStyle w:val="FootnoteText"/>
        <w:suppressLineNumbers/>
        <w:suppressAutoHyphens/>
        <w:ind w:firstLine="0"/>
        <w:rPr>
          <w:rFonts w:ascii="Arial" w:hAnsi="Arial" w:cs="Arial"/>
          <w:szCs w:val="18"/>
        </w:rPr>
      </w:pPr>
      <w:r>
        <w:rPr>
          <w:rStyle w:val="FootnoteReference"/>
          <w:rFonts w:ascii="Arial" w:hAnsi="Arial" w:cs="Arial"/>
          <w:szCs w:val="18"/>
        </w:rPr>
        <w:footnoteRef/>
      </w:r>
      <w:r>
        <w:rPr>
          <w:rFonts w:ascii="Arial" w:hAnsi="Arial" w:cs="Arial"/>
          <w:szCs w:val="18"/>
        </w:rPr>
        <w:t xml:space="preserve"> </w:t>
      </w:r>
      <w:hyperlink r:id="rId2" w:history="1">
        <w:r>
          <w:rPr>
            <w:rStyle w:val="Hyperlink"/>
            <w:rFonts w:ascii="Arial" w:hAnsi="Arial" w:cs="Arial"/>
            <w:szCs w:val="18"/>
          </w:rPr>
          <w:t>https://www.cbd.int/doc/c/23ca/521d/ec55b31ce5b9c2019171ae52/post2020-prep-02-01-fr.pdf</w:t>
        </w:r>
      </w:hyperlink>
    </w:p>
  </w:footnote>
  <w:footnote w:id="6">
    <w:p w14:paraId="6F1CB005" w14:textId="77777777" w:rsidR="00974917" w:rsidRPr="00B133FF" w:rsidRDefault="00974917" w:rsidP="0065103C">
      <w:pPr>
        <w:pStyle w:val="FootnoteText"/>
        <w:suppressLineNumbers/>
        <w:suppressAutoHyphens/>
        <w:ind w:firstLine="0"/>
        <w:rPr>
          <w:rFonts w:ascii="Arial" w:hAnsi="Arial" w:cs="Arial"/>
          <w:szCs w:val="18"/>
        </w:rPr>
      </w:pPr>
      <w:r>
        <w:rPr>
          <w:rStyle w:val="FootnoteReference"/>
          <w:rFonts w:ascii="Arial" w:hAnsi="Arial" w:cs="Arial"/>
          <w:szCs w:val="18"/>
        </w:rPr>
        <w:footnoteRef/>
      </w:r>
      <w:r>
        <w:rPr>
          <w:rFonts w:ascii="Arial" w:hAnsi="Arial" w:cs="Arial"/>
          <w:szCs w:val="18"/>
        </w:rPr>
        <w:t xml:space="preserve"> </w:t>
      </w:r>
      <w:hyperlink r:id="rId3" w:history="1">
        <w:r>
          <w:rPr>
            <w:rStyle w:val="Hyperlink"/>
            <w:rFonts w:ascii="Arial" w:hAnsi="Arial" w:cs="Arial"/>
            <w:szCs w:val="18"/>
          </w:rPr>
          <w:t>https://www.biodiversityfinance.net/</w:t>
        </w:r>
      </w:hyperlink>
    </w:p>
  </w:footnote>
  <w:footnote w:id="7">
    <w:p w14:paraId="3A99AB26" w14:textId="77777777" w:rsidR="00974917" w:rsidRPr="00B133FF" w:rsidRDefault="00974917" w:rsidP="0065103C">
      <w:pPr>
        <w:pStyle w:val="FootnoteText"/>
        <w:suppressLineNumbers/>
        <w:suppressAutoHyphens/>
        <w:ind w:firstLine="0"/>
        <w:rPr>
          <w:rFonts w:ascii="Arial" w:hAnsi="Arial" w:cs="Arial"/>
          <w:szCs w:val="18"/>
        </w:rPr>
      </w:pPr>
      <w:r>
        <w:rPr>
          <w:rStyle w:val="FootnoteReference"/>
          <w:rFonts w:ascii="Arial" w:hAnsi="Arial" w:cs="Arial"/>
          <w:szCs w:val="18"/>
        </w:rPr>
        <w:footnoteRef/>
      </w:r>
      <w:r>
        <w:rPr>
          <w:rFonts w:ascii="Arial" w:hAnsi="Arial" w:cs="Arial"/>
          <w:szCs w:val="18"/>
        </w:rPr>
        <w:t xml:space="preserve"> </w:t>
      </w:r>
      <w:hyperlink r:id="rId4" w:history="1">
        <w:r>
          <w:rPr>
            <w:rStyle w:val="Hyperlink"/>
            <w:rFonts w:ascii="Arial" w:eastAsiaTheme="majorEastAsia" w:hAnsi="Arial" w:cs="Arial"/>
            <w:szCs w:val="18"/>
          </w:rPr>
          <w:t>https://www.cbd.int/financial/gef8needs.shtml</w:t>
        </w:r>
      </w:hyperlink>
    </w:p>
  </w:footnote>
  <w:footnote w:id="8">
    <w:p w14:paraId="3447AA0C" w14:textId="77777777" w:rsidR="00974917" w:rsidRPr="00B133FF" w:rsidRDefault="00974917" w:rsidP="0065103C">
      <w:pPr>
        <w:pStyle w:val="FootnoteText"/>
        <w:suppressLineNumbers/>
        <w:suppressAutoHyphens/>
        <w:ind w:firstLine="0"/>
        <w:rPr>
          <w:rFonts w:ascii="Arial" w:hAnsi="Arial" w:cs="Arial"/>
          <w:szCs w:val="18"/>
        </w:rPr>
      </w:pPr>
      <w:r>
        <w:rPr>
          <w:rStyle w:val="FootnoteReference"/>
          <w:rFonts w:ascii="Arial" w:hAnsi="Arial" w:cs="Arial"/>
          <w:szCs w:val="18"/>
        </w:rPr>
        <w:footnoteRef/>
      </w:r>
      <w:r>
        <w:rPr>
          <w:rFonts w:ascii="Arial" w:hAnsi="Arial" w:cs="Arial"/>
          <w:szCs w:val="18"/>
        </w:rPr>
        <w:t xml:space="preserve"> </w:t>
      </w:r>
      <w:hyperlink r:id="rId5" w:history="1">
        <w:r>
          <w:rPr>
            <w:rStyle w:val="Hyperlink"/>
            <w:rFonts w:ascii="Arial" w:hAnsi="Arial" w:cs="Arial"/>
            <w:szCs w:val="18"/>
          </w:rPr>
          <w:t>http://www.thegef.org/sites/default/files/council-meeting-documents/OPERATIONAL_GUIDELINES_FOR_THE_APPLICATION_OF_THE_INCREMENTAL_COST_PRINCIPLE_5.pdf</w:t>
        </w:r>
      </w:hyperlink>
    </w:p>
  </w:footnote>
  <w:footnote w:id="9">
    <w:p w14:paraId="3C534EA6" w14:textId="77777777" w:rsidR="00974917" w:rsidRPr="00B133FF" w:rsidRDefault="00974917" w:rsidP="0065103C">
      <w:pPr>
        <w:pStyle w:val="FootnoteText"/>
        <w:suppressLineNumbers/>
        <w:suppressAutoHyphens/>
        <w:ind w:firstLine="0"/>
        <w:rPr>
          <w:rFonts w:ascii="Arial" w:hAnsi="Arial" w:cs="Arial"/>
          <w:szCs w:val="18"/>
        </w:rPr>
      </w:pPr>
      <w:r>
        <w:rPr>
          <w:rStyle w:val="FootnoteReference"/>
          <w:rFonts w:ascii="Arial" w:hAnsi="Arial" w:cs="Arial"/>
          <w:szCs w:val="18"/>
        </w:rPr>
        <w:footnoteRef/>
      </w:r>
      <w:r>
        <w:rPr>
          <w:rFonts w:ascii="Arial" w:hAnsi="Arial" w:cs="Arial"/>
          <w:szCs w:val="18"/>
        </w:rPr>
        <w:t xml:space="preserve"> </w:t>
      </w:r>
      <w:hyperlink r:id="rId6" w:history="1">
        <w:r>
          <w:rPr>
            <w:rStyle w:val="Hyperlink"/>
            <w:rFonts w:ascii="Arial" w:hAnsi="Arial" w:cs="Arial"/>
            <w:szCs w:val="18"/>
          </w:rPr>
          <w:t>https://www.cbd.int/financial/gef8needs.shtml</w:t>
        </w:r>
      </w:hyperlink>
    </w:p>
  </w:footnote>
  <w:footnote w:id="10">
    <w:p w14:paraId="62FD0A4C" w14:textId="77777777" w:rsidR="00974917" w:rsidRPr="0065103C" w:rsidRDefault="00974917" w:rsidP="0065103C">
      <w:pPr>
        <w:pStyle w:val="FootnoteText"/>
        <w:suppressLineNumbers/>
        <w:suppressAutoHyphens/>
        <w:ind w:firstLine="0"/>
        <w:rPr>
          <w:rFonts w:ascii="Arial" w:hAnsi="Arial" w:cs="Arial"/>
          <w:szCs w:val="18"/>
          <w:lang w:val="en-GB"/>
        </w:rPr>
      </w:pPr>
      <w:r>
        <w:rPr>
          <w:rStyle w:val="FootnoteReference"/>
          <w:rFonts w:ascii="Arial" w:hAnsi="Arial" w:cs="Arial"/>
          <w:szCs w:val="18"/>
        </w:rPr>
        <w:footnoteRef/>
      </w:r>
      <w:r w:rsidRPr="00B133FF">
        <w:rPr>
          <w:rFonts w:ascii="Arial" w:hAnsi="Arial" w:cs="Arial"/>
          <w:szCs w:val="18"/>
          <w:lang w:val="en-US"/>
        </w:rPr>
        <w:t xml:space="preserve"> Annual Performance Report (APR) 2020, GEF Independent Evaluation Report; GEF-7 Corporate Scorecard, June 2020; GEF Work Programs 2019</w:t>
      </w:r>
    </w:p>
  </w:footnote>
  <w:footnote w:id="11">
    <w:p w14:paraId="2080F734" w14:textId="77777777" w:rsidR="00974917" w:rsidRPr="00B133FF" w:rsidRDefault="00974917" w:rsidP="0065103C">
      <w:pPr>
        <w:pStyle w:val="FootnoteText"/>
        <w:suppressLineNumbers/>
        <w:suppressAutoHyphens/>
        <w:ind w:firstLine="0"/>
        <w:rPr>
          <w:rFonts w:ascii="Arial" w:hAnsi="Arial" w:cs="Arial"/>
          <w:szCs w:val="18"/>
        </w:rPr>
      </w:pPr>
      <w:r>
        <w:rPr>
          <w:rStyle w:val="FootnoteReference"/>
          <w:rFonts w:ascii="Arial" w:hAnsi="Arial" w:cs="Arial"/>
          <w:szCs w:val="18"/>
        </w:rPr>
        <w:footnoteRef/>
      </w:r>
      <w:r>
        <w:rPr>
          <w:rFonts w:ascii="Arial" w:hAnsi="Arial" w:cs="Arial"/>
          <w:szCs w:val="18"/>
        </w:rPr>
        <w:t xml:space="preserve"> Projet de rapport du Fonds pour l'environnement mondial présenté pour la troisième réunion de l'Organe subsidiaire chargé de l'application de la Convention sur la diversité biologique, pour la quinzième réunion de la Conférence des Parties, février 2020</w:t>
      </w:r>
    </w:p>
  </w:footnote>
  <w:footnote w:id="12">
    <w:p w14:paraId="0E984775" w14:textId="77777777" w:rsidR="00974917" w:rsidRPr="00B133FF" w:rsidRDefault="00974917" w:rsidP="0065103C">
      <w:pPr>
        <w:pStyle w:val="FootnoteText"/>
        <w:suppressLineNumbers/>
        <w:suppressAutoHyphens/>
        <w:ind w:firstLine="0"/>
        <w:rPr>
          <w:rFonts w:ascii="Arial" w:hAnsi="Arial" w:cs="Arial"/>
          <w:szCs w:val="18"/>
        </w:rPr>
      </w:pPr>
      <w:r>
        <w:rPr>
          <w:rStyle w:val="FootnoteReference"/>
          <w:rFonts w:ascii="Arial" w:hAnsi="Arial" w:cs="Arial"/>
          <w:szCs w:val="18"/>
        </w:rPr>
        <w:footnoteRef/>
      </w:r>
      <w:r>
        <w:rPr>
          <w:rFonts w:ascii="Arial" w:hAnsi="Arial" w:cs="Arial"/>
          <w:szCs w:val="18"/>
        </w:rPr>
        <w:t xml:space="preserve"> Tableau de bord du FEM, juin 2020</w:t>
      </w:r>
    </w:p>
  </w:footnote>
  <w:footnote w:id="13">
    <w:p w14:paraId="02FA0483" w14:textId="77777777" w:rsidR="00974917" w:rsidRPr="00B133FF" w:rsidRDefault="00974917" w:rsidP="0065103C">
      <w:pPr>
        <w:pStyle w:val="FootnoteText"/>
        <w:suppressLineNumbers/>
        <w:suppressAutoHyphens/>
        <w:ind w:firstLine="0"/>
        <w:rPr>
          <w:rFonts w:ascii="Arial" w:hAnsi="Arial" w:cs="Arial"/>
          <w:szCs w:val="18"/>
        </w:rPr>
      </w:pPr>
      <w:r>
        <w:rPr>
          <w:rFonts w:ascii="Arial" w:hAnsi="Arial" w:cs="Arial"/>
          <w:szCs w:val="18"/>
        </w:rPr>
        <w:footnoteRef/>
      </w:r>
      <w:r>
        <w:rPr>
          <w:rFonts w:ascii="Arial" w:hAnsi="Arial" w:cs="Arial"/>
          <w:szCs w:val="18"/>
        </w:rPr>
        <w:t xml:space="preserve"> </w:t>
      </w:r>
      <w:hyperlink r:id="rId7" w:history="1">
        <w:r>
          <w:rPr>
            <w:rFonts w:ascii="Arial" w:hAnsi="Arial" w:cs="Arial"/>
            <w:color w:val="0000FF"/>
            <w:szCs w:val="18"/>
            <w:u w:val="single"/>
          </w:rPr>
          <w:t>http://www.thegef.org/sites/default/files/documents/Results_Guidelines.pdf</w:t>
        </w:r>
      </w:hyperlink>
    </w:p>
  </w:footnote>
  <w:footnote w:id="14">
    <w:p w14:paraId="4C8BC11F" w14:textId="77777777" w:rsidR="00974917" w:rsidRPr="00B133FF" w:rsidRDefault="00974917" w:rsidP="0065103C">
      <w:pPr>
        <w:pStyle w:val="FootnoteText"/>
        <w:suppressLineNumbers/>
        <w:suppressAutoHyphens/>
        <w:ind w:firstLine="0"/>
        <w:rPr>
          <w:rFonts w:ascii="Arial" w:hAnsi="Arial" w:cs="Arial"/>
          <w:szCs w:val="18"/>
        </w:rPr>
      </w:pPr>
      <w:r>
        <w:rPr>
          <w:rStyle w:val="FootnoteReference"/>
          <w:rFonts w:ascii="Arial" w:hAnsi="Arial" w:cs="Arial"/>
          <w:szCs w:val="18"/>
        </w:rPr>
        <w:footnoteRef/>
      </w:r>
      <w:r>
        <w:rPr>
          <w:rFonts w:ascii="Arial" w:hAnsi="Arial" w:cs="Arial"/>
          <w:szCs w:val="18"/>
        </w:rPr>
        <w:t xml:space="preserve"> </w:t>
      </w:r>
      <w:hyperlink r:id="rId8" w:history="1">
        <w:r>
          <w:rPr>
            <w:rStyle w:val="Hyperlink"/>
            <w:rFonts w:ascii="Arial" w:hAnsi="Arial" w:cs="Arial"/>
            <w:szCs w:val="18"/>
          </w:rPr>
          <w:t>http://www.thegef.org/publications/gef-7-corporate-scorecard-june-2019</w:t>
        </w:r>
      </w:hyperlink>
    </w:p>
  </w:footnote>
  <w:footnote w:id="15">
    <w:p w14:paraId="287CB08F" w14:textId="512DA87F" w:rsidR="00974917" w:rsidRPr="00B133FF" w:rsidRDefault="00974917" w:rsidP="0065103C">
      <w:pPr>
        <w:pStyle w:val="FootnoteText"/>
        <w:suppressLineNumbers/>
        <w:suppressAutoHyphens/>
        <w:ind w:firstLine="0"/>
        <w:rPr>
          <w:rFonts w:ascii="Arial" w:hAnsi="Arial" w:cs="Arial"/>
          <w:szCs w:val="18"/>
        </w:rPr>
      </w:pPr>
      <w:r w:rsidRPr="0065103C">
        <w:rPr>
          <w:rStyle w:val="FootnoteReference"/>
          <w:rFonts w:ascii="Arial" w:hAnsi="Arial" w:cs="Arial"/>
          <w:szCs w:val="18"/>
          <w:lang w:val="en-GB"/>
        </w:rPr>
        <w:footnoteRef/>
      </w:r>
      <w:r w:rsidRPr="00B133FF">
        <w:rPr>
          <w:rFonts w:ascii="Arial" w:hAnsi="Arial" w:cs="Arial"/>
          <w:szCs w:val="18"/>
        </w:rPr>
        <w:t xml:space="preserve"> </w:t>
      </w:r>
      <w:sdt>
        <w:sdtPr>
          <w:rPr>
            <w:rFonts w:ascii="Arial" w:hAnsi="Arial" w:cs="Arial"/>
            <w:kern w:val="22"/>
            <w:szCs w:val="18"/>
          </w:rPr>
          <w:alias w:val="Subject"/>
          <w:tag w:val=""/>
          <w:id w:val="2137136483"/>
          <w:placeholder>
            <w:docPart w:val="50CCE2F696C74A50B402B2C257ED0264"/>
          </w:placeholder>
          <w:dataBinding w:prefixMappings="xmlns:ns0='http://purl.org/dc/elements/1.1/' xmlns:ns1='http://schemas.openxmlformats.org/package/2006/metadata/core-properties' " w:xpath="/ns1:coreProperties[1]/ns0:subject[1]" w:storeItemID="{6C3C8BC8-F283-45AE-878A-BAB7291924A1}"/>
          <w:text/>
        </w:sdtPr>
        <w:sdtEndPr/>
        <w:sdtContent>
          <w:r w:rsidRPr="00B133FF">
            <w:rPr>
              <w:rFonts w:ascii="Arial" w:hAnsi="Arial" w:cs="Arial"/>
              <w:kern w:val="22"/>
              <w:szCs w:val="18"/>
            </w:rPr>
            <w:t>CBD/SBI/3/6/Add.2</w:t>
          </w:r>
        </w:sdtContent>
      </w:sdt>
    </w:p>
  </w:footnote>
  <w:footnote w:id="16">
    <w:p w14:paraId="528E36D0" w14:textId="77777777" w:rsidR="00974917" w:rsidRPr="00B133FF" w:rsidRDefault="00974917" w:rsidP="0065103C">
      <w:pPr>
        <w:keepLines/>
        <w:suppressLineNumbers/>
        <w:suppressAutoHyphens/>
        <w:spacing w:after="60"/>
        <w:rPr>
          <w:rFonts w:ascii="Arial" w:hAnsi="Arial" w:cs="Arial"/>
          <w:sz w:val="18"/>
          <w:szCs w:val="18"/>
          <w:lang w:eastAsia="en-GB"/>
        </w:rPr>
      </w:pPr>
      <w:r>
        <w:rPr>
          <w:rStyle w:val="FootnoteReference"/>
          <w:rFonts w:ascii="Arial" w:hAnsi="Arial" w:cs="Arial"/>
          <w:szCs w:val="18"/>
        </w:rPr>
        <w:footnoteRef/>
      </w:r>
      <w:r>
        <w:rPr>
          <w:rFonts w:ascii="Arial" w:hAnsi="Arial" w:cs="Arial"/>
          <w:sz w:val="18"/>
          <w:szCs w:val="18"/>
        </w:rPr>
        <w:t xml:space="preserve"> Tableau 3 dans le document d'information : Allocation STAR du FEM-7 pour la biodiversité en pourcentage des besoins estimés dans le questionnaire (2016)</w:t>
      </w:r>
    </w:p>
  </w:footnote>
  <w:footnote w:id="17">
    <w:p w14:paraId="34D9B3BD" w14:textId="2ACAC00F" w:rsidR="00974917" w:rsidRPr="00B133FF" w:rsidRDefault="00974917" w:rsidP="0065103C">
      <w:pPr>
        <w:keepLines/>
        <w:suppressLineNumbers/>
        <w:suppressAutoHyphens/>
        <w:spacing w:after="60"/>
        <w:rPr>
          <w:rFonts w:ascii="Arial" w:hAnsi="Arial" w:cs="Arial"/>
          <w:sz w:val="18"/>
          <w:szCs w:val="18"/>
        </w:rPr>
      </w:pPr>
      <w:r>
        <w:rPr>
          <w:rStyle w:val="FootnoteReference"/>
          <w:rFonts w:ascii="Arial" w:hAnsi="Arial" w:cs="Arial"/>
          <w:szCs w:val="18"/>
        </w:rPr>
        <w:footnoteRef/>
      </w:r>
      <w:r>
        <w:rPr>
          <w:rFonts w:ascii="Arial" w:hAnsi="Arial" w:cs="Arial"/>
          <w:sz w:val="18"/>
          <w:szCs w:val="18"/>
        </w:rPr>
        <w:t xml:space="preserve"> </w:t>
      </w:r>
      <w:hyperlink r:id="rId9" w:history="1">
        <w:r>
          <w:rPr>
            <w:rStyle w:val="Hyperlink"/>
            <w:rFonts w:ascii="Arial" w:eastAsiaTheme="majorEastAsia" w:hAnsi="Arial" w:cs="Arial"/>
            <w:sz w:val="18"/>
            <w:szCs w:val="18"/>
          </w:rPr>
          <w:t>https://www.biodiversityfinance.net/colombia</w:t>
        </w:r>
      </w:hyperlink>
    </w:p>
  </w:footnote>
  <w:footnote w:id="18">
    <w:p w14:paraId="57280FE9" w14:textId="4FD972AF" w:rsidR="00974917" w:rsidRPr="00B133FF" w:rsidRDefault="00974917" w:rsidP="0065103C">
      <w:pPr>
        <w:keepLines/>
        <w:suppressLineNumbers/>
        <w:suppressAutoHyphens/>
        <w:spacing w:after="60"/>
      </w:pPr>
      <w:r>
        <w:rPr>
          <w:rStyle w:val="FootnoteReference"/>
          <w:rFonts w:ascii="Arial" w:hAnsi="Arial" w:cs="Arial"/>
          <w:szCs w:val="18"/>
        </w:rPr>
        <w:footnoteRef/>
      </w:r>
      <w:r>
        <w:rPr>
          <w:rFonts w:ascii="Arial" w:hAnsi="Arial" w:cs="Arial"/>
          <w:sz w:val="18"/>
          <w:szCs w:val="18"/>
        </w:rPr>
        <w:t xml:space="preserve"> </w:t>
      </w:r>
      <w:hyperlink r:id="rId10" w:history="1">
        <w:r>
          <w:rPr>
            <w:rStyle w:val="Hyperlink"/>
            <w:rFonts w:ascii="Arial" w:eastAsiaTheme="majorEastAsia" w:hAnsi="Arial" w:cs="Arial"/>
            <w:sz w:val="18"/>
            <w:szCs w:val="18"/>
          </w:rPr>
          <w:t>https://www.oecd.org/fr/environnement/ressources/biodiversite/aper%C3%A7u-g%C3%A9n%C3%A9ral-du-financement-de-la-biodiversit%C3%A9-%C3%A0-l%C3%A9chelle-mondiale.pdf</w:t>
        </w:r>
      </w:hyperlink>
    </w:p>
  </w:footnote>
  <w:footnote w:id="19">
    <w:p w14:paraId="36F730D1" w14:textId="77777777" w:rsidR="00974917" w:rsidRPr="00B133FF" w:rsidRDefault="00974917" w:rsidP="0065103C">
      <w:pPr>
        <w:pStyle w:val="FootnoteText"/>
        <w:suppressLineNumbers/>
        <w:suppressAutoHyphens/>
        <w:ind w:firstLine="0"/>
        <w:rPr>
          <w:rFonts w:ascii="Arial" w:hAnsi="Arial" w:cs="Arial"/>
          <w:szCs w:val="18"/>
        </w:rPr>
      </w:pPr>
      <w:r>
        <w:rPr>
          <w:rStyle w:val="FootnoteReference"/>
          <w:rFonts w:ascii="Arial" w:hAnsi="Arial" w:cs="Arial"/>
          <w:szCs w:val="18"/>
        </w:rPr>
        <w:footnoteRef/>
      </w:r>
      <w:r>
        <w:rPr>
          <w:rFonts w:ascii="Arial" w:hAnsi="Arial" w:cs="Arial"/>
          <w:szCs w:val="18"/>
        </w:rPr>
        <w:t xml:space="preserve"> https://www.paulsoninstitute.org/wp-content/uploads/2020/09/FINANCING-NATURE_Full-Report_Final-Version_091520.pdf</w:t>
      </w:r>
    </w:p>
  </w:footnote>
  <w:footnote w:id="20">
    <w:p w14:paraId="44188D3B" w14:textId="77777777" w:rsidR="00974917" w:rsidRPr="00B133FF" w:rsidRDefault="00974917" w:rsidP="0065103C">
      <w:pPr>
        <w:pStyle w:val="FootnoteText"/>
        <w:suppressLineNumbers/>
        <w:suppressAutoHyphens/>
        <w:ind w:firstLine="0"/>
        <w:rPr>
          <w:rFonts w:ascii="Arial" w:eastAsiaTheme="majorEastAsia" w:hAnsi="Arial" w:cs="Arial"/>
          <w:szCs w:val="18"/>
        </w:rPr>
      </w:pPr>
      <w:r>
        <w:rPr>
          <w:rStyle w:val="FootnoteReference"/>
          <w:rFonts w:ascii="Arial" w:hAnsi="Arial" w:cs="Arial"/>
          <w:szCs w:val="18"/>
        </w:rPr>
        <w:footnoteRef/>
      </w:r>
      <w:r>
        <w:rPr>
          <w:rFonts w:ascii="Arial" w:hAnsi="Arial" w:cs="Arial"/>
          <w:szCs w:val="18"/>
        </w:rPr>
        <w:t xml:space="preserve"> </w:t>
      </w:r>
      <w:hyperlink r:id="rId11" w:history="1">
        <w:r>
          <w:rPr>
            <w:rStyle w:val="Hyperlink"/>
            <w:rFonts w:ascii="Arial" w:eastAsiaTheme="majorEastAsia" w:hAnsi="Arial" w:cs="Arial"/>
            <w:szCs w:val="18"/>
          </w:rPr>
          <w:t>https://www.cbd.int/doc/meetings/cop/cop-12/information/cop-12-inf-04-en.pdf</w:t>
        </w:r>
      </w:hyperlink>
    </w:p>
  </w:footnote>
  <w:footnote w:id="21">
    <w:p w14:paraId="72064EF9" w14:textId="64117EAF" w:rsidR="00974917" w:rsidRPr="00B133FF" w:rsidRDefault="00974917" w:rsidP="0065103C">
      <w:pPr>
        <w:keepLines/>
        <w:suppressLineNumbers/>
        <w:suppressAutoHyphens/>
        <w:spacing w:after="60"/>
      </w:pPr>
      <w:r>
        <w:rPr>
          <w:rStyle w:val="FootnoteReference"/>
          <w:rFonts w:ascii="Arial" w:hAnsi="Arial" w:cs="Arial"/>
          <w:szCs w:val="18"/>
        </w:rPr>
        <w:footnoteRef/>
      </w:r>
      <w:r>
        <w:rPr>
          <w:rFonts w:ascii="Arial" w:hAnsi="Arial" w:cs="Arial"/>
          <w:sz w:val="18"/>
          <w:szCs w:val="18"/>
        </w:rPr>
        <w:t xml:space="preserve"> </w:t>
      </w:r>
      <w:hyperlink r:id="rId12" w:history="1">
        <w:r>
          <w:rPr>
            <w:rStyle w:val="Hyperlink"/>
            <w:rFonts w:ascii="Arial" w:eastAsiaTheme="majorEastAsia" w:hAnsi="Arial" w:cs="Arial"/>
            <w:sz w:val="18"/>
            <w:szCs w:val="18"/>
          </w:rPr>
          <w:t>https://www.cbd.int/financial/monitoring.shtml</w:t>
        </w:r>
      </w:hyperlink>
    </w:p>
  </w:footnote>
  <w:footnote w:id="22">
    <w:p w14:paraId="77109F2A" w14:textId="77777777" w:rsidR="00974917" w:rsidRPr="00B133FF" w:rsidRDefault="00974917" w:rsidP="0065103C">
      <w:pPr>
        <w:keepLines/>
        <w:suppressLineNumbers/>
        <w:suppressAutoHyphens/>
        <w:spacing w:after="60"/>
        <w:rPr>
          <w:rFonts w:ascii="Arial" w:hAnsi="Arial" w:cs="Arial"/>
          <w:sz w:val="18"/>
          <w:szCs w:val="18"/>
        </w:rPr>
      </w:pPr>
      <w:r>
        <w:rPr>
          <w:rStyle w:val="FootnoteReference"/>
          <w:rFonts w:ascii="Arial" w:hAnsi="Arial" w:cs="Arial"/>
          <w:szCs w:val="18"/>
        </w:rPr>
        <w:footnoteRef/>
      </w:r>
      <w:r>
        <w:rPr>
          <w:rFonts w:ascii="Arial" w:hAnsi="Arial" w:cs="Arial"/>
          <w:sz w:val="18"/>
          <w:szCs w:val="18"/>
        </w:rPr>
        <w:t xml:space="preserve"> </w:t>
      </w:r>
      <w:hyperlink r:id="rId13" w:history="1">
        <w:r>
          <w:rPr>
            <w:rStyle w:val="Hyperlink"/>
            <w:rFonts w:ascii="Arial" w:eastAsiaTheme="majorEastAsia" w:hAnsi="Arial" w:cs="Arial"/>
            <w:sz w:val="18"/>
            <w:szCs w:val="18"/>
          </w:rPr>
          <w:t>https://www.wwf.de/fileadmin/fm-wwf/Publikationen-PDF/WWF-Barometer-CBD-SRM.pdf</w:t>
        </w:r>
      </w:hyperlink>
    </w:p>
  </w:footnote>
  <w:footnote w:id="23">
    <w:p w14:paraId="53B70013" w14:textId="77777777" w:rsidR="00974917" w:rsidRPr="00B133FF" w:rsidRDefault="00974917" w:rsidP="0065103C">
      <w:pPr>
        <w:pStyle w:val="FootnoteText"/>
        <w:suppressLineNumbers/>
        <w:suppressAutoHyphens/>
        <w:ind w:firstLine="0"/>
        <w:rPr>
          <w:rFonts w:ascii="Arial" w:hAnsi="Arial" w:cs="Arial"/>
          <w:szCs w:val="18"/>
        </w:rPr>
      </w:pPr>
      <w:r>
        <w:rPr>
          <w:rStyle w:val="FootnoteReference"/>
          <w:rFonts w:ascii="Arial" w:hAnsi="Arial" w:cs="Arial"/>
          <w:szCs w:val="18"/>
        </w:rPr>
        <w:footnoteRef/>
      </w:r>
      <w:r>
        <w:rPr>
          <w:rFonts w:ascii="Arial" w:hAnsi="Arial" w:cs="Arial"/>
          <w:szCs w:val="18"/>
        </w:rPr>
        <w:t xml:space="preserve"> </w:t>
      </w:r>
      <w:hyperlink r:id="rId14" w:history="1">
        <w:r>
          <w:rPr>
            <w:rStyle w:val="Hyperlink"/>
            <w:rFonts w:ascii="Arial" w:eastAsiaTheme="majorEastAsia" w:hAnsi="Arial" w:cs="Arial"/>
            <w:szCs w:val="18"/>
          </w:rPr>
          <w:t>https://www.cbd.int/financial/gef8needs.shtml</w:t>
        </w:r>
      </w:hyperlink>
    </w:p>
  </w:footnote>
  <w:footnote w:id="24">
    <w:p w14:paraId="2E8AAF72" w14:textId="77777777" w:rsidR="00974917" w:rsidRPr="00B133FF" w:rsidRDefault="00974917" w:rsidP="0065103C">
      <w:pPr>
        <w:keepLines/>
        <w:suppressLineNumbers/>
        <w:suppressAutoHyphens/>
        <w:spacing w:after="60"/>
        <w:rPr>
          <w:rFonts w:ascii="Arial" w:hAnsi="Arial" w:cs="Arial"/>
          <w:sz w:val="18"/>
          <w:szCs w:val="18"/>
        </w:rPr>
      </w:pPr>
      <w:r>
        <w:rPr>
          <w:rStyle w:val="FootnoteReference"/>
          <w:rFonts w:ascii="Arial" w:hAnsi="Arial" w:cs="Arial"/>
          <w:szCs w:val="18"/>
        </w:rPr>
        <w:footnoteRef/>
      </w:r>
      <w:r>
        <w:rPr>
          <w:rFonts w:ascii="Arial" w:hAnsi="Arial" w:cs="Arial"/>
          <w:sz w:val="18"/>
          <w:szCs w:val="18"/>
        </w:rPr>
        <w:t xml:space="preserve"> </w:t>
      </w:r>
      <w:hyperlink r:id="rId15" w:history="1">
        <w:r>
          <w:rPr>
            <w:rStyle w:val="Hyperlink"/>
            <w:rFonts w:ascii="Arial" w:eastAsiaTheme="majorEastAsia" w:hAnsi="Arial" w:cs="Arial"/>
            <w:sz w:val="18"/>
            <w:szCs w:val="18"/>
          </w:rPr>
          <w:t>https://www.cbd.int/doc/c/4c88/dbb1/e264eaae72b86747416e0d8c/sbi-03-05-add1-fr.pdf</w:t>
        </w:r>
      </w:hyperlink>
    </w:p>
    <w:p w14:paraId="19797A63" w14:textId="77777777" w:rsidR="00974917" w:rsidRPr="00B133FF" w:rsidRDefault="00974917" w:rsidP="0065103C">
      <w:pPr>
        <w:pStyle w:val="FootnoteText"/>
        <w:suppressLineNumbers/>
        <w:suppressAutoHyphens/>
        <w:ind w:firstLine="0"/>
        <w:rPr>
          <w:rFonts w:ascii="Arial" w:hAnsi="Arial" w:cs="Arial"/>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C648" w14:textId="451FBB95" w:rsidR="00853CAC" w:rsidRPr="00ED543F" w:rsidRDefault="00853CAC" w:rsidP="00ED543F">
    <w:pPr>
      <w:pStyle w:val="Header"/>
      <w:keepLines/>
      <w:suppressLineNumbers/>
      <w:tabs>
        <w:tab w:val="clear" w:pos="4320"/>
        <w:tab w:val="clear" w:pos="8640"/>
      </w:tabs>
      <w:suppressAutoHyphens/>
      <w:rPr>
        <w:noProof/>
        <w:kern w:val="22"/>
        <w:sz w:val="22"/>
        <w:szCs w:val="22"/>
        <w:lang w:val="en-GB"/>
      </w:rPr>
    </w:pPr>
    <w:r>
      <w:rPr>
        <w:noProof/>
        <w:kern w:val="22"/>
        <w:sz w:val="22"/>
        <w:szCs w:val="22"/>
      </w:rPr>
      <w:t>CBD/SBI/3/6/Add.2</w:t>
    </w:r>
  </w:p>
  <w:p w14:paraId="15BB9849" w14:textId="5C5142D0" w:rsidR="00853CAC" w:rsidRPr="00ED543F" w:rsidRDefault="00853CAC" w:rsidP="00ED543F">
    <w:pPr>
      <w:pStyle w:val="Header"/>
      <w:keepLines/>
      <w:suppressLineNumbers/>
      <w:tabs>
        <w:tab w:val="clear" w:pos="4320"/>
        <w:tab w:val="clear" w:pos="8640"/>
      </w:tabs>
      <w:suppressAutoHyphens/>
      <w:spacing w:after="240"/>
      <w:rPr>
        <w:noProof/>
        <w:kern w:val="22"/>
        <w:sz w:val="22"/>
        <w:szCs w:val="22"/>
        <w:lang w:val="en-GB"/>
      </w:rPr>
    </w:pPr>
    <w:r>
      <w:rPr>
        <w:noProof/>
        <w:kern w:val="22"/>
        <w:sz w:val="22"/>
        <w:szCs w:val="22"/>
      </w:rPr>
      <w:t xml:space="preserve">Page </w:t>
    </w:r>
    <w:r>
      <w:rPr>
        <w:bCs/>
        <w:noProof/>
        <w:kern w:val="22"/>
        <w:sz w:val="22"/>
        <w:szCs w:val="22"/>
      </w:rPr>
      <w:fldChar w:fldCharType="begin"/>
    </w:r>
    <w:r>
      <w:rPr>
        <w:bCs/>
        <w:noProof/>
        <w:kern w:val="22"/>
        <w:sz w:val="22"/>
        <w:szCs w:val="22"/>
      </w:rPr>
      <w:instrText xml:space="preserve"> PAGE </w:instrText>
    </w:r>
    <w:r>
      <w:fldChar w:fldCharType="separate"/>
    </w:r>
    <w:r>
      <w:rPr>
        <w:bCs/>
        <w:noProof/>
        <w:kern w:val="22"/>
        <w:sz w:val="22"/>
        <w:szCs w:val="22"/>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18EA" w14:textId="4E7A0B73" w:rsidR="00853CAC" w:rsidRPr="0065103C" w:rsidRDefault="00853CAC" w:rsidP="00ED543F">
    <w:pPr>
      <w:pStyle w:val="Header"/>
      <w:keepLines/>
      <w:suppressLineNumbers/>
      <w:tabs>
        <w:tab w:val="clear" w:pos="4320"/>
        <w:tab w:val="clear" w:pos="8640"/>
      </w:tabs>
      <w:suppressAutoHyphens/>
      <w:jc w:val="right"/>
      <w:rPr>
        <w:noProof/>
        <w:kern w:val="22"/>
        <w:sz w:val="22"/>
        <w:szCs w:val="22"/>
        <w:lang w:val="en-GB"/>
      </w:rPr>
    </w:pPr>
    <w:r>
      <w:rPr>
        <w:noProof/>
        <w:kern w:val="22"/>
        <w:sz w:val="22"/>
        <w:szCs w:val="22"/>
      </w:rPr>
      <w:t>CBD/SBI/3/6/Add.2</w:t>
    </w:r>
  </w:p>
  <w:p w14:paraId="344C5F3B" w14:textId="347D0865" w:rsidR="00853CAC" w:rsidRPr="0065103C" w:rsidRDefault="00853CAC" w:rsidP="00ED543F">
    <w:pPr>
      <w:pStyle w:val="Header"/>
      <w:keepLines/>
      <w:suppressLineNumbers/>
      <w:tabs>
        <w:tab w:val="clear" w:pos="4320"/>
        <w:tab w:val="clear" w:pos="8640"/>
      </w:tabs>
      <w:suppressAutoHyphens/>
      <w:spacing w:after="240"/>
      <w:jc w:val="right"/>
      <w:rPr>
        <w:noProof/>
        <w:kern w:val="22"/>
        <w:sz w:val="22"/>
        <w:szCs w:val="22"/>
        <w:lang w:val="en-GB"/>
      </w:rPr>
    </w:pPr>
    <w:r>
      <w:rPr>
        <w:noProof/>
        <w:kern w:val="22"/>
        <w:sz w:val="22"/>
        <w:szCs w:val="22"/>
      </w:rPr>
      <w:t xml:space="preserve">Page </w:t>
    </w:r>
    <w:r>
      <w:rPr>
        <w:bCs/>
        <w:noProof/>
        <w:kern w:val="22"/>
        <w:sz w:val="22"/>
        <w:szCs w:val="22"/>
      </w:rPr>
      <w:fldChar w:fldCharType="begin"/>
    </w:r>
    <w:r>
      <w:rPr>
        <w:bCs/>
        <w:noProof/>
        <w:kern w:val="22"/>
        <w:sz w:val="22"/>
        <w:szCs w:val="22"/>
      </w:rPr>
      <w:instrText xml:space="preserve"> PAGE </w:instrText>
    </w:r>
    <w:r>
      <w:fldChar w:fldCharType="separate"/>
    </w:r>
    <w:r>
      <w:rPr>
        <w:bCs/>
        <w:noProof/>
        <w:kern w:val="22"/>
        <w:sz w:val="22"/>
        <w:szCs w:val="22"/>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EF716F5"/>
    <w:multiLevelType w:val="hybridMultilevel"/>
    <w:tmpl w:val="5C885CA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0E1904FB"/>
    <w:multiLevelType w:val="hybridMultilevel"/>
    <w:tmpl w:val="75FEFEB8"/>
    <w:lvl w:ilvl="0" w:tplc="1009000F">
      <w:start w:val="1"/>
      <w:numFmt w:val="decimal"/>
      <w:lvlText w:val="%1."/>
      <w:lvlJc w:val="left"/>
      <w:pPr>
        <w:ind w:left="720" w:hanging="360"/>
      </w:pPr>
      <w:rPr>
        <w:rFonts w:hint="default"/>
      </w:rPr>
    </w:lvl>
    <w:lvl w:ilvl="1" w:tplc="A36AC836">
      <w:start w:val="1"/>
      <w:numFmt w:val="lowerLetter"/>
      <w:lvlText w:val="%2."/>
      <w:lvlJc w:val="left"/>
      <w:pPr>
        <w:ind w:left="1440" w:hanging="360"/>
      </w:pPr>
      <w:rPr>
        <w:color w:val="auto"/>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AC08E0"/>
    <w:multiLevelType w:val="hybridMultilevel"/>
    <w:tmpl w:val="B308DE96"/>
    <w:lvl w:ilvl="0" w:tplc="FAA08C76">
      <w:start w:val="1"/>
      <w:numFmt w:val="lowerRoman"/>
      <w:lvlText w:val="%1)"/>
      <w:lvlJc w:val="left"/>
      <w:pPr>
        <w:ind w:left="1800" w:hanging="720"/>
      </w:pPr>
      <w:rPr>
        <w:rFonts w:hint="default"/>
      </w:rPr>
    </w:lvl>
    <w:lvl w:ilvl="1" w:tplc="10090019">
      <w:start w:val="1"/>
      <w:numFmt w:val="lowerLetter"/>
      <w:lvlText w:val="%2."/>
      <w:lvlJc w:val="left"/>
      <w:pPr>
        <w:ind w:left="1637" w:hanging="360"/>
      </w:pPr>
    </w:lvl>
    <w:lvl w:ilvl="2" w:tplc="BC6AAE38">
      <w:start w:val="1"/>
      <w:numFmt w:val="lowerLetter"/>
      <w:lvlText w:val="(%3)"/>
      <w:lvlJc w:val="left"/>
      <w:pPr>
        <w:ind w:left="3420" w:hanging="720"/>
      </w:pPr>
      <w:rPr>
        <w:rFonts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9"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95E454F"/>
    <w:multiLevelType w:val="hybridMultilevel"/>
    <w:tmpl w:val="58B48C0C"/>
    <w:lvl w:ilvl="0" w:tplc="10090003">
      <w:start w:val="1"/>
      <w:numFmt w:val="bullet"/>
      <w:lvlText w:val="o"/>
      <w:lvlJc w:val="left"/>
      <w:pPr>
        <w:ind w:left="1854" w:hanging="360"/>
      </w:pPr>
      <w:rPr>
        <w:rFonts w:ascii="Courier New" w:hAnsi="Courier New" w:cs="Courier New"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6"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15:restartNumberingAfterBreak="0">
    <w:nsid w:val="72847666"/>
    <w:multiLevelType w:val="hybridMultilevel"/>
    <w:tmpl w:val="9A2E5934"/>
    <w:lvl w:ilvl="0" w:tplc="D3E48274">
      <w:start w:val="1"/>
      <w:numFmt w:val="decimal"/>
      <w:lvlText w:val="%1."/>
      <w:lvlJc w:val="left"/>
      <w:pPr>
        <w:ind w:left="1080" w:hanging="360"/>
      </w:pPr>
      <w:rPr>
        <w:rFonts w:hint="default"/>
      </w:rPr>
    </w:lvl>
    <w:lvl w:ilvl="1" w:tplc="10090019">
      <w:start w:val="1"/>
      <w:numFmt w:val="lowerLetter"/>
      <w:lvlText w:val="%2."/>
      <w:lvlJc w:val="left"/>
      <w:pPr>
        <w:ind w:left="1495" w:hanging="360"/>
      </w:pPr>
    </w:lvl>
    <w:lvl w:ilvl="2" w:tplc="1009001B">
      <w:start w:val="1"/>
      <w:numFmt w:val="lowerRoman"/>
      <w:lvlText w:val="%3."/>
      <w:lvlJc w:val="right"/>
      <w:pPr>
        <w:ind w:left="2520" w:hanging="180"/>
      </w:pPr>
    </w:lvl>
    <w:lvl w:ilvl="3" w:tplc="7EE46332">
      <w:start w:val="1"/>
      <w:numFmt w:val="lowerRoman"/>
      <w:lvlText w:val="(%4)"/>
      <w:lvlJc w:val="left"/>
      <w:pPr>
        <w:ind w:left="3600" w:hanging="720"/>
      </w:pPr>
      <w:rPr>
        <w:rFonts w:hint="default"/>
      </w:r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11"/>
  </w:num>
  <w:num w:numId="3">
    <w:abstractNumId w:val="9"/>
    <w:lvlOverride w:ilvl="0">
      <w:startOverride w:val="1"/>
    </w:lvlOverride>
  </w:num>
  <w:num w:numId="4">
    <w:abstractNumId w:val="1"/>
  </w:num>
  <w:num w:numId="5">
    <w:abstractNumId w:val="6"/>
  </w:num>
  <w:num w:numId="6">
    <w:abstractNumId w:val="18"/>
  </w:num>
  <w:num w:numId="7">
    <w:abstractNumId w:val="13"/>
  </w:num>
  <w:num w:numId="8">
    <w:abstractNumId w:val="7"/>
  </w:num>
  <w:num w:numId="9">
    <w:abstractNumId w:val="10"/>
  </w:num>
  <w:num w:numId="10">
    <w:abstractNumId w:val="8"/>
  </w:num>
  <w:num w:numId="11">
    <w:abstractNumId w:val="14"/>
  </w:num>
  <w:num w:numId="12">
    <w:abstractNumId w:val="4"/>
  </w:num>
  <w:num w:numId="13">
    <w:abstractNumId w:val="17"/>
  </w:num>
  <w:num w:numId="14">
    <w:abstractNumId w:val="12"/>
  </w:num>
  <w:num w:numId="15">
    <w:abstractNumId w:val="16"/>
  </w:num>
  <w:num w:numId="16">
    <w:abstractNumId w:val="2"/>
  </w:num>
  <w:num w:numId="17">
    <w:abstractNumId w:val="19"/>
  </w:num>
  <w:num w:numId="18">
    <w:abstractNumId w:val="3"/>
  </w:num>
  <w:num w:numId="19">
    <w:abstractNumId w:val="0"/>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E0F"/>
    <w:rsid w:val="00003238"/>
    <w:rsid w:val="0000395C"/>
    <w:rsid w:val="00004380"/>
    <w:rsid w:val="00005724"/>
    <w:rsid w:val="00005E4D"/>
    <w:rsid w:val="00006A12"/>
    <w:rsid w:val="0000752C"/>
    <w:rsid w:val="0001023E"/>
    <w:rsid w:val="000106DF"/>
    <w:rsid w:val="00011546"/>
    <w:rsid w:val="00011731"/>
    <w:rsid w:val="00011B60"/>
    <w:rsid w:val="00011D38"/>
    <w:rsid w:val="000130EE"/>
    <w:rsid w:val="000137DC"/>
    <w:rsid w:val="00013D92"/>
    <w:rsid w:val="000157BF"/>
    <w:rsid w:val="00015E58"/>
    <w:rsid w:val="00015F50"/>
    <w:rsid w:val="00016316"/>
    <w:rsid w:val="0001785A"/>
    <w:rsid w:val="00021D54"/>
    <w:rsid w:val="00022F52"/>
    <w:rsid w:val="00023270"/>
    <w:rsid w:val="00023D05"/>
    <w:rsid w:val="00024F21"/>
    <w:rsid w:val="00025298"/>
    <w:rsid w:val="0002569C"/>
    <w:rsid w:val="000261A5"/>
    <w:rsid w:val="00026D45"/>
    <w:rsid w:val="000270CE"/>
    <w:rsid w:val="00030AFA"/>
    <w:rsid w:val="00031D50"/>
    <w:rsid w:val="0003261C"/>
    <w:rsid w:val="00032DE7"/>
    <w:rsid w:val="000332D4"/>
    <w:rsid w:val="0003374F"/>
    <w:rsid w:val="0003698A"/>
    <w:rsid w:val="00036EC8"/>
    <w:rsid w:val="0003703A"/>
    <w:rsid w:val="000379C5"/>
    <w:rsid w:val="00037B77"/>
    <w:rsid w:val="000403AC"/>
    <w:rsid w:val="00040D2C"/>
    <w:rsid w:val="00040DEC"/>
    <w:rsid w:val="0004131C"/>
    <w:rsid w:val="00043AD0"/>
    <w:rsid w:val="00044448"/>
    <w:rsid w:val="00045D03"/>
    <w:rsid w:val="00050FA5"/>
    <w:rsid w:val="000521F3"/>
    <w:rsid w:val="000529D1"/>
    <w:rsid w:val="00052C88"/>
    <w:rsid w:val="00052D9D"/>
    <w:rsid w:val="00054A4D"/>
    <w:rsid w:val="000560B9"/>
    <w:rsid w:val="00057114"/>
    <w:rsid w:val="000577B0"/>
    <w:rsid w:val="00057950"/>
    <w:rsid w:val="000579A1"/>
    <w:rsid w:val="00060156"/>
    <w:rsid w:val="000604C1"/>
    <w:rsid w:val="000609D1"/>
    <w:rsid w:val="000613DB"/>
    <w:rsid w:val="000615F9"/>
    <w:rsid w:val="00062983"/>
    <w:rsid w:val="00062E18"/>
    <w:rsid w:val="00063619"/>
    <w:rsid w:val="0006395B"/>
    <w:rsid w:val="000644E6"/>
    <w:rsid w:val="00065E05"/>
    <w:rsid w:val="00066CD8"/>
    <w:rsid w:val="0006711B"/>
    <w:rsid w:val="0006714C"/>
    <w:rsid w:val="00070E02"/>
    <w:rsid w:val="000719F5"/>
    <w:rsid w:val="00073094"/>
    <w:rsid w:val="00073903"/>
    <w:rsid w:val="00076574"/>
    <w:rsid w:val="000768AB"/>
    <w:rsid w:val="00076DAA"/>
    <w:rsid w:val="0008148F"/>
    <w:rsid w:val="00081A12"/>
    <w:rsid w:val="00082AF6"/>
    <w:rsid w:val="00083167"/>
    <w:rsid w:val="0008365A"/>
    <w:rsid w:val="00083EFA"/>
    <w:rsid w:val="00083F57"/>
    <w:rsid w:val="00084640"/>
    <w:rsid w:val="00084DE7"/>
    <w:rsid w:val="000856B7"/>
    <w:rsid w:val="000857F4"/>
    <w:rsid w:val="0008586B"/>
    <w:rsid w:val="00090E40"/>
    <w:rsid w:val="0009237F"/>
    <w:rsid w:val="000927B5"/>
    <w:rsid w:val="00093501"/>
    <w:rsid w:val="00093703"/>
    <w:rsid w:val="000937AA"/>
    <w:rsid w:val="000948E5"/>
    <w:rsid w:val="00094C9B"/>
    <w:rsid w:val="00094EA8"/>
    <w:rsid w:val="00095BBA"/>
    <w:rsid w:val="00095FB3"/>
    <w:rsid w:val="000962A9"/>
    <w:rsid w:val="0009645C"/>
    <w:rsid w:val="00096CE5"/>
    <w:rsid w:val="000A0339"/>
    <w:rsid w:val="000A1021"/>
    <w:rsid w:val="000A2EF5"/>
    <w:rsid w:val="000A37DF"/>
    <w:rsid w:val="000A3E0B"/>
    <w:rsid w:val="000A4CB7"/>
    <w:rsid w:val="000A6299"/>
    <w:rsid w:val="000A6ED7"/>
    <w:rsid w:val="000B0C7D"/>
    <w:rsid w:val="000B11A5"/>
    <w:rsid w:val="000B1F25"/>
    <w:rsid w:val="000B3673"/>
    <w:rsid w:val="000B371E"/>
    <w:rsid w:val="000B3DAC"/>
    <w:rsid w:val="000B4303"/>
    <w:rsid w:val="000B4DCE"/>
    <w:rsid w:val="000B53BC"/>
    <w:rsid w:val="000B56BE"/>
    <w:rsid w:val="000B7DE4"/>
    <w:rsid w:val="000C06F8"/>
    <w:rsid w:val="000C0DAE"/>
    <w:rsid w:val="000C1A1F"/>
    <w:rsid w:val="000C24A8"/>
    <w:rsid w:val="000C29BC"/>
    <w:rsid w:val="000C2FBA"/>
    <w:rsid w:val="000C36FF"/>
    <w:rsid w:val="000C4970"/>
    <w:rsid w:val="000C6567"/>
    <w:rsid w:val="000C6CC1"/>
    <w:rsid w:val="000C7659"/>
    <w:rsid w:val="000C7AED"/>
    <w:rsid w:val="000D0625"/>
    <w:rsid w:val="000D0D11"/>
    <w:rsid w:val="000D1057"/>
    <w:rsid w:val="000D118D"/>
    <w:rsid w:val="000D178B"/>
    <w:rsid w:val="000D18AF"/>
    <w:rsid w:val="000D2531"/>
    <w:rsid w:val="000D4525"/>
    <w:rsid w:val="000D4B87"/>
    <w:rsid w:val="000D6963"/>
    <w:rsid w:val="000D742A"/>
    <w:rsid w:val="000E1262"/>
    <w:rsid w:val="000E328C"/>
    <w:rsid w:val="000E3FEA"/>
    <w:rsid w:val="000E44EB"/>
    <w:rsid w:val="000E4558"/>
    <w:rsid w:val="000E590C"/>
    <w:rsid w:val="000E71FB"/>
    <w:rsid w:val="000F0779"/>
    <w:rsid w:val="000F0B1A"/>
    <w:rsid w:val="000F1F99"/>
    <w:rsid w:val="000F20E2"/>
    <w:rsid w:val="000F27AD"/>
    <w:rsid w:val="000F3EA4"/>
    <w:rsid w:val="000F478E"/>
    <w:rsid w:val="000F55A4"/>
    <w:rsid w:val="000F58CD"/>
    <w:rsid w:val="000F599B"/>
    <w:rsid w:val="000F6343"/>
    <w:rsid w:val="000F6F19"/>
    <w:rsid w:val="000F74D6"/>
    <w:rsid w:val="000F78FD"/>
    <w:rsid w:val="00101A5F"/>
    <w:rsid w:val="00101BF1"/>
    <w:rsid w:val="00101E91"/>
    <w:rsid w:val="00102DB3"/>
    <w:rsid w:val="0010379D"/>
    <w:rsid w:val="001048B5"/>
    <w:rsid w:val="00105013"/>
    <w:rsid w:val="00105750"/>
    <w:rsid w:val="00105819"/>
    <w:rsid w:val="00105A40"/>
    <w:rsid w:val="00106A1E"/>
    <w:rsid w:val="001101D4"/>
    <w:rsid w:val="00110D4C"/>
    <w:rsid w:val="00111C04"/>
    <w:rsid w:val="001122E9"/>
    <w:rsid w:val="00113EF4"/>
    <w:rsid w:val="0011459D"/>
    <w:rsid w:val="0011689E"/>
    <w:rsid w:val="00116FFB"/>
    <w:rsid w:val="001171E8"/>
    <w:rsid w:val="001178CC"/>
    <w:rsid w:val="001178F3"/>
    <w:rsid w:val="00120DAA"/>
    <w:rsid w:val="001221C3"/>
    <w:rsid w:val="00122AA3"/>
    <w:rsid w:val="00122DD5"/>
    <w:rsid w:val="001239FF"/>
    <w:rsid w:val="00123CB5"/>
    <w:rsid w:val="00123E8C"/>
    <w:rsid w:val="00123EFB"/>
    <w:rsid w:val="00124153"/>
    <w:rsid w:val="0012456B"/>
    <w:rsid w:val="00124821"/>
    <w:rsid w:val="00124F73"/>
    <w:rsid w:val="001251E9"/>
    <w:rsid w:val="00125806"/>
    <w:rsid w:val="0012695E"/>
    <w:rsid w:val="00126993"/>
    <w:rsid w:val="00126AEA"/>
    <w:rsid w:val="00127268"/>
    <w:rsid w:val="001275BC"/>
    <w:rsid w:val="00130272"/>
    <w:rsid w:val="00131414"/>
    <w:rsid w:val="001325CC"/>
    <w:rsid w:val="001343FE"/>
    <w:rsid w:val="00135171"/>
    <w:rsid w:val="0013524D"/>
    <w:rsid w:val="001352FA"/>
    <w:rsid w:val="00136308"/>
    <w:rsid w:val="0013691E"/>
    <w:rsid w:val="00136C38"/>
    <w:rsid w:val="00137579"/>
    <w:rsid w:val="0013779D"/>
    <w:rsid w:val="001416C5"/>
    <w:rsid w:val="001417CA"/>
    <w:rsid w:val="001423AD"/>
    <w:rsid w:val="00143C89"/>
    <w:rsid w:val="0014421F"/>
    <w:rsid w:val="00144D88"/>
    <w:rsid w:val="00146C45"/>
    <w:rsid w:val="00146D8E"/>
    <w:rsid w:val="0014781A"/>
    <w:rsid w:val="00147A01"/>
    <w:rsid w:val="001503E2"/>
    <w:rsid w:val="00150BB2"/>
    <w:rsid w:val="00156168"/>
    <w:rsid w:val="00156977"/>
    <w:rsid w:val="001573C5"/>
    <w:rsid w:val="00157E56"/>
    <w:rsid w:val="00157F37"/>
    <w:rsid w:val="0016130A"/>
    <w:rsid w:val="0016273C"/>
    <w:rsid w:val="0016296B"/>
    <w:rsid w:val="0016330A"/>
    <w:rsid w:val="001636DF"/>
    <w:rsid w:val="00164124"/>
    <w:rsid w:val="001645D2"/>
    <w:rsid w:val="001647F0"/>
    <w:rsid w:val="00164832"/>
    <w:rsid w:val="0017060C"/>
    <w:rsid w:val="00175CA4"/>
    <w:rsid w:val="00181849"/>
    <w:rsid w:val="001822A6"/>
    <w:rsid w:val="0018289D"/>
    <w:rsid w:val="00183BAA"/>
    <w:rsid w:val="001841AA"/>
    <w:rsid w:val="001841C5"/>
    <w:rsid w:val="00184CF6"/>
    <w:rsid w:val="00186147"/>
    <w:rsid w:val="00187126"/>
    <w:rsid w:val="0018717F"/>
    <w:rsid w:val="00187D7A"/>
    <w:rsid w:val="0019083F"/>
    <w:rsid w:val="00190F7D"/>
    <w:rsid w:val="00191514"/>
    <w:rsid w:val="00191686"/>
    <w:rsid w:val="001926EE"/>
    <w:rsid w:val="001938F6"/>
    <w:rsid w:val="00193B39"/>
    <w:rsid w:val="00194CFA"/>
    <w:rsid w:val="00194FF2"/>
    <w:rsid w:val="0019568D"/>
    <w:rsid w:val="00196278"/>
    <w:rsid w:val="001966DB"/>
    <w:rsid w:val="00196CD5"/>
    <w:rsid w:val="001972B8"/>
    <w:rsid w:val="0019744E"/>
    <w:rsid w:val="001A0585"/>
    <w:rsid w:val="001A08ED"/>
    <w:rsid w:val="001A0BC8"/>
    <w:rsid w:val="001A1309"/>
    <w:rsid w:val="001A13F6"/>
    <w:rsid w:val="001A1A8C"/>
    <w:rsid w:val="001A1B02"/>
    <w:rsid w:val="001A26E2"/>
    <w:rsid w:val="001A4154"/>
    <w:rsid w:val="001A6D42"/>
    <w:rsid w:val="001A76F8"/>
    <w:rsid w:val="001A7D5E"/>
    <w:rsid w:val="001B08C1"/>
    <w:rsid w:val="001B1AF1"/>
    <w:rsid w:val="001B2C58"/>
    <w:rsid w:val="001B2F43"/>
    <w:rsid w:val="001B412D"/>
    <w:rsid w:val="001B6130"/>
    <w:rsid w:val="001B73B3"/>
    <w:rsid w:val="001B7564"/>
    <w:rsid w:val="001B7FE3"/>
    <w:rsid w:val="001C13C0"/>
    <w:rsid w:val="001C19F0"/>
    <w:rsid w:val="001C2D65"/>
    <w:rsid w:val="001C3AD2"/>
    <w:rsid w:val="001C4823"/>
    <w:rsid w:val="001C57A1"/>
    <w:rsid w:val="001C65AB"/>
    <w:rsid w:val="001C73C9"/>
    <w:rsid w:val="001C7D79"/>
    <w:rsid w:val="001C7EF2"/>
    <w:rsid w:val="001D188A"/>
    <w:rsid w:val="001D1B7B"/>
    <w:rsid w:val="001D2209"/>
    <w:rsid w:val="001D2CD9"/>
    <w:rsid w:val="001D34E6"/>
    <w:rsid w:val="001D37AA"/>
    <w:rsid w:val="001D428D"/>
    <w:rsid w:val="001D4521"/>
    <w:rsid w:val="001D4538"/>
    <w:rsid w:val="001D4BA9"/>
    <w:rsid w:val="001D613E"/>
    <w:rsid w:val="001D65D2"/>
    <w:rsid w:val="001D7193"/>
    <w:rsid w:val="001E03DA"/>
    <w:rsid w:val="001E13F4"/>
    <w:rsid w:val="001E17B8"/>
    <w:rsid w:val="001E199C"/>
    <w:rsid w:val="001E1F80"/>
    <w:rsid w:val="001E36EA"/>
    <w:rsid w:val="001E3D43"/>
    <w:rsid w:val="001E3D65"/>
    <w:rsid w:val="001E41D6"/>
    <w:rsid w:val="001E5074"/>
    <w:rsid w:val="001E73B7"/>
    <w:rsid w:val="001F0221"/>
    <w:rsid w:val="001F03A1"/>
    <w:rsid w:val="001F0A33"/>
    <w:rsid w:val="001F2B5D"/>
    <w:rsid w:val="001F4230"/>
    <w:rsid w:val="001F4C7E"/>
    <w:rsid w:val="001F4EAD"/>
    <w:rsid w:val="002004CE"/>
    <w:rsid w:val="00200902"/>
    <w:rsid w:val="00201752"/>
    <w:rsid w:val="00201BCD"/>
    <w:rsid w:val="002023FB"/>
    <w:rsid w:val="00202D13"/>
    <w:rsid w:val="00202E66"/>
    <w:rsid w:val="00202E7F"/>
    <w:rsid w:val="00203053"/>
    <w:rsid w:val="002035EF"/>
    <w:rsid w:val="00203D4E"/>
    <w:rsid w:val="00205FEB"/>
    <w:rsid w:val="00206DB0"/>
    <w:rsid w:val="00207A61"/>
    <w:rsid w:val="00207D32"/>
    <w:rsid w:val="00210FDA"/>
    <w:rsid w:val="00211716"/>
    <w:rsid w:val="00211795"/>
    <w:rsid w:val="00211D9C"/>
    <w:rsid w:val="002120F6"/>
    <w:rsid w:val="00212CC5"/>
    <w:rsid w:val="00212CDD"/>
    <w:rsid w:val="00214212"/>
    <w:rsid w:val="002145C7"/>
    <w:rsid w:val="0021686C"/>
    <w:rsid w:val="002169EB"/>
    <w:rsid w:val="00220593"/>
    <w:rsid w:val="00220877"/>
    <w:rsid w:val="0022187B"/>
    <w:rsid w:val="00221F46"/>
    <w:rsid w:val="002220DB"/>
    <w:rsid w:val="00222837"/>
    <w:rsid w:val="00223A6E"/>
    <w:rsid w:val="00224A1E"/>
    <w:rsid w:val="00224EE9"/>
    <w:rsid w:val="002268B2"/>
    <w:rsid w:val="00226D95"/>
    <w:rsid w:val="00226DE9"/>
    <w:rsid w:val="002270DD"/>
    <w:rsid w:val="00227E6F"/>
    <w:rsid w:val="0023094C"/>
    <w:rsid w:val="002309E1"/>
    <w:rsid w:val="00230A8A"/>
    <w:rsid w:val="00230D31"/>
    <w:rsid w:val="002311AB"/>
    <w:rsid w:val="00231453"/>
    <w:rsid w:val="0023272E"/>
    <w:rsid w:val="00233495"/>
    <w:rsid w:val="0023397D"/>
    <w:rsid w:val="00233CDF"/>
    <w:rsid w:val="0023787B"/>
    <w:rsid w:val="00237CAC"/>
    <w:rsid w:val="00240C99"/>
    <w:rsid w:val="00241DD1"/>
    <w:rsid w:val="00243F6D"/>
    <w:rsid w:val="00244094"/>
    <w:rsid w:val="00244FD7"/>
    <w:rsid w:val="00246471"/>
    <w:rsid w:val="00246A8A"/>
    <w:rsid w:val="00246FC4"/>
    <w:rsid w:val="0024794E"/>
    <w:rsid w:val="00252472"/>
    <w:rsid w:val="00252547"/>
    <w:rsid w:val="00252B4C"/>
    <w:rsid w:val="00254375"/>
    <w:rsid w:val="00254469"/>
    <w:rsid w:val="0025481E"/>
    <w:rsid w:val="0025563A"/>
    <w:rsid w:val="00256F5C"/>
    <w:rsid w:val="00257129"/>
    <w:rsid w:val="0026001D"/>
    <w:rsid w:val="00261C0D"/>
    <w:rsid w:val="00261DED"/>
    <w:rsid w:val="00263355"/>
    <w:rsid w:val="002643CD"/>
    <w:rsid w:val="00264E4F"/>
    <w:rsid w:val="00264FF7"/>
    <w:rsid w:val="002679C0"/>
    <w:rsid w:val="00267AA3"/>
    <w:rsid w:val="00267B96"/>
    <w:rsid w:val="00267FBD"/>
    <w:rsid w:val="00270DFD"/>
    <w:rsid w:val="00271A0E"/>
    <w:rsid w:val="00271C60"/>
    <w:rsid w:val="0027264C"/>
    <w:rsid w:val="00272811"/>
    <w:rsid w:val="00272DCD"/>
    <w:rsid w:val="00273199"/>
    <w:rsid w:val="00273401"/>
    <w:rsid w:val="0027618F"/>
    <w:rsid w:val="0027698F"/>
    <w:rsid w:val="00276F6A"/>
    <w:rsid w:val="002771D7"/>
    <w:rsid w:val="002774B7"/>
    <w:rsid w:val="00277CE2"/>
    <w:rsid w:val="002802A5"/>
    <w:rsid w:val="0028068B"/>
    <w:rsid w:val="00280753"/>
    <w:rsid w:val="002814CE"/>
    <w:rsid w:val="00283D83"/>
    <w:rsid w:val="002840E3"/>
    <w:rsid w:val="002843A6"/>
    <w:rsid w:val="002843E9"/>
    <w:rsid w:val="00285B84"/>
    <w:rsid w:val="00286DF5"/>
    <w:rsid w:val="00287FEA"/>
    <w:rsid w:val="002907D1"/>
    <w:rsid w:val="002908C6"/>
    <w:rsid w:val="002909E7"/>
    <w:rsid w:val="00290A0E"/>
    <w:rsid w:val="00290B94"/>
    <w:rsid w:val="002914DE"/>
    <w:rsid w:val="00292988"/>
    <w:rsid w:val="00293265"/>
    <w:rsid w:val="0029393C"/>
    <w:rsid w:val="00294054"/>
    <w:rsid w:val="002963C5"/>
    <w:rsid w:val="00296574"/>
    <w:rsid w:val="002975AD"/>
    <w:rsid w:val="00297DDD"/>
    <w:rsid w:val="002A0055"/>
    <w:rsid w:val="002A0D72"/>
    <w:rsid w:val="002A1EED"/>
    <w:rsid w:val="002A29AC"/>
    <w:rsid w:val="002A3316"/>
    <w:rsid w:val="002A34B2"/>
    <w:rsid w:val="002A3A0E"/>
    <w:rsid w:val="002A45A9"/>
    <w:rsid w:val="002A4825"/>
    <w:rsid w:val="002A4871"/>
    <w:rsid w:val="002A4C61"/>
    <w:rsid w:val="002A4EFF"/>
    <w:rsid w:val="002A5095"/>
    <w:rsid w:val="002A5455"/>
    <w:rsid w:val="002B020C"/>
    <w:rsid w:val="002B1308"/>
    <w:rsid w:val="002B1D44"/>
    <w:rsid w:val="002B20AE"/>
    <w:rsid w:val="002B24E3"/>
    <w:rsid w:val="002B4A08"/>
    <w:rsid w:val="002B4B31"/>
    <w:rsid w:val="002B6732"/>
    <w:rsid w:val="002B674D"/>
    <w:rsid w:val="002B6940"/>
    <w:rsid w:val="002C08C7"/>
    <w:rsid w:val="002C0A85"/>
    <w:rsid w:val="002C1C2B"/>
    <w:rsid w:val="002C248D"/>
    <w:rsid w:val="002C2490"/>
    <w:rsid w:val="002C509F"/>
    <w:rsid w:val="002D0326"/>
    <w:rsid w:val="002D2820"/>
    <w:rsid w:val="002D2A60"/>
    <w:rsid w:val="002D2FEF"/>
    <w:rsid w:val="002D3061"/>
    <w:rsid w:val="002D3270"/>
    <w:rsid w:val="002D37F6"/>
    <w:rsid w:val="002D593D"/>
    <w:rsid w:val="002D5AC4"/>
    <w:rsid w:val="002D5D03"/>
    <w:rsid w:val="002D6C9A"/>
    <w:rsid w:val="002E00FD"/>
    <w:rsid w:val="002E1AF0"/>
    <w:rsid w:val="002E1EE5"/>
    <w:rsid w:val="002E28DE"/>
    <w:rsid w:val="002E3B3A"/>
    <w:rsid w:val="002E3C03"/>
    <w:rsid w:val="002E4E67"/>
    <w:rsid w:val="002E552E"/>
    <w:rsid w:val="002E7A1D"/>
    <w:rsid w:val="002F1751"/>
    <w:rsid w:val="002F21E7"/>
    <w:rsid w:val="002F49DA"/>
    <w:rsid w:val="002F66FC"/>
    <w:rsid w:val="002F7E05"/>
    <w:rsid w:val="002F7F48"/>
    <w:rsid w:val="003014E4"/>
    <w:rsid w:val="00301AAF"/>
    <w:rsid w:val="003032CB"/>
    <w:rsid w:val="00304B50"/>
    <w:rsid w:val="00304C23"/>
    <w:rsid w:val="0030546E"/>
    <w:rsid w:val="00305925"/>
    <w:rsid w:val="00306095"/>
    <w:rsid w:val="003061EF"/>
    <w:rsid w:val="003062B2"/>
    <w:rsid w:val="00306310"/>
    <w:rsid w:val="003068CD"/>
    <w:rsid w:val="003077F6"/>
    <w:rsid w:val="00307F48"/>
    <w:rsid w:val="00310201"/>
    <w:rsid w:val="00310805"/>
    <w:rsid w:val="00310C4A"/>
    <w:rsid w:val="00311756"/>
    <w:rsid w:val="0031237C"/>
    <w:rsid w:val="00312979"/>
    <w:rsid w:val="0031388D"/>
    <w:rsid w:val="003140F1"/>
    <w:rsid w:val="00314994"/>
    <w:rsid w:val="00315211"/>
    <w:rsid w:val="00316C7D"/>
    <w:rsid w:val="003215F8"/>
    <w:rsid w:val="003218FC"/>
    <w:rsid w:val="00321B12"/>
    <w:rsid w:val="00321EAB"/>
    <w:rsid w:val="0032302F"/>
    <w:rsid w:val="0032316C"/>
    <w:rsid w:val="0032332A"/>
    <w:rsid w:val="00323CBF"/>
    <w:rsid w:val="003241D0"/>
    <w:rsid w:val="00324DD2"/>
    <w:rsid w:val="0032636E"/>
    <w:rsid w:val="003275A2"/>
    <w:rsid w:val="00330AC9"/>
    <w:rsid w:val="00331C98"/>
    <w:rsid w:val="00333A81"/>
    <w:rsid w:val="00333D5A"/>
    <w:rsid w:val="00333D9F"/>
    <w:rsid w:val="003340AE"/>
    <w:rsid w:val="00334685"/>
    <w:rsid w:val="00334FDD"/>
    <w:rsid w:val="0033550D"/>
    <w:rsid w:val="00336313"/>
    <w:rsid w:val="003367B6"/>
    <w:rsid w:val="0033701E"/>
    <w:rsid w:val="00337858"/>
    <w:rsid w:val="00337A08"/>
    <w:rsid w:val="00337AE6"/>
    <w:rsid w:val="00341449"/>
    <w:rsid w:val="00342287"/>
    <w:rsid w:val="00342BE1"/>
    <w:rsid w:val="0034426C"/>
    <w:rsid w:val="0034435D"/>
    <w:rsid w:val="0034439E"/>
    <w:rsid w:val="00344A2D"/>
    <w:rsid w:val="0034599A"/>
    <w:rsid w:val="00345B34"/>
    <w:rsid w:val="00346DA0"/>
    <w:rsid w:val="003476D0"/>
    <w:rsid w:val="00347AD4"/>
    <w:rsid w:val="00347E35"/>
    <w:rsid w:val="00350B80"/>
    <w:rsid w:val="00351EDB"/>
    <w:rsid w:val="0035223B"/>
    <w:rsid w:val="00352D06"/>
    <w:rsid w:val="00354055"/>
    <w:rsid w:val="003556DA"/>
    <w:rsid w:val="00355952"/>
    <w:rsid w:val="003566B1"/>
    <w:rsid w:val="00356D3E"/>
    <w:rsid w:val="003576DA"/>
    <w:rsid w:val="00357829"/>
    <w:rsid w:val="00360999"/>
    <w:rsid w:val="00361111"/>
    <w:rsid w:val="00361CB7"/>
    <w:rsid w:val="0036296B"/>
    <w:rsid w:val="00362CA3"/>
    <w:rsid w:val="00362FBA"/>
    <w:rsid w:val="00364951"/>
    <w:rsid w:val="00365ABB"/>
    <w:rsid w:val="00365BD0"/>
    <w:rsid w:val="00367421"/>
    <w:rsid w:val="00367A94"/>
    <w:rsid w:val="00373CEB"/>
    <w:rsid w:val="00374C17"/>
    <w:rsid w:val="00375350"/>
    <w:rsid w:val="00375463"/>
    <w:rsid w:val="00375520"/>
    <w:rsid w:val="00375E98"/>
    <w:rsid w:val="00375F94"/>
    <w:rsid w:val="00376218"/>
    <w:rsid w:val="003768B1"/>
    <w:rsid w:val="0037716D"/>
    <w:rsid w:val="00380EA6"/>
    <w:rsid w:val="0038157F"/>
    <w:rsid w:val="00381F45"/>
    <w:rsid w:val="0038264F"/>
    <w:rsid w:val="00383894"/>
    <w:rsid w:val="00383CFD"/>
    <w:rsid w:val="003841D6"/>
    <w:rsid w:val="003845E5"/>
    <w:rsid w:val="00384759"/>
    <w:rsid w:val="00384F1B"/>
    <w:rsid w:val="00385E6E"/>
    <w:rsid w:val="0038654C"/>
    <w:rsid w:val="003909CB"/>
    <w:rsid w:val="003923B1"/>
    <w:rsid w:val="003927C3"/>
    <w:rsid w:val="0039308E"/>
    <w:rsid w:val="00393677"/>
    <w:rsid w:val="003938FE"/>
    <w:rsid w:val="00394CF2"/>
    <w:rsid w:val="0039556E"/>
    <w:rsid w:val="00396487"/>
    <w:rsid w:val="003970FB"/>
    <w:rsid w:val="003975A6"/>
    <w:rsid w:val="00397AD0"/>
    <w:rsid w:val="003A219C"/>
    <w:rsid w:val="003A23C7"/>
    <w:rsid w:val="003A5800"/>
    <w:rsid w:val="003A77B3"/>
    <w:rsid w:val="003A7B5D"/>
    <w:rsid w:val="003B01B7"/>
    <w:rsid w:val="003B0FB0"/>
    <w:rsid w:val="003B1329"/>
    <w:rsid w:val="003B13D2"/>
    <w:rsid w:val="003B168F"/>
    <w:rsid w:val="003B1E27"/>
    <w:rsid w:val="003B3F42"/>
    <w:rsid w:val="003B4E13"/>
    <w:rsid w:val="003B54CD"/>
    <w:rsid w:val="003B56DC"/>
    <w:rsid w:val="003B5BC8"/>
    <w:rsid w:val="003B6DB2"/>
    <w:rsid w:val="003B6FF5"/>
    <w:rsid w:val="003B788F"/>
    <w:rsid w:val="003C00AA"/>
    <w:rsid w:val="003C06A1"/>
    <w:rsid w:val="003C0D75"/>
    <w:rsid w:val="003C0DF2"/>
    <w:rsid w:val="003C1CF6"/>
    <w:rsid w:val="003C2EEF"/>
    <w:rsid w:val="003C3938"/>
    <w:rsid w:val="003C4714"/>
    <w:rsid w:val="003C4EFC"/>
    <w:rsid w:val="003C52EC"/>
    <w:rsid w:val="003C5BAD"/>
    <w:rsid w:val="003C6BDA"/>
    <w:rsid w:val="003D1F6D"/>
    <w:rsid w:val="003D28DC"/>
    <w:rsid w:val="003D2CA2"/>
    <w:rsid w:val="003D3908"/>
    <w:rsid w:val="003D44B2"/>
    <w:rsid w:val="003D4A78"/>
    <w:rsid w:val="003D5742"/>
    <w:rsid w:val="003D5A21"/>
    <w:rsid w:val="003D6CA9"/>
    <w:rsid w:val="003D713D"/>
    <w:rsid w:val="003D72E5"/>
    <w:rsid w:val="003E22EE"/>
    <w:rsid w:val="003E28C0"/>
    <w:rsid w:val="003E3C79"/>
    <w:rsid w:val="003E567A"/>
    <w:rsid w:val="003E5971"/>
    <w:rsid w:val="003E6446"/>
    <w:rsid w:val="003E65DA"/>
    <w:rsid w:val="003E69D2"/>
    <w:rsid w:val="003E6F4E"/>
    <w:rsid w:val="003E6F57"/>
    <w:rsid w:val="003F04AB"/>
    <w:rsid w:val="003F058D"/>
    <w:rsid w:val="003F0F0E"/>
    <w:rsid w:val="003F1A7E"/>
    <w:rsid w:val="003F2E72"/>
    <w:rsid w:val="003F406C"/>
    <w:rsid w:val="003F4140"/>
    <w:rsid w:val="003F4150"/>
    <w:rsid w:val="003F6494"/>
    <w:rsid w:val="003F694E"/>
    <w:rsid w:val="003F6CEC"/>
    <w:rsid w:val="003F6D36"/>
    <w:rsid w:val="003F7302"/>
    <w:rsid w:val="003F7D97"/>
    <w:rsid w:val="00401FA0"/>
    <w:rsid w:val="004024BF"/>
    <w:rsid w:val="004028B6"/>
    <w:rsid w:val="00402E07"/>
    <w:rsid w:val="00403156"/>
    <w:rsid w:val="00403428"/>
    <w:rsid w:val="00406438"/>
    <w:rsid w:val="004066B8"/>
    <w:rsid w:val="00407791"/>
    <w:rsid w:val="00407C67"/>
    <w:rsid w:val="004101EA"/>
    <w:rsid w:val="004104C5"/>
    <w:rsid w:val="00410D04"/>
    <w:rsid w:val="00411F73"/>
    <w:rsid w:val="00412D1B"/>
    <w:rsid w:val="00414977"/>
    <w:rsid w:val="00414E30"/>
    <w:rsid w:val="004168FE"/>
    <w:rsid w:val="00416CCF"/>
    <w:rsid w:val="00420D90"/>
    <w:rsid w:val="00420E6D"/>
    <w:rsid w:val="0042128E"/>
    <w:rsid w:val="00422087"/>
    <w:rsid w:val="00422982"/>
    <w:rsid w:val="00422DD0"/>
    <w:rsid w:val="004238BD"/>
    <w:rsid w:val="00423A16"/>
    <w:rsid w:val="00423AA3"/>
    <w:rsid w:val="00424AB7"/>
    <w:rsid w:val="00424E0F"/>
    <w:rsid w:val="004262A8"/>
    <w:rsid w:val="0042641F"/>
    <w:rsid w:val="00427CC4"/>
    <w:rsid w:val="004329C9"/>
    <w:rsid w:val="00432A08"/>
    <w:rsid w:val="00433B20"/>
    <w:rsid w:val="0043466F"/>
    <w:rsid w:val="00435A3C"/>
    <w:rsid w:val="00435DB4"/>
    <w:rsid w:val="00436194"/>
    <w:rsid w:val="00436683"/>
    <w:rsid w:val="00436C05"/>
    <w:rsid w:val="00437A9A"/>
    <w:rsid w:val="00440E0C"/>
    <w:rsid w:val="0044107D"/>
    <w:rsid w:val="0044183E"/>
    <w:rsid w:val="00442662"/>
    <w:rsid w:val="0044340B"/>
    <w:rsid w:val="00443BEC"/>
    <w:rsid w:val="00443C2E"/>
    <w:rsid w:val="0044424B"/>
    <w:rsid w:val="00444B04"/>
    <w:rsid w:val="00445558"/>
    <w:rsid w:val="00447483"/>
    <w:rsid w:val="0045087F"/>
    <w:rsid w:val="00451B77"/>
    <w:rsid w:val="00451E1C"/>
    <w:rsid w:val="004521B2"/>
    <w:rsid w:val="00453D1E"/>
    <w:rsid w:val="00454381"/>
    <w:rsid w:val="00454DCD"/>
    <w:rsid w:val="00455A10"/>
    <w:rsid w:val="0045727D"/>
    <w:rsid w:val="004577B0"/>
    <w:rsid w:val="0046037E"/>
    <w:rsid w:val="00460DEA"/>
    <w:rsid w:val="004616CF"/>
    <w:rsid w:val="004616E3"/>
    <w:rsid w:val="00462327"/>
    <w:rsid w:val="00463F0E"/>
    <w:rsid w:val="004651A2"/>
    <w:rsid w:val="004651BB"/>
    <w:rsid w:val="0046530B"/>
    <w:rsid w:val="004654A3"/>
    <w:rsid w:val="004659AD"/>
    <w:rsid w:val="00465C9A"/>
    <w:rsid w:val="00466E8C"/>
    <w:rsid w:val="004670B8"/>
    <w:rsid w:val="004679CE"/>
    <w:rsid w:val="004705F7"/>
    <w:rsid w:val="00470DBE"/>
    <w:rsid w:val="004716A2"/>
    <w:rsid w:val="00471C03"/>
    <w:rsid w:val="004724C8"/>
    <w:rsid w:val="00473D34"/>
    <w:rsid w:val="004741F0"/>
    <w:rsid w:val="00476715"/>
    <w:rsid w:val="00477F62"/>
    <w:rsid w:val="00480748"/>
    <w:rsid w:val="004810B3"/>
    <w:rsid w:val="0048166C"/>
    <w:rsid w:val="00482E5D"/>
    <w:rsid w:val="00484073"/>
    <w:rsid w:val="00484A45"/>
    <w:rsid w:val="00484FE8"/>
    <w:rsid w:val="00485352"/>
    <w:rsid w:val="004858C8"/>
    <w:rsid w:val="00486069"/>
    <w:rsid w:val="004861E5"/>
    <w:rsid w:val="004877A6"/>
    <w:rsid w:val="00490040"/>
    <w:rsid w:val="00490622"/>
    <w:rsid w:val="00491A3C"/>
    <w:rsid w:val="00492099"/>
    <w:rsid w:val="004934B0"/>
    <w:rsid w:val="00493B00"/>
    <w:rsid w:val="004A0738"/>
    <w:rsid w:val="004A1C76"/>
    <w:rsid w:val="004A1D41"/>
    <w:rsid w:val="004A36C3"/>
    <w:rsid w:val="004A60C0"/>
    <w:rsid w:val="004A69CA"/>
    <w:rsid w:val="004A6BBF"/>
    <w:rsid w:val="004B0C4A"/>
    <w:rsid w:val="004B185F"/>
    <w:rsid w:val="004B2287"/>
    <w:rsid w:val="004B30C3"/>
    <w:rsid w:val="004B3206"/>
    <w:rsid w:val="004B3229"/>
    <w:rsid w:val="004B42A0"/>
    <w:rsid w:val="004B42C4"/>
    <w:rsid w:val="004B4799"/>
    <w:rsid w:val="004B5333"/>
    <w:rsid w:val="004B5D26"/>
    <w:rsid w:val="004B65B0"/>
    <w:rsid w:val="004B6735"/>
    <w:rsid w:val="004B67FF"/>
    <w:rsid w:val="004B7BDD"/>
    <w:rsid w:val="004C1312"/>
    <w:rsid w:val="004C1D73"/>
    <w:rsid w:val="004C41C9"/>
    <w:rsid w:val="004C70F7"/>
    <w:rsid w:val="004D13E7"/>
    <w:rsid w:val="004D198C"/>
    <w:rsid w:val="004D391D"/>
    <w:rsid w:val="004D3FDF"/>
    <w:rsid w:val="004D426E"/>
    <w:rsid w:val="004D4385"/>
    <w:rsid w:val="004D43EB"/>
    <w:rsid w:val="004D4C00"/>
    <w:rsid w:val="004D581D"/>
    <w:rsid w:val="004D5A6A"/>
    <w:rsid w:val="004D74F5"/>
    <w:rsid w:val="004E08FC"/>
    <w:rsid w:val="004E0918"/>
    <w:rsid w:val="004E0DFB"/>
    <w:rsid w:val="004E0E43"/>
    <w:rsid w:val="004E1FE3"/>
    <w:rsid w:val="004E2610"/>
    <w:rsid w:val="004E3DBC"/>
    <w:rsid w:val="004E5D67"/>
    <w:rsid w:val="004E6E36"/>
    <w:rsid w:val="004E6F42"/>
    <w:rsid w:val="004E758E"/>
    <w:rsid w:val="004E7E5B"/>
    <w:rsid w:val="004F1286"/>
    <w:rsid w:val="004F12DE"/>
    <w:rsid w:val="004F1E31"/>
    <w:rsid w:val="004F2298"/>
    <w:rsid w:val="004F2918"/>
    <w:rsid w:val="004F4BF9"/>
    <w:rsid w:val="004F63FF"/>
    <w:rsid w:val="004F6536"/>
    <w:rsid w:val="004F6BA1"/>
    <w:rsid w:val="004F6BD8"/>
    <w:rsid w:val="004F74AC"/>
    <w:rsid w:val="004F7749"/>
    <w:rsid w:val="004F7BB3"/>
    <w:rsid w:val="00502623"/>
    <w:rsid w:val="00504339"/>
    <w:rsid w:val="00506086"/>
    <w:rsid w:val="00506615"/>
    <w:rsid w:val="00506644"/>
    <w:rsid w:val="005069F8"/>
    <w:rsid w:val="005074CE"/>
    <w:rsid w:val="005100D6"/>
    <w:rsid w:val="00510463"/>
    <w:rsid w:val="00510B3B"/>
    <w:rsid w:val="00511B0D"/>
    <w:rsid w:val="00511E31"/>
    <w:rsid w:val="00512F67"/>
    <w:rsid w:val="005144BA"/>
    <w:rsid w:val="00514EC9"/>
    <w:rsid w:val="0051593D"/>
    <w:rsid w:val="0051612C"/>
    <w:rsid w:val="00516301"/>
    <w:rsid w:val="005163FA"/>
    <w:rsid w:val="00517CC8"/>
    <w:rsid w:val="00520CFE"/>
    <w:rsid w:val="00520FD9"/>
    <w:rsid w:val="005212AE"/>
    <w:rsid w:val="0052265A"/>
    <w:rsid w:val="00523198"/>
    <w:rsid w:val="00523328"/>
    <w:rsid w:val="005236ED"/>
    <w:rsid w:val="00523EB6"/>
    <w:rsid w:val="00524D8A"/>
    <w:rsid w:val="00526968"/>
    <w:rsid w:val="00526A24"/>
    <w:rsid w:val="00527E13"/>
    <w:rsid w:val="00530F77"/>
    <w:rsid w:val="00531063"/>
    <w:rsid w:val="005310CA"/>
    <w:rsid w:val="00532185"/>
    <w:rsid w:val="00533529"/>
    <w:rsid w:val="00535943"/>
    <w:rsid w:val="00535CFD"/>
    <w:rsid w:val="00537510"/>
    <w:rsid w:val="00537793"/>
    <w:rsid w:val="00540027"/>
    <w:rsid w:val="005402BB"/>
    <w:rsid w:val="0054076D"/>
    <w:rsid w:val="00540849"/>
    <w:rsid w:val="00540D69"/>
    <w:rsid w:val="005414F2"/>
    <w:rsid w:val="00541905"/>
    <w:rsid w:val="00543E6D"/>
    <w:rsid w:val="005447D2"/>
    <w:rsid w:val="00544A14"/>
    <w:rsid w:val="0054587A"/>
    <w:rsid w:val="00545FC1"/>
    <w:rsid w:val="00546138"/>
    <w:rsid w:val="00546911"/>
    <w:rsid w:val="005478A7"/>
    <w:rsid w:val="00547F06"/>
    <w:rsid w:val="0055151A"/>
    <w:rsid w:val="00551A1E"/>
    <w:rsid w:val="00551FE3"/>
    <w:rsid w:val="005523FA"/>
    <w:rsid w:val="00552C98"/>
    <w:rsid w:val="00552FD3"/>
    <w:rsid w:val="0055331E"/>
    <w:rsid w:val="00553883"/>
    <w:rsid w:val="00553CC6"/>
    <w:rsid w:val="005552F3"/>
    <w:rsid w:val="0055613E"/>
    <w:rsid w:val="00557A51"/>
    <w:rsid w:val="00560118"/>
    <w:rsid w:val="0056020A"/>
    <w:rsid w:val="005616B6"/>
    <w:rsid w:val="00561738"/>
    <w:rsid w:val="00561818"/>
    <w:rsid w:val="00562255"/>
    <w:rsid w:val="00562CE2"/>
    <w:rsid w:val="00563080"/>
    <w:rsid w:val="00563469"/>
    <w:rsid w:val="00563B5C"/>
    <w:rsid w:val="00563BDE"/>
    <w:rsid w:val="00564EEA"/>
    <w:rsid w:val="00565197"/>
    <w:rsid w:val="0056558E"/>
    <w:rsid w:val="00565760"/>
    <w:rsid w:val="0056629A"/>
    <w:rsid w:val="005662A6"/>
    <w:rsid w:val="00570015"/>
    <w:rsid w:val="00571158"/>
    <w:rsid w:val="0057128D"/>
    <w:rsid w:val="0057254C"/>
    <w:rsid w:val="00572D82"/>
    <w:rsid w:val="00573E33"/>
    <w:rsid w:val="00573F2D"/>
    <w:rsid w:val="00575792"/>
    <w:rsid w:val="00576779"/>
    <w:rsid w:val="0058034C"/>
    <w:rsid w:val="00581057"/>
    <w:rsid w:val="005817A6"/>
    <w:rsid w:val="0058250A"/>
    <w:rsid w:val="00582865"/>
    <w:rsid w:val="0058374F"/>
    <w:rsid w:val="005862D3"/>
    <w:rsid w:val="005864AE"/>
    <w:rsid w:val="0058753B"/>
    <w:rsid w:val="00587596"/>
    <w:rsid w:val="00587BD9"/>
    <w:rsid w:val="00590518"/>
    <w:rsid w:val="00591FEE"/>
    <w:rsid w:val="00592101"/>
    <w:rsid w:val="00592322"/>
    <w:rsid w:val="00593EC9"/>
    <w:rsid w:val="00594176"/>
    <w:rsid w:val="005943E7"/>
    <w:rsid w:val="00594994"/>
    <w:rsid w:val="005950B1"/>
    <w:rsid w:val="00595431"/>
    <w:rsid w:val="00595CC1"/>
    <w:rsid w:val="0059644A"/>
    <w:rsid w:val="00596E7F"/>
    <w:rsid w:val="00597528"/>
    <w:rsid w:val="00597E2E"/>
    <w:rsid w:val="005A09D3"/>
    <w:rsid w:val="005A1717"/>
    <w:rsid w:val="005A1FBE"/>
    <w:rsid w:val="005A201E"/>
    <w:rsid w:val="005A3577"/>
    <w:rsid w:val="005A41A8"/>
    <w:rsid w:val="005A44EB"/>
    <w:rsid w:val="005A466F"/>
    <w:rsid w:val="005A7ACF"/>
    <w:rsid w:val="005B0B25"/>
    <w:rsid w:val="005B16B5"/>
    <w:rsid w:val="005B2632"/>
    <w:rsid w:val="005B31F0"/>
    <w:rsid w:val="005B4A4A"/>
    <w:rsid w:val="005B4A7C"/>
    <w:rsid w:val="005B77C2"/>
    <w:rsid w:val="005C23C2"/>
    <w:rsid w:val="005C39C8"/>
    <w:rsid w:val="005C48CC"/>
    <w:rsid w:val="005C4AA2"/>
    <w:rsid w:val="005C5008"/>
    <w:rsid w:val="005C5251"/>
    <w:rsid w:val="005C5B4A"/>
    <w:rsid w:val="005C63FB"/>
    <w:rsid w:val="005C69B0"/>
    <w:rsid w:val="005C6A5B"/>
    <w:rsid w:val="005C6C31"/>
    <w:rsid w:val="005C78F7"/>
    <w:rsid w:val="005C7A9F"/>
    <w:rsid w:val="005D0A75"/>
    <w:rsid w:val="005D261E"/>
    <w:rsid w:val="005D2A1D"/>
    <w:rsid w:val="005D2AB0"/>
    <w:rsid w:val="005D3370"/>
    <w:rsid w:val="005D3EC9"/>
    <w:rsid w:val="005D3FD5"/>
    <w:rsid w:val="005D453E"/>
    <w:rsid w:val="005D46C0"/>
    <w:rsid w:val="005D6AC0"/>
    <w:rsid w:val="005E0090"/>
    <w:rsid w:val="005E13A7"/>
    <w:rsid w:val="005E15B0"/>
    <w:rsid w:val="005E2220"/>
    <w:rsid w:val="005E2CCF"/>
    <w:rsid w:val="005E2DAC"/>
    <w:rsid w:val="005E2E4D"/>
    <w:rsid w:val="005E5B5C"/>
    <w:rsid w:val="005E6D8A"/>
    <w:rsid w:val="005E76EB"/>
    <w:rsid w:val="005E7FEF"/>
    <w:rsid w:val="005F09C1"/>
    <w:rsid w:val="005F0A24"/>
    <w:rsid w:val="005F14F4"/>
    <w:rsid w:val="005F3185"/>
    <w:rsid w:val="005F3291"/>
    <w:rsid w:val="005F32ED"/>
    <w:rsid w:val="005F44DD"/>
    <w:rsid w:val="005F4B5E"/>
    <w:rsid w:val="005F667B"/>
    <w:rsid w:val="005F6E06"/>
    <w:rsid w:val="0060029E"/>
    <w:rsid w:val="00600F04"/>
    <w:rsid w:val="00600F77"/>
    <w:rsid w:val="0060176C"/>
    <w:rsid w:val="00601A5E"/>
    <w:rsid w:val="00601F60"/>
    <w:rsid w:val="006029E2"/>
    <w:rsid w:val="006067E3"/>
    <w:rsid w:val="00606ACC"/>
    <w:rsid w:val="00606E84"/>
    <w:rsid w:val="00607B76"/>
    <w:rsid w:val="006102B1"/>
    <w:rsid w:val="00610FD9"/>
    <w:rsid w:val="00612E4B"/>
    <w:rsid w:val="00614212"/>
    <w:rsid w:val="00614BA5"/>
    <w:rsid w:val="00615954"/>
    <w:rsid w:val="00616614"/>
    <w:rsid w:val="00616CA9"/>
    <w:rsid w:val="0061700A"/>
    <w:rsid w:val="00620A9A"/>
    <w:rsid w:val="006218B6"/>
    <w:rsid w:val="006219F0"/>
    <w:rsid w:val="00622C91"/>
    <w:rsid w:val="00623240"/>
    <w:rsid w:val="0062384C"/>
    <w:rsid w:val="00626E94"/>
    <w:rsid w:val="006271FC"/>
    <w:rsid w:val="0063338D"/>
    <w:rsid w:val="00633E57"/>
    <w:rsid w:val="00634854"/>
    <w:rsid w:val="00634A58"/>
    <w:rsid w:val="00634C2E"/>
    <w:rsid w:val="0063517C"/>
    <w:rsid w:val="00635356"/>
    <w:rsid w:val="00635500"/>
    <w:rsid w:val="00635C4C"/>
    <w:rsid w:val="00637080"/>
    <w:rsid w:val="00637FB1"/>
    <w:rsid w:val="006406D1"/>
    <w:rsid w:val="0064106A"/>
    <w:rsid w:val="006433C5"/>
    <w:rsid w:val="00643BB9"/>
    <w:rsid w:val="00643E0D"/>
    <w:rsid w:val="0064413D"/>
    <w:rsid w:val="00644438"/>
    <w:rsid w:val="00645441"/>
    <w:rsid w:val="00646F61"/>
    <w:rsid w:val="00647852"/>
    <w:rsid w:val="00647AA7"/>
    <w:rsid w:val="0065103C"/>
    <w:rsid w:val="0065108A"/>
    <w:rsid w:val="00651524"/>
    <w:rsid w:val="00652596"/>
    <w:rsid w:val="00652FFB"/>
    <w:rsid w:val="006530D0"/>
    <w:rsid w:val="00653782"/>
    <w:rsid w:val="00654427"/>
    <w:rsid w:val="0065587B"/>
    <w:rsid w:val="00655A43"/>
    <w:rsid w:val="00655AE7"/>
    <w:rsid w:val="006562FD"/>
    <w:rsid w:val="00656B1A"/>
    <w:rsid w:val="0065715F"/>
    <w:rsid w:val="00657358"/>
    <w:rsid w:val="0065784D"/>
    <w:rsid w:val="0065791B"/>
    <w:rsid w:val="00657C43"/>
    <w:rsid w:val="00660521"/>
    <w:rsid w:val="006606AF"/>
    <w:rsid w:val="00660A26"/>
    <w:rsid w:val="006611FA"/>
    <w:rsid w:val="006622DA"/>
    <w:rsid w:val="00662E2A"/>
    <w:rsid w:val="00664479"/>
    <w:rsid w:val="00664A03"/>
    <w:rsid w:val="006700D2"/>
    <w:rsid w:val="006708A8"/>
    <w:rsid w:val="00670CF9"/>
    <w:rsid w:val="00674C19"/>
    <w:rsid w:val="00676EB8"/>
    <w:rsid w:val="00680027"/>
    <w:rsid w:val="00680218"/>
    <w:rsid w:val="0068032F"/>
    <w:rsid w:val="00680B24"/>
    <w:rsid w:val="00680BF7"/>
    <w:rsid w:val="00680D94"/>
    <w:rsid w:val="00680E26"/>
    <w:rsid w:val="00681B8D"/>
    <w:rsid w:val="0068221F"/>
    <w:rsid w:val="00683877"/>
    <w:rsid w:val="00683FCE"/>
    <w:rsid w:val="006851AD"/>
    <w:rsid w:val="00685C14"/>
    <w:rsid w:val="00685D20"/>
    <w:rsid w:val="00686137"/>
    <w:rsid w:val="00686BC2"/>
    <w:rsid w:val="00687E98"/>
    <w:rsid w:val="00690E28"/>
    <w:rsid w:val="00690EF2"/>
    <w:rsid w:val="00691315"/>
    <w:rsid w:val="00691675"/>
    <w:rsid w:val="00691969"/>
    <w:rsid w:val="00692AD7"/>
    <w:rsid w:val="006938D0"/>
    <w:rsid w:val="00693F02"/>
    <w:rsid w:val="00694382"/>
    <w:rsid w:val="006946F4"/>
    <w:rsid w:val="006968AD"/>
    <w:rsid w:val="00696DAE"/>
    <w:rsid w:val="006A01B1"/>
    <w:rsid w:val="006A05D2"/>
    <w:rsid w:val="006A09F2"/>
    <w:rsid w:val="006A1A94"/>
    <w:rsid w:val="006A70F5"/>
    <w:rsid w:val="006A749F"/>
    <w:rsid w:val="006A74D4"/>
    <w:rsid w:val="006A7EB2"/>
    <w:rsid w:val="006A7FB8"/>
    <w:rsid w:val="006B0F4A"/>
    <w:rsid w:val="006B22F8"/>
    <w:rsid w:val="006B3B4B"/>
    <w:rsid w:val="006B4406"/>
    <w:rsid w:val="006B5F7D"/>
    <w:rsid w:val="006B64F9"/>
    <w:rsid w:val="006B69C5"/>
    <w:rsid w:val="006B6C79"/>
    <w:rsid w:val="006B7562"/>
    <w:rsid w:val="006B76E4"/>
    <w:rsid w:val="006C0393"/>
    <w:rsid w:val="006C07F7"/>
    <w:rsid w:val="006C15D9"/>
    <w:rsid w:val="006C2076"/>
    <w:rsid w:val="006C20F5"/>
    <w:rsid w:val="006C22B5"/>
    <w:rsid w:val="006C22DF"/>
    <w:rsid w:val="006C2CC5"/>
    <w:rsid w:val="006C4569"/>
    <w:rsid w:val="006C4675"/>
    <w:rsid w:val="006C4C23"/>
    <w:rsid w:val="006C5AA3"/>
    <w:rsid w:val="006C5F25"/>
    <w:rsid w:val="006C68F4"/>
    <w:rsid w:val="006C7122"/>
    <w:rsid w:val="006D0293"/>
    <w:rsid w:val="006D1531"/>
    <w:rsid w:val="006D20F7"/>
    <w:rsid w:val="006D2BA4"/>
    <w:rsid w:val="006D2DDD"/>
    <w:rsid w:val="006D365C"/>
    <w:rsid w:val="006D3DF0"/>
    <w:rsid w:val="006D5257"/>
    <w:rsid w:val="006D5DE9"/>
    <w:rsid w:val="006D63A8"/>
    <w:rsid w:val="006D7054"/>
    <w:rsid w:val="006D77DF"/>
    <w:rsid w:val="006E04A6"/>
    <w:rsid w:val="006E0D86"/>
    <w:rsid w:val="006E1516"/>
    <w:rsid w:val="006E1726"/>
    <w:rsid w:val="006E2B21"/>
    <w:rsid w:val="006E43AD"/>
    <w:rsid w:val="006E4C69"/>
    <w:rsid w:val="006E51A7"/>
    <w:rsid w:val="006E55AF"/>
    <w:rsid w:val="006E6274"/>
    <w:rsid w:val="006E70CE"/>
    <w:rsid w:val="006F21EB"/>
    <w:rsid w:val="006F2809"/>
    <w:rsid w:val="006F2CCB"/>
    <w:rsid w:val="006F3C5A"/>
    <w:rsid w:val="006F3D0E"/>
    <w:rsid w:val="006F4060"/>
    <w:rsid w:val="006F4234"/>
    <w:rsid w:val="006F5825"/>
    <w:rsid w:val="006F72DE"/>
    <w:rsid w:val="006F7791"/>
    <w:rsid w:val="006F7BD2"/>
    <w:rsid w:val="006F7CAC"/>
    <w:rsid w:val="007000E3"/>
    <w:rsid w:val="00701407"/>
    <w:rsid w:val="00701B01"/>
    <w:rsid w:val="007029F8"/>
    <w:rsid w:val="00702B47"/>
    <w:rsid w:val="00705070"/>
    <w:rsid w:val="007054F3"/>
    <w:rsid w:val="007064A8"/>
    <w:rsid w:val="007065B0"/>
    <w:rsid w:val="00707300"/>
    <w:rsid w:val="007074E3"/>
    <w:rsid w:val="0071255E"/>
    <w:rsid w:val="00712646"/>
    <w:rsid w:val="007128BA"/>
    <w:rsid w:val="00712AE2"/>
    <w:rsid w:val="00712BBB"/>
    <w:rsid w:val="00712FA1"/>
    <w:rsid w:val="00712FA8"/>
    <w:rsid w:val="0071318C"/>
    <w:rsid w:val="00714CCC"/>
    <w:rsid w:val="007150F9"/>
    <w:rsid w:val="007153D8"/>
    <w:rsid w:val="00715C16"/>
    <w:rsid w:val="007174C9"/>
    <w:rsid w:val="00717723"/>
    <w:rsid w:val="007209AD"/>
    <w:rsid w:val="00721615"/>
    <w:rsid w:val="007217C4"/>
    <w:rsid w:val="00722F73"/>
    <w:rsid w:val="007232C8"/>
    <w:rsid w:val="00723D0C"/>
    <w:rsid w:val="0072591D"/>
    <w:rsid w:val="00725C33"/>
    <w:rsid w:val="007270E8"/>
    <w:rsid w:val="007272BC"/>
    <w:rsid w:val="00727C4C"/>
    <w:rsid w:val="0073018C"/>
    <w:rsid w:val="007307BA"/>
    <w:rsid w:val="00731045"/>
    <w:rsid w:val="00732105"/>
    <w:rsid w:val="00733207"/>
    <w:rsid w:val="00733847"/>
    <w:rsid w:val="007358A4"/>
    <w:rsid w:val="00735AB7"/>
    <w:rsid w:val="00735B69"/>
    <w:rsid w:val="00735C02"/>
    <w:rsid w:val="00735C2B"/>
    <w:rsid w:val="00735D50"/>
    <w:rsid w:val="00735F22"/>
    <w:rsid w:val="007369BB"/>
    <w:rsid w:val="00736F4C"/>
    <w:rsid w:val="00737EC0"/>
    <w:rsid w:val="00737ED5"/>
    <w:rsid w:val="00740224"/>
    <w:rsid w:val="007414D4"/>
    <w:rsid w:val="00744168"/>
    <w:rsid w:val="007446CD"/>
    <w:rsid w:val="0074498D"/>
    <w:rsid w:val="00744D7B"/>
    <w:rsid w:val="00744E93"/>
    <w:rsid w:val="00745CC8"/>
    <w:rsid w:val="0074634A"/>
    <w:rsid w:val="00746AB2"/>
    <w:rsid w:val="0074727A"/>
    <w:rsid w:val="007475A3"/>
    <w:rsid w:val="0075093A"/>
    <w:rsid w:val="00750E2F"/>
    <w:rsid w:val="00752623"/>
    <w:rsid w:val="00753458"/>
    <w:rsid w:val="00753859"/>
    <w:rsid w:val="00753DBA"/>
    <w:rsid w:val="00754A5A"/>
    <w:rsid w:val="00755D1D"/>
    <w:rsid w:val="00757A0A"/>
    <w:rsid w:val="0076065A"/>
    <w:rsid w:val="00760D74"/>
    <w:rsid w:val="00762098"/>
    <w:rsid w:val="007634C8"/>
    <w:rsid w:val="00763504"/>
    <w:rsid w:val="00764ABB"/>
    <w:rsid w:val="00764C56"/>
    <w:rsid w:val="007663D9"/>
    <w:rsid w:val="0076659D"/>
    <w:rsid w:val="00766864"/>
    <w:rsid w:val="00766B0C"/>
    <w:rsid w:val="00766E89"/>
    <w:rsid w:val="00766F69"/>
    <w:rsid w:val="00770903"/>
    <w:rsid w:val="00770D08"/>
    <w:rsid w:val="00771ECF"/>
    <w:rsid w:val="00773932"/>
    <w:rsid w:val="00774BF8"/>
    <w:rsid w:val="0077622A"/>
    <w:rsid w:val="0077668E"/>
    <w:rsid w:val="007766D6"/>
    <w:rsid w:val="0077697B"/>
    <w:rsid w:val="00776BC9"/>
    <w:rsid w:val="00777BE9"/>
    <w:rsid w:val="00777ECA"/>
    <w:rsid w:val="00781C02"/>
    <w:rsid w:val="00781CC3"/>
    <w:rsid w:val="00783E6D"/>
    <w:rsid w:val="0078513B"/>
    <w:rsid w:val="007854EB"/>
    <w:rsid w:val="00785646"/>
    <w:rsid w:val="00786856"/>
    <w:rsid w:val="0078783B"/>
    <w:rsid w:val="007904EE"/>
    <w:rsid w:val="00790F82"/>
    <w:rsid w:val="007921D8"/>
    <w:rsid w:val="00792251"/>
    <w:rsid w:val="007922F3"/>
    <w:rsid w:val="00792B96"/>
    <w:rsid w:val="00793E7F"/>
    <w:rsid w:val="0079470A"/>
    <w:rsid w:val="00794ABC"/>
    <w:rsid w:val="007950D5"/>
    <w:rsid w:val="00797DE5"/>
    <w:rsid w:val="007A0207"/>
    <w:rsid w:val="007A26C3"/>
    <w:rsid w:val="007A273C"/>
    <w:rsid w:val="007A29EF"/>
    <w:rsid w:val="007A31F6"/>
    <w:rsid w:val="007A3E93"/>
    <w:rsid w:val="007A4922"/>
    <w:rsid w:val="007A4B0D"/>
    <w:rsid w:val="007A4ED0"/>
    <w:rsid w:val="007A580E"/>
    <w:rsid w:val="007A5826"/>
    <w:rsid w:val="007A6791"/>
    <w:rsid w:val="007A6C52"/>
    <w:rsid w:val="007A74B4"/>
    <w:rsid w:val="007A7DCE"/>
    <w:rsid w:val="007B0A9B"/>
    <w:rsid w:val="007B1019"/>
    <w:rsid w:val="007B1E18"/>
    <w:rsid w:val="007B2944"/>
    <w:rsid w:val="007B2F69"/>
    <w:rsid w:val="007B344F"/>
    <w:rsid w:val="007B3D06"/>
    <w:rsid w:val="007B5030"/>
    <w:rsid w:val="007B5627"/>
    <w:rsid w:val="007B5CD9"/>
    <w:rsid w:val="007B683A"/>
    <w:rsid w:val="007B6CFF"/>
    <w:rsid w:val="007B76A3"/>
    <w:rsid w:val="007B789F"/>
    <w:rsid w:val="007C07E1"/>
    <w:rsid w:val="007C0AD3"/>
    <w:rsid w:val="007C1D61"/>
    <w:rsid w:val="007C24CD"/>
    <w:rsid w:val="007C2BC5"/>
    <w:rsid w:val="007C4FC1"/>
    <w:rsid w:val="007C5626"/>
    <w:rsid w:val="007C58D1"/>
    <w:rsid w:val="007C5AA2"/>
    <w:rsid w:val="007C5D84"/>
    <w:rsid w:val="007C6812"/>
    <w:rsid w:val="007C6DDB"/>
    <w:rsid w:val="007C7FA9"/>
    <w:rsid w:val="007D0143"/>
    <w:rsid w:val="007D07CB"/>
    <w:rsid w:val="007D118B"/>
    <w:rsid w:val="007D1969"/>
    <w:rsid w:val="007D2067"/>
    <w:rsid w:val="007D31F0"/>
    <w:rsid w:val="007D3209"/>
    <w:rsid w:val="007D3AD6"/>
    <w:rsid w:val="007D421E"/>
    <w:rsid w:val="007D52DA"/>
    <w:rsid w:val="007D546F"/>
    <w:rsid w:val="007D5DB0"/>
    <w:rsid w:val="007D5FE5"/>
    <w:rsid w:val="007D6918"/>
    <w:rsid w:val="007D702D"/>
    <w:rsid w:val="007D73DD"/>
    <w:rsid w:val="007E0582"/>
    <w:rsid w:val="007E0ED0"/>
    <w:rsid w:val="007E0EFA"/>
    <w:rsid w:val="007E16CA"/>
    <w:rsid w:val="007E3B27"/>
    <w:rsid w:val="007E467B"/>
    <w:rsid w:val="007E4A58"/>
    <w:rsid w:val="007E4BAF"/>
    <w:rsid w:val="007E4FFD"/>
    <w:rsid w:val="007E50AC"/>
    <w:rsid w:val="007E583E"/>
    <w:rsid w:val="007E6EF3"/>
    <w:rsid w:val="007F09E9"/>
    <w:rsid w:val="007F0CD6"/>
    <w:rsid w:val="007F1595"/>
    <w:rsid w:val="007F1AAD"/>
    <w:rsid w:val="007F21BB"/>
    <w:rsid w:val="007F23D3"/>
    <w:rsid w:val="007F56A8"/>
    <w:rsid w:val="007F61C3"/>
    <w:rsid w:val="007F641E"/>
    <w:rsid w:val="007F70E6"/>
    <w:rsid w:val="007F7178"/>
    <w:rsid w:val="007F7CB8"/>
    <w:rsid w:val="00800D60"/>
    <w:rsid w:val="008016CE"/>
    <w:rsid w:val="008019BD"/>
    <w:rsid w:val="008019FE"/>
    <w:rsid w:val="00801D61"/>
    <w:rsid w:val="00801EAA"/>
    <w:rsid w:val="00802F95"/>
    <w:rsid w:val="0080370B"/>
    <w:rsid w:val="008067A7"/>
    <w:rsid w:val="00806EF2"/>
    <w:rsid w:val="008073F1"/>
    <w:rsid w:val="0080752B"/>
    <w:rsid w:val="008104F6"/>
    <w:rsid w:val="008118DC"/>
    <w:rsid w:val="0081221F"/>
    <w:rsid w:val="008129F5"/>
    <w:rsid w:val="00813F77"/>
    <w:rsid w:val="00814158"/>
    <w:rsid w:val="00814B64"/>
    <w:rsid w:val="00815502"/>
    <w:rsid w:val="008157C4"/>
    <w:rsid w:val="00815A1A"/>
    <w:rsid w:val="00815FBB"/>
    <w:rsid w:val="00815FD7"/>
    <w:rsid w:val="008177C1"/>
    <w:rsid w:val="008179BD"/>
    <w:rsid w:val="00817C96"/>
    <w:rsid w:val="00817F44"/>
    <w:rsid w:val="008203A4"/>
    <w:rsid w:val="00821F95"/>
    <w:rsid w:val="00823CDA"/>
    <w:rsid w:val="00826454"/>
    <w:rsid w:val="00826CA7"/>
    <w:rsid w:val="00826D2D"/>
    <w:rsid w:val="00826EEE"/>
    <w:rsid w:val="00827DAE"/>
    <w:rsid w:val="00831446"/>
    <w:rsid w:val="008315DF"/>
    <w:rsid w:val="00831E80"/>
    <w:rsid w:val="00832C0E"/>
    <w:rsid w:val="00833124"/>
    <w:rsid w:val="0083332C"/>
    <w:rsid w:val="00833341"/>
    <w:rsid w:val="00833FCA"/>
    <w:rsid w:val="00837F2F"/>
    <w:rsid w:val="00841A13"/>
    <w:rsid w:val="00842B9E"/>
    <w:rsid w:val="00842D07"/>
    <w:rsid w:val="008434B9"/>
    <w:rsid w:val="00843823"/>
    <w:rsid w:val="008442A2"/>
    <w:rsid w:val="00844613"/>
    <w:rsid w:val="008447AD"/>
    <w:rsid w:val="00844A52"/>
    <w:rsid w:val="00844A58"/>
    <w:rsid w:val="00844A84"/>
    <w:rsid w:val="00846867"/>
    <w:rsid w:val="00847F08"/>
    <w:rsid w:val="0085035E"/>
    <w:rsid w:val="00852786"/>
    <w:rsid w:val="00852BEC"/>
    <w:rsid w:val="00853CAC"/>
    <w:rsid w:val="0085431F"/>
    <w:rsid w:val="00854439"/>
    <w:rsid w:val="00854D24"/>
    <w:rsid w:val="00854FFD"/>
    <w:rsid w:val="00855EBA"/>
    <w:rsid w:val="00855EDD"/>
    <w:rsid w:val="0085701F"/>
    <w:rsid w:val="008573DA"/>
    <w:rsid w:val="008600DD"/>
    <w:rsid w:val="00861F7C"/>
    <w:rsid w:val="008621D4"/>
    <w:rsid w:val="0086259E"/>
    <w:rsid w:val="00862BD6"/>
    <w:rsid w:val="00862C7B"/>
    <w:rsid w:val="00863029"/>
    <w:rsid w:val="00863650"/>
    <w:rsid w:val="008639B1"/>
    <w:rsid w:val="00863E4F"/>
    <w:rsid w:val="00864C63"/>
    <w:rsid w:val="00866029"/>
    <w:rsid w:val="008679B4"/>
    <w:rsid w:val="008702DA"/>
    <w:rsid w:val="008708F3"/>
    <w:rsid w:val="008711EC"/>
    <w:rsid w:val="00871B3C"/>
    <w:rsid w:val="00873E63"/>
    <w:rsid w:val="00874141"/>
    <w:rsid w:val="008743D4"/>
    <w:rsid w:val="00874404"/>
    <w:rsid w:val="008746B0"/>
    <w:rsid w:val="00874BC4"/>
    <w:rsid w:val="0087586B"/>
    <w:rsid w:val="00875C2D"/>
    <w:rsid w:val="00875C72"/>
    <w:rsid w:val="00876372"/>
    <w:rsid w:val="008802E6"/>
    <w:rsid w:val="008816BF"/>
    <w:rsid w:val="00882872"/>
    <w:rsid w:val="00883715"/>
    <w:rsid w:val="00883C2E"/>
    <w:rsid w:val="00883C30"/>
    <w:rsid w:val="00883C8C"/>
    <w:rsid w:val="00883F1C"/>
    <w:rsid w:val="00886145"/>
    <w:rsid w:val="008866CA"/>
    <w:rsid w:val="00886B71"/>
    <w:rsid w:val="00887368"/>
    <w:rsid w:val="0088758B"/>
    <w:rsid w:val="008879DB"/>
    <w:rsid w:val="008911EC"/>
    <w:rsid w:val="008925C3"/>
    <w:rsid w:val="00892AB6"/>
    <w:rsid w:val="008937AD"/>
    <w:rsid w:val="00894750"/>
    <w:rsid w:val="00895092"/>
    <w:rsid w:val="00895DC5"/>
    <w:rsid w:val="00896550"/>
    <w:rsid w:val="00897085"/>
    <w:rsid w:val="008A0E57"/>
    <w:rsid w:val="008A0F03"/>
    <w:rsid w:val="008A16C9"/>
    <w:rsid w:val="008A2A99"/>
    <w:rsid w:val="008A3511"/>
    <w:rsid w:val="008A3DB0"/>
    <w:rsid w:val="008A4636"/>
    <w:rsid w:val="008A4E32"/>
    <w:rsid w:val="008A5215"/>
    <w:rsid w:val="008A565B"/>
    <w:rsid w:val="008A59DC"/>
    <w:rsid w:val="008A5E2A"/>
    <w:rsid w:val="008A6322"/>
    <w:rsid w:val="008A694A"/>
    <w:rsid w:val="008A69D0"/>
    <w:rsid w:val="008A7128"/>
    <w:rsid w:val="008A7774"/>
    <w:rsid w:val="008B0393"/>
    <w:rsid w:val="008B0610"/>
    <w:rsid w:val="008B112D"/>
    <w:rsid w:val="008B15FE"/>
    <w:rsid w:val="008B19E9"/>
    <w:rsid w:val="008B1F46"/>
    <w:rsid w:val="008B1FED"/>
    <w:rsid w:val="008B2A2B"/>
    <w:rsid w:val="008B3673"/>
    <w:rsid w:val="008B53C9"/>
    <w:rsid w:val="008B70A8"/>
    <w:rsid w:val="008B7B1B"/>
    <w:rsid w:val="008C0AF9"/>
    <w:rsid w:val="008C12C3"/>
    <w:rsid w:val="008C2E31"/>
    <w:rsid w:val="008C3BBC"/>
    <w:rsid w:val="008C5288"/>
    <w:rsid w:val="008C5F9D"/>
    <w:rsid w:val="008C6079"/>
    <w:rsid w:val="008C6D13"/>
    <w:rsid w:val="008C76E8"/>
    <w:rsid w:val="008D0054"/>
    <w:rsid w:val="008D0BB2"/>
    <w:rsid w:val="008D0FDB"/>
    <w:rsid w:val="008D14C3"/>
    <w:rsid w:val="008D1BA2"/>
    <w:rsid w:val="008D1EA6"/>
    <w:rsid w:val="008D23F0"/>
    <w:rsid w:val="008D2A73"/>
    <w:rsid w:val="008D3318"/>
    <w:rsid w:val="008D3396"/>
    <w:rsid w:val="008D3E5A"/>
    <w:rsid w:val="008D45BE"/>
    <w:rsid w:val="008D45C8"/>
    <w:rsid w:val="008D46D4"/>
    <w:rsid w:val="008D4744"/>
    <w:rsid w:val="008D58E0"/>
    <w:rsid w:val="008D6493"/>
    <w:rsid w:val="008D6E75"/>
    <w:rsid w:val="008D7998"/>
    <w:rsid w:val="008E147D"/>
    <w:rsid w:val="008E2369"/>
    <w:rsid w:val="008E26B5"/>
    <w:rsid w:val="008E3111"/>
    <w:rsid w:val="008E5364"/>
    <w:rsid w:val="008E5876"/>
    <w:rsid w:val="008E5D58"/>
    <w:rsid w:val="008E66B7"/>
    <w:rsid w:val="008E66CD"/>
    <w:rsid w:val="008F1F06"/>
    <w:rsid w:val="008F2E3F"/>
    <w:rsid w:val="008F32AE"/>
    <w:rsid w:val="008F33D2"/>
    <w:rsid w:val="008F4C69"/>
    <w:rsid w:val="008F4E7C"/>
    <w:rsid w:val="008F4FAA"/>
    <w:rsid w:val="008F65D7"/>
    <w:rsid w:val="008F78DC"/>
    <w:rsid w:val="00900EE6"/>
    <w:rsid w:val="00901110"/>
    <w:rsid w:val="00901E93"/>
    <w:rsid w:val="00902726"/>
    <w:rsid w:val="00903136"/>
    <w:rsid w:val="00903163"/>
    <w:rsid w:val="00903660"/>
    <w:rsid w:val="00903F96"/>
    <w:rsid w:val="00905689"/>
    <w:rsid w:val="0090723A"/>
    <w:rsid w:val="00907949"/>
    <w:rsid w:val="0091055B"/>
    <w:rsid w:val="0091075B"/>
    <w:rsid w:val="0091091B"/>
    <w:rsid w:val="0091107B"/>
    <w:rsid w:val="00911740"/>
    <w:rsid w:val="0091216C"/>
    <w:rsid w:val="0091281E"/>
    <w:rsid w:val="009134E4"/>
    <w:rsid w:val="009146DF"/>
    <w:rsid w:val="00914CB5"/>
    <w:rsid w:val="00914CF7"/>
    <w:rsid w:val="00914E1A"/>
    <w:rsid w:val="00915A62"/>
    <w:rsid w:val="00916591"/>
    <w:rsid w:val="009168A5"/>
    <w:rsid w:val="0091759D"/>
    <w:rsid w:val="00917E0F"/>
    <w:rsid w:val="009218B9"/>
    <w:rsid w:val="009223B8"/>
    <w:rsid w:val="00922D13"/>
    <w:rsid w:val="00923AC1"/>
    <w:rsid w:val="00923C02"/>
    <w:rsid w:val="00923C1D"/>
    <w:rsid w:val="009244FB"/>
    <w:rsid w:val="009252DF"/>
    <w:rsid w:val="0092636F"/>
    <w:rsid w:val="009272E9"/>
    <w:rsid w:val="00927FE4"/>
    <w:rsid w:val="009310C2"/>
    <w:rsid w:val="00931AD9"/>
    <w:rsid w:val="00931CC2"/>
    <w:rsid w:val="0093225B"/>
    <w:rsid w:val="00933095"/>
    <w:rsid w:val="0093311C"/>
    <w:rsid w:val="00933138"/>
    <w:rsid w:val="00933415"/>
    <w:rsid w:val="00933596"/>
    <w:rsid w:val="00934266"/>
    <w:rsid w:val="00934AD2"/>
    <w:rsid w:val="00934CC4"/>
    <w:rsid w:val="00934D9E"/>
    <w:rsid w:val="009359AF"/>
    <w:rsid w:val="00935BC4"/>
    <w:rsid w:val="009369BA"/>
    <w:rsid w:val="009373E0"/>
    <w:rsid w:val="00937BF2"/>
    <w:rsid w:val="00937D2B"/>
    <w:rsid w:val="009416BA"/>
    <w:rsid w:val="00941840"/>
    <w:rsid w:val="0094199B"/>
    <w:rsid w:val="00942793"/>
    <w:rsid w:val="00942882"/>
    <w:rsid w:val="009432E5"/>
    <w:rsid w:val="009443D0"/>
    <w:rsid w:val="00944983"/>
    <w:rsid w:val="00945611"/>
    <w:rsid w:val="00945994"/>
    <w:rsid w:val="00950BAA"/>
    <w:rsid w:val="00951183"/>
    <w:rsid w:val="00952076"/>
    <w:rsid w:val="00953697"/>
    <w:rsid w:val="009564AF"/>
    <w:rsid w:val="00956A1F"/>
    <w:rsid w:val="00957826"/>
    <w:rsid w:val="009602C5"/>
    <w:rsid w:val="00960511"/>
    <w:rsid w:val="00960971"/>
    <w:rsid w:val="00960A52"/>
    <w:rsid w:val="00961438"/>
    <w:rsid w:val="009622AD"/>
    <w:rsid w:val="009626F5"/>
    <w:rsid w:val="00962A63"/>
    <w:rsid w:val="00962D60"/>
    <w:rsid w:val="00963644"/>
    <w:rsid w:val="009639D8"/>
    <w:rsid w:val="00963AD2"/>
    <w:rsid w:val="00963BEB"/>
    <w:rsid w:val="00965BFE"/>
    <w:rsid w:val="00966C8A"/>
    <w:rsid w:val="00967C33"/>
    <w:rsid w:val="0097036C"/>
    <w:rsid w:val="00970840"/>
    <w:rsid w:val="00970B6E"/>
    <w:rsid w:val="00970CDA"/>
    <w:rsid w:val="009719DF"/>
    <w:rsid w:val="00972995"/>
    <w:rsid w:val="00973FE0"/>
    <w:rsid w:val="009741A7"/>
    <w:rsid w:val="00974917"/>
    <w:rsid w:val="00975AEA"/>
    <w:rsid w:val="009762BD"/>
    <w:rsid w:val="00976675"/>
    <w:rsid w:val="00976C6D"/>
    <w:rsid w:val="009775E1"/>
    <w:rsid w:val="009803BE"/>
    <w:rsid w:val="009808C2"/>
    <w:rsid w:val="0098127B"/>
    <w:rsid w:val="009822C4"/>
    <w:rsid w:val="00982DDC"/>
    <w:rsid w:val="009830D3"/>
    <w:rsid w:val="00983467"/>
    <w:rsid w:val="0098432D"/>
    <w:rsid w:val="009850D0"/>
    <w:rsid w:val="009867A2"/>
    <w:rsid w:val="00986A34"/>
    <w:rsid w:val="00987548"/>
    <w:rsid w:val="00987EFC"/>
    <w:rsid w:val="0099030D"/>
    <w:rsid w:val="009905C4"/>
    <w:rsid w:val="00990724"/>
    <w:rsid w:val="00990D65"/>
    <w:rsid w:val="00990D9A"/>
    <w:rsid w:val="00990DC0"/>
    <w:rsid w:val="00991000"/>
    <w:rsid w:val="00992EAE"/>
    <w:rsid w:val="009945F7"/>
    <w:rsid w:val="0099580C"/>
    <w:rsid w:val="009958A7"/>
    <w:rsid w:val="009972C4"/>
    <w:rsid w:val="009A0E64"/>
    <w:rsid w:val="009A12DE"/>
    <w:rsid w:val="009A1AED"/>
    <w:rsid w:val="009A28BD"/>
    <w:rsid w:val="009A2ABE"/>
    <w:rsid w:val="009A33AA"/>
    <w:rsid w:val="009A35CB"/>
    <w:rsid w:val="009A3805"/>
    <w:rsid w:val="009A40A9"/>
    <w:rsid w:val="009A471F"/>
    <w:rsid w:val="009A5C66"/>
    <w:rsid w:val="009A6535"/>
    <w:rsid w:val="009A6D02"/>
    <w:rsid w:val="009A7154"/>
    <w:rsid w:val="009A7CCC"/>
    <w:rsid w:val="009A7E17"/>
    <w:rsid w:val="009A7FFC"/>
    <w:rsid w:val="009B0A05"/>
    <w:rsid w:val="009B1292"/>
    <w:rsid w:val="009B1A9E"/>
    <w:rsid w:val="009B1DF1"/>
    <w:rsid w:val="009B2066"/>
    <w:rsid w:val="009B27D1"/>
    <w:rsid w:val="009B2C93"/>
    <w:rsid w:val="009B3EF4"/>
    <w:rsid w:val="009B40DE"/>
    <w:rsid w:val="009B4C6B"/>
    <w:rsid w:val="009B5CFE"/>
    <w:rsid w:val="009B72E7"/>
    <w:rsid w:val="009B72ED"/>
    <w:rsid w:val="009B7642"/>
    <w:rsid w:val="009C0B71"/>
    <w:rsid w:val="009C0E1B"/>
    <w:rsid w:val="009C0FE2"/>
    <w:rsid w:val="009C1E1C"/>
    <w:rsid w:val="009C21A9"/>
    <w:rsid w:val="009C25E4"/>
    <w:rsid w:val="009C2781"/>
    <w:rsid w:val="009C2936"/>
    <w:rsid w:val="009C37CE"/>
    <w:rsid w:val="009C3ED4"/>
    <w:rsid w:val="009C48E8"/>
    <w:rsid w:val="009C739C"/>
    <w:rsid w:val="009D0B63"/>
    <w:rsid w:val="009D17D7"/>
    <w:rsid w:val="009D1889"/>
    <w:rsid w:val="009D18D4"/>
    <w:rsid w:val="009D3A6E"/>
    <w:rsid w:val="009D77B3"/>
    <w:rsid w:val="009D77F8"/>
    <w:rsid w:val="009E05C2"/>
    <w:rsid w:val="009E1896"/>
    <w:rsid w:val="009E1C4B"/>
    <w:rsid w:val="009E23F7"/>
    <w:rsid w:val="009E250C"/>
    <w:rsid w:val="009E25F1"/>
    <w:rsid w:val="009E32F4"/>
    <w:rsid w:val="009E3953"/>
    <w:rsid w:val="009E4386"/>
    <w:rsid w:val="009E473D"/>
    <w:rsid w:val="009E5CDF"/>
    <w:rsid w:val="009E6803"/>
    <w:rsid w:val="009E77DA"/>
    <w:rsid w:val="009E7CAE"/>
    <w:rsid w:val="009F0853"/>
    <w:rsid w:val="009F11A4"/>
    <w:rsid w:val="009F38F0"/>
    <w:rsid w:val="009F4407"/>
    <w:rsid w:val="009F5373"/>
    <w:rsid w:val="009F5545"/>
    <w:rsid w:val="009F55EC"/>
    <w:rsid w:val="009F65B2"/>
    <w:rsid w:val="009F690B"/>
    <w:rsid w:val="009F6B78"/>
    <w:rsid w:val="009F6F8B"/>
    <w:rsid w:val="009F7C77"/>
    <w:rsid w:val="00A000F3"/>
    <w:rsid w:val="00A0060B"/>
    <w:rsid w:val="00A0222A"/>
    <w:rsid w:val="00A0328D"/>
    <w:rsid w:val="00A03801"/>
    <w:rsid w:val="00A04050"/>
    <w:rsid w:val="00A04917"/>
    <w:rsid w:val="00A04EA7"/>
    <w:rsid w:val="00A05343"/>
    <w:rsid w:val="00A05347"/>
    <w:rsid w:val="00A06C66"/>
    <w:rsid w:val="00A07EA0"/>
    <w:rsid w:val="00A112AF"/>
    <w:rsid w:val="00A11637"/>
    <w:rsid w:val="00A12241"/>
    <w:rsid w:val="00A12C4D"/>
    <w:rsid w:val="00A141D7"/>
    <w:rsid w:val="00A166EC"/>
    <w:rsid w:val="00A17820"/>
    <w:rsid w:val="00A20B5A"/>
    <w:rsid w:val="00A218C9"/>
    <w:rsid w:val="00A21EDC"/>
    <w:rsid w:val="00A22FED"/>
    <w:rsid w:val="00A233B0"/>
    <w:rsid w:val="00A24918"/>
    <w:rsid w:val="00A249DF"/>
    <w:rsid w:val="00A2507C"/>
    <w:rsid w:val="00A25187"/>
    <w:rsid w:val="00A26D07"/>
    <w:rsid w:val="00A26E7B"/>
    <w:rsid w:val="00A30DA2"/>
    <w:rsid w:val="00A33A40"/>
    <w:rsid w:val="00A343FE"/>
    <w:rsid w:val="00A35C22"/>
    <w:rsid w:val="00A36A2E"/>
    <w:rsid w:val="00A36DE7"/>
    <w:rsid w:val="00A36E94"/>
    <w:rsid w:val="00A37700"/>
    <w:rsid w:val="00A41B34"/>
    <w:rsid w:val="00A4294C"/>
    <w:rsid w:val="00A430A8"/>
    <w:rsid w:val="00A444E4"/>
    <w:rsid w:val="00A4569F"/>
    <w:rsid w:val="00A459E0"/>
    <w:rsid w:val="00A46099"/>
    <w:rsid w:val="00A46F37"/>
    <w:rsid w:val="00A47D8E"/>
    <w:rsid w:val="00A5007F"/>
    <w:rsid w:val="00A505AC"/>
    <w:rsid w:val="00A50A4E"/>
    <w:rsid w:val="00A52C2A"/>
    <w:rsid w:val="00A531A5"/>
    <w:rsid w:val="00A53784"/>
    <w:rsid w:val="00A55B8E"/>
    <w:rsid w:val="00A57787"/>
    <w:rsid w:val="00A578FC"/>
    <w:rsid w:val="00A60583"/>
    <w:rsid w:val="00A607E8"/>
    <w:rsid w:val="00A60AC3"/>
    <w:rsid w:val="00A61660"/>
    <w:rsid w:val="00A61B46"/>
    <w:rsid w:val="00A62183"/>
    <w:rsid w:val="00A622AA"/>
    <w:rsid w:val="00A6285D"/>
    <w:rsid w:val="00A62B2E"/>
    <w:rsid w:val="00A6457F"/>
    <w:rsid w:val="00A64765"/>
    <w:rsid w:val="00A649F8"/>
    <w:rsid w:val="00A65453"/>
    <w:rsid w:val="00A65509"/>
    <w:rsid w:val="00A660A7"/>
    <w:rsid w:val="00A6689D"/>
    <w:rsid w:val="00A67FEB"/>
    <w:rsid w:val="00A701C8"/>
    <w:rsid w:val="00A705B0"/>
    <w:rsid w:val="00A711F9"/>
    <w:rsid w:val="00A71A60"/>
    <w:rsid w:val="00A72656"/>
    <w:rsid w:val="00A727EE"/>
    <w:rsid w:val="00A730F0"/>
    <w:rsid w:val="00A737FF"/>
    <w:rsid w:val="00A73ABB"/>
    <w:rsid w:val="00A75404"/>
    <w:rsid w:val="00A8023F"/>
    <w:rsid w:val="00A822E3"/>
    <w:rsid w:val="00A82DC9"/>
    <w:rsid w:val="00A8338B"/>
    <w:rsid w:val="00A83E6D"/>
    <w:rsid w:val="00A83E6F"/>
    <w:rsid w:val="00A8604A"/>
    <w:rsid w:val="00A8779D"/>
    <w:rsid w:val="00A902E7"/>
    <w:rsid w:val="00A90F20"/>
    <w:rsid w:val="00A91332"/>
    <w:rsid w:val="00A92B8B"/>
    <w:rsid w:val="00A92E93"/>
    <w:rsid w:val="00A9388F"/>
    <w:rsid w:val="00A941B0"/>
    <w:rsid w:val="00A947C1"/>
    <w:rsid w:val="00A950CD"/>
    <w:rsid w:val="00A963D8"/>
    <w:rsid w:val="00A97ADC"/>
    <w:rsid w:val="00AA0D1E"/>
    <w:rsid w:val="00AA2B78"/>
    <w:rsid w:val="00AA2D50"/>
    <w:rsid w:val="00AA2E78"/>
    <w:rsid w:val="00AA2F43"/>
    <w:rsid w:val="00AA459C"/>
    <w:rsid w:val="00AA4682"/>
    <w:rsid w:val="00AA50D2"/>
    <w:rsid w:val="00AA5855"/>
    <w:rsid w:val="00AA5C6C"/>
    <w:rsid w:val="00AA61A3"/>
    <w:rsid w:val="00AA6652"/>
    <w:rsid w:val="00AA6757"/>
    <w:rsid w:val="00AA68AE"/>
    <w:rsid w:val="00AA6BCE"/>
    <w:rsid w:val="00AA6BEB"/>
    <w:rsid w:val="00AA7171"/>
    <w:rsid w:val="00AA7751"/>
    <w:rsid w:val="00AA7A62"/>
    <w:rsid w:val="00AB015A"/>
    <w:rsid w:val="00AB0AB7"/>
    <w:rsid w:val="00AB1259"/>
    <w:rsid w:val="00AB1B8E"/>
    <w:rsid w:val="00AB1C60"/>
    <w:rsid w:val="00AB2497"/>
    <w:rsid w:val="00AB3E90"/>
    <w:rsid w:val="00AB41A3"/>
    <w:rsid w:val="00AB430C"/>
    <w:rsid w:val="00AB52F4"/>
    <w:rsid w:val="00AB6B37"/>
    <w:rsid w:val="00AB74A9"/>
    <w:rsid w:val="00AB75A5"/>
    <w:rsid w:val="00AC1003"/>
    <w:rsid w:val="00AC2CC0"/>
    <w:rsid w:val="00AC3461"/>
    <w:rsid w:val="00AC34AB"/>
    <w:rsid w:val="00AC3C59"/>
    <w:rsid w:val="00AC415A"/>
    <w:rsid w:val="00AC4397"/>
    <w:rsid w:val="00AC4434"/>
    <w:rsid w:val="00AC4498"/>
    <w:rsid w:val="00AC4562"/>
    <w:rsid w:val="00AC7981"/>
    <w:rsid w:val="00AD09FA"/>
    <w:rsid w:val="00AD0A06"/>
    <w:rsid w:val="00AD145F"/>
    <w:rsid w:val="00AD1731"/>
    <w:rsid w:val="00AD19FF"/>
    <w:rsid w:val="00AD1C44"/>
    <w:rsid w:val="00AD2030"/>
    <w:rsid w:val="00AD20DE"/>
    <w:rsid w:val="00AD48A2"/>
    <w:rsid w:val="00AD5BCD"/>
    <w:rsid w:val="00AD6D65"/>
    <w:rsid w:val="00AD7C9A"/>
    <w:rsid w:val="00AD7F36"/>
    <w:rsid w:val="00AE09BD"/>
    <w:rsid w:val="00AE0C3B"/>
    <w:rsid w:val="00AE1D67"/>
    <w:rsid w:val="00AE3526"/>
    <w:rsid w:val="00AE475D"/>
    <w:rsid w:val="00AE4E65"/>
    <w:rsid w:val="00AE622F"/>
    <w:rsid w:val="00AE6B26"/>
    <w:rsid w:val="00AE7235"/>
    <w:rsid w:val="00AE7A38"/>
    <w:rsid w:val="00AF0ADF"/>
    <w:rsid w:val="00AF12C8"/>
    <w:rsid w:val="00AF24F8"/>
    <w:rsid w:val="00AF29DF"/>
    <w:rsid w:val="00AF2E75"/>
    <w:rsid w:val="00AF3B10"/>
    <w:rsid w:val="00AF3C74"/>
    <w:rsid w:val="00AF4686"/>
    <w:rsid w:val="00AF53CC"/>
    <w:rsid w:val="00AF7419"/>
    <w:rsid w:val="00AF7C12"/>
    <w:rsid w:val="00B022B2"/>
    <w:rsid w:val="00B0449A"/>
    <w:rsid w:val="00B04CCC"/>
    <w:rsid w:val="00B05C87"/>
    <w:rsid w:val="00B069C0"/>
    <w:rsid w:val="00B07A0D"/>
    <w:rsid w:val="00B10C1C"/>
    <w:rsid w:val="00B10FDF"/>
    <w:rsid w:val="00B116E2"/>
    <w:rsid w:val="00B12679"/>
    <w:rsid w:val="00B133FF"/>
    <w:rsid w:val="00B144E7"/>
    <w:rsid w:val="00B146C1"/>
    <w:rsid w:val="00B14DDB"/>
    <w:rsid w:val="00B14E21"/>
    <w:rsid w:val="00B14E4D"/>
    <w:rsid w:val="00B153EE"/>
    <w:rsid w:val="00B16264"/>
    <w:rsid w:val="00B16A35"/>
    <w:rsid w:val="00B16D9B"/>
    <w:rsid w:val="00B1732A"/>
    <w:rsid w:val="00B1743F"/>
    <w:rsid w:val="00B20966"/>
    <w:rsid w:val="00B20F36"/>
    <w:rsid w:val="00B22506"/>
    <w:rsid w:val="00B22797"/>
    <w:rsid w:val="00B22C9D"/>
    <w:rsid w:val="00B2515D"/>
    <w:rsid w:val="00B25754"/>
    <w:rsid w:val="00B25945"/>
    <w:rsid w:val="00B25C5B"/>
    <w:rsid w:val="00B2697E"/>
    <w:rsid w:val="00B279BE"/>
    <w:rsid w:val="00B3154F"/>
    <w:rsid w:val="00B31B41"/>
    <w:rsid w:val="00B326C2"/>
    <w:rsid w:val="00B332E3"/>
    <w:rsid w:val="00B3340B"/>
    <w:rsid w:val="00B338CF"/>
    <w:rsid w:val="00B33900"/>
    <w:rsid w:val="00B3533D"/>
    <w:rsid w:val="00B35BDF"/>
    <w:rsid w:val="00B35BED"/>
    <w:rsid w:val="00B361A1"/>
    <w:rsid w:val="00B37005"/>
    <w:rsid w:val="00B378D7"/>
    <w:rsid w:val="00B37957"/>
    <w:rsid w:val="00B37996"/>
    <w:rsid w:val="00B404CD"/>
    <w:rsid w:val="00B405C4"/>
    <w:rsid w:val="00B40F4D"/>
    <w:rsid w:val="00B41C3D"/>
    <w:rsid w:val="00B42F89"/>
    <w:rsid w:val="00B433D3"/>
    <w:rsid w:val="00B44B15"/>
    <w:rsid w:val="00B45CE3"/>
    <w:rsid w:val="00B50950"/>
    <w:rsid w:val="00B514C9"/>
    <w:rsid w:val="00B5313E"/>
    <w:rsid w:val="00B54072"/>
    <w:rsid w:val="00B549ED"/>
    <w:rsid w:val="00B5522A"/>
    <w:rsid w:val="00B55C3C"/>
    <w:rsid w:val="00B5607F"/>
    <w:rsid w:val="00B56E46"/>
    <w:rsid w:val="00B577B1"/>
    <w:rsid w:val="00B57EB9"/>
    <w:rsid w:val="00B60886"/>
    <w:rsid w:val="00B610B6"/>
    <w:rsid w:val="00B61F90"/>
    <w:rsid w:val="00B62087"/>
    <w:rsid w:val="00B6356E"/>
    <w:rsid w:val="00B635BD"/>
    <w:rsid w:val="00B64A4A"/>
    <w:rsid w:val="00B655CC"/>
    <w:rsid w:val="00B66F31"/>
    <w:rsid w:val="00B67116"/>
    <w:rsid w:val="00B67827"/>
    <w:rsid w:val="00B67B5C"/>
    <w:rsid w:val="00B73715"/>
    <w:rsid w:val="00B74EF1"/>
    <w:rsid w:val="00B753B1"/>
    <w:rsid w:val="00B759F6"/>
    <w:rsid w:val="00B75C7A"/>
    <w:rsid w:val="00B75CBF"/>
    <w:rsid w:val="00B76481"/>
    <w:rsid w:val="00B76917"/>
    <w:rsid w:val="00B76F25"/>
    <w:rsid w:val="00B77E06"/>
    <w:rsid w:val="00B80E46"/>
    <w:rsid w:val="00B82916"/>
    <w:rsid w:val="00B84CEC"/>
    <w:rsid w:val="00B85510"/>
    <w:rsid w:val="00B86142"/>
    <w:rsid w:val="00B86309"/>
    <w:rsid w:val="00B86586"/>
    <w:rsid w:val="00B87897"/>
    <w:rsid w:val="00B906C7"/>
    <w:rsid w:val="00B912B1"/>
    <w:rsid w:val="00B914F3"/>
    <w:rsid w:val="00B9464E"/>
    <w:rsid w:val="00B960CD"/>
    <w:rsid w:val="00B9693C"/>
    <w:rsid w:val="00B96E84"/>
    <w:rsid w:val="00B97F50"/>
    <w:rsid w:val="00BA07C7"/>
    <w:rsid w:val="00BA1347"/>
    <w:rsid w:val="00BA25A8"/>
    <w:rsid w:val="00BA4156"/>
    <w:rsid w:val="00BA4E69"/>
    <w:rsid w:val="00BA5909"/>
    <w:rsid w:val="00BA6096"/>
    <w:rsid w:val="00BA68EE"/>
    <w:rsid w:val="00BA691B"/>
    <w:rsid w:val="00BB018A"/>
    <w:rsid w:val="00BB2B61"/>
    <w:rsid w:val="00BB39DF"/>
    <w:rsid w:val="00BB3ACE"/>
    <w:rsid w:val="00BB4A36"/>
    <w:rsid w:val="00BB5287"/>
    <w:rsid w:val="00BB5FB3"/>
    <w:rsid w:val="00BB6C6D"/>
    <w:rsid w:val="00BB6DD3"/>
    <w:rsid w:val="00BC0108"/>
    <w:rsid w:val="00BC0483"/>
    <w:rsid w:val="00BC06C5"/>
    <w:rsid w:val="00BC0CB4"/>
    <w:rsid w:val="00BC2BD6"/>
    <w:rsid w:val="00BC48EE"/>
    <w:rsid w:val="00BC4EFE"/>
    <w:rsid w:val="00BC6184"/>
    <w:rsid w:val="00BC62B0"/>
    <w:rsid w:val="00BC69EC"/>
    <w:rsid w:val="00BC6B23"/>
    <w:rsid w:val="00BC7120"/>
    <w:rsid w:val="00BC7DE5"/>
    <w:rsid w:val="00BD0354"/>
    <w:rsid w:val="00BD0FD9"/>
    <w:rsid w:val="00BD1437"/>
    <w:rsid w:val="00BD18CD"/>
    <w:rsid w:val="00BD199F"/>
    <w:rsid w:val="00BD2609"/>
    <w:rsid w:val="00BD28E2"/>
    <w:rsid w:val="00BD44E2"/>
    <w:rsid w:val="00BD49BA"/>
    <w:rsid w:val="00BD5A89"/>
    <w:rsid w:val="00BD5EAE"/>
    <w:rsid w:val="00BD6EED"/>
    <w:rsid w:val="00BD7E7B"/>
    <w:rsid w:val="00BE0329"/>
    <w:rsid w:val="00BE0749"/>
    <w:rsid w:val="00BE09C8"/>
    <w:rsid w:val="00BE0B66"/>
    <w:rsid w:val="00BE11B6"/>
    <w:rsid w:val="00BE1B03"/>
    <w:rsid w:val="00BE30D1"/>
    <w:rsid w:val="00BE3E71"/>
    <w:rsid w:val="00BE4DEE"/>
    <w:rsid w:val="00BE517F"/>
    <w:rsid w:val="00BE5728"/>
    <w:rsid w:val="00BE6193"/>
    <w:rsid w:val="00BE7192"/>
    <w:rsid w:val="00BE7ED0"/>
    <w:rsid w:val="00BF0356"/>
    <w:rsid w:val="00BF041F"/>
    <w:rsid w:val="00BF1056"/>
    <w:rsid w:val="00BF4714"/>
    <w:rsid w:val="00BF480B"/>
    <w:rsid w:val="00BF484E"/>
    <w:rsid w:val="00BF48EA"/>
    <w:rsid w:val="00BF4C42"/>
    <w:rsid w:val="00BF4DDC"/>
    <w:rsid w:val="00BF59AA"/>
    <w:rsid w:val="00BF6717"/>
    <w:rsid w:val="00BF6A55"/>
    <w:rsid w:val="00BF6F5E"/>
    <w:rsid w:val="00C00BA5"/>
    <w:rsid w:val="00C01AB2"/>
    <w:rsid w:val="00C01D4E"/>
    <w:rsid w:val="00C020B8"/>
    <w:rsid w:val="00C05963"/>
    <w:rsid w:val="00C05DDF"/>
    <w:rsid w:val="00C05ECF"/>
    <w:rsid w:val="00C06A13"/>
    <w:rsid w:val="00C1112E"/>
    <w:rsid w:val="00C11534"/>
    <w:rsid w:val="00C12B06"/>
    <w:rsid w:val="00C13992"/>
    <w:rsid w:val="00C14968"/>
    <w:rsid w:val="00C14CEF"/>
    <w:rsid w:val="00C1569D"/>
    <w:rsid w:val="00C1592D"/>
    <w:rsid w:val="00C160CB"/>
    <w:rsid w:val="00C16188"/>
    <w:rsid w:val="00C166C3"/>
    <w:rsid w:val="00C16CF2"/>
    <w:rsid w:val="00C17583"/>
    <w:rsid w:val="00C17CE2"/>
    <w:rsid w:val="00C20799"/>
    <w:rsid w:val="00C207B6"/>
    <w:rsid w:val="00C22B55"/>
    <w:rsid w:val="00C24902"/>
    <w:rsid w:val="00C251EE"/>
    <w:rsid w:val="00C257B0"/>
    <w:rsid w:val="00C2620F"/>
    <w:rsid w:val="00C26557"/>
    <w:rsid w:val="00C27152"/>
    <w:rsid w:val="00C2764F"/>
    <w:rsid w:val="00C27A2E"/>
    <w:rsid w:val="00C27C83"/>
    <w:rsid w:val="00C31677"/>
    <w:rsid w:val="00C32284"/>
    <w:rsid w:val="00C322C1"/>
    <w:rsid w:val="00C3295E"/>
    <w:rsid w:val="00C335C4"/>
    <w:rsid w:val="00C349C1"/>
    <w:rsid w:val="00C34C77"/>
    <w:rsid w:val="00C34F8A"/>
    <w:rsid w:val="00C353C6"/>
    <w:rsid w:val="00C36330"/>
    <w:rsid w:val="00C369F8"/>
    <w:rsid w:val="00C3748F"/>
    <w:rsid w:val="00C41A6F"/>
    <w:rsid w:val="00C431AA"/>
    <w:rsid w:val="00C43293"/>
    <w:rsid w:val="00C44437"/>
    <w:rsid w:val="00C46B2D"/>
    <w:rsid w:val="00C4711B"/>
    <w:rsid w:val="00C4738A"/>
    <w:rsid w:val="00C473A2"/>
    <w:rsid w:val="00C50ADB"/>
    <w:rsid w:val="00C517EC"/>
    <w:rsid w:val="00C51F19"/>
    <w:rsid w:val="00C51F56"/>
    <w:rsid w:val="00C54866"/>
    <w:rsid w:val="00C57A87"/>
    <w:rsid w:val="00C60226"/>
    <w:rsid w:val="00C6077B"/>
    <w:rsid w:val="00C60AB3"/>
    <w:rsid w:val="00C60C5B"/>
    <w:rsid w:val="00C60E0F"/>
    <w:rsid w:val="00C62778"/>
    <w:rsid w:val="00C627B2"/>
    <w:rsid w:val="00C62EFD"/>
    <w:rsid w:val="00C6358C"/>
    <w:rsid w:val="00C63D86"/>
    <w:rsid w:val="00C64C4C"/>
    <w:rsid w:val="00C64D69"/>
    <w:rsid w:val="00C64F3F"/>
    <w:rsid w:val="00C6520D"/>
    <w:rsid w:val="00C67549"/>
    <w:rsid w:val="00C70069"/>
    <w:rsid w:val="00C708A7"/>
    <w:rsid w:val="00C7118C"/>
    <w:rsid w:val="00C7121F"/>
    <w:rsid w:val="00C722FE"/>
    <w:rsid w:val="00C745BB"/>
    <w:rsid w:val="00C74BEB"/>
    <w:rsid w:val="00C76B3B"/>
    <w:rsid w:val="00C76C54"/>
    <w:rsid w:val="00C77F88"/>
    <w:rsid w:val="00C80C33"/>
    <w:rsid w:val="00C81A74"/>
    <w:rsid w:val="00C824E1"/>
    <w:rsid w:val="00C82570"/>
    <w:rsid w:val="00C82ED6"/>
    <w:rsid w:val="00C84188"/>
    <w:rsid w:val="00C8741E"/>
    <w:rsid w:val="00C91055"/>
    <w:rsid w:val="00C9127F"/>
    <w:rsid w:val="00C92250"/>
    <w:rsid w:val="00C928F0"/>
    <w:rsid w:val="00C93177"/>
    <w:rsid w:val="00C93816"/>
    <w:rsid w:val="00C95BF2"/>
    <w:rsid w:val="00CA2206"/>
    <w:rsid w:val="00CA351C"/>
    <w:rsid w:val="00CA3791"/>
    <w:rsid w:val="00CA3FAE"/>
    <w:rsid w:val="00CA5307"/>
    <w:rsid w:val="00CA6A1A"/>
    <w:rsid w:val="00CA6C20"/>
    <w:rsid w:val="00CA705E"/>
    <w:rsid w:val="00CA71B5"/>
    <w:rsid w:val="00CB077A"/>
    <w:rsid w:val="00CB0F93"/>
    <w:rsid w:val="00CB1219"/>
    <w:rsid w:val="00CB590D"/>
    <w:rsid w:val="00CB5ACF"/>
    <w:rsid w:val="00CB645B"/>
    <w:rsid w:val="00CB65DD"/>
    <w:rsid w:val="00CB67AF"/>
    <w:rsid w:val="00CB6BDF"/>
    <w:rsid w:val="00CB7ADB"/>
    <w:rsid w:val="00CC13E2"/>
    <w:rsid w:val="00CC18C7"/>
    <w:rsid w:val="00CC19DC"/>
    <w:rsid w:val="00CC2100"/>
    <w:rsid w:val="00CC319E"/>
    <w:rsid w:val="00CC399C"/>
    <w:rsid w:val="00CC40D8"/>
    <w:rsid w:val="00CC43FE"/>
    <w:rsid w:val="00CC4E1C"/>
    <w:rsid w:val="00CC571E"/>
    <w:rsid w:val="00CC5907"/>
    <w:rsid w:val="00CC6056"/>
    <w:rsid w:val="00CC6405"/>
    <w:rsid w:val="00CC64E3"/>
    <w:rsid w:val="00CC6AF4"/>
    <w:rsid w:val="00CC73C2"/>
    <w:rsid w:val="00CC7811"/>
    <w:rsid w:val="00CD066A"/>
    <w:rsid w:val="00CD1DC2"/>
    <w:rsid w:val="00CD2D05"/>
    <w:rsid w:val="00CD46A4"/>
    <w:rsid w:val="00CD5E1D"/>
    <w:rsid w:val="00CD60B8"/>
    <w:rsid w:val="00CE0DD3"/>
    <w:rsid w:val="00CE0DE9"/>
    <w:rsid w:val="00CE295B"/>
    <w:rsid w:val="00CE3A1A"/>
    <w:rsid w:val="00CE44E0"/>
    <w:rsid w:val="00CE633E"/>
    <w:rsid w:val="00CE6B03"/>
    <w:rsid w:val="00CE7ADF"/>
    <w:rsid w:val="00CE7CF8"/>
    <w:rsid w:val="00CF01B5"/>
    <w:rsid w:val="00CF08E1"/>
    <w:rsid w:val="00CF17B0"/>
    <w:rsid w:val="00CF356D"/>
    <w:rsid w:val="00CF415F"/>
    <w:rsid w:val="00CF4426"/>
    <w:rsid w:val="00CF4D55"/>
    <w:rsid w:val="00CF5006"/>
    <w:rsid w:val="00CF54B8"/>
    <w:rsid w:val="00CF5ABA"/>
    <w:rsid w:val="00CF5F12"/>
    <w:rsid w:val="00CF6B2A"/>
    <w:rsid w:val="00CF704E"/>
    <w:rsid w:val="00CF7A07"/>
    <w:rsid w:val="00CF7C9E"/>
    <w:rsid w:val="00CF7DD9"/>
    <w:rsid w:val="00D00793"/>
    <w:rsid w:val="00D009D7"/>
    <w:rsid w:val="00D00E34"/>
    <w:rsid w:val="00D025DE"/>
    <w:rsid w:val="00D02CB0"/>
    <w:rsid w:val="00D031D0"/>
    <w:rsid w:val="00D04225"/>
    <w:rsid w:val="00D05168"/>
    <w:rsid w:val="00D05829"/>
    <w:rsid w:val="00D06379"/>
    <w:rsid w:val="00D06429"/>
    <w:rsid w:val="00D06D28"/>
    <w:rsid w:val="00D072F0"/>
    <w:rsid w:val="00D072F2"/>
    <w:rsid w:val="00D07468"/>
    <w:rsid w:val="00D07567"/>
    <w:rsid w:val="00D1082B"/>
    <w:rsid w:val="00D1099E"/>
    <w:rsid w:val="00D11024"/>
    <w:rsid w:val="00D1197D"/>
    <w:rsid w:val="00D1265C"/>
    <w:rsid w:val="00D1267F"/>
    <w:rsid w:val="00D12AFF"/>
    <w:rsid w:val="00D1326B"/>
    <w:rsid w:val="00D1447F"/>
    <w:rsid w:val="00D153CD"/>
    <w:rsid w:val="00D1545D"/>
    <w:rsid w:val="00D15BE6"/>
    <w:rsid w:val="00D16003"/>
    <w:rsid w:val="00D16054"/>
    <w:rsid w:val="00D16813"/>
    <w:rsid w:val="00D16F0A"/>
    <w:rsid w:val="00D17DB6"/>
    <w:rsid w:val="00D2059D"/>
    <w:rsid w:val="00D23474"/>
    <w:rsid w:val="00D235C3"/>
    <w:rsid w:val="00D2529D"/>
    <w:rsid w:val="00D255E0"/>
    <w:rsid w:val="00D25FBF"/>
    <w:rsid w:val="00D260A1"/>
    <w:rsid w:val="00D268FD"/>
    <w:rsid w:val="00D26D97"/>
    <w:rsid w:val="00D272B0"/>
    <w:rsid w:val="00D2789C"/>
    <w:rsid w:val="00D27E70"/>
    <w:rsid w:val="00D27FAF"/>
    <w:rsid w:val="00D306C2"/>
    <w:rsid w:val="00D307A4"/>
    <w:rsid w:val="00D31104"/>
    <w:rsid w:val="00D31533"/>
    <w:rsid w:val="00D33298"/>
    <w:rsid w:val="00D333F3"/>
    <w:rsid w:val="00D34924"/>
    <w:rsid w:val="00D351B2"/>
    <w:rsid w:val="00D3599F"/>
    <w:rsid w:val="00D36E3F"/>
    <w:rsid w:val="00D37E13"/>
    <w:rsid w:val="00D407EF"/>
    <w:rsid w:val="00D424CE"/>
    <w:rsid w:val="00D43B4B"/>
    <w:rsid w:val="00D4410C"/>
    <w:rsid w:val="00D44112"/>
    <w:rsid w:val="00D445E3"/>
    <w:rsid w:val="00D44683"/>
    <w:rsid w:val="00D4495B"/>
    <w:rsid w:val="00D44CC5"/>
    <w:rsid w:val="00D45B88"/>
    <w:rsid w:val="00D51BDF"/>
    <w:rsid w:val="00D52505"/>
    <w:rsid w:val="00D53F7C"/>
    <w:rsid w:val="00D5417A"/>
    <w:rsid w:val="00D54549"/>
    <w:rsid w:val="00D55028"/>
    <w:rsid w:val="00D57556"/>
    <w:rsid w:val="00D575C6"/>
    <w:rsid w:val="00D57B7E"/>
    <w:rsid w:val="00D607CE"/>
    <w:rsid w:val="00D60DC1"/>
    <w:rsid w:val="00D611D0"/>
    <w:rsid w:val="00D61890"/>
    <w:rsid w:val="00D61D0D"/>
    <w:rsid w:val="00D62039"/>
    <w:rsid w:val="00D644F1"/>
    <w:rsid w:val="00D648BF"/>
    <w:rsid w:val="00D6538C"/>
    <w:rsid w:val="00D66600"/>
    <w:rsid w:val="00D6702A"/>
    <w:rsid w:val="00D67A9A"/>
    <w:rsid w:val="00D67B8B"/>
    <w:rsid w:val="00D7073E"/>
    <w:rsid w:val="00D71930"/>
    <w:rsid w:val="00D733A1"/>
    <w:rsid w:val="00D74AB0"/>
    <w:rsid w:val="00D756F1"/>
    <w:rsid w:val="00D757F7"/>
    <w:rsid w:val="00D774B8"/>
    <w:rsid w:val="00D77BAB"/>
    <w:rsid w:val="00D77E2C"/>
    <w:rsid w:val="00D77F33"/>
    <w:rsid w:val="00D8064C"/>
    <w:rsid w:val="00D80655"/>
    <w:rsid w:val="00D81D24"/>
    <w:rsid w:val="00D83C1E"/>
    <w:rsid w:val="00D84484"/>
    <w:rsid w:val="00D84D2B"/>
    <w:rsid w:val="00D85911"/>
    <w:rsid w:val="00D862B2"/>
    <w:rsid w:val="00D8761A"/>
    <w:rsid w:val="00D87FDD"/>
    <w:rsid w:val="00D90607"/>
    <w:rsid w:val="00D913E2"/>
    <w:rsid w:val="00D91B21"/>
    <w:rsid w:val="00D92F4F"/>
    <w:rsid w:val="00D93641"/>
    <w:rsid w:val="00D95339"/>
    <w:rsid w:val="00D961D9"/>
    <w:rsid w:val="00D965FD"/>
    <w:rsid w:val="00D96702"/>
    <w:rsid w:val="00D96F22"/>
    <w:rsid w:val="00D97E08"/>
    <w:rsid w:val="00D97E86"/>
    <w:rsid w:val="00DA076F"/>
    <w:rsid w:val="00DA0C71"/>
    <w:rsid w:val="00DA0C9C"/>
    <w:rsid w:val="00DA2415"/>
    <w:rsid w:val="00DA26F1"/>
    <w:rsid w:val="00DA2FC0"/>
    <w:rsid w:val="00DA3E01"/>
    <w:rsid w:val="00DA512A"/>
    <w:rsid w:val="00DA59F8"/>
    <w:rsid w:val="00DA5D41"/>
    <w:rsid w:val="00DB0338"/>
    <w:rsid w:val="00DB1FCA"/>
    <w:rsid w:val="00DB23F9"/>
    <w:rsid w:val="00DB332D"/>
    <w:rsid w:val="00DC10BC"/>
    <w:rsid w:val="00DC1B72"/>
    <w:rsid w:val="00DC1D71"/>
    <w:rsid w:val="00DC3040"/>
    <w:rsid w:val="00DC3A2B"/>
    <w:rsid w:val="00DC41EA"/>
    <w:rsid w:val="00DC5424"/>
    <w:rsid w:val="00DC6029"/>
    <w:rsid w:val="00DC7DCA"/>
    <w:rsid w:val="00DD255F"/>
    <w:rsid w:val="00DD5093"/>
    <w:rsid w:val="00DD5DB8"/>
    <w:rsid w:val="00DD6465"/>
    <w:rsid w:val="00DD6905"/>
    <w:rsid w:val="00DD7752"/>
    <w:rsid w:val="00DE0F80"/>
    <w:rsid w:val="00DE1B4F"/>
    <w:rsid w:val="00DE2996"/>
    <w:rsid w:val="00DE30AD"/>
    <w:rsid w:val="00DE43A9"/>
    <w:rsid w:val="00DE51AF"/>
    <w:rsid w:val="00DE56A0"/>
    <w:rsid w:val="00DF0EB7"/>
    <w:rsid w:val="00DF187B"/>
    <w:rsid w:val="00DF1AD1"/>
    <w:rsid w:val="00DF1FAB"/>
    <w:rsid w:val="00DF2B09"/>
    <w:rsid w:val="00DF32A7"/>
    <w:rsid w:val="00DF6500"/>
    <w:rsid w:val="00DF670B"/>
    <w:rsid w:val="00E0055B"/>
    <w:rsid w:val="00E0133B"/>
    <w:rsid w:val="00E01363"/>
    <w:rsid w:val="00E017B6"/>
    <w:rsid w:val="00E027BC"/>
    <w:rsid w:val="00E04A13"/>
    <w:rsid w:val="00E057BF"/>
    <w:rsid w:val="00E0594C"/>
    <w:rsid w:val="00E061F9"/>
    <w:rsid w:val="00E07472"/>
    <w:rsid w:val="00E079F4"/>
    <w:rsid w:val="00E10703"/>
    <w:rsid w:val="00E10932"/>
    <w:rsid w:val="00E117FA"/>
    <w:rsid w:val="00E11868"/>
    <w:rsid w:val="00E1187D"/>
    <w:rsid w:val="00E1209C"/>
    <w:rsid w:val="00E12615"/>
    <w:rsid w:val="00E13438"/>
    <w:rsid w:val="00E136BC"/>
    <w:rsid w:val="00E1381A"/>
    <w:rsid w:val="00E13C45"/>
    <w:rsid w:val="00E154C2"/>
    <w:rsid w:val="00E1698A"/>
    <w:rsid w:val="00E16EFA"/>
    <w:rsid w:val="00E1745C"/>
    <w:rsid w:val="00E176EC"/>
    <w:rsid w:val="00E17966"/>
    <w:rsid w:val="00E17D44"/>
    <w:rsid w:val="00E17EFC"/>
    <w:rsid w:val="00E207E3"/>
    <w:rsid w:val="00E20DA1"/>
    <w:rsid w:val="00E2512B"/>
    <w:rsid w:val="00E25AC4"/>
    <w:rsid w:val="00E264EB"/>
    <w:rsid w:val="00E2725B"/>
    <w:rsid w:val="00E277CE"/>
    <w:rsid w:val="00E27A17"/>
    <w:rsid w:val="00E27B09"/>
    <w:rsid w:val="00E27B79"/>
    <w:rsid w:val="00E27F03"/>
    <w:rsid w:val="00E30975"/>
    <w:rsid w:val="00E319E2"/>
    <w:rsid w:val="00E31DB0"/>
    <w:rsid w:val="00E3283B"/>
    <w:rsid w:val="00E32B1F"/>
    <w:rsid w:val="00E3306E"/>
    <w:rsid w:val="00E3326E"/>
    <w:rsid w:val="00E33EDC"/>
    <w:rsid w:val="00E3420C"/>
    <w:rsid w:val="00E345AC"/>
    <w:rsid w:val="00E354B9"/>
    <w:rsid w:val="00E35C0A"/>
    <w:rsid w:val="00E35FCA"/>
    <w:rsid w:val="00E3605D"/>
    <w:rsid w:val="00E36B17"/>
    <w:rsid w:val="00E36C34"/>
    <w:rsid w:val="00E3735A"/>
    <w:rsid w:val="00E37477"/>
    <w:rsid w:val="00E3753E"/>
    <w:rsid w:val="00E37DCA"/>
    <w:rsid w:val="00E40EDE"/>
    <w:rsid w:val="00E40F82"/>
    <w:rsid w:val="00E42C05"/>
    <w:rsid w:val="00E45146"/>
    <w:rsid w:val="00E458E0"/>
    <w:rsid w:val="00E45CD1"/>
    <w:rsid w:val="00E45E60"/>
    <w:rsid w:val="00E464C3"/>
    <w:rsid w:val="00E467C7"/>
    <w:rsid w:val="00E46BD2"/>
    <w:rsid w:val="00E505A9"/>
    <w:rsid w:val="00E51564"/>
    <w:rsid w:val="00E522E8"/>
    <w:rsid w:val="00E528F2"/>
    <w:rsid w:val="00E53D7E"/>
    <w:rsid w:val="00E53E69"/>
    <w:rsid w:val="00E54186"/>
    <w:rsid w:val="00E54738"/>
    <w:rsid w:val="00E5513D"/>
    <w:rsid w:val="00E564FF"/>
    <w:rsid w:val="00E60940"/>
    <w:rsid w:val="00E60A4D"/>
    <w:rsid w:val="00E60A6E"/>
    <w:rsid w:val="00E612A0"/>
    <w:rsid w:val="00E61397"/>
    <w:rsid w:val="00E62189"/>
    <w:rsid w:val="00E63347"/>
    <w:rsid w:val="00E6502F"/>
    <w:rsid w:val="00E657EF"/>
    <w:rsid w:val="00E65C2C"/>
    <w:rsid w:val="00E6777A"/>
    <w:rsid w:val="00E70343"/>
    <w:rsid w:val="00E708B8"/>
    <w:rsid w:val="00E70B33"/>
    <w:rsid w:val="00E7308A"/>
    <w:rsid w:val="00E73179"/>
    <w:rsid w:val="00E74130"/>
    <w:rsid w:val="00E74361"/>
    <w:rsid w:val="00E74837"/>
    <w:rsid w:val="00E74F82"/>
    <w:rsid w:val="00E75481"/>
    <w:rsid w:val="00E76765"/>
    <w:rsid w:val="00E7738D"/>
    <w:rsid w:val="00E7769E"/>
    <w:rsid w:val="00E77BB6"/>
    <w:rsid w:val="00E77F38"/>
    <w:rsid w:val="00E8104F"/>
    <w:rsid w:val="00E827FE"/>
    <w:rsid w:val="00E8336F"/>
    <w:rsid w:val="00E844CE"/>
    <w:rsid w:val="00E873D5"/>
    <w:rsid w:val="00E874C0"/>
    <w:rsid w:val="00E87A92"/>
    <w:rsid w:val="00E90ACA"/>
    <w:rsid w:val="00E91F17"/>
    <w:rsid w:val="00E922B7"/>
    <w:rsid w:val="00E93AEF"/>
    <w:rsid w:val="00E94713"/>
    <w:rsid w:val="00E95123"/>
    <w:rsid w:val="00E95838"/>
    <w:rsid w:val="00E95929"/>
    <w:rsid w:val="00E962F1"/>
    <w:rsid w:val="00EA0377"/>
    <w:rsid w:val="00EA0553"/>
    <w:rsid w:val="00EA0E4B"/>
    <w:rsid w:val="00EA10CF"/>
    <w:rsid w:val="00EA2CA7"/>
    <w:rsid w:val="00EA2E55"/>
    <w:rsid w:val="00EA340C"/>
    <w:rsid w:val="00EA3DDC"/>
    <w:rsid w:val="00EA528C"/>
    <w:rsid w:val="00EA66D9"/>
    <w:rsid w:val="00EA6D5E"/>
    <w:rsid w:val="00EA6F01"/>
    <w:rsid w:val="00EB0712"/>
    <w:rsid w:val="00EB1000"/>
    <w:rsid w:val="00EB32F9"/>
    <w:rsid w:val="00EB3F93"/>
    <w:rsid w:val="00EB5728"/>
    <w:rsid w:val="00EB660C"/>
    <w:rsid w:val="00EB6B58"/>
    <w:rsid w:val="00EB7815"/>
    <w:rsid w:val="00EB7F55"/>
    <w:rsid w:val="00EC0199"/>
    <w:rsid w:val="00EC02C2"/>
    <w:rsid w:val="00EC0AFC"/>
    <w:rsid w:val="00EC290B"/>
    <w:rsid w:val="00EC311B"/>
    <w:rsid w:val="00EC316E"/>
    <w:rsid w:val="00EC4C0B"/>
    <w:rsid w:val="00EC4E21"/>
    <w:rsid w:val="00EC53FB"/>
    <w:rsid w:val="00EC5B43"/>
    <w:rsid w:val="00EC6BB0"/>
    <w:rsid w:val="00EC6C3B"/>
    <w:rsid w:val="00EC6FBB"/>
    <w:rsid w:val="00EC75D2"/>
    <w:rsid w:val="00EC767B"/>
    <w:rsid w:val="00ED05B6"/>
    <w:rsid w:val="00ED14F3"/>
    <w:rsid w:val="00ED17DA"/>
    <w:rsid w:val="00ED1AAE"/>
    <w:rsid w:val="00ED1D28"/>
    <w:rsid w:val="00ED1D50"/>
    <w:rsid w:val="00ED1DE1"/>
    <w:rsid w:val="00ED22E7"/>
    <w:rsid w:val="00ED26E6"/>
    <w:rsid w:val="00ED372A"/>
    <w:rsid w:val="00ED4AE3"/>
    <w:rsid w:val="00ED5008"/>
    <w:rsid w:val="00ED543F"/>
    <w:rsid w:val="00ED5C70"/>
    <w:rsid w:val="00ED7E07"/>
    <w:rsid w:val="00EE0545"/>
    <w:rsid w:val="00EE0A26"/>
    <w:rsid w:val="00EE0D9B"/>
    <w:rsid w:val="00EE1590"/>
    <w:rsid w:val="00EE1EFC"/>
    <w:rsid w:val="00EE3054"/>
    <w:rsid w:val="00EE41DB"/>
    <w:rsid w:val="00EE42ED"/>
    <w:rsid w:val="00EE4716"/>
    <w:rsid w:val="00EE4FC5"/>
    <w:rsid w:val="00EE5CB0"/>
    <w:rsid w:val="00EE61A4"/>
    <w:rsid w:val="00EE7606"/>
    <w:rsid w:val="00EE7B03"/>
    <w:rsid w:val="00EE7D93"/>
    <w:rsid w:val="00EF2213"/>
    <w:rsid w:val="00EF2340"/>
    <w:rsid w:val="00EF404A"/>
    <w:rsid w:val="00EF51FA"/>
    <w:rsid w:val="00F00316"/>
    <w:rsid w:val="00F01019"/>
    <w:rsid w:val="00F01218"/>
    <w:rsid w:val="00F01320"/>
    <w:rsid w:val="00F01703"/>
    <w:rsid w:val="00F01BD6"/>
    <w:rsid w:val="00F03BFD"/>
    <w:rsid w:val="00F049D3"/>
    <w:rsid w:val="00F061CF"/>
    <w:rsid w:val="00F06E1E"/>
    <w:rsid w:val="00F07DCD"/>
    <w:rsid w:val="00F10D78"/>
    <w:rsid w:val="00F119F9"/>
    <w:rsid w:val="00F11FD9"/>
    <w:rsid w:val="00F131D7"/>
    <w:rsid w:val="00F14B9B"/>
    <w:rsid w:val="00F21111"/>
    <w:rsid w:val="00F215CC"/>
    <w:rsid w:val="00F21676"/>
    <w:rsid w:val="00F221BA"/>
    <w:rsid w:val="00F22479"/>
    <w:rsid w:val="00F2276E"/>
    <w:rsid w:val="00F23A9F"/>
    <w:rsid w:val="00F23B2E"/>
    <w:rsid w:val="00F23F73"/>
    <w:rsid w:val="00F2642D"/>
    <w:rsid w:val="00F27B51"/>
    <w:rsid w:val="00F30535"/>
    <w:rsid w:val="00F309A7"/>
    <w:rsid w:val="00F31E33"/>
    <w:rsid w:val="00F3342B"/>
    <w:rsid w:val="00F334F5"/>
    <w:rsid w:val="00F33B40"/>
    <w:rsid w:val="00F33E85"/>
    <w:rsid w:val="00F368F4"/>
    <w:rsid w:val="00F37257"/>
    <w:rsid w:val="00F37351"/>
    <w:rsid w:val="00F40291"/>
    <w:rsid w:val="00F410CD"/>
    <w:rsid w:val="00F41547"/>
    <w:rsid w:val="00F421F7"/>
    <w:rsid w:val="00F4259C"/>
    <w:rsid w:val="00F444FA"/>
    <w:rsid w:val="00F44535"/>
    <w:rsid w:val="00F44893"/>
    <w:rsid w:val="00F44BCA"/>
    <w:rsid w:val="00F454D7"/>
    <w:rsid w:val="00F45EC8"/>
    <w:rsid w:val="00F46A12"/>
    <w:rsid w:val="00F47F1B"/>
    <w:rsid w:val="00F50696"/>
    <w:rsid w:val="00F50708"/>
    <w:rsid w:val="00F51831"/>
    <w:rsid w:val="00F5189C"/>
    <w:rsid w:val="00F51BEF"/>
    <w:rsid w:val="00F51C73"/>
    <w:rsid w:val="00F527C1"/>
    <w:rsid w:val="00F52CC5"/>
    <w:rsid w:val="00F53860"/>
    <w:rsid w:val="00F539B2"/>
    <w:rsid w:val="00F53E31"/>
    <w:rsid w:val="00F55F27"/>
    <w:rsid w:val="00F5682A"/>
    <w:rsid w:val="00F572F0"/>
    <w:rsid w:val="00F575BF"/>
    <w:rsid w:val="00F57731"/>
    <w:rsid w:val="00F616BF"/>
    <w:rsid w:val="00F62235"/>
    <w:rsid w:val="00F624AD"/>
    <w:rsid w:val="00F62B46"/>
    <w:rsid w:val="00F63302"/>
    <w:rsid w:val="00F63535"/>
    <w:rsid w:val="00F64692"/>
    <w:rsid w:val="00F65E73"/>
    <w:rsid w:val="00F6655A"/>
    <w:rsid w:val="00F67948"/>
    <w:rsid w:val="00F70428"/>
    <w:rsid w:val="00F7071F"/>
    <w:rsid w:val="00F71338"/>
    <w:rsid w:val="00F71C70"/>
    <w:rsid w:val="00F7247C"/>
    <w:rsid w:val="00F73A9F"/>
    <w:rsid w:val="00F73EF3"/>
    <w:rsid w:val="00F74A3D"/>
    <w:rsid w:val="00F74A64"/>
    <w:rsid w:val="00F75DE6"/>
    <w:rsid w:val="00F75DF2"/>
    <w:rsid w:val="00F777BD"/>
    <w:rsid w:val="00F779B6"/>
    <w:rsid w:val="00F80A23"/>
    <w:rsid w:val="00F81D14"/>
    <w:rsid w:val="00F841AF"/>
    <w:rsid w:val="00F84873"/>
    <w:rsid w:val="00F85268"/>
    <w:rsid w:val="00F86645"/>
    <w:rsid w:val="00F86B0E"/>
    <w:rsid w:val="00F900E2"/>
    <w:rsid w:val="00F90524"/>
    <w:rsid w:val="00F907E5"/>
    <w:rsid w:val="00F911F8"/>
    <w:rsid w:val="00F913E3"/>
    <w:rsid w:val="00F93866"/>
    <w:rsid w:val="00F939AB"/>
    <w:rsid w:val="00F93B0A"/>
    <w:rsid w:val="00F93E44"/>
    <w:rsid w:val="00F94113"/>
    <w:rsid w:val="00F94EAF"/>
    <w:rsid w:val="00F95B6E"/>
    <w:rsid w:val="00F95DB5"/>
    <w:rsid w:val="00F96AD5"/>
    <w:rsid w:val="00F96BBC"/>
    <w:rsid w:val="00F9756D"/>
    <w:rsid w:val="00F97A66"/>
    <w:rsid w:val="00FA064A"/>
    <w:rsid w:val="00FA096D"/>
    <w:rsid w:val="00FA162A"/>
    <w:rsid w:val="00FA18EB"/>
    <w:rsid w:val="00FA34DA"/>
    <w:rsid w:val="00FA5924"/>
    <w:rsid w:val="00FA7F67"/>
    <w:rsid w:val="00FB208B"/>
    <w:rsid w:val="00FB3C10"/>
    <w:rsid w:val="00FB4FD0"/>
    <w:rsid w:val="00FB5950"/>
    <w:rsid w:val="00FB6595"/>
    <w:rsid w:val="00FB69D6"/>
    <w:rsid w:val="00FB7580"/>
    <w:rsid w:val="00FC00FD"/>
    <w:rsid w:val="00FC0E29"/>
    <w:rsid w:val="00FC1160"/>
    <w:rsid w:val="00FC15C0"/>
    <w:rsid w:val="00FC1715"/>
    <w:rsid w:val="00FC17AA"/>
    <w:rsid w:val="00FC3D0C"/>
    <w:rsid w:val="00FC4E85"/>
    <w:rsid w:val="00FC4EB6"/>
    <w:rsid w:val="00FC614E"/>
    <w:rsid w:val="00FC6457"/>
    <w:rsid w:val="00FC64DE"/>
    <w:rsid w:val="00FC7777"/>
    <w:rsid w:val="00FC7C83"/>
    <w:rsid w:val="00FD06C4"/>
    <w:rsid w:val="00FD11B5"/>
    <w:rsid w:val="00FD13FA"/>
    <w:rsid w:val="00FD161E"/>
    <w:rsid w:val="00FD2C25"/>
    <w:rsid w:val="00FD31F7"/>
    <w:rsid w:val="00FD3322"/>
    <w:rsid w:val="00FD3851"/>
    <w:rsid w:val="00FD43BE"/>
    <w:rsid w:val="00FD4933"/>
    <w:rsid w:val="00FD5D8A"/>
    <w:rsid w:val="00FD7DF5"/>
    <w:rsid w:val="00FE12D2"/>
    <w:rsid w:val="00FE14DE"/>
    <w:rsid w:val="00FE1ECE"/>
    <w:rsid w:val="00FE383B"/>
    <w:rsid w:val="00FE7254"/>
    <w:rsid w:val="00FE7C77"/>
    <w:rsid w:val="00FF048B"/>
    <w:rsid w:val="00FF0521"/>
    <w:rsid w:val="00FF063F"/>
    <w:rsid w:val="00FF096F"/>
    <w:rsid w:val="00FF10BE"/>
    <w:rsid w:val="00FF1AA8"/>
    <w:rsid w:val="00FF3797"/>
    <w:rsid w:val="00FF406D"/>
    <w:rsid w:val="00FF444A"/>
    <w:rsid w:val="00FF4AC0"/>
    <w:rsid w:val="00FF5492"/>
    <w:rsid w:val="00FF6DCE"/>
    <w:rsid w:val="00FF6E42"/>
    <w:rsid w:val="00FF751E"/>
    <w:rsid w:val="00FF75BD"/>
    <w:rsid w:val="00FF76AC"/>
    <w:rsid w:val="00FF797B"/>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BB9AAB"/>
  <w15:docId w15:val="{1265BAB5-EFDC-47DD-9C05-76A11969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rPr>
  </w:style>
  <w:style w:type="paragraph" w:styleId="Heading1">
    <w:name w:val="heading 1"/>
    <w:basedOn w:val="Normal"/>
    <w:next w:val="Heading2"/>
    <w:link w:val="Heading1Char"/>
    <w:uiPriority w:val="9"/>
    <w:qFormat/>
    <w:rsid w:val="00424E0F"/>
    <w:pPr>
      <w:keepNext/>
      <w:tabs>
        <w:tab w:val="left" w:pos="720"/>
      </w:tabs>
      <w:spacing w:before="240" w:after="120"/>
      <w:jc w:val="center"/>
      <w:outlineLvl w:val="0"/>
    </w:pPr>
    <w:rPr>
      <w:b/>
      <w:caps/>
    </w:rPr>
  </w:style>
  <w:style w:type="paragraph" w:styleId="Heading2">
    <w:name w:val="heading 2"/>
    <w:basedOn w:val="Normal"/>
    <w:uiPriority w:val="9"/>
    <w:qFormat/>
    <w:rsid w:val="00424E0F"/>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qFormat/>
    <w:rsid w:val="00424E0F"/>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link w:val="Heading5Char"/>
    <w:uiPriority w:val="9"/>
    <w:qFormat/>
    <w:rsid w:val="00424E0F"/>
    <w:pPr>
      <w:keepNext/>
      <w:numPr>
        <w:ilvl w:val="4"/>
        <w:numId w:val="5"/>
      </w:numPr>
      <w:spacing w:before="120" w:after="120"/>
      <w:outlineLvl w:val="4"/>
    </w:pPr>
    <w:rPr>
      <w:bCs/>
      <w:i/>
      <w:szCs w:val="26"/>
    </w:rPr>
  </w:style>
  <w:style w:type="paragraph" w:styleId="Heading6">
    <w:name w:val="heading 6"/>
    <w:basedOn w:val="Normal"/>
    <w:next w:val="Normal"/>
    <w:link w:val="Heading6Char"/>
    <w:uiPriority w:val="9"/>
    <w:qFormat/>
    <w:rsid w:val="00424E0F"/>
    <w:pPr>
      <w:keepNext/>
      <w:spacing w:after="240" w:line="240" w:lineRule="exact"/>
      <w:ind w:left="720"/>
      <w:outlineLvl w:val="5"/>
    </w:pPr>
    <w:rPr>
      <w:u w:val="single"/>
    </w:rPr>
  </w:style>
  <w:style w:type="paragraph" w:styleId="Heading7">
    <w:name w:val="heading 7"/>
    <w:basedOn w:val="Normal"/>
    <w:next w:val="Normal"/>
    <w:link w:val="Heading7Char"/>
    <w:uiPriority w:val="9"/>
    <w:qFormat/>
    <w:rsid w:val="00424E0F"/>
    <w:pPr>
      <w:keepNext/>
      <w:jc w:val="right"/>
      <w:outlineLvl w:val="6"/>
    </w:pPr>
    <w:rPr>
      <w:rFonts w:ascii="Univers" w:hAnsi="Univers"/>
      <w:b/>
      <w:sz w:val="28"/>
    </w:rPr>
  </w:style>
  <w:style w:type="paragraph" w:styleId="Heading8">
    <w:name w:val="heading 8"/>
    <w:basedOn w:val="Normal"/>
    <w:next w:val="Normal"/>
    <w:link w:val="Heading8Char"/>
    <w:uiPriority w:val="9"/>
    <w:qFormat/>
    <w:rsid w:val="00424E0F"/>
    <w:pPr>
      <w:keepNext/>
      <w:jc w:val="right"/>
      <w:outlineLvl w:val="7"/>
    </w:pPr>
    <w:rPr>
      <w:rFonts w:ascii="Univers" w:hAnsi="Univers"/>
      <w:b/>
      <w:sz w:val="32"/>
    </w:rPr>
  </w:style>
  <w:style w:type="paragraph" w:styleId="Heading9">
    <w:name w:val="heading 9"/>
    <w:basedOn w:val="Normal"/>
    <w:next w:val="Normal"/>
    <w:link w:val="Heading9Char"/>
    <w:uiPriority w:val="9"/>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uiPriority w:val="1"/>
    <w:qFormat/>
    <w:rsid w:val="00424E0F"/>
    <w:pPr>
      <w:spacing w:before="120" w:after="120"/>
      <w:ind w:firstLine="720"/>
    </w:pPr>
    <w:rPr>
      <w:iCs/>
    </w:rPr>
  </w:style>
  <w:style w:type="paragraph" w:styleId="Caption">
    <w:name w:val="caption"/>
    <w:basedOn w:val="Normal"/>
    <w:next w:val="Normal"/>
    <w:uiPriority w:val="35"/>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uiPriority w:val="99"/>
    <w:rsid w:val="00424E0F"/>
    <w:pPr>
      <w:tabs>
        <w:tab w:val="center" w:pos="4320"/>
        <w:tab w:val="right" w:pos="8640"/>
      </w:tabs>
      <w:ind w:firstLine="720"/>
      <w:jc w:val="right"/>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424E0F"/>
    <w:pPr>
      <w:keepLines/>
      <w:spacing w:after="60"/>
      <w:ind w:firstLine="720"/>
    </w:pPr>
    <w:rPr>
      <w:sz w:val="18"/>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4"/>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uiPriority w:val="99"/>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uiPriority w:val="11"/>
    <w:qFormat/>
    <w:rPr>
      <w:b/>
      <w:bCs/>
    </w:rPr>
  </w:style>
  <w:style w:type="character" w:styleId="Strong">
    <w:name w:val="Strong"/>
    <w:uiPriority w:val="22"/>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rPr>
  </w:style>
  <w:style w:type="paragraph" w:styleId="BalloonText">
    <w:name w:val="Balloon Text"/>
    <w:basedOn w:val="Normal"/>
    <w:link w:val="BalloonTextChar"/>
    <w:uiPriority w:val="99"/>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uiPriority w:val="1"/>
    <w:rsid w:val="00424E0F"/>
    <w:rPr>
      <w:iCs/>
      <w:sz w:val="22"/>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rPr>
  </w:style>
  <w:style w:type="character" w:customStyle="1" w:styleId="BodyText2CharCharChar">
    <w:name w:val="Body Text 2 Char Char Char"/>
    <w:rPr>
      <w:sz w:val="22"/>
    </w:rPr>
  </w:style>
  <w:style w:type="character" w:customStyle="1" w:styleId="BodyText2CharCharCharCharCharCharCharCharCharCharCharCharCharCharCharCharCharCharChar">
    <w:name w:val="Body Text 2 Char Char Char Char Char Char Char Char Char Char Char Char Char Char Char Char Char Char Char"/>
    <w:rPr>
      <w:sz w:val="22"/>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uiPriority w:val="9"/>
    <w:rPr>
      <w:b/>
      <w:bCs/>
      <w:i/>
      <w:iCs/>
      <w:sz w:val="22"/>
      <w:szCs w:val="24"/>
    </w:rPr>
  </w:style>
  <w:style w:type="paragraph" w:customStyle="1" w:styleId="subhead">
    <w:name w:val="subhead"/>
    <w:basedOn w:val="Normal"/>
    <w:next w:val="Para1"/>
    <w:pPr>
      <w:spacing w:before="120" w:after="120"/>
      <w:jc w:val="center"/>
    </w:pPr>
    <w:rPr>
      <w:rFonts w:cs="Angsana New"/>
      <w:i/>
      <w:sz w:val="22"/>
    </w:rPr>
  </w:style>
  <w:style w:type="character" w:styleId="Emphasis">
    <w:name w:val="Emphasis"/>
    <w:uiPriority w:val="20"/>
    <w:qFormat/>
    <w:rPr>
      <w:i/>
      <w:iCs/>
    </w:rPr>
  </w:style>
  <w:style w:type="character" w:customStyle="1" w:styleId="BlockTextChar">
    <w:name w:val="Block Text Char"/>
    <w:rPr>
      <w:sz w:val="24"/>
      <w:szCs w:val="24"/>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rPr>
  </w:style>
  <w:style w:type="paragraph" w:styleId="TOC1">
    <w:name w:val="toc 1"/>
    <w:basedOn w:val="Normal"/>
    <w:next w:val="Normal"/>
    <w:autoRedefine/>
    <w:uiPriority w:val="39"/>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uiPriority w:val="99"/>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ascii="Times New Roman" w:eastAsia="MS Mincho" w:hAnsi="Times New Roman"/>
      <w:bCs/>
      <w:iCs/>
      <w:sz w:val="22"/>
      <w:szCs w:val="22"/>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BodyText"/>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ascii="Times New Roman" w:hAnsi="Times New Roman" w:cs="Angsana New"/>
      <w:iCs/>
      <w:snapToGrid w:val="0"/>
      <w:color w:val="000000"/>
      <w:sz w:val="22"/>
      <w:szCs w:val="22"/>
    </w:rPr>
  </w:style>
  <w:style w:type="paragraph" w:styleId="TOC2">
    <w:name w:val="toc 2"/>
    <w:basedOn w:val="Normal"/>
    <w:next w:val="Normal"/>
    <w:autoRedefine/>
    <w:uiPriority w:val="39"/>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uiPriority w:val="39"/>
    <w:semiHidden/>
    <w:rsid w:val="00424E0F"/>
    <w:pPr>
      <w:ind w:left="2160" w:hanging="720"/>
    </w:pPr>
  </w:style>
  <w:style w:type="paragraph" w:styleId="TOC5">
    <w:name w:val="toc 5"/>
    <w:basedOn w:val="Normal"/>
    <w:next w:val="Normal"/>
    <w:autoRedefine/>
    <w:uiPriority w:val="39"/>
    <w:semiHidden/>
    <w:rsid w:val="00424E0F"/>
    <w:pPr>
      <w:ind w:left="880"/>
    </w:pPr>
  </w:style>
  <w:style w:type="character" w:customStyle="1" w:styleId="Heading1Char">
    <w:name w:val="Heading 1 Char"/>
    <w:link w:val="Heading1"/>
    <w:uiPriority w:val="9"/>
    <w:rsid w:val="00CA25AD"/>
    <w:rPr>
      <w:rFonts w:ascii="Times New Roman" w:hAnsi="Times New Roman" w:cs="Angsana New"/>
      <w:b/>
      <w:caps/>
      <w:sz w:val="22"/>
      <w:szCs w:val="24"/>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ascii="Times New Roman" w:hAnsi="Times New Roman" w:cs="Angsana New"/>
      <w:b/>
      <w:caps/>
      <w:sz w:val="22"/>
      <w:szCs w:val="24"/>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rPr>
  </w:style>
  <w:style w:type="character" w:customStyle="1" w:styleId="apple-style-span">
    <w:name w:val="apple-style-span"/>
    <w:rsid w:val="00900F86"/>
    <w:rPr>
      <w:rFonts w:ascii="Times New Roman" w:hAnsi="Times New Roman"/>
    </w:rPr>
  </w:style>
  <w:style w:type="character" w:customStyle="1" w:styleId="HeaderChar">
    <w:name w:val="Header Char"/>
    <w:link w:val="Header"/>
    <w:uiPriority w:val="99"/>
    <w:rsid w:val="00203EDB"/>
    <w:rPr>
      <w:rFonts w:ascii="Times New Roman" w:hAnsi="Times New Roman" w:cs="Angsana New"/>
      <w:sz w:val="22"/>
      <w:szCs w:val="24"/>
    </w:rPr>
  </w:style>
  <w:style w:type="character" w:customStyle="1" w:styleId="PlainTextChar">
    <w:name w:val="Plain Text Char"/>
    <w:link w:val="PlainText"/>
    <w:uiPriority w:val="99"/>
    <w:rsid w:val="00B22797"/>
    <w:rPr>
      <w:rFonts w:ascii="Courier New" w:hAnsi="Courier New" w:cs="Courier New"/>
      <w:szCs w:val="24"/>
    </w:rPr>
  </w:style>
  <w:style w:type="character" w:customStyle="1" w:styleId="FooterChar">
    <w:name w:val="Footer Char"/>
    <w:link w:val="Footer"/>
    <w:uiPriority w:val="99"/>
    <w:rsid w:val="00316C7D"/>
    <w:rPr>
      <w:rFonts w:ascii="Times New Roman" w:hAnsi="Times New Roman" w:cs="Angsana New"/>
      <w:sz w:val="22"/>
      <w:szCs w:val="24"/>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3C3938"/>
    <w:rPr>
      <w:rFonts w:ascii="Times New Roman" w:hAnsi="Times New Roman" w:cs="Angsana New"/>
      <w:sz w:val="18"/>
      <w:szCs w:val="24"/>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rPr>
      <w:rFonts w:ascii="Times New Roman" w:hAnsi="Times New Roman"/>
    </w:rPr>
  </w:style>
  <w:style w:type="paragraph" w:customStyle="1" w:styleId="ColorfulGrid-Accent61">
    <w:name w:val="Colorful Grid - Accent 61"/>
    <w:hidden/>
    <w:uiPriority w:val="99"/>
    <w:semiHidden/>
    <w:rsid w:val="00EC5B43"/>
    <w:rPr>
      <w:rFonts w:cs="Angsana New"/>
      <w:sz w:val="22"/>
      <w:szCs w:val="24"/>
    </w:rPr>
  </w:style>
  <w:style w:type="paragraph" w:customStyle="1" w:styleId="ColorfulGrid-Accent62">
    <w:name w:val="Colorful Grid - Accent 62"/>
    <w:hidden/>
    <w:uiPriority w:val="99"/>
    <w:semiHidden/>
    <w:rsid w:val="00023D05"/>
    <w:rPr>
      <w:rFonts w:cs="Angsana New"/>
      <w:sz w:val="22"/>
      <w:szCs w:val="24"/>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uiPriority w:val="39"/>
    <w:rsid w:val="001416C5"/>
    <w:pPr>
      <w:tabs>
        <w:tab w:val="num" w:pos="1440"/>
      </w:tabs>
      <w:spacing w:before="120" w:after="120"/>
      <w:ind w:left="1440" w:hanging="360"/>
    </w:pPr>
  </w:style>
  <w:style w:type="paragraph" w:styleId="ListParagraph">
    <w:name w:val="List Paragraph"/>
    <w:basedOn w:val="Normal"/>
    <w:link w:val="ListParagraphChar"/>
    <w:uiPriority w:val="34"/>
    <w:qFormat/>
    <w:rsid w:val="0098127B"/>
    <w:pPr>
      <w:ind w:left="720"/>
    </w:pPr>
  </w:style>
  <w:style w:type="character" w:customStyle="1" w:styleId="CommentTextChar">
    <w:name w:val="Comment Text Char"/>
    <w:link w:val="CommentText"/>
    <w:uiPriority w:val="99"/>
    <w:semiHidden/>
    <w:rsid w:val="00FD31F7"/>
    <w:rPr>
      <w:rFonts w:ascii="Times New Roman" w:hAnsi="Times New Roman" w:cs="Angsana New"/>
      <w:szCs w:val="24"/>
    </w:rPr>
  </w:style>
  <w:style w:type="character" w:styleId="PlaceholderText">
    <w:name w:val="Placeholder Text"/>
    <w:basedOn w:val="DefaultParagraphFont"/>
    <w:uiPriority w:val="99"/>
    <w:rsid w:val="007217C4"/>
    <w:rPr>
      <w:color w:val="808080"/>
    </w:rPr>
  </w:style>
  <w:style w:type="character" w:customStyle="1" w:styleId="UnresolvedMention1">
    <w:name w:val="Unresolved Mention1"/>
    <w:basedOn w:val="DefaultParagraphFont"/>
    <w:uiPriority w:val="99"/>
    <w:semiHidden/>
    <w:unhideWhenUsed/>
    <w:rsid w:val="00DE1B4F"/>
    <w:rPr>
      <w:color w:val="605E5C"/>
      <w:shd w:val="clear" w:color="auto" w:fill="E1DFDD"/>
    </w:rPr>
  </w:style>
  <w:style w:type="paragraph" w:customStyle="1" w:styleId="CBD-Para-1">
    <w:name w:val="CBD-Para-1"/>
    <w:basedOn w:val="Normal"/>
    <w:qFormat/>
    <w:rsid w:val="00662E2A"/>
    <w:pPr>
      <w:keepLines/>
      <w:numPr>
        <w:numId w:val="15"/>
      </w:numPr>
      <w:spacing w:before="120" w:after="120"/>
      <w:jc w:val="both"/>
    </w:pPr>
    <w:rPr>
      <w:rFonts w:eastAsia="Malgun Gothic"/>
      <w:sz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662E2A"/>
    <w:pPr>
      <w:spacing w:after="160" w:line="240" w:lineRule="exact"/>
      <w:jc w:val="both"/>
    </w:pPr>
    <w:rPr>
      <w:rFonts w:eastAsia="MS Mincho"/>
      <w:sz w:val="18"/>
      <w:szCs w:val="20"/>
      <w:u w:val="single"/>
    </w:rPr>
  </w:style>
  <w:style w:type="character" w:customStyle="1" w:styleId="css-901oao">
    <w:name w:val="css-901oao"/>
    <w:basedOn w:val="DefaultParagraphFont"/>
    <w:rsid w:val="00342287"/>
    <w:rPr>
      <w:rFonts w:ascii="Times New Roman" w:hAnsi="Times New Roman"/>
    </w:rPr>
  </w:style>
  <w:style w:type="character" w:customStyle="1" w:styleId="Heading3Char">
    <w:name w:val="Heading 3 Char"/>
    <w:basedOn w:val="DefaultParagraphFont"/>
    <w:link w:val="Heading3"/>
    <w:uiPriority w:val="9"/>
    <w:rsid w:val="00974917"/>
    <w:rPr>
      <w:rFonts w:ascii="Times New Roman" w:eastAsia="Times New Roman" w:hAnsi="Times New Roman"/>
      <w:i/>
      <w:iCs/>
      <w:sz w:val="24"/>
      <w:szCs w:val="24"/>
    </w:rPr>
  </w:style>
  <w:style w:type="character" w:customStyle="1" w:styleId="Heading4Char">
    <w:name w:val="Heading 4 Char"/>
    <w:basedOn w:val="DefaultParagraphFont"/>
    <w:link w:val="Heading4"/>
    <w:uiPriority w:val="9"/>
    <w:rsid w:val="00974917"/>
    <w:rPr>
      <w:rFonts w:ascii="Times New Roman Bold" w:eastAsia="Arial Unicode MS" w:hAnsi="Times New Roman Bold" w:cs="Arial"/>
      <w:b/>
      <w:bCs/>
      <w:i/>
      <w:iCs/>
      <w:sz w:val="24"/>
      <w:szCs w:val="24"/>
    </w:rPr>
  </w:style>
  <w:style w:type="character" w:customStyle="1" w:styleId="Heading5Char">
    <w:name w:val="Heading 5 Char"/>
    <w:aliases w:val="Heading 5 - GTI Char"/>
    <w:basedOn w:val="DefaultParagraphFont"/>
    <w:link w:val="Heading5"/>
    <w:uiPriority w:val="9"/>
    <w:rsid w:val="00974917"/>
    <w:rPr>
      <w:rFonts w:ascii="Times New Roman" w:eastAsia="Times New Roman" w:hAnsi="Times New Roman"/>
      <w:bCs/>
      <w:i/>
      <w:sz w:val="24"/>
      <w:szCs w:val="26"/>
    </w:rPr>
  </w:style>
  <w:style w:type="character" w:customStyle="1" w:styleId="Heading6Char">
    <w:name w:val="Heading 6 Char"/>
    <w:basedOn w:val="DefaultParagraphFont"/>
    <w:link w:val="Heading6"/>
    <w:uiPriority w:val="9"/>
    <w:rsid w:val="00974917"/>
    <w:rPr>
      <w:rFonts w:ascii="Times New Roman" w:eastAsia="Times New Roman" w:hAnsi="Times New Roman"/>
      <w:sz w:val="24"/>
      <w:szCs w:val="24"/>
      <w:u w:val="single"/>
    </w:rPr>
  </w:style>
  <w:style w:type="character" w:customStyle="1" w:styleId="Heading7Char">
    <w:name w:val="Heading 7 Char"/>
    <w:basedOn w:val="DefaultParagraphFont"/>
    <w:link w:val="Heading7"/>
    <w:uiPriority w:val="9"/>
    <w:rsid w:val="00974917"/>
    <w:rPr>
      <w:rFonts w:ascii="Univers" w:eastAsia="Times New Roman" w:hAnsi="Univers"/>
      <w:b/>
      <w:sz w:val="28"/>
      <w:szCs w:val="24"/>
    </w:rPr>
  </w:style>
  <w:style w:type="character" w:customStyle="1" w:styleId="Heading8Char">
    <w:name w:val="Heading 8 Char"/>
    <w:basedOn w:val="DefaultParagraphFont"/>
    <w:link w:val="Heading8"/>
    <w:uiPriority w:val="9"/>
    <w:rsid w:val="00974917"/>
    <w:rPr>
      <w:rFonts w:ascii="Univers" w:eastAsia="Times New Roman" w:hAnsi="Univers"/>
      <w:b/>
      <w:sz w:val="32"/>
      <w:szCs w:val="24"/>
    </w:rPr>
  </w:style>
  <w:style w:type="character" w:customStyle="1" w:styleId="Heading9Char">
    <w:name w:val="Heading 9 Char"/>
    <w:basedOn w:val="DefaultParagraphFont"/>
    <w:link w:val="Heading9"/>
    <w:uiPriority w:val="9"/>
    <w:rsid w:val="00974917"/>
    <w:rPr>
      <w:rFonts w:ascii="Times New Roman" w:eastAsia="Times New Roman" w:hAnsi="Times New Roman"/>
      <w:i/>
      <w:iCs/>
      <w:sz w:val="24"/>
      <w:szCs w:val="24"/>
    </w:rPr>
  </w:style>
  <w:style w:type="character" w:customStyle="1" w:styleId="TitleChar">
    <w:name w:val="Title Char"/>
    <w:basedOn w:val="DefaultParagraphFont"/>
    <w:link w:val="Title"/>
    <w:uiPriority w:val="10"/>
    <w:rsid w:val="00974917"/>
    <w:rPr>
      <w:rFonts w:ascii="Times New Roman" w:eastAsia="Times New Roman" w:hAnsi="Times New Roman"/>
      <w:i/>
      <w:iCs/>
      <w:sz w:val="24"/>
      <w:szCs w:val="24"/>
    </w:rPr>
  </w:style>
  <w:style w:type="character" w:customStyle="1" w:styleId="SubtitleChar">
    <w:name w:val="Subtitle Char"/>
    <w:basedOn w:val="DefaultParagraphFont"/>
    <w:link w:val="Subtitle"/>
    <w:uiPriority w:val="11"/>
    <w:rsid w:val="00974917"/>
    <w:rPr>
      <w:rFonts w:ascii="Times New Roman" w:eastAsia="Times New Roman" w:hAnsi="Times New Roman"/>
      <w:b/>
      <w:bCs/>
      <w:sz w:val="24"/>
      <w:szCs w:val="24"/>
    </w:rPr>
  </w:style>
  <w:style w:type="paragraph" w:styleId="NoSpacing">
    <w:name w:val="No Spacing"/>
    <w:uiPriority w:val="1"/>
    <w:qFormat/>
    <w:rsid w:val="00974917"/>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974917"/>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7491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74917"/>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74917"/>
    <w:rPr>
      <w:rFonts w:ascii="Times New Roman" w:eastAsia="Times New Roman" w:hAnsi="Times New Roman"/>
      <w:color w:val="404040" w:themeColor="text1" w:themeTint="BF"/>
      <w:sz w:val="32"/>
      <w:szCs w:val="32"/>
    </w:rPr>
  </w:style>
  <w:style w:type="character" w:styleId="SubtleEmphasis">
    <w:name w:val="Subtle Emphasis"/>
    <w:basedOn w:val="DefaultParagraphFont"/>
    <w:uiPriority w:val="19"/>
    <w:qFormat/>
    <w:rsid w:val="00974917"/>
    <w:rPr>
      <w:i/>
      <w:iCs/>
      <w:color w:val="595959" w:themeColor="text1" w:themeTint="A6"/>
    </w:rPr>
  </w:style>
  <w:style w:type="character" w:styleId="IntenseEmphasis">
    <w:name w:val="Intense Emphasis"/>
    <w:basedOn w:val="DefaultParagraphFont"/>
    <w:uiPriority w:val="21"/>
    <w:qFormat/>
    <w:rsid w:val="00974917"/>
    <w:rPr>
      <w:b/>
      <w:bCs/>
      <w:i/>
      <w:iCs/>
    </w:rPr>
  </w:style>
  <w:style w:type="character" w:styleId="SubtleReference">
    <w:name w:val="Subtle Reference"/>
    <w:basedOn w:val="DefaultParagraphFont"/>
    <w:uiPriority w:val="31"/>
    <w:qFormat/>
    <w:rsid w:val="0097491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74917"/>
    <w:rPr>
      <w:b/>
      <w:bCs/>
      <w:caps w:val="0"/>
      <w:smallCaps/>
      <w:color w:val="auto"/>
      <w:spacing w:val="3"/>
      <w:u w:val="single"/>
    </w:rPr>
  </w:style>
  <w:style w:type="character" w:styleId="BookTitle">
    <w:name w:val="Book Title"/>
    <w:basedOn w:val="DefaultParagraphFont"/>
    <w:uiPriority w:val="33"/>
    <w:qFormat/>
    <w:rsid w:val="00974917"/>
    <w:rPr>
      <w:b/>
      <w:bCs/>
      <w:smallCaps/>
      <w:spacing w:val="7"/>
    </w:rPr>
  </w:style>
  <w:style w:type="paragraph" w:styleId="TOCHeading">
    <w:name w:val="TOC Heading"/>
    <w:basedOn w:val="Heading1"/>
    <w:next w:val="Normal"/>
    <w:uiPriority w:val="39"/>
    <w:unhideWhenUsed/>
    <w:qFormat/>
    <w:rsid w:val="00974917"/>
    <w:pPr>
      <w:keepLines/>
      <w:tabs>
        <w:tab w:val="clear" w:pos="720"/>
      </w:tabs>
      <w:spacing w:before="400" w:after="40"/>
      <w:jc w:val="left"/>
      <w:outlineLvl w:val="9"/>
    </w:pPr>
    <w:rPr>
      <w:rFonts w:asciiTheme="majorHAnsi" w:eastAsiaTheme="majorEastAsia" w:hAnsiTheme="majorHAnsi" w:cstheme="majorBidi"/>
      <w:b w:val="0"/>
      <w:sz w:val="36"/>
      <w:szCs w:val="36"/>
    </w:rPr>
  </w:style>
  <w:style w:type="table" w:styleId="TableGrid">
    <w:name w:val="Table Grid"/>
    <w:basedOn w:val="TableNormal"/>
    <w:uiPriority w:val="39"/>
    <w:rsid w:val="00974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qFormat/>
    <w:locked/>
    <w:rsid w:val="00974917"/>
    <w:rPr>
      <w:rFonts w:ascii="Times New Roman" w:eastAsia="Times New Roman" w:hAnsi="Times New Roman"/>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rsid w:val="00974917"/>
    <w:pPr>
      <w:spacing w:line="240" w:lineRule="exact"/>
      <w:jc w:val="both"/>
    </w:pPr>
    <w:rPr>
      <w:rFonts w:eastAsiaTheme="minorHAnsi"/>
      <w:vertAlign w:val="superscript"/>
    </w:rPr>
  </w:style>
  <w:style w:type="character" w:customStyle="1" w:styleId="ng-binding">
    <w:name w:val="ng-binding"/>
    <w:basedOn w:val="DefaultParagraphFont"/>
    <w:rsid w:val="00974917"/>
    <w:rPr>
      <w:rFonts w:ascii="Times New Roman" w:hAnsi="Times New Roman"/>
    </w:rPr>
  </w:style>
  <w:style w:type="character" w:customStyle="1" w:styleId="BalloonTextChar">
    <w:name w:val="Balloon Text Char"/>
    <w:basedOn w:val="DefaultParagraphFont"/>
    <w:link w:val="BalloonText"/>
    <w:uiPriority w:val="99"/>
    <w:semiHidden/>
    <w:rsid w:val="00974917"/>
    <w:rPr>
      <w:rFonts w:ascii="Tahoma" w:eastAsia="Times New Roman" w:hAnsi="Tahoma" w:cs="Tahoma"/>
      <w:sz w:val="16"/>
      <w:szCs w:val="16"/>
    </w:rPr>
  </w:style>
  <w:style w:type="paragraph" w:styleId="Bibliography">
    <w:name w:val="Bibliography"/>
    <w:basedOn w:val="Normal"/>
    <w:next w:val="Normal"/>
    <w:uiPriority w:val="37"/>
    <w:unhideWhenUsed/>
    <w:rsid w:val="00974917"/>
  </w:style>
  <w:style w:type="character" w:styleId="UnresolvedMention">
    <w:name w:val="Unresolved Mention"/>
    <w:basedOn w:val="DefaultParagraphFont"/>
    <w:uiPriority w:val="99"/>
    <w:semiHidden/>
    <w:unhideWhenUsed/>
    <w:rsid w:val="00974917"/>
    <w:rPr>
      <w:color w:val="605E5C"/>
      <w:shd w:val="clear" w:color="auto" w:fill="E1DFDD"/>
    </w:rPr>
  </w:style>
  <w:style w:type="paragraph" w:styleId="TOC4">
    <w:name w:val="toc 4"/>
    <w:basedOn w:val="Normal"/>
    <w:next w:val="Normal"/>
    <w:autoRedefine/>
    <w:uiPriority w:val="39"/>
    <w:semiHidden/>
    <w:unhideWhenUsed/>
    <w:rsid w:val="00974917"/>
    <w:pPr>
      <w:ind w:left="660"/>
    </w:pPr>
    <w:rPr>
      <w:rFonts w:cstheme="minorHAnsi"/>
      <w:sz w:val="20"/>
    </w:rPr>
  </w:style>
  <w:style w:type="paragraph" w:styleId="TOC6">
    <w:name w:val="toc 6"/>
    <w:basedOn w:val="Normal"/>
    <w:next w:val="Normal"/>
    <w:autoRedefine/>
    <w:uiPriority w:val="39"/>
    <w:semiHidden/>
    <w:unhideWhenUsed/>
    <w:rsid w:val="00974917"/>
    <w:pPr>
      <w:ind w:left="1100"/>
    </w:pPr>
    <w:rPr>
      <w:rFonts w:cstheme="minorHAnsi"/>
      <w:sz w:val="20"/>
    </w:rPr>
  </w:style>
  <w:style w:type="paragraph" w:styleId="TOC7">
    <w:name w:val="toc 7"/>
    <w:basedOn w:val="Normal"/>
    <w:next w:val="Normal"/>
    <w:autoRedefine/>
    <w:uiPriority w:val="39"/>
    <w:semiHidden/>
    <w:unhideWhenUsed/>
    <w:rsid w:val="00974917"/>
    <w:pPr>
      <w:ind w:left="1320"/>
    </w:pPr>
    <w:rPr>
      <w:rFonts w:cstheme="minorHAnsi"/>
      <w:sz w:val="20"/>
    </w:rPr>
  </w:style>
  <w:style w:type="paragraph" w:styleId="TOC8">
    <w:name w:val="toc 8"/>
    <w:basedOn w:val="Normal"/>
    <w:next w:val="Normal"/>
    <w:autoRedefine/>
    <w:uiPriority w:val="39"/>
    <w:semiHidden/>
    <w:unhideWhenUsed/>
    <w:rsid w:val="00974917"/>
    <w:pPr>
      <w:ind w:left="1540"/>
    </w:pPr>
    <w:rPr>
      <w:rFonts w:cstheme="minorHAnsi"/>
      <w:sz w:val="20"/>
    </w:rPr>
  </w:style>
  <w:style w:type="character" w:customStyle="1" w:styleId="CommentSubjectChar">
    <w:name w:val="Comment Subject Char"/>
    <w:basedOn w:val="CommentTextChar"/>
    <w:link w:val="CommentSubject"/>
    <w:uiPriority w:val="99"/>
    <w:semiHidden/>
    <w:rsid w:val="00974917"/>
    <w:rPr>
      <w:rFonts w:ascii="Times New Roman" w:eastAsia="Times New Roman" w:hAnsi="Times New Roman" w:cs="Angsana New"/>
      <w:b/>
      <w:bCs/>
      <w:szCs w:val="24"/>
    </w:rPr>
  </w:style>
  <w:style w:type="table" w:customStyle="1" w:styleId="TableGrid1">
    <w:name w:val="Table Grid1"/>
    <w:basedOn w:val="TableNormal"/>
    <w:next w:val="TableGrid"/>
    <w:uiPriority w:val="59"/>
    <w:rsid w:val="00420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4600">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44921">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09216335">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744377736">
      <w:bodyDiv w:val="1"/>
      <w:marLeft w:val="0"/>
      <w:marRight w:val="0"/>
      <w:marTop w:val="0"/>
      <w:marBottom w:val="0"/>
      <w:divBdr>
        <w:top w:val="none" w:sz="0" w:space="0" w:color="auto"/>
        <w:left w:val="none" w:sz="0" w:space="0" w:color="auto"/>
        <w:bottom w:val="none" w:sz="0" w:space="0" w:color="auto"/>
        <w:right w:val="none" w:sz="0" w:space="0" w:color="auto"/>
      </w:divBdr>
    </w:div>
    <w:div w:id="804543861">
      <w:bodyDiv w:val="1"/>
      <w:marLeft w:val="0"/>
      <w:marRight w:val="0"/>
      <w:marTop w:val="0"/>
      <w:marBottom w:val="0"/>
      <w:divBdr>
        <w:top w:val="none" w:sz="0" w:space="0" w:color="auto"/>
        <w:left w:val="none" w:sz="0" w:space="0" w:color="auto"/>
        <w:bottom w:val="none" w:sz="0" w:space="0" w:color="auto"/>
        <w:right w:val="none" w:sz="0" w:space="0" w:color="auto"/>
      </w:divBdr>
    </w:div>
    <w:div w:id="814106508">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88348516">
      <w:bodyDiv w:val="1"/>
      <w:marLeft w:val="0"/>
      <w:marRight w:val="0"/>
      <w:marTop w:val="0"/>
      <w:marBottom w:val="0"/>
      <w:divBdr>
        <w:top w:val="none" w:sz="0" w:space="0" w:color="auto"/>
        <w:left w:val="none" w:sz="0" w:space="0" w:color="auto"/>
        <w:bottom w:val="none" w:sz="0" w:space="0" w:color="auto"/>
        <w:right w:val="none" w:sz="0" w:space="0" w:color="auto"/>
      </w:divBdr>
    </w:div>
    <w:div w:id="948968198">
      <w:bodyDiv w:val="1"/>
      <w:marLeft w:val="0"/>
      <w:marRight w:val="0"/>
      <w:marTop w:val="0"/>
      <w:marBottom w:val="0"/>
      <w:divBdr>
        <w:top w:val="none" w:sz="0" w:space="0" w:color="auto"/>
        <w:left w:val="none" w:sz="0" w:space="0" w:color="auto"/>
        <w:bottom w:val="none" w:sz="0" w:space="0" w:color="auto"/>
        <w:right w:val="none" w:sz="0" w:space="0" w:color="auto"/>
      </w:divBdr>
    </w:div>
    <w:div w:id="1011369280">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11384824">
      <w:bodyDiv w:val="1"/>
      <w:marLeft w:val="0"/>
      <w:marRight w:val="0"/>
      <w:marTop w:val="0"/>
      <w:marBottom w:val="0"/>
      <w:divBdr>
        <w:top w:val="none" w:sz="0" w:space="0" w:color="auto"/>
        <w:left w:val="none" w:sz="0" w:space="0" w:color="auto"/>
        <w:bottom w:val="none" w:sz="0" w:space="0" w:color="auto"/>
        <w:right w:val="none" w:sz="0" w:space="0" w:color="auto"/>
      </w:divBdr>
      <w:divsChild>
        <w:div w:id="1867793578">
          <w:marLeft w:val="0"/>
          <w:marRight w:val="0"/>
          <w:marTop w:val="0"/>
          <w:marBottom w:val="0"/>
          <w:divBdr>
            <w:top w:val="none" w:sz="0" w:space="0" w:color="auto"/>
            <w:left w:val="none" w:sz="0" w:space="0" w:color="auto"/>
            <w:bottom w:val="none" w:sz="0" w:space="0" w:color="auto"/>
            <w:right w:val="none" w:sz="0" w:space="0" w:color="auto"/>
          </w:divBdr>
          <w:divsChild>
            <w:div w:id="865751058">
              <w:marLeft w:val="0"/>
              <w:marRight w:val="0"/>
              <w:marTop w:val="0"/>
              <w:marBottom w:val="0"/>
              <w:divBdr>
                <w:top w:val="none" w:sz="0" w:space="0" w:color="auto"/>
                <w:left w:val="none" w:sz="0" w:space="0" w:color="auto"/>
                <w:bottom w:val="none" w:sz="0" w:space="0" w:color="auto"/>
                <w:right w:val="none" w:sz="0" w:space="0" w:color="auto"/>
              </w:divBdr>
              <w:divsChild>
                <w:div w:id="17293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7627">
      <w:bodyDiv w:val="1"/>
      <w:marLeft w:val="0"/>
      <w:marRight w:val="0"/>
      <w:marTop w:val="0"/>
      <w:marBottom w:val="0"/>
      <w:divBdr>
        <w:top w:val="none" w:sz="0" w:space="0" w:color="auto"/>
        <w:left w:val="none" w:sz="0" w:space="0" w:color="auto"/>
        <w:bottom w:val="none" w:sz="0" w:space="0" w:color="auto"/>
        <w:right w:val="none" w:sz="0" w:space="0" w:color="auto"/>
      </w:divBdr>
    </w:div>
    <w:div w:id="1248731603">
      <w:bodyDiv w:val="1"/>
      <w:marLeft w:val="0"/>
      <w:marRight w:val="0"/>
      <w:marTop w:val="0"/>
      <w:marBottom w:val="0"/>
      <w:divBdr>
        <w:top w:val="none" w:sz="0" w:space="0" w:color="auto"/>
        <w:left w:val="none" w:sz="0" w:space="0" w:color="auto"/>
        <w:bottom w:val="none" w:sz="0" w:space="0" w:color="auto"/>
        <w:right w:val="none" w:sz="0" w:space="0" w:color="auto"/>
      </w:divBdr>
    </w:div>
    <w:div w:id="1263103509">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96216133">
      <w:bodyDiv w:val="1"/>
      <w:marLeft w:val="0"/>
      <w:marRight w:val="0"/>
      <w:marTop w:val="0"/>
      <w:marBottom w:val="0"/>
      <w:divBdr>
        <w:top w:val="none" w:sz="0" w:space="0" w:color="auto"/>
        <w:left w:val="none" w:sz="0" w:space="0" w:color="auto"/>
        <w:bottom w:val="none" w:sz="0" w:space="0" w:color="auto"/>
        <w:right w:val="none" w:sz="0" w:space="0" w:color="auto"/>
      </w:divBdr>
    </w:div>
    <w:div w:id="1548371037">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63677749">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thegef.org/publications/gef-7-corporate-scorecard-june-2019" TargetMode="External"/><Relationship Id="rId13" Type="http://schemas.openxmlformats.org/officeDocument/2006/relationships/hyperlink" Target="https://www.wwf.de/fileadmin/fm-wwf/Publikationen-PDF/WWF-Barometer-CBD-SRM.pdf" TargetMode="External"/><Relationship Id="rId3" Type="http://schemas.openxmlformats.org/officeDocument/2006/relationships/hyperlink" Target="https://www.biodiversityfinance.net/" TargetMode="External"/><Relationship Id="rId7" Type="http://schemas.openxmlformats.org/officeDocument/2006/relationships/hyperlink" Target="http://www.thegef.org/sites/default/files/documents/Results_Guidelines.pdf" TargetMode="External"/><Relationship Id="rId12" Type="http://schemas.openxmlformats.org/officeDocument/2006/relationships/hyperlink" Target="https://www.cbd.int/financial/monitoring.shtml" TargetMode="External"/><Relationship Id="rId2" Type="http://schemas.openxmlformats.org/officeDocument/2006/relationships/hyperlink" Target="https://www.cbd.int/doc/c/23ca/521d/ec55b31ce5b9c2019171ae52/post2020-prep-02-01-fr.pdf" TargetMode="External"/><Relationship Id="rId1" Type="http://schemas.openxmlformats.org/officeDocument/2006/relationships/hyperlink" Target="https://www.cbd.int/doc/decisions/cop-14/cop-14-dec-23-fr.pdf" TargetMode="External"/><Relationship Id="rId6" Type="http://schemas.openxmlformats.org/officeDocument/2006/relationships/hyperlink" Target="https://www.cbd.int/financial/gef8needs.shtml" TargetMode="External"/><Relationship Id="rId11" Type="http://schemas.openxmlformats.org/officeDocument/2006/relationships/hyperlink" Target="https://www.cbd.int/doc/meetings/cop/cop-12/information/cop-12-inf-04-en.pdf" TargetMode="External"/><Relationship Id="rId5" Type="http://schemas.openxmlformats.org/officeDocument/2006/relationships/hyperlink" Target="http://www.thegef.org/sites/default/files/council-meeting-documents/OPERATIONAL_GUIDELINES_FOR_THE_APPLICATION_OF_THE_INCREMENTAL_COST_PRINCIPLE_5.pdf" TargetMode="External"/><Relationship Id="rId15" Type="http://schemas.openxmlformats.org/officeDocument/2006/relationships/hyperlink" Target="https://www.cbd.int/doc/c/4c88/dbb1/e264eaae72b86747416e0d8c/sbi-03-05-add1-fr.pdf" TargetMode="External"/><Relationship Id="rId10" Type="http://schemas.openxmlformats.org/officeDocument/2006/relationships/hyperlink" Target="https://www.oecd.org/fr/environnement/ressources/biodiversite/aper%C3%A7u-g%C3%A9n%C3%A9ral-du-financement-de-la-biodiversit%C3%A9-%C3%A0-l%C3%A9chelle-mondiale.pdf" TargetMode="External"/><Relationship Id="rId4" Type="http://schemas.openxmlformats.org/officeDocument/2006/relationships/hyperlink" Target="https://www.cbd.int/financial/gef8needs.shtml" TargetMode="External"/><Relationship Id="rId9" Type="http://schemas.openxmlformats.org/officeDocument/2006/relationships/hyperlink" Target="https://www.biodiversityfinance.net/colombia" TargetMode="External"/><Relationship Id="rId14" Type="http://schemas.openxmlformats.org/officeDocument/2006/relationships/hyperlink" Target="https://www.cbd.int/financial/gef8needs.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PlaceholderText"/>
            </w:rPr>
            <w:t>[Subject]</w:t>
          </w:r>
        </w:p>
      </w:docPartBody>
    </w:docPart>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
      <w:docPartPr>
        <w:name w:val="50CCE2F696C74A50B402B2C257ED0264"/>
        <w:category>
          <w:name w:val="General"/>
          <w:gallery w:val="placeholder"/>
        </w:category>
        <w:types>
          <w:type w:val="bbPlcHdr"/>
        </w:types>
        <w:behaviors>
          <w:behavior w:val="content"/>
        </w:behaviors>
        <w:guid w:val="{CC883DA3-619C-4F34-B591-19920CB11AC7}"/>
      </w:docPartPr>
      <w:docPartBody>
        <w:p w:rsidR="00404886" w:rsidRDefault="00C7302B" w:rsidP="00C7302B">
          <w:pPr>
            <w:pStyle w:val="50CCE2F696C74A50B402B2C257ED0264"/>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D65"/>
    <w:rsid w:val="0002749C"/>
    <w:rsid w:val="001E3D65"/>
    <w:rsid w:val="002234FB"/>
    <w:rsid w:val="0025771C"/>
    <w:rsid w:val="002628AC"/>
    <w:rsid w:val="0028257F"/>
    <w:rsid w:val="002E4E4A"/>
    <w:rsid w:val="00404886"/>
    <w:rsid w:val="005A587D"/>
    <w:rsid w:val="005D1822"/>
    <w:rsid w:val="006251B4"/>
    <w:rsid w:val="00663C30"/>
    <w:rsid w:val="00754AA8"/>
    <w:rsid w:val="007A2C75"/>
    <w:rsid w:val="007D2595"/>
    <w:rsid w:val="00841077"/>
    <w:rsid w:val="008469F8"/>
    <w:rsid w:val="008B40C9"/>
    <w:rsid w:val="00A20799"/>
    <w:rsid w:val="00A323FD"/>
    <w:rsid w:val="00A95042"/>
    <w:rsid w:val="00AA66CC"/>
    <w:rsid w:val="00B46D7B"/>
    <w:rsid w:val="00B72E6A"/>
    <w:rsid w:val="00C7302B"/>
    <w:rsid w:val="00CA37EC"/>
    <w:rsid w:val="00CE3BDA"/>
    <w:rsid w:val="00D4477B"/>
    <w:rsid w:val="00D80CC4"/>
    <w:rsid w:val="00DB585E"/>
    <w:rsid w:val="00E60471"/>
    <w:rsid w:val="00F9491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7302B"/>
  </w:style>
  <w:style w:type="paragraph" w:customStyle="1" w:styleId="50CCE2F696C74A50B402B2C257ED0264">
    <w:name w:val="50CCE2F696C74A50B402B2C257ED0264"/>
    <w:rsid w:val="00C73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3.xml><?xml version="1.0" encoding="utf-8"?>
<ds:datastoreItem xmlns:ds="http://schemas.openxmlformats.org/officeDocument/2006/customXml" ds:itemID="{49C598B3-635E-4A22-8F7E-7D5A15832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97BBB6-D6FB-45DC-BD49-5BF49E62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9064</Words>
  <Characters>51665</Characters>
  <Application>Microsoft Office Word</Application>
  <DocSecurity>0</DocSecurity>
  <Lines>430</Lines>
  <Paragraphs>121</Paragraphs>
  <ScaleCrop>false</ScaleCrop>
  <HeadingPairs>
    <vt:vector size="6" baseType="variant">
      <vt:variant>
        <vt:lpstr>Titre</vt:lpstr>
      </vt:variant>
      <vt:variant>
        <vt:i4>1</vt:i4>
      </vt:variant>
      <vt:variant>
        <vt:lpstr>Titres</vt:lpstr>
      </vt:variant>
      <vt:variant>
        <vt:i4>4</vt:i4>
      </vt:variant>
      <vt:variant>
        <vt:lpstr>Title</vt:lpstr>
      </vt:variant>
      <vt:variant>
        <vt:i4>1</vt:i4>
      </vt:variant>
    </vt:vector>
  </HeadingPairs>
  <TitlesOfParts>
    <vt:vector size="6" baseType="lpstr">
      <vt:lpstr>Financial mechanism</vt:lpstr>
      <vt:lpstr>&lt;mécanisme de financement&gt;</vt:lpstr>
      <vt:lpstr>    Rapport provisoire sur l'évaluation complète des fonds nécessaires et disponible</vt:lpstr>
      <vt:lpstr>INTRODUCTION</vt:lpstr>
      <vt:lpstr>Rapport d'activité sur l'évaluation des besoins de financement et d'investisseme</vt:lpstr>
      <vt:lpstr>Financial mechanism</vt:lpstr>
    </vt:vector>
  </TitlesOfParts>
  <Manager/>
  <Company>United Nations</Company>
  <LinksUpToDate>false</LinksUpToDate>
  <CharactersWithSpaces>60608</CharactersWithSpaces>
  <SharedDoc>false</SharedDoc>
  <HyperlinkBase/>
  <HLinks>
    <vt:vector size="294" baseType="variant">
      <vt:variant>
        <vt:i4>524361</vt:i4>
      </vt:variant>
      <vt:variant>
        <vt:i4>153</vt:i4>
      </vt:variant>
      <vt:variant>
        <vt:i4>0</vt:i4>
      </vt:variant>
      <vt:variant>
        <vt:i4>5</vt:i4>
      </vt:variant>
      <vt:variant>
        <vt:lpwstr>https://www.cbd.int/doc/decisions/cop-14/cop-14-dec-37-en.pdf</vt:lpwstr>
      </vt:variant>
      <vt:variant>
        <vt:lpwstr/>
      </vt:variant>
      <vt:variant>
        <vt:i4>7798832</vt:i4>
      </vt:variant>
      <vt:variant>
        <vt:i4>150</vt:i4>
      </vt:variant>
      <vt:variant>
        <vt:i4>0</vt:i4>
      </vt:variant>
      <vt:variant>
        <vt:i4>5</vt:i4>
      </vt:variant>
      <vt:variant>
        <vt:lpwstr>https://www.cbd.int/doc/decisions/np-mop-03/np-mop-03-dec-13-en.pdf</vt:lpwstr>
      </vt:variant>
      <vt:variant>
        <vt:lpwstr/>
      </vt:variant>
      <vt:variant>
        <vt:i4>7340080</vt:i4>
      </vt:variant>
      <vt:variant>
        <vt:i4>147</vt:i4>
      </vt:variant>
      <vt:variant>
        <vt:i4>0</vt:i4>
      </vt:variant>
      <vt:variant>
        <vt:i4>5</vt:i4>
      </vt:variant>
      <vt:variant>
        <vt:lpwstr>https://www.cbd.int/doc/decisions/np-mop-03/np-mop-03-dec-14-en.pdf</vt:lpwstr>
      </vt:variant>
      <vt:variant>
        <vt:lpwstr/>
      </vt:variant>
      <vt:variant>
        <vt:i4>6881329</vt:i4>
      </vt:variant>
      <vt:variant>
        <vt:i4>144</vt:i4>
      </vt:variant>
      <vt:variant>
        <vt:i4>0</vt:i4>
      </vt:variant>
      <vt:variant>
        <vt:i4>5</vt:i4>
      </vt:variant>
      <vt:variant>
        <vt:lpwstr>https://www.ipbes.net/global-assessment-report-biodiversity-ecosystem-services</vt:lpwstr>
      </vt:variant>
      <vt:variant>
        <vt:lpwstr/>
      </vt:variant>
      <vt:variant>
        <vt:i4>3866668</vt:i4>
      </vt:variant>
      <vt:variant>
        <vt:i4>141</vt:i4>
      </vt:variant>
      <vt:variant>
        <vt:i4>0</vt:i4>
      </vt:variant>
      <vt:variant>
        <vt:i4>5</vt:i4>
      </vt:variant>
      <vt:variant>
        <vt:lpwstr>https://www.cbd.int/health/ilg-health/default.shtml</vt:lpwstr>
      </vt:variant>
      <vt:variant>
        <vt:lpwstr/>
      </vt:variant>
      <vt:variant>
        <vt:i4>720970</vt:i4>
      </vt:variant>
      <vt:variant>
        <vt:i4>138</vt:i4>
      </vt:variant>
      <vt:variant>
        <vt:i4>0</vt:i4>
      </vt:variant>
      <vt:variant>
        <vt:i4>5</vt:i4>
      </vt:variant>
      <vt:variant>
        <vt:lpwstr>https://www.cbd.int/doc/decisions/cop-14/cop-14-dec-04-en.pdf</vt:lpwstr>
      </vt:variant>
      <vt:variant>
        <vt:lpwstr/>
      </vt:variant>
      <vt:variant>
        <vt:i4>786506</vt:i4>
      </vt:variant>
      <vt:variant>
        <vt:i4>135</vt:i4>
      </vt:variant>
      <vt:variant>
        <vt:i4>0</vt:i4>
      </vt:variant>
      <vt:variant>
        <vt:i4>5</vt:i4>
      </vt:variant>
      <vt:variant>
        <vt:lpwstr>https://www.cbd.int/doc/decisions/cop-14/cop-14-dec-03-en.pdf</vt:lpwstr>
      </vt:variant>
      <vt:variant>
        <vt:lpwstr/>
      </vt:variant>
      <vt:variant>
        <vt:i4>720973</vt:i4>
      </vt:variant>
      <vt:variant>
        <vt:i4>132</vt:i4>
      </vt:variant>
      <vt:variant>
        <vt:i4>0</vt:i4>
      </vt:variant>
      <vt:variant>
        <vt:i4>5</vt:i4>
      </vt:variant>
      <vt:variant>
        <vt:lpwstr>https://www.cbd.int/doc/decisions/cop-13/cop-13-dec-03-en.pdf</vt:lpwstr>
      </vt:variant>
      <vt:variant>
        <vt:lpwstr/>
      </vt:variant>
      <vt:variant>
        <vt:i4>7733296</vt:i4>
      </vt:variant>
      <vt:variant>
        <vt:i4>129</vt:i4>
      </vt:variant>
      <vt:variant>
        <vt:i4>0</vt:i4>
      </vt:variant>
      <vt:variant>
        <vt:i4>5</vt:i4>
      </vt:variant>
      <vt:variant>
        <vt:lpwstr>https://www.cbd.int/doc/decisions/np-mop-02/np-mop-02-dec-12-en.pdf</vt:lpwstr>
      </vt:variant>
      <vt:variant>
        <vt:lpwstr/>
      </vt:variant>
      <vt:variant>
        <vt:i4>6750332</vt:i4>
      </vt:variant>
      <vt:variant>
        <vt:i4>126</vt:i4>
      </vt:variant>
      <vt:variant>
        <vt:i4>0</vt:i4>
      </vt:variant>
      <vt:variant>
        <vt:i4>5</vt:i4>
      </vt:variant>
      <vt:variant>
        <vt:lpwstr>http://bch.cbd.int/protocol/decisions/?decisionID=13540</vt:lpwstr>
      </vt:variant>
      <vt:variant>
        <vt:lpwstr/>
      </vt:variant>
      <vt:variant>
        <vt:i4>917583</vt:i4>
      </vt:variant>
      <vt:variant>
        <vt:i4>123</vt:i4>
      </vt:variant>
      <vt:variant>
        <vt:i4>0</vt:i4>
      </vt:variant>
      <vt:variant>
        <vt:i4>5</vt:i4>
      </vt:variant>
      <vt:variant>
        <vt:lpwstr>https://www.cbd.int/doc/decisions/cop-13/cop-13-dec-26-en.pdf</vt:lpwstr>
      </vt:variant>
      <vt:variant>
        <vt:lpwstr/>
      </vt:variant>
      <vt:variant>
        <vt:i4>6684794</vt:i4>
      </vt:variant>
      <vt:variant>
        <vt:i4>120</vt:i4>
      </vt:variant>
      <vt:variant>
        <vt:i4>0</vt:i4>
      </vt:variant>
      <vt:variant>
        <vt:i4>5</vt:i4>
      </vt:variant>
      <vt:variant>
        <vt:lpwstr>http://bch.cbd.int/protocol/decisions/?decisionID=13356</vt:lpwstr>
      </vt:variant>
      <vt:variant>
        <vt:lpwstr/>
      </vt:variant>
      <vt:variant>
        <vt:i4>7733296</vt:i4>
      </vt:variant>
      <vt:variant>
        <vt:i4>117</vt:i4>
      </vt:variant>
      <vt:variant>
        <vt:i4>0</vt:i4>
      </vt:variant>
      <vt:variant>
        <vt:i4>5</vt:i4>
      </vt:variant>
      <vt:variant>
        <vt:lpwstr>https://www.cbd.int/doc/decisions/np-mop-01/np-mop-01-dec-12-en.pdf</vt:lpwstr>
      </vt:variant>
      <vt:variant>
        <vt:lpwstr/>
      </vt:variant>
      <vt:variant>
        <vt:i4>917582</vt:i4>
      </vt:variant>
      <vt:variant>
        <vt:i4>114</vt:i4>
      </vt:variant>
      <vt:variant>
        <vt:i4>0</vt:i4>
      </vt:variant>
      <vt:variant>
        <vt:i4>5</vt:i4>
      </vt:variant>
      <vt:variant>
        <vt:lpwstr>https://www.cbd.int/doc/decisions/cop-12/cop-12-dec-27-en.pdf</vt:lpwstr>
      </vt:variant>
      <vt:variant>
        <vt:lpwstr/>
      </vt:variant>
      <vt:variant>
        <vt:i4>524367</vt:i4>
      </vt:variant>
      <vt:variant>
        <vt:i4>111</vt:i4>
      </vt:variant>
      <vt:variant>
        <vt:i4>0</vt:i4>
      </vt:variant>
      <vt:variant>
        <vt:i4>5</vt:i4>
      </vt:variant>
      <vt:variant>
        <vt:lpwstr>https://www.cbd.int/doc/decisions/cop-12/cop-12-dec-31-en.pdf</vt:lpwstr>
      </vt:variant>
      <vt:variant>
        <vt:lpwstr/>
      </vt:variant>
      <vt:variant>
        <vt:i4>524360</vt:i4>
      </vt:variant>
      <vt:variant>
        <vt:i4>108</vt:i4>
      </vt:variant>
      <vt:variant>
        <vt:i4>0</vt:i4>
      </vt:variant>
      <vt:variant>
        <vt:i4>5</vt:i4>
      </vt:variant>
      <vt:variant>
        <vt:lpwstr>https://www.cbd.int/doc/decisions/cop-14/cop-14-dec-27-en.pdf</vt:lpwstr>
      </vt:variant>
      <vt:variant>
        <vt:lpwstr/>
      </vt:variant>
      <vt:variant>
        <vt:i4>393288</vt:i4>
      </vt:variant>
      <vt:variant>
        <vt:i4>105</vt:i4>
      </vt:variant>
      <vt:variant>
        <vt:i4>0</vt:i4>
      </vt:variant>
      <vt:variant>
        <vt:i4>5</vt:i4>
      </vt:variant>
      <vt:variant>
        <vt:lpwstr>https://www.cbd.int/doc/decisions/cop-14/cop-14-dec-29-en.pdf</vt:lpwstr>
      </vt:variant>
      <vt:variant>
        <vt:lpwstr/>
      </vt:variant>
      <vt:variant>
        <vt:i4>983113</vt:i4>
      </vt:variant>
      <vt:variant>
        <vt:i4>102</vt:i4>
      </vt:variant>
      <vt:variant>
        <vt:i4>0</vt:i4>
      </vt:variant>
      <vt:variant>
        <vt:i4>5</vt:i4>
      </vt:variant>
      <vt:variant>
        <vt:lpwstr>https://www.cbd.int/doc/decisions/cop-14/cop-14-dec-30-en.pdf</vt:lpwstr>
      </vt:variant>
      <vt:variant>
        <vt:lpwstr/>
      </vt:variant>
      <vt:variant>
        <vt:i4>655439</vt:i4>
      </vt:variant>
      <vt:variant>
        <vt:i4>99</vt:i4>
      </vt:variant>
      <vt:variant>
        <vt:i4>0</vt:i4>
      </vt:variant>
      <vt:variant>
        <vt:i4>5</vt:i4>
      </vt:variant>
      <vt:variant>
        <vt:lpwstr>https://www.cbd.int/doc/decisions/cop-13/cop-13-dec-22-en.pdf</vt:lpwstr>
      </vt:variant>
      <vt:variant>
        <vt:lpwstr/>
      </vt:variant>
      <vt:variant>
        <vt:i4>589896</vt:i4>
      </vt:variant>
      <vt:variant>
        <vt:i4>96</vt:i4>
      </vt:variant>
      <vt:variant>
        <vt:i4>0</vt:i4>
      </vt:variant>
      <vt:variant>
        <vt:i4>5</vt:i4>
      </vt:variant>
      <vt:variant>
        <vt:lpwstr>https://www.cbd.int/doc/decisions/cop-14/cop-14-dec-26-en.pdf</vt:lpwstr>
      </vt:variant>
      <vt:variant>
        <vt:lpwstr/>
      </vt:variant>
      <vt:variant>
        <vt:i4>655432</vt:i4>
      </vt:variant>
      <vt:variant>
        <vt:i4>93</vt:i4>
      </vt:variant>
      <vt:variant>
        <vt:i4>0</vt:i4>
      </vt:variant>
      <vt:variant>
        <vt:i4>5</vt:i4>
      </vt:variant>
      <vt:variant>
        <vt:lpwstr>https://www.cbd.int/doc/decisions/cop-14/cop-14-dec-25-en.pdf</vt:lpwstr>
      </vt:variant>
      <vt:variant>
        <vt:lpwstr/>
      </vt:variant>
      <vt:variant>
        <vt:i4>7798833</vt:i4>
      </vt:variant>
      <vt:variant>
        <vt:i4>90</vt:i4>
      </vt:variant>
      <vt:variant>
        <vt:i4>0</vt:i4>
      </vt:variant>
      <vt:variant>
        <vt:i4>5</vt:i4>
      </vt:variant>
      <vt:variant>
        <vt:lpwstr>https://www.cbd.int/doc/decisions/cp-mop-09/cp-mop-09-dec-03-en.pdf</vt:lpwstr>
      </vt:variant>
      <vt:variant>
        <vt:lpwstr/>
      </vt:variant>
      <vt:variant>
        <vt:i4>7471153</vt:i4>
      </vt:variant>
      <vt:variant>
        <vt:i4>87</vt:i4>
      </vt:variant>
      <vt:variant>
        <vt:i4>0</vt:i4>
      </vt:variant>
      <vt:variant>
        <vt:i4>5</vt:i4>
      </vt:variant>
      <vt:variant>
        <vt:lpwstr>https://www.cbd.int/doc/decisions/np-mop-03/np-mop-03-dec-06-en.pdf</vt:lpwstr>
      </vt:variant>
      <vt:variant>
        <vt:lpwstr/>
      </vt:variant>
      <vt:variant>
        <vt:i4>8192049</vt:i4>
      </vt:variant>
      <vt:variant>
        <vt:i4>84</vt:i4>
      </vt:variant>
      <vt:variant>
        <vt:i4>0</vt:i4>
      </vt:variant>
      <vt:variant>
        <vt:i4>5</vt:i4>
      </vt:variant>
      <vt:variant>
        <vt:lpwstr>https://www.cbd.int/doc/decisions/np-mop-01/np-mop-01-dec-09-en.pdf</vt:lpwstr>
      </vt:variant>
      <vt:variant>
        <vt:lpwstr/>
      </vt:variant>
      <vt:variant>
        <vt:i4>7405617</vt:i4>
      </vt:variant>
      <vt:variant>
        <vt:i4>81</vt:i4>
      </vt:variant>
      <vt:variant>
        <vt:i4>0</vt:i4>
      </vt:variant>
      <vt:variant>
        <vt:i4>5</vt:i4>
      </vt:variant>
      <vt:variant>
        <vt:lpwstr>https://www.cbd.int/doc/decisions/np-mop-03/np-mop-03-dec-05-en.pdf</vt:lpwstr>
      </vt:variant>
      <vt:variant>
        <vt:lpwstr/>
      </vt:variant>
      <vt:variant>
        <vt:i4>6750261</vt:i4>
      </vt:variant>
      <vt:variant>
        <vt:i4>78</vt:i4>
      </vt:variant>
      <vt:variant>
        <vt:i4>0</vt:i4>
      </vt:variant>
      <vt:variant>
        <vt:i4>5</vt:i4>
      </vt:variant>
      <vt:variant>
        <vt:lpwstr>https://sustainabledevelopment.un.org/post2015/transformingourworld</vt:lpwstr>
      </vt:variant>
      <vt:variant>
        <vt:lpwstr/>
      </vt:variant>
      <vt:variant>
        <vt:i4>720968</vt:i4>
      </vt:variant>
      <vt:variant>
        <vt:i4>75</vt:i4>
      </vt:variant>
      <vt:variant>
        <vt:i4>0</vt:i4>
      </vt:variant>
      <vt:variant>
        <vt:i4>5</vt:i4>
      </vt:variant>
      <vt:variant>
        <vt:lpwstr>https://www.cbd.int/doc/decisions/cop-14/cop-14-dec-24-en.pdf</vt:lpwstr>
      </vt:variant>
      <vt:variant>
        <vt:lpwstr/>
      </vt:variant>
      <vt:variant>
        <vt:i4>786504</vt:i4>
      </vt:variant>
      <vt:variant>
        <vt:i4>72</vt:i4>
      </vt:variant>
      <vt:variant>
        <vt:i4>0</vt:i4>
      </vt:variant>
      <vt:variant>
        <vt:i4>5</vt:i4>
      </vt:variant>
      <vt:variant>
        <vt:lpwstr>https://www.cbd.int/doc/decisions/cop-14/cop-14-dec-23-en.pdf</vt:lpwstr>
      </vt:variant>
      <vt:variant>
        <vt:lpwstr/>
      </vt:variant>
      <vt:variant>
        <vt:i4>131143</vt:i4>
      </vt:variant>
      <vt:variant>
        <vt:i4>69</vt:i4>
      </vt:variant>
      <vt:variant>
        <vt:i4>0</vt:i4>
      </vt:variant>
      <vt:variant>
        <vt:i4>5</vt:i4>
      </vt:variant>
      <vt:variant>
        <vt:lpwstr>https://www.cbd.int/doc/decisions/cop-09/cop-09-dec-11-en.pdf</vt:lpwstr>
      </vt:variant>
      <vt:variant>
        <vt:lpwstr/>
      </vt:variant>
      <vt:variant>
        <vt:i4>852040</vt:i4>
      </vt:variant>
      <vt:variant>
        <vt:i4>66</vt:i4>
      </vt:variant>
      <vt:variant>
        <vt:i4>0</vt:i4>
      </vt:variant>
      <vt:variant>
        <vt:i4>5</vt:i4>
      </vt:variant>
      <vt:variant>
        <vt:lpwstr>https://www.cbd.int/doc/decisions/cop-14/cop-14-dec-22-en.pdf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5832712</vt:i4>
      </vt:variant>
      <vt:variant>
        <vt:i4>12</vt:i4>
      </vt:variant>
      <vt:variant>
        <vt:i4>0</vt:i4>
      </vt:variant>
      <vt:variant>
        <vt:i4>5</vt:i4>
      </vt:variant>
      <vt:variant>
        <vt:lpwstr>https://www.icao.int/</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mécanisme de financement</dc:title>
  <dc:subject>CBD/SBI/3/6/Add.2</dc:subject>
  <dc:creator>SCBD</dc:creator>
  <cp:keywords>Subsidiary Body on Implementation, third meeting, Convention on Biological Diversity</cp:keywords>
  <dc:description>Interim report on the full assessment of funding necessary and available for the implementation of the Convention for the eighth replenishment period of the Global Environment Facility (July 2022 to June 2026): executive summary</dc:description>
  <cp:lastModifiedBy>Xue He</cp:lastModifiedBy>
  <cp:revision>26</cp:revision>
  <cp:lastPrinted>2019-10-25T23:31:00Z</cp:lastPrinted>
  <dcterms:created xsi:type="dcterms:W3CDTF">2021-03-05T19:53:00Z</dcterms:created>
  <dcterms:modified xsi:type="dcterms:W3CDTF">2021-03-11T14:29:00Z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