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3C10BC" w14:paraId="0E88957F" w14:textId="77777777" w:rsidTr="00CF1848">
        <w:trPr>
          <w:trHeight w:val="709"/>
        </w:trPr>
        <w:tc>
          <w:tcPr>
            <w:tcW w:w="976" w:type="dxa"/>
            <w:tcBorders>
              <w:bottom w:val="single" w:sz="12" w:space="0" w:color="auto"/>
            </w:tcBorders>
          </w:tcPr>
          <w:p w14:paraId="0E88957C" w14:textId="77777777" w:rsidR="00C9161D" w:rsidRPr="00C1145B" w:rsidRDefault="00C9161D" w:rsidP="00060510">
            <w:pPr>
              <w:suppressLineNumbers/>
              <w:suppressAutoHyphens/>
              <w:kinsoku w:val="0"/>
              <w:overflowPunct w:val="0"/>
              <w:autoSpaceDE w:val="0"/>
              <w:autoSpaceDN w:val="0"/>
              <w:adjustRightInd w:val="0"/>
              <w:snapToGrid w:val="0"/>
              <w:rPr>
                <w:snapToGrid w:val="0"/>
                <w:kern w:val="22"/>
              </w:rPr>
            </w:pPr>
            <w:bookmarkStart w:id="0" w:name="_GoBack"/>
            <w:bookmarkEnd w:id="0"/>
            <w:r w:rsidRPr="00C1145B">
              <w:rPr>
                <w:noProof/>
                <w:snapToGrid w:val="0"/>
                <w:kern w:val="22"/>
                <w:lang w:eastAsia="zh-CN"/>
              </w:rPr>
              <w:drawing>
                <wp:inline distT="0" distB="0" distL="0" distR="0" wp14:anchorId="0E8896E2" wp14:editId="0E8896E3">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0E88957D" w14:textId="77777777" w:rsidR="00C9161D" w:rsidRPr="00C1145B" w:rsidRDefault="00C9161D" w:rsidP="00060510">
            <w:pPr>
              <w:suppressLineNumbers/>
              <w:suppressAutoHyphens/>
              <w:kinsoku w:val="0"/>
              <w:overflowPunct w:val="0"/>
              <w:autoSpaceDE w:val="0"/>
              <w:autoSpaceDN w:val="0"/>
              <w:adjustRightInd w:val="0"/>
              <w:snapToGrid w:val="0"/>
              <w:rPr>
                <w:snapToGrid w:val="0"/>
                <w:kern w:val="22"/>
              </w:rPr>
            </w:pPr>
            <w:r w:rsidRPr="00C1145B">
              <w:rPr>
                <w:noProof/>
                <w:snapToGrid w:val="0"/>
                <w:kern w:val="22"/>
                <w:lang w:eastAsia="zh-CN"/>
              </w:rPr>
              <w:drawing>
                <wp:inline distT="0" distB="0" distL="0" distR="0" wp14:anchorId="0E8896E4" wp14:editId="0E8896E5">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0E88957E" w14:textId="77777777" w:rsidR="00C9161D" w:rsidRPr="00FF3624" w:rsidRDefault="00C9161D" w:rsidP="00060510">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sidRPr="00C1145B">
              <w:rPr>
                <w:rFonts w:ascii="Arial" w:hAnsi="Arial" w:cs="Arial"/>
                <w:b/>
                <w:snapToGrid w:val="0"/>
                <w:kern w:val="22"/>
                <w:sz w:val="32"/>
                <w:szCs w:val="32"/>
              </w:rPr>
              <w:t>CBD</w:t>
            </w:r>
          </w:p>
        </w:tc>
      </w:tr>
      <w:tr w:rsidR="00C9161D" w:rsidRPr="003C10BC" w14:paraId="0E889589" w14:textId="77777777" w:rsidTr="00CF1848">
        <w:tc>
          <w:tcPr>
            <w:tcW w:w="6117" w:type="dxa"/>
            <w:gridSpan w:val="2"/>
            <w:tcBorders>
              <w:top w:val="single" w:sz="12" w:space="0" w:color="auto"/>
              <w:bottom w:val="single" w:sz="36" w:space="0" w:color="auto"/>
            </w:tcBorders>
            <w:vAlign w:val="center"/>
          </w:tcPr>
          <w:p w14:paraId="0E889580" w14:textId="77777777" w:rsidR="00C9161D" w:rsidRPr="00C1145B" w:rsidRDefault="00C9161D" w:rsidP="00060510">
            <w:pPr>
              <w:suppressLineNumbers/>
              <w:suppressAutoHyphens/>
              <w:kinsoku w:val="0"/>
              <w:overflowPunct w:val="0"/>
              <w:autoSpaceDE w:val="0"/>
              <w:autoSpaceDN w:val="0"/>
              <w:adjustRightInd w:val="0"/>
              <w:snapToGrid w:val="0"/>
              <w:rPr>
                <w:snapToGrid w:val="0"/>
                <w:kern w:val="22"/>
              </w:rPr>
            </w:pPr>
            <w:r w:rsidRPr="00C1145B">
              <w:rPr>
                <w:noProof/>
                <w:snapToGrid w:val="0"/>
                <w:kern w:val="22"/>
                <w:lang w:eastAsia="zh-CN"/>
              </w:rPr>
              <w:drawing>
                <wp:inline distT="0" distB="0" distL="0" distR="0" wp14:anchorId="0E8896E6" wp14:editId="0E8896E7">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E889581" w14:textId="77777777" w:rsidR="00C9161D" w:rsidRPr="00AE2615" w:rsidRDefault="00C9161D" w:rsidP="00060510">
            <w:pPr>
              <w:suppressLineNumbers/>
              <w:suppressAutoHyphens/>
              <w:kinsoku w:val="0"/>
              <w:overflowPunct w:val="0"/>
              <w:autoSpaceDE w:val="0"/>
              <w:autoSpaceDN w:val="0"/>
              <w:adjustRightInd w:val="0"/>
              <w:snapToGrid w:val="0"/>
              <w:ind w:left="1215"/>
              <w:rPr>
                <w:snapToGrid w:val="0"/>
                <w:kern w:val="22"/>
                <w:szCs w:val="22"/>
              </w:rPr>
            </w:pPr>
            <w:r w:rsidRPr="002B2F82">
              <w:rPr>
                <w:snapToGrid w:val="0"/>
                <w:kern w:val="22"/>
                <w:szCs w:val="22"/>
              </w:rPr>
              <w:t>Distr.</w:t>
            </w:r>
          </w:p>
          <w:p w14:paraId="0E889582" w14:textId="77777777" w:rsidR="00C9161D" w:rsidRPr="00C1145B" w:rsidRDefault="003C10BC" w:rsidP="00060510">
            <w:pPr>
              <w:suppressLineNumbers/>
              <w:suppressAutoHyphens/>
              <w:kinsoku w:val="0"/>
              <w:overflowPunct w:val="0"/>
              <w:autoSpaceDE w:val="0"/>
              <w:autoSpaceDN w:val="0"/>
              <w:adjustRightInd w:val="0"/>
              <w:snapToGrid w:val="0"/>
              <w:ind w:left="1215"/>
              <w:rPr>
                <w:snapToGrid w:val="0"/>
                <w:kern w:val="22"/>
                <w:szCs w:val="22"/>
              </w:rPr>
            </w:pPr>
            <w:sdt>
              <w:sdtPr>
                <w:rPr>
                  <w:caps/>
                  <w:snapToGrid w:val="0"/>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172AF6" w:rsidRPr="00C1145B">
                  <w:rPr>
                    <w:caps/>
                    <w:snapToGrid w:val="0"/>
                    <w:kern w:val="22"/>
                    <w:szCs w:val="22"/>
                  </w:rPr>
                  <w:t>GENERAL</w:t>
                </w:r>
              </w:sdtContent>
            </w:sdt>
          </w:p>
          <w:p w14:paraId="0E889583" w14:textId="77777777" w:rsidR="00C9161D" w:rsidRPr="002B2F82" w:rsidRDefault="00C9161D" w:rsidP="00060510">
            <w:pPr>
              <w:suppressLineNumbers/>
              <w:suppressAutoHyphens/>
              <w:kinsoku w:val="0"/>
              <w:overflowPunct w:val="0"/>
              <w:autoSpaceDE w:val="0"/>
              <w:autoSpaceDN w:val="0"/>
              <w:adjustRightInd w:val="0"/>
              <w:snapToGrid w:val="0"/>
              <w:ind w:left="1215"/>
              <w:rPr>
                <w:snapToGrid w:val="0"/>
                <w:kern w:val="22"/>
                <w:szCs w:val="22"/>
              </w:rPr>
            </w:pPr>
          </w:p>
          <w:p w14:paraId="0E889584" w14:textId="4177C8E3" w:rsidR="00C9161D" w:rsidRPr="00C1145B" w:rsidRDefault="00E17B81" w:rsidP="00E17B81">
            <w:pPr>
              <w:suppressLineNumbers/>
              <w:suppressAutoHyphens/>
              <w:kinsoku w:val="0"/>
              <w:overflowPunct w:val="0"/>
              <w:autoSpaceDE w:val="0"/>
              <w:autoSpaceDN w:val="0"/>
              <w:adjustRightInd w:val="0"/>
              <w:snapToGrid w:val="0"/>
              <w:ind w:left="1215"/>
              <w:rPr>
                <w:snapToGrid w:val="0"/>
                <w:kern w:val="22"/>
                <w:szCs w:val="22"/>
              </w:rPr>
            </w:pPr>
            <w:sdt>
              <w:sdtPr>
                <w:rPr>
                  <w:rFonts w:eastAsia="MS Mincho"/>
                  <w:snapToGrid w:val="0"/>
                  <w:kern w:val="22"/>
                  <w:szCs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Pr="00C1145B">
                  <w:rPr>
                    <w:rFonts w:eastAsia="MS Mincho"/>
                    <w:snapToGrid w:val="0"/>
                    <w:kern w:val="22"/>
                    <w:szCs w:val="22"/>
                    <w:lang w:val="en-US"/>
                  </w:rPr>
                  <w:t>CBD/</w:t>
                </w:r>
                <w:proofErr w:type="spellStart"/>
                <w:r w:rsidRPr="00C1145B">
                  <w:rPr>
                    <w:rFonts w:eastAsia="MS Mincho"/>
                    <w:snapToGrid w:val="0"/>
                    <w:kern w:val="22"/>
                    <w:szCs w:val="22"/>
                    <w:lang w:val="en-US"/>
                  </w:rPr>
                  <w:t>SBI</w:t>
                </w:r>
                <w:proofErr w:type="spellEnd"/>
                <w:r w:rsidRPr="00C1145B">
                  <w:rPr>
                    <w:rFonts w:eastAsia="MS Mincho"/>
                    <w:snapToGrid w:val="0"/>
                    <w:kern w:val="22"/>
                    <w:szCs w:val="22"/>
                    <w:lang w:val="en-US"/>
                  </w:rPr>
                  <w:t>/2/INF/</w:t>
                </w:r>
                <w:r w:rsidRPr="00C1145B">
                  <w:rPr>
                    <w:rFonts w:eastAsia="MS Mincho"/>
                    <w:snapToGrid w:val="0"/>
                    <w:kern w:val="22"/>
                    <w:szCs w:val="22"/>
                    <w:lang w:val="en-US"/>
                  </w:rPr>
                  <w:t>32</w:t>
                </w:r>
              </w:sdtContent>
            </w:sdt>
          </w:p>
          <w:p w14:paraId="0E889585" w14:textId="77777777" w:rsidR="00C9161D" w:rsidRPr="00C1145B" w:rsidRDefault="003C10BC" w:rsidP="00060510">
            <w:pPr>
              <w:suppressLineNumbers/>
              <w:suppressAutoHyphens/>
              <w:kinsoku w:val="0"/>
              <w:overflowPunct w:val="0"/>
              <w:autoSpaceDE w:val="0"/>
              <w:autoSpaceDN w:val="0"/>
              <w:adjustRightInd w:val="0"/>
              <w:snapToGrid w:val="0"/>
              <w:ind w:left="1215"/>
              <w:rPr>
                <w:snapToGrid w:val="0"/>
                <w:kern w:val="22"/>
                <w:szCs w:val="22"/>
              </w:rPr>
            </w:pPr>
            <w:sdt>
              <w:sdtPr>
                <w:rPr>
                  <w:snapToGrid w:val="0"/>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8-06-20T00:00:00Z">
                  <w:dateFormat w:val="d MMMM yyyy"/>
                  <w:lid w:val="en-US"/>
                  <w:storeMappedDataAs w:val="dateTime"/>
                  <w:calendar w:val="gregorian"/>
                </w:date>
              </w:sdtPr>
              <w:sdtEndPr/>
              <w:sdtContent>
                <w:r w:rsidR="003F2853" w:rsidRPr="00C1145B">
                  <w:rPr>
                    <w:snapToGrid w:val="0"/>
                    <w:kern w:val="22"/>
                    <w:szCs w:val="22"/>
                    <w:lang w:val="en-US"/>
                  </w:rPr>
                  <w:t>20</w:t>
                </w:r>
                <w:r w:rsidR="00FE641E" w:rsidRPr="00C1145B">
                  <w:rPr>
                    <w:snapToGrid w:val="0"/>
                    <w:kern w:val="22"/>
                    <w:szCs w:val="22"/>
                    <w:lang w:val="en-US"/>
                  </w:rPr>
                  <w:t xml:space="preserve"> June 2018</w:t>
                </w:r>
              </w:sdtContent>
            </w:sdt>
          </w:p>
          <w:p w14:paraId="0E889586" w14:textId="77777777" w:rsidR="00C9161D" w:rsidRPr="002B2F82" w:rsidRDefault="00C9161D" w:rsidP="00060510">
            <w:pPr>
              <w:suppressLineNumbers/>
              <w:suppressAutoHyphens/>
              <w:kinsoku w:val="0"/>
              <w:overflowPunct w:val="0"/>
              <w:autoSpaceDE w:val="0"/>
              <w:autoSpaceDN w:val="0"/>
              <w:adjustRightInd w:val="0"/>
              <w:snapToGrid w:val="0"/>
              <w:ind w:left="1215"/>
              <w:rPr>
                <w:snapToGrid w:val="0"/>
                <w:kern w:val="22"/>
                <w:szCs w:val="22"/>
              </w:rPr>
            </w:pPr>
          </w:p>
          <w:p w14:paraId="0E889587" w14:textId="78B1149A" w:rsidR="00C9161D" w:rsidRPr="003C10BC" w:rsidRDefault="00C9161D" w:rsidP="00060510">
            <w:pPr>
              <w:suppressLineNumbers/>
              <w:suppressAutoHyphens/>
              <w:kinsoku w:val="0"/>
              <w:overflowPunct w:val="0"/>
              <w:autoSpaceDE w:val="0"/>
              <w:autoSpaceDN w:val="0"/>
              <w:adjustRightInd w:val="0"/>
              <w:snapToGrid w:val="0"/>
              <w:ind w:left="1215"/>
              <w:rPr>
                <w:snapToGrid w:val="0"/>
                <w:kern w:val="22"/>
                <w:szCs w:val="22"/>
              </w:rPr>
            </w:pPr>
            <w:r w:rsidRPr="003C10BC">
              <w:rPr>
                <w:snapToGrid w:val="0"/>
                <w:kern w:val="22"/>
                <w:szCs w:val="22"/>
              </w:rPr>
              <w:t>ENGLISH</w:t>
            </w:r>
            <w:r w:rsidR="00152A22" w:rsidRPr="003C10BC">
              <w:rPr>
                <w:snapToGrid w:val="0"/>
                <w:kern w:val="22"/>
                <w:szCs w:val="22"/>
              </w:rPr>
              <w:t xml:space="preserve"> ONLY</w:t>
            </w:r>
          </w:p>
          <w:p w14:paraId="0E889588" w14:textId="77777777" w:rsidR="00C9161D" w:rsidRPr="003C10BC" w:rsidRDefault="00C9161D" w:rsidP="00060510">
            <w:pPr>
              <w:suppressLineNumbers/>
              <w:suppressAutoHyphens/>
              <w:kinsoku w:val="0"/>
              <w:overflowPunct w:val="0"/>
              <w:autoSpaceDE w:val="0"/>
              <w:autoSpaceDN w:val="0"/>
              <w:adjustRightInd w:val="0"/>
              <w:snapToGrid w:val="0"/>
              <w:rPr>
                <w:snapToGrid w:val="0"/>
                <w:kern w:val="22"/>
              </w:rPr>
            </w:pPr>
          </w:p>
        </w:tc>
      </w:tr>
    </w:tbl>
    <w:p w14:paraId="0E88958A" w14:textId="77777777" w:rsidR="00070D30" w:rsidRPr="006B4586" w:rsidRDefault="00070D30" w:rsidP="00060510">
      <w:pPr>
        <w:suppressLineNumbers/>
        <w:suppressAutoHyphens/>
        <w:kinsoku w:val="0"/>
        <w:overflowPunct w:val="0"/>
        <w:autoSpaceDE w:val="0"/>
        <w:autoSpaceDN w:val="0"/>
        <w:adjustRightInd w:val="0"/>
        <w:snapToGrid w:val="0"/>
        <w:ind w:left="142" w:right="4398" w:hanging="142"/>
        <w:jc w:val="left"/>
        <w:rPr>
          <w:rFonts w:eastAsia="MS Mincho"/>
          <w:snapToGrid w:val="0"/>
          <w:kern w:val="22"/>
          <w:szCs w:val="22"/>
        </w:rPr>
      </w:pPr>
      <w:r w:rsidRPr="00C96C15">
        <w:rPr>
          <w:rFonts w:eastAsia="MS Mincho"/>
          <w:snapToGrid w:val="0"/>
          <w:kern w:val="22"/>
          <w:szCs w:val="22"/>
        </w:rPr>
        <w:t>SUBSIDIARY BODY ON IMPLEMENTATION</w:t>
      </w:r>
    </w:p>
    <w:p w14:paraId="0E88958B" w14:textId="77777777" w:rsidR="00070D30" w:rsidRPr="003C10BC" w:rsidRDefault="00070D30" w:rsidP="00060510">
      <w:pPr>
        <w:suppressLineNumbers/>
        <w:tabs>
          <w:tab w:val="left" w:pos="5954"/>
        </w:tabs>
        <w:suppressAutoHyphens/>
        <w:kinsoku w:val="0"/>
        <w:overflowPunct w:val="0"/>
        <w:autoSpaceDE w:val="0"/>
        <w:autoSpaceDN w:val="0"/>
        <w:adjustRightInd w:val="0"/>
        <w:snapToGrid w:val="0"/>
        <w:ind w:left="142" w:right="3406" w:hanging="142"/>
        <w:jc w:val="left"/>
        <w:rPr>
          <w:rFonts w:eastAsia="MS Mincho"/>
          <w:snapToGrid w:val="0"/>
          <w:kern w:val="22"/>
          <w:szCs w:val="22"/>
        </w:rPr>
      </w:pPr>
      <w:r w:rsidRPr="003C10BC">
        <w:rPr>
          <w:rFonts w:eastAsia="MS Mincho"/>
          <w:snapToGrid w:val="0"/>
          <w:kern w:val="22"/>
          <w:szCs w:val="22"/>
        </w:rPr>
        <w:tab/>
        <w:t>Second meeting</w:t>
      </w:r>
    </w:p>
    <w:p w14:paraId="0E88958C" w14:textId="77777777" w:rsidR="00070D30" w:rsidRPr="003C10BC" w:rsidRDefault="00070D30" w:rsidP="00060510">
      <w:pPr>
        <w:suppressLineNumbers/>
        <w:suppressAutoHyphens/>
        <w:kinsoku w:val="0"/>
        <w:overflowPunct w:val="0"/>
        <w:autoSpaceDE w:val="0"/>
        <w:autoSpaceDN w:val="0"/>
        <w:adjustRightInd w:val="0"/>
        <w:snapToGrid w:val="0"/>
        <w:ind w:left="142" w:right="3124"/>
        <w:jc w:val="left"/>
        <w:rPr>
          <w:rFonts w:eastAsia="MS Mincho"/>
          <w:snapToGrid w:val="0"/>
          <w:kern w:val="22"/>
          <w:szCs w:val="22"/>
        </w:rPr>
      </w:pPr>
      <w:r w:rsidRPr="003C10BC">
        <w:rPr>
          <w:rFonts w:eastAsia="MS Mincho"/>
          <w:snapToGrid w:val="0"/>
          <w:kern w:val="22"/>
          <w:szCs w:val="22"/>
        </w:rPr>
        <w:t>Montreal, Canada, 9-13 July 2018</w:t>
      </w:r>
    </w:p>
    <w:p w14:paraId="0E88958D" w14:textId="77777777" w:rsidR="00C9161D" w:rsidRPr="003C10BC" w:rsidRDefault="00510A83" w:rsidP="00060510">
      <w:pPr>
        <w:suppressLineNumbers/>
        <w:suppressAutoHyphens/>
        <w:kinsoku w:val="0"/>
        <w:overflowPunct w:val="0"/>
        <w:autoSpaceDE w:val="0"/>
        <w:autoSpaceDN w:val="0"/>
        <w:adjustRightInd w:val="0"/>
        <w:snapToGrid w:val="0"/>
        <w:ind w:left="142"/>
        <w:rPr>
          <w:rFonts w:eastAsia="MS Mincho"/>
          <w:snapToGrid w:val="0"/>
          <w:kern w:val="22"/>
          <w:szCs w:val="22"/>
        </w:rPr>
      </w:pPr>
      <w:r w:rsidRPr="003C10BC">
        <w:rPr>
          <w:rFonts w:eastAsia="MS Mincho"/>
          <w:snapToGrid w:val="0"/>
          <w:kern w:val="22"/>
          <w:szCs w:val="22"/>
        </w:rPr>
        <w:t xml:space="preserve">Item </w:t>
      </w:r>
      <w:r w:rsidR="00380A82" w:rsidRPr="003C10BC">
        <w:rPr>
          <w:rFonts w:eastAsia="MS Mincho"/>
          <w:snapToGrid w:val="0"/>
          <w:kern w:val="22"/>
          <w:szCs w:val="22"/>
        </w:rPr>
        <w:t xml:space="preserve">12 </w:t>
      </w:r>
      <w:r w:rsidR="00070D30" w:rsidRPr="003C10BC">
        <w:rPr>
          <w:rFonts w:eastAsia="MS Mincho"/>
          <w:snapToGrid w:val="0"/>
          <w:kern w:val="22"/>
          <w:szCs w:val="22"/>
        </w:rPr>
        <w:t>of the provisional agenda</w:t>
      </w:r>
    </w:p>
    <w:p w14:paraId="0E88958E" w14:textId="77777777" w:rsidR="00EF09FA" w:rsidRPr="003C10BC" w:rsidRDefault="00EF09FA" w:rsidP="00060510">
      <w:pPr>
        <w:suppressLineNumbers/>
        <w:suppressAutoHyphens/>
        <w:kinsoku w:val="0"/>
        <w:overflowPunct w:val="0"/>
        <w:autoSpaceDE w:val="0"/>
        <w:autoSpaceDN w:val="0"/>
        <w:adjustRightInd w:val="0"/>
        <w:snapToGrid w:val="0"/>
        <w:ind w:left="142"/>
        <w:rPr>
          <w:snapToGrid w:val="0"/>
          <w:kern w:val="22"/>
          <w:szCs w:val="22"/>
        </w:rPr>
      </w:pPr>
    </w:p>
    <w:p w14:paraId="0E88958F" w14:textId="0527E1C9" w:rsidR="009A2442" w:rsidRPr="003C10BC" w:rsidRDefault="00E17B81" w:rsidP="003C10BC">
      <w:pPr>
        <w:pStyle w:val="Heading1"/>
        <w:tabs>
          <w:tab w:val="clear" w:pos="720"/>
        </w:tabs>
        <w:rPr>
          <w:snapToGrid w:val="0"/>
          <w:kern w:val="22"/>
        </w:rPr>
      </w:pPr>
      <w:r w:rsidRPr="003C10BC">
        <w:rPr>
          <w:snapToGrid w:val="0"/>
          <w:kern w:val="22"/>
        </w:rPr>
        <w:t>Biodiversity guidance for voluntary national reviews</w:t>
      </w:r>
    </w:p>
    <w:p w14:paraId="50331F4D" w14:textId="1F48E7EA" w:rsidR="00152A22" w:rsidRPr="003C10BC" w:rsidRDefault="00E17B81" w:rsidP="00C1145B">
      <w:pPr>
        <w:pStyle w:val="Heading2noletter"/>
        <w:rPr>
          <w:caps/>
          <w:snapToGrid w:val="0"/>
          <w:kern w:val="22"/>
        </w:rPr>
      </w:pPr>
      <w:sdt>
        <w:sdtPr>
          <w:rPr>
            <w:caps/>
            <w:snapToGrid w:val="0"/>
            <w:kern w:val="22"/>
            <w:lang w:val="en-US"/>
          </w:rPr>
          <w:alias w:val="Title"/>
          <w:tag w:val=""/>
          <w:id w:val="531616817"/>
          <w:placeholder>
            <w:docPart w:val="DB65CDC0D5374851A56F3ABE1532F202"/>
          </w:placeholder>
          <w:dataBinding w:prefixMappings="xmlns:ns0='http://purl.org/dc/elements/1.1/' xmlns:ns1='http://schemas.openxmlformats.org/package/2006/metadata/core-properties' " w:xpath="/ns1:coreProperties[1]/ns0:title[1]" w:storeItemID="{6C3C8BC8-F283-45AE-878A-BAB7291924A1}"/>
          <w:text/>
        </w:sdtPr>
        <w:sdtContent>
          <w:r w:rsidR="00C1145B" w:rsidRPr="003C10BC">
            <w:rPr>
              <w:caps/>
              <w:snapToGrid w:val="0"/>
              <w:kern w:val="22"/>
              <w:lang w:val="en-US"/>
            </w:rPr>
            <w:t>Draft guidance for reporting progress on biodiversity to the High-level Political Forum through voluntary national reviews</w:t>
          </w:r>
        </w:sdtContent>
      </w:sdt>
    </w:p>
    <w:p w14:paraId="0E889591" w14:textId="299A2DEE" w:rsidR="00070D30" w:rsidRPr="006B4586" w:rsidRDefault="00070D30" w:rsidP="00510A83">
      <w:pPr>
        <w:pStyle w:val="Heading2noletter"/>
        <w:rPr>
          <w:b w:val="0"/>
          <w:i/>
          <w:snapToGrid w:val="0"/>
          <w:color w:val="000000"/>
          <w:kern w:val="22"/>
          <w:szCs w:val="22"/>
        </w:rPr>
      </w:pPr>
      <w:r w:rsidRPr="00C96C15">
        <w:rPr>
          <w:b w:val="0"/>
          <w:i/>
          <w:snapToGrid w:val="0"/>
          <w:color w:val="000000"/>
          <w:kern w:val="22"/>
          <w:szCs w:val="22"/>
        </w:rPr>
        <w:t>No</w:t>
      </w:r>
      <w:r w:rsidR="00510A83" w:rsidRPr="006B4586">
        <w:rPr>
          <w:b w:val="0"/>
          <w:i/>
          <w:snapToGrid w:val="0"/>
          <w:color w:val="000000"/>
          <w:kern w:val="22"/>
          <w:szCs w:val="22"/>
        </w:rPr>
        <w:t>te by the Executive Secretary</w:t>
      </w:r>
    </w:p>
    <w:p w14:paraId="0E889592" w14:textId="1B6E9E4F" w:rsidR="009A2442" w:rsidRPr="003C10BC" w:rsidRDefault="00972083" w:rsidP="00972083">
      <w:pPr>
        <w:pStyle w:val="Para1"/>
        <w:ind w:left="0" w:firstLine="0"/>
        <w:rPr>
          <w:rFonts w:eastAsia="Batang" w:cs="Times New Roman"/>
          <w:iCs/>
          <w:snapToGrid w:val="0"/>
          <w:color w:val="000000"/>
          <w:kern w:val="22"/>
          <w:lang w:eastAsia="ja-JP" w:bidi="th-TH"/>
        </w:rPr>
      </w:pPr>
      <w:r w:rsidRPr="002B2F82">
        <w:rPr>
          <w:rFonts w:eastAsia="Batang" w:cs="Times New Roman"/>
          <w:iCs/>
          <w:snapToGrid w:val="0"/>
          <w:color w:val="000000"/>
          <w:kern w:val="22"/>
          <w:lang w:eastAsia="ja-JP" w:bidi="th-TH"/>
        </w:rPr>
        <w:t xml:space="preserve">At its thirteenth meeting, </w:t>
      </w:r>
      <w:r w:rsidR="0033791A" w:rsidRPr="00AE2615">
        <w:rPr>
          <w:rFonts w:eastAsia="Batang" w:cs="Times New Roman"/>
          <w:iCs/>
          <w:snapToGrid w:val="0"/>
          <w:color w:val="000000"/>
          <w:kern w:val="22"/>
          <w:lang w:eastAsia="ja-JP" w:bidi="th-TH"/>
        </w:rPr>
        <w:t xml:space="preserve">the Conference of the Parties </w:t>
      </w:r>
      <w:r w:rsidRPr="00AE2615">
        <w:rPr>
          <w:rFonts w:eastAsia="Batang" w:cs="Times New Roman"/>
          <w:iCs/>
          <w:snapToGrid w:val="0"/>
          <w:color w:val="000000"/>
          <w:kern w:val="22"/>
          <w:lang w:eastAsia="ja-JP" w:bidi="th-TH"/>
        </w:rPr>
        <w:t>urged Parties to mainstream biodiversity in the implementation of all relevant Sustainable Development Goals (SDGs) of the 2030 Agenda for Sustainable Develop</w:t>
      </w:r>
      <w:r w:rsidR="00152A22" w:rsidRPr="003C10BC">
        <w:rPr>
          <w:rFonts w:eastAsia="Batang" w:cs="Times New Roman"/>
          <w:iCs/>
          <w:snapToGrid w:val="0"/>
          <w:color w:val="000000"/>
          <w:kern w:val="22"/>
          <w:lang w:eastAsia="ja-JP" w:bidi="th-TH"/>
        </w:rPr>
        <w:t>ment (decision XIII/3, para.</w:t>
      </w:r>
      <w:r w:rsidRPr="003C10BC">
        <w:rPr>
          <w:rFonts w:eastAsia="Batang" w:cs="Times New Roman"/>
          <w:iCs/>
          <w:snapToGrid w:val="0"/>
          <w:color w:val="000000"/>
          <w:kern w:val="22"/>
          <w:lang w:eastAsia="ja-JP" w:bidi="th-TH"/>
        </w:rPr>
        <w:t xml:space="preserve"> 14). Paragraph 104 of the same decision requested the Executive Secretary to support Parties in their efforts to utilize an integrated approach towards achieving the implementation of the 2030 Agenda and national biodiversity strategies and action plans.</w:t>
      </w:r>
    </w:p>
    <w:p w14:paraId="0E889593" w14:textId="09C5F511" w:rsidR="00972083" w:rsidRPr="00C1145B" w:rsidRDefault="00972083" w:rsidP="00D21034">
      <w:pPr>
        <w:pStyle w:val="Para1"/>
        <w:ind w:left="0" w:firstLine="0"/>
        <w:rPr>
          <w:rFonts w:eastAsia="Batang"/>
          <w:iCs/>
          <w:snapToGrid w:val="0"/>
          <w:color w:val="000000"/>
          <w:kern w:val="22"/>
          <w:lang w:eastAsia="ja-JP" w:bidi="th-TH"/>
        </w:rPr>
      </w:pPr>
      <w:r w:rsidRPr="003C10BC">
        <w:rPr>
          <w:snapToGrid w:val="0"/>
          <w:kern w:val="22"/>
          <w:lang w:eastAsia="ja-JP" w:bidi="th-TH"/>
        </w:rPr>
        <w:t xml:space="preserve">As part of the follow-up and review of the 2030 Agenda for Sustainable Development, States </w:t>
      </w:r>
      <w:r w:rsidR="00FF3624">
        <w:rPr>
          <w:snapToGrid w:val="0"/>
          <w:kern w:val="22"/>
          <w:lang w:eastAsia="ja-JP" w:bidi="th-TH"/>
        </w:rPr>
        <w:t xml:space="preserve">Members </w:t>
      </w:r>
      <w:r w:rsidRPr="003C10BC">
        <w:rPr>
          <w:snapToGrid w:val="0"/>
          <w:kern w:val="22"/>
          <w:lang w:eastAsia="ja-JP" w:bidi="th-TH"/>
        </w:rPr>
        <w:t>of the United Nations are encouraged to conduct regular and inclusive reviews of p</w:t>
      </w:r>
      <w:r w:rsidR="00152A22" w:rsidRPr="003C10BC">
        <w:rPr>
          <w:snapToGrid w:val="0"/>
          <w:kern w:val="22"/>
          <w:lang w:eastAsia="ja-JP" w:bidi="th-TH"/>
        </w:rPr>
        <w:t>rogress at the national and sub</w:t>
      </w:r>
      <w:r w:rsidRPr="003C10BC">
        <w:rPr>
          <w:snapToGrid w:val="0"/>
          <w:kern w:val="22"/>
          <w:lang w:eastAsia="ja-JP" w:bidi="th-TH"/>
        </w:rPr>
        <w:t xml:space="preserve">national levels, which are country-led and country-driven. These </w:t>
      </w:r>
      <w:r w:rsidR="00FF3624">
        <w:rPr>
          <w:snapToGrid w:val="0"/>
          <w:kern w:val="22"/>
          <w:lang w:eastAsia="ja-JP" w:bidi="th-TH"/>
        </w:rPr>
        <w:t>v</w:t>
      </w:r>
      <w:r w:rsidRPr="003C10BC">
        <w:rPr>
          <w:snapToGrid w:val="0"/>
          <w:kern w:val="22"/>
          <w:lang w:eastAsia="ja-JP" w:bidi="th-TH"/>
        </w:rPr>
        <w:t xml:space="preserve">oluntary </w:t>
      </w:r>
      <w:r w:rsidR="00FF3624">
        <w:rPr>
          <w:snapToGrid w:val="0"/>
          <w:kern w:val="22"/>
          <w:lang w:eastAsia="ja-JP" w:bidi="th-TH"/>
        </w:rPr>
        <w:t>n</w:t>
      </w:r>
      <w:r w:rsidRPr="003C10BC">
        <w:rPr>
          <w:snapToGrid w:val="0"/>
          <w:kern w:val="22"/>
          <w:lang w:eastAsia="ja-JP" w:bidi="th-TH"/>
        </w:rPr>
        <w:t xml:space="preserve">ational </w:t>
      </w:r>
      <w:r w:rsidR="00FF3624">
        <w:rPr>
          <w:snapToGrid w:val="0"/>
          <w:kern w:val="22"/>
          <w:lang w:eastAsia="ja-JP" w:bidi="th-TH"/>
        </w:rPr>
        <w:t>r</w:t>
      </w:r>
      <w:r w:rsidRPr="003C10BC">
        <w:rPr>
          <w:snapToGrid w:val="0"/>
          <w:kern w:val="22"/>
          <w:lang w:eastAsia="ja-JP" w:bidi="th-TH"/>
        </w:rPr>
        <w:t>eviews (</w:t>
      </w:r>
      <w:proofErr w:type="spellStart"/>
      <w:r w:rsidRPr="003C10BC">
        <w:rPr>
          <w:snapToGrid w:val="0"/>
          <w:kern w:val="22"/>
          <w:lang w:eastAsia="ja-JP" w:bidi="th-TH"/>
        </w:rPr>
        <w:t>VNRs</w:t>
      </w:r>
      <w:proofErr w:type="spellEnd"/>
      <w:r w:rsidRPr="003C10BC">
        <w:rPr>
          <w:snapToGrid w:val="0"/>
          <w:kern w:val="22"/>
          <w:lang w:eastAsia="ja-JP" w:bidi="th-TH"/>
        </w:rPr>
        <w:t>) are presented annually at the High-level Political Forum on Sustainable Development.</w:t>
      </w:r>
    </w:p>
    <w:p w14:paraId="0E889594" w14:textId="4E24B1B0" w:rsidR="00972083" w:rsidRPr="00FF3624" w:rsidRDefault="00972083" w:rsidP="0005668A">
      <w:pPr>
        <w:pStyle w:val="Para1"/>
        <w:ind w:left="0" w:firstLine="0"/>
        <w:rPr>
          <w:rFonts w:eastAsia="Batang"/>
          <w:iCs/>
          <w:snapToGrid w:val="0"/>
          <w:color w:val="000000"/>
          <w:kern w:val="22"/>
          <w:lang w:eastAsia="ja-JP" w:bidi="th-TH"/>
        </w:rPr>
      </w:pPr>
      <w:r w:rsidRPr="003C10BC">
        <w:rPr>
          <w:snapToGrid w:val="0"/>
          <w:kern w:val="22"/>
          <w:lang w:eastAsia="ja-JP" w:bidi="th-TH"/>
        </w:rPr>
        <w:t>The</w:t>
      </w:r>
      <w:r w:rsidR="0033791A" w:rsidRPr="00C1145B">
        <w:rPr>
          <w:rFonts w:eastAsia="Batang"/>
          <w:iCs/>
          <w:snapToGrid w:val="0"/>
          <w:color w:val="000000"/>
          <w:kern w:val="22"/>
          <w:lang w:eastAsia="ja-JP" w:bidi="th-TH"/>
        </w:rPr>
        <w:t xml:space="preserve"> 2018 </w:t>
      </w:r>
      <w:r w:rsidRPr="00C1145B">
        <w:rPr>
          <w:rFonts w:eastAsia="Batang"/>
          <w:iCs/>
          <w:snapToGrid w:val="0"/>
          <w:color w:val="000000"/>
          <w:kern w:val="22"/>
          <w:lang w:eastAsia="ja-JP" w:bidi="th-TH"/>
        </w:rPr>
        <w:t>H</w:t>
      </w:r>
      <w:r w:rsidR="00152A22" w:rsidRPr="00FF3624">
        <w:rPr>
          <w:rFonts w:eastAsia="Batang"/>
          <w:iCs/>
          <w:snapToGrid w:val="0"/>
          <w:color w:val="000000"/>
          <w:kern w:val="22"/>
          <w:lang w:eastAsia="ja-JP" w:bidi="th-TH"/>
        </w:rPr>
        <w:t>igh-level Political Forum</w:t>
      </w:r>
      <w:r w:rsidRPr="00FF3624">
        <w:rPr>
          <w:rFonts w:eastAsia="Batang"/>
          <w:iCs/>
          <w:snapToGrid w:val="0"/>
          <w:color w:val="000000"/>
          <w:kern w:val="22"/>
          <w:lang w:eastAsia="ja-JP" w:bidi="th-TH"/>
        </w:rPr>
        <w:t xml:space="preserve">, convened under the auspices of the Economic and Social Council from 9 to 18 July 2018, will address SDG 15 on terrestrial ecosystems and biodiversity. It will also address other SDGs of relevance to biodiversity: Goal 6 on clean water and sanitation, Goal 7 on affordable and clean energy, Goal 11 on sustainable cities and communities, </w:t>
      </w:r>
      <w:r w:rsidRPr="0005668A">
        <w:rPr>
          <w:rFonts w:eastAsia="Batang"/>
          <w:iCs/>
          <w:snapToGrid w:val="0"/>
          <w:color w:val="000000"/>
          <w:kern w:val="22"/>
          <w:lang w:eastAsia="ja-JP" w:bidi="th-TH"/>
        </w:rPr>
        <w:t xml:space="preserve">Goal 12 on responsible consumption and production, and Goal 17 on partnerships. </w:t>
      </w:r>
      <w:r w:rsidR="005625D1">
        <w:rPr>
          <w:rFonts w:eastAsia="Batang"/>
          <w:iCs/>
          <w:snapToGrid w:val="0"/>
          <w:color w:val="000000"/>
          <w:kern w:val="22"/>
          <w:lang w:eastAsia="ja-JP" w:bidi="th-TH"/>
        </w:rPr>
        <w:t>A total of</w:t>
      </w:r>
      <w:r w:rsidRPr="0005668A">
        <w:rPr>
          <w:rFonts w:eastAsia="Batang"/>
          <w:iCs/>
          <w:snapToGrid w:val="0"/>
          <w:color w:val="000000"/>
          <w:kern w:val="22"/>
          <w:lang w:eastAsia="ja-JP" w:bidi="th-TH"/>
        </w:rPr>
        <w:t xml:space="preserve"> 47 countries will be presenting VNRs at the 2018 </w:t>
      </w:r>
      <w:r w:rsidR="00FF3624" w:rsidRPr="00080E46">
        <w:rPr>
          <w:snapToGrid w:val="0"/>
          <w:kern w:val="22"/>
          <w:lang w:eastAsia="ja-JP" w:bidi="th-TH"/>
        </w:rPr>
        <w:t>High-level Political Forum</w:t>
      </w:r>
      <w:r w:rsidRPr="00FF3624">
        <w:rPr>
          <w:rFonts w:eastAsia="Batang"/>
          <w:iCs/>
          <w:snapToGrid w:val="0"/>
          <w:color w:val="000000"/>
          <w:kern w:val="22"/>
          <w:lang w:eastAsia="ja-JP" w:bidi="th-TH"/>
        </w:rPr>
        <w:t>.</w:t>
      </w:r>
    </w:p>
    <w:p w14:paraId="0E889595" w14:textId="77777777" w:rsidR="00972083" w:rsidRPr="003C10BC" w:rsidRDefault="00972083" w:rsidP="00972083">
      <w:pPr>
        <w:pStyle w:val="Para1"/>
        <w:ind w:left="0" w:firstLine="0"/>
        <w:rPr>
          <w:rFonts w:eastAsia="Batang"/>
          <w:iCs/>
          <w:snapToGrid w:val="0"/>
          <w:color w:val="000000"/>
          <w:kern w:val="22"/>
          <w:lang w:eastAsia="ja-JP" w:bidi="th-TH"/>
        </w:rPr>
      </w:pPr>
      <w:r w:rsidRPr="002B2F82">
        <w:rPr>
          <w:rFonts w:eastAsia="Batang"/>
          <w:iCs/>
          <w:snapToGrid w:val="0"/>
          <w:color w:val="000000"/>
          <w:kern w:val="22"/>
          <w:lang w:eastAsia="ja-JP" w:bidi="th-TH"/>
        </w:rPr>
        <w:t>Notification 2018/005 of 18 January 2018 alerted Parties with respect to the focus of the 2018 HLPF, and urged them to h</w:t>
      </w:r>
      <w:r w:rsidRPr="003C10BC">
        <w:rPr>
          <w:rFonts w:eastAsia="Batang"/>
          <w:iCs/>
          <w:snapToGrid w:val="0"/>
          <w:color w:val="000000"/>
          <w:kern w:val="22"/>
          <w:lang w:eastAsia="ja-JP" w:bidi="th-TH"/>
        </w:rPr>
        <w:t>ighlight the specific role of biodiversity and ecosystems for sustainable development in their interventions during the High-level Political Forum, including in the voluntary national reviews that will be presented during the forum.</w:t>
      </w:r>
    </w:p>
    <w:p w14:paraId="0E889596" w14:textId="6DD439F2" w:rsidR="00E13C07" w:rsidRPr="002B2F82" w:rsidRDefault="00E13C07" w:rsidP="00AE2615">
      <w:pPr>
        <w:pStyle w:val="Para1"/>
        <w:ind w:left="0" w:firstLine="0"/>
        <w:rPr>
          <w:rFonts w:eastAsia="Batang"/>
          <w:iCs/>
          <w:snapToGrid w:val="0"/>
          <w:color w:val="000000"/>
          <w:kern w:val="22"/>
          <w:lang w:eastAsia="ja-JP" w:bidi="th-TH"/>
        </w:rPr>
      </w:pPr>
      <w:r w:rsidRPr="003C10BC">
        <w:rPr>
          <w:rFonts w:eastAsia="Batang"/>
          <w:iCs/>
          <w:snapToGrid w:val="0"/>
          <w:color w:val="000000"/>
          <w:kern w:val="22"/>
          <w:lang w:eastAsia="ja-JP" w:bidi="th-TH"/>
        </w:rPr>
        <w:t>As part of its efforts to support Parties in utilizing integrated approaches, the Executive Secretary, with financial support</w:t>
      </w:r>
      <w:r w:rsidR="0033791A" w:rsidRPr="003C10BC">
        <w:rPr>
          <w:rFonts w:eastAsia="Batang"/>
          <w:iCs/>
          <w:snapToGrid w:val="0"/>
          <w:color w:val="000000"/>
          <w:kern w:val="22"/>
          <w:lang w:eastAsia="ja-JP" w:bidi="th-TH"/>
        </w:rPr>
        <w:t xml:space="preserve"> provided by</w:t>
      </w:r>
      <w:r w:rsidRPr="003C10BC">
        <w:rPr>
          <w:rFonts w:eastAsia="Batang"/>
          <w:iCs/>
          <w:snapToGrid w:val="0"/>
          <w:color w:val="000000"/>
          <w:kern w:val="22"/>
          <w:lang w:eastAsia="ja-JP" w:bidi="th-TH"/>
        </w:rPr>
        <w:t xml:space="preserve"> the European Union</w:t>
      </w:r>
      <w:r w:rsidR="0033791A" w:rsidRPr="003C10BC">
        <w:rPr>
          <w:rFonts w:eastAsia="Batang"/>
          <w:iCs/>
          <w:snapToGrid w:val="0"/>
          <w:color w:val="000000"/>
          <w:kern w:val="22"/>
          <w:lang w:eastAsia="ja-JP" w:bidi="th-TH"/>
        </w:rPr>
        <w:t xml:space="preserve">, initiated the preparation of </w:t>
      </w:r>
      <w:r w:rsidRPr="003C10BC">
        <w:rPr>
          <w:rFonts w:eastAsia="Batang"/>
          <w:iCs/>
          <w:snapToGrid w:val="0"/>
          <w:color w:val="000000"/>
          <w:kern w:val="22"/>
          <w:lang w:eastAsia="ja-JP" w:bidi="th-TH"/>
        </w:rPr>
        <w:t xml:space="preserve">guidance for the integration of biodiversity considerations in </w:t>
      </w:r>
      <w:proofErr w:type="spellStart"/>
      <w:r w:rsidR="00AE2615">
        <w:rPr>
          <w:rFonts w:eastAsia="Batang"/>
          <w:iCs/>
          <w:snapToGrid w:val="0"/>
          <w:color w:val="000000"/>
          <w:kern w:val="22"/>
          <w:lang w:eastAsia="ja-JP" w:bidi="th-TH"/>
        </w:rPr>
        <w:t>VNRs</w:t>
      </w:r>
      <w:proofErr w:type="spellEnd"/>
      <w:r w:rsidRPr="00AE2615">
        <w:rPr>
          <w:rFonts w:eastAsia="Batang"/>
          <w:iCs/>
          <w:snapToGrid w:val="0"/>
          <w:color w:val="000000"/>
          <w:kern w:val="22"/>
          <w:lang w:eastAsia="ja-JP" w:bidi="th-TH"/>
        </w:rPr>
        <w:t>, providing good</w:t>
      </w:r>
      <w:r w:rsidR="00AE2615">
        <w:rPr>
          <w:rFonts w:eastAsia="Batang"/>
          <w:iCs/>
          <w:snapToGrid w:val="0"/>
          <w:color w:val="000000"/>
          <w:kern w:val="22"/>
          <w:lang w:eastAsia="ja-JP" w:bidi="th-TH"/>
        </w:rPr>
        <w:t>-</w:t>
      </w:r>
      <w:r w:rsidRPr="00AE2615">
        <w:rPr>
          <w:rFonts w:eastAsia="Batang"/>
          <w:iCs/>
          <w:snapToGrid w:val="0"/>
          <w:color w:val="000000"/>
          <w:kern w:val="22"/>
          <w:lang w:eastAsia="ja-JP" w:bidi="th-TH"/>
        </w:rPr>
        <w:t xml:space="preserve">practice examples taken from </w:t>
      </w:r>
      <w:proofErr w:type="spellStart"/>
      <w:r w:rsidR="002B2F82">
        <w:rPr>
          <w:rFonts w:eastAsia="Batang"/>
          <w:iCs/>
          <w:snapToGrid w:val="0"/>
          <w:color w:val="000000"/>
          <w:kern w:val="22"/>
          <w:lang w:eastAsia="ja-JP" w:bidi="th-TH"/>
        </w:rPr>
        <w:t>VNRs</w:t>
      </w:r>
      <w:proofErr w:type="spellEnd"/>
      <w:r w:rsidRPr="002B2F82">
        <w:rPr>
          <w:rFonts w:eastAsia="Batang"/>
          <w:iCs/>
          <w:snapToGrid w:val="0"/>
          <w:color w:val="000000"/>
          <w:kern w:val="22"/>
          <w:lang w:eastAsia="ja-JP" w:bidi="th-TH"/>
        </w:rPr>
        <w:t xml:space="preserve"> prepared for the 2017 </w:t>
      </w:r>
      <w:r w:rsidR="00FF3624" w:rsidRPr="00080E46">
        <w:rPr>
          <w:snapToGrid w:val="0"/>
          <w:kern w:val="22"/>
          <w:lang w:eastAsia="ja-JP" w:bidi="th-TH"/>
        </w:rPr>
        <w:t>High-level Political Forum</w:t>
      </w:r>
      <w:r w:rsidR="00FF3624" w:rsidRPr="00FF3624" w:rsidDel="00FF3624">
        <w:rPr>
          <w:rFonts w:eastAsia="Batang"/>
          <w:iCs/>
          <w:snapToGrid w:val="0"/>
          <w:color w:val="000000"/>
          <w:kern w:val="22"/>
          <w:lang w:eastAsia="ja-JP" w:bidi="th-TH"/>
        </w:rPr>
        <w:t xml:space="preserve"> </w:t>
      </w:r>
      <w:r w:rsidRPr="0005668A">
        <w:rPr>
          <w:rFonts w:eastAsia="Batang"/>
          <w:iCs/>
          <w:snapToGrid w:val="0"/>
          <w:color w:val="000000"/>
          <w:kern w:val="22"/>
          <w:lang w:eastAsia="ja-JP" w:bidi="th-TH"/>
        </w:rPr>
        <w:t>and references to relevant outputs and products prepared under the Convention on Biological Diversity.</w:t>
      </w:r>
    </w:p>
    <w:p w14:paraId="0E889598" w14:textId="1CAC877F" w:rsidR="00D44255" w:rsidRPr="003C10BC" w:rsidRDefault="00E13C07" w:rsidP="00152A22">
      <w:pPr>
        <w:pStyle w:val="Para1"/>
        <w:ind w:left="0" w:firstLine="0"/>
        <w:rPr>
          <w:rFonts w:eastAsia="Batang"/>
          <w:iCs/>
          <w:snapToGrid w:val="0"/>
          <w:color w:val="000000"/>
          <w:kern w:val="22"/>
          <w:lang w:eastAsia="ja-JP" w:bidi="th-TH"/>
        </w:rPr>
      </w:pPr>
      <w:r w:rsidRPr="002B2F82">
        <w:rPr>
          <w:rFonts w:eastAsia="Batang"/>
          <w:iCs/>
          <w:snapToGrid w:val="0"/>
          <w:color w:val="000000"/>
          <w:kern w:val="22"/>
          <w:lang w:eastAsia="ja-JP" w:bidi="th-TH"/>
        </w:rPr>
        <w:t>The draft Biodiversity Guidance for Voluntary National R</w:t>
      </w:r>
      <w:r w:rsidRPr="00AE2615">
        <w:rPr>
          <w:rFonts w:eastAsia="Batang"/>
          <w:iCs/>
          <w:snapToGrid w:val="0"/>
          <w:color w:val="000000"/>
          <w:kern w:val="22"/>
          <w:lang w:eastAsia="ja-JP" w:bidi="th-TH"/>
        </w:rPr>
        <w:t xml:space="preserve">eviews is circulated herewith, in the form </w:t>
      </w:r>
      <w:r w:rsidR="00152A22" w:rsidRPr="003C10BC">
        <w:rPr>
          <w:rFonts w:eastAsia="Batang"/>
          <w:iCs/>
          <w:snapToGrid w:val="0"/>
          <w:color w:val="000000"/>
          <w:kern w:val="22"/>
          <w:lang w:eastAsia="ja-JP" w:bidi="th-TH"/>
        </w:rPr>
        <w:t xml:space="preserve">and language </w:t>
      </w:r>
      <w:r w:rsidRPr="003C10BC">
        <w:rPr>
          <w:rFonts w:eastAsia="Batang"/>
          <w:iCs/>
          <w:snapToGrid w:val="0"/>
          <w:color w:val="000000"/>
          <w:kern w:val="22"/>
          <w:lang w:eastAsia="ja-JP" w:bidi="th-TH"/>
        </w:rPr>
        <w:t xml:space="preserve">received, for </w:t>
      </w:r>
      <w:r w:rsidR="00152A22" w:rsidRPr="003C10BC">
        <w:rPr>
          <w:rFonts w:eastAsia="Batang"/>
          <w:iCs/>
          <w:snapToGrid w:val="0"/>
          <w:color w:val="000000"/>
          <w:kern w:val="22"/>
          <w:lang w:eastAsia="ja-JP" w:bidi="th-TH"/>
        </w:rPr>
        <w:t xml:space="preserve">the </w:t>
      </w:r>
      <w:r w:rsidRPr="003C10BC">
        <w:rPr>
          <w:rFonts w:eastAsia="Batang"/>
          <w:iCs/>
          <w:snapToGrid w:val="0"/>
          <w:color w:val="000000"/>
          <w:kern w:val="22"/>
          <w:lang w:eastAsia="ja-JP" w:bidi="th-TH"/>
        </w:rPr>
        <w:t>infor</w:t>
      </w:r>
      <w:r w:rsidR="0033791A" w:rsidRPr="003C10BC">
        <w:rPr>
          <w:rFonts w:eastAsia="Batang"/>
          <w:iCs/>
          <w:snapToGrid w:val="0"/>
          <w:color w:val="000000"/>
          <w:kern w:val="22"/>
          <w:lang w:eastAsia="ja-JP" w:bidi="th-TH"/>
        </w:rPr>
        <w:t xml:space="preserve">mation of </w:t>
      </w:r>
      <w:r w:rsidR="00152A22" w:rsidRPr="003C10BC">
        <w:rPr>
          <w:rFonts w:eastAsia="Batang"/>
          <w:iCs/>
          <w:snapToGrid w:val="0"/>
          <w:color w:val="000000"/>
          <w:kern w:val="22"/>
          <w:lang w:eastAsia="ja-JP" w:bidi="th-TH"/>
        </w:rPr>
        <w:t>participant</w:t>
      </w:r>
      <w:r w:rsidR="00FF3624">
        <w:rPr>
          <w:rFonts w:eastAsia="Batang"/>
          <w:iCs/>
          <w:snapToGrid w:val="0"/>
          <w:color w:val="000000"/>
          <w:kern w:val="22"/>
          <w:lang w:eastAsia="ja-JP" w:bidi="th-TH"/>
        </w:rPr>
        <w:t>s</w:t>
      </w:r>
      <w:r w:rsidR="00152A22" w:rsidRPr="00FF3624">
        <w:rPr>
          <w:rFonts w:eastAsia="Batang"/>
          <w:iCs/>
          <w:snapToGrid w:val="0"/>
          <w:color w:val="000000"/>
          <w:kern w:val="22"/>
          <w:lang w:eastAsia="ja-JP" w:bidi="th-TH"/>
        </w:rPr>
        <w:t xml:space="preserve"> in the second meeting of </w:t>
      </w:r>
      <w:r w:rsidR="0033791A" w:rsidRPr="0005668A">
        <w:rPr>
          <w:rFonts w:eastAsia="Batang"/>
          <w:iCs/>
          <w:snapToGrid w:val="0"/>
          <w:color w:val="000000"/>
          <w:kern w:val="22"/>
          <w:lang w:eastAsia="ja-JP" w:bidi="th-TH"/>
        </w:rPr>
        <w:t>the Subsidiary Body</w:t>
      </w:r>
      <w:r w:rsidR="00152A22" w:rsidRPr="0005668A">
        <w:rPr>
          <w:rFonts w:eastAsia="Batang"/>
          <w:iCs/>
          <w:snapToGrid w:val="0"/>
          <w:color w:val="000000"/>
          <w:kern w:val="22"/>
          <w:lang w:eastAsia="ja-JP" w:bidi="th-TH"/>
        </w:rPr>
        <w:t xml:space="preserve"> on Implementation</w:t>
      </w:r>
      <w:r w:rsidR="0033791A" w:rsidRPr="002B2F82">
        <w:rPr>
          <w:rFonts w:eastAsia="Batang"/>
          <w:iCs/>
          <w:snapToGrid w:val="0"/>
          <w:color w:val="000000"/>
          <w:kern w:val="22"/>
          <w:lang w:eastAsia="ja-JP" w:bidi="th-TH"/>
        </w:rPr>
        <w:t xml:space="preserve">. </w:t>
      </w:r>
      <w:r w:rsidR="00152A22" w:rsidRPr="00AE2615">
        <w:rPr>
          <w:rFonts w:eastAsia="Batang"/>
          <w:iCs/>
          <w:snapToGrid w:val="0"/>
          <w:color w:val="000000"/>
          <w:kern w:val="22"/>
          <w:lang w:eastAsia="ja-JP" w:bidi="th-TH"/>
        </w:rPr>
        <w:t>The</w:t>
      </w:r>
      <w:r w:rsidRPr="00AE2615">
        <w:rPr>
          <w:rFonts w:eastAsia="Batang"/>
          <w:iCs/>
          <w:snapToGrid w:val="0"/>
          <w:color w:val="000000"/>
          <w:kern w:val="22"/>
          <w:lang w:eastAsia="ja-JP" w:bidi="th-TH"/>
        </w:rPr>
        <w:t xml:space="preserve"> document will be updated for the information of the Conference of the Parties at its fourteenth meeting, using information and examples available from the VNRs presented at the 2018 High-level Political Forum.</w:t>
      </w:r>
      <w:r w:rsidR="00D44255" w:rsidRPr="003C10BC">
        <w:rPr>
          <w:rFonts w:eastAsia="Batang"/>
          <w:iCs/>
          <w:snapToGrid w:val="0"/>
          <w:color w:val="000000"/>
          <w:kern w:val="22"/>
          <w:lang w:eastAsia="ja-JP" w:bidi="th-TH"/>
        </w:rPr>
        <w:br w:type="page"/>
      </w:r>
    </w:p>
    <w:p w14:paraId="0E889599" w14:textId="77777777" w:rsidR="006D3E36" w:rsidRPr="003C10BC" w:rsidRDefault="006D3E36" w:rsidP="006D3E36">
      <w:pPr>
        <w:jc w:val="center"/>
        <w:rPr>
          <w:rFonts w:asciiTheme="majorHAnsi" w:hAnsiTheme="majorHAnsi" w:cstheme="majorHAnsi"/>
          <w:b/>
          <w:snapToGrid w:val="0"/>
          <w:kern w:val="22"/>
          <w:sz w:val="36"/>
          <w:szCs w:val="36"/>
        </w:rPr>
      </w:pPr>
      <w:r w:rsidRPr="003C10BC">
        <w:rPr>
          <w:rFonts w:asciiTheme="majorHAnsi" w:hAnsiTheme="majorHAnsi" w:cstheme="majorHAnsi"/>
          <w:b/>
          <w:snapToGrid w:val="0"/>
          <w:kern w:val="22"/>
          <w:sz w:val="36"/>
          <w:szCs w:val="36"/>
        </w:rPr>
        <w:lastRenderedPageBreak/>
        <w:t>Biodiversity Guidance for Voluntary National Reviews</w:t>
      </w:r>
    </w:p>
    <w:p w14:paraId="0E88959A" w14:textId="77777777" w:rsidR="006D3E36" w:rsidRPr="003C10BC" w:rsidRDefault="006D3E36" w:rsidP="006D3E36">
      <w:pPr>
        <w:jc w:val="center"/>
        <w:rPr>
          <w:rFonts w:asciiTheme="majorHAnsi" w:hAnsiTheme="majorHAnsi" w:cstheme="majorHAnsi"/>
          <w:i/>
          <w:snapToGrid w:val="0"/>
          <w:kern w:val="22"/>
          <w:sz w:val="24"/>
        </w:rPr>
      </w:pPr>
      <w:r w:rsidRPr="003C10BC">
        <w:rPr>
          <w:rFonts w:asciiTheme="majorHAnsi" w:hAnsiTheme="majorHAnsi" w:cstheme="majorHAnsi"/>
          <w:i/>
          <w:snapToGrid w:val="0"/>
          <w:kern w:val="22"/>
          <w:sz w:val="24"/>
        </w:rPr>
        <w:t xml:space="preserve">Draft Guidance for Reporting Progress on Biodiversity to the </w:t>
      </w:r>
    </w:p>
    <w:p w14:paraId="0E88959B" w14:textId="77777777" w:rsidR="006D3E36" w:rsidRPr="003C10BC" w:rsidRDefault="006D3E36" w:rsidP="006D3E36">
      <w:pPr>
        <w:jc w:val="center"/>
        <w:rPr>
          <w:rFonts w:asciiTheme="majorHAnsi" w:hAnsiTheme="majorHAnsi" w:cstheme="majorHAnsi"/>
          <w:i/>
          <w:snapToGrid w:val="0"/>
          <w:kern w:val="22"/>
          <w:sz w:val="24"/>
        </w:rPr>
      </w:pPr>
      <w:r w:rsidRPr="003C10BC">
        <w:rPr>
          <w:rFonts w:asciiTheme="majorHAnsi" w:hAnsiTheme="majorHAnsi" w:cstheme="majorHAnsi"/>
          <w:i/>
          <w:snapToGrid w:val="0"/>
          <w:kern w:val="22"/>
          <w:sz w:val="24"/>
        </w:rPr>
        <w:t>High-level Political Forum through VNRs</w:t>
      </w:r>
    </w:p>
    <w:p w14:paraId="0E88959C" w14:textId="77777777" w:rsidR="006D3E36" w:rsidRPr="003C10BC" w:rsidRDefault="006D3E36" w:rsidP="006D3E36">
      <w:pPr>
        <w:pStyle w:val="Heading1"/>
        <w:rPr>
          <w:rFonts w:asciiTheme="majorHAnsi" w:hAnsiTheme="majorHAnsi" w:cstheme="majorHAnsi"/>
          <w:snapToGrid w:val="0"/>
          <w:kern w:val="22"/>
          <w:szCs w:val="22"/>
        </w:rPr>
      </w:pPr>
      <w:r w:rsidRPr="003C10BC">
        <w:rPr>
          <w:rFonts w:asciiTheme="majorHAnsi" w:hAnsiTheme="majorHAnsi" w:cstheme="majorHAnsi"/>
          <w:snapToGrid w:val="0"/>
          <w:kern w:val="22"/>
          <w:szCs w:val="22"/>
        </w:rPr>
        <w:t>Introduction</w:t>
      </w:r>
    </w:p>
    <w:p w14:paraId="0E88959D" w14:textId="77777777" w:rsidR="006D3E36" w:rsidRPr="003C10BC" w:rsidRDefault="006D3E36" w:rsidP="006D3E36">
      <w:pPr>
        <w:rPr>
          <w:rFonts w:asciiTheme="majorHAnsi" w:hAnsiTheme="majorHAnsi" w:cstheme="majorHAnsi"/>
          <w:snapToGrid w:val="0"/>
          <w:kern w:val="22"/>
          <w:szCs w:val="22"/>
        </w:rPr>
      </w:pPr>
      <w:r w:rsidRPr="003C10BC">
        <w:rPr>
          <w:rFonts w:asciiTheme="majorHAnsi" w:hAnsiTheme="majorHAnsi" w:cstheme="majorHAnsi"/>
          <w:snapToGrid w:val="0"/>
          <w:kern w:val="22"/>
          <w:szCs w:val="22"/>
        </w:rPr>
        <w:t xml:space="preserve">As part of follow-up and review for the 2030 Agenda for Sustainable Development, member states of the United Nations are encouraged to "conduct regular and inclusive reviews of progress at the national and sub-national levels, which are country-led and country-driven" (paragraph 79). These </w:t>
      </w:r>
      <w:hyperlink r:id="rId13" w:history="1">
        <w:r w:rsidRPr="003C10BC">
          <w:rPr>
            <w:rStyle w:val="Hyperlink"/>
            <w:rFonts w:asciiTheme="majorHAnsi" w:hAnsiTheme="majorHAnsi" w:cstheme="majorHAnsi"/>
            <w:snapToGrid w:val="0"/>
            <w:kern w:val="22"/>
            <w:sz w:val="22"/>
            <w:szCs w:val="22"/>
          </w:rPr>
          <w:t>Voluntary National Reviews</w:t>
        </w:r>
      </w:hyperlink>
      <w:r w:rsidRPr="003C10BC">
        <w:rPr>
          <w:rFonts w:asciiTheme="majorHAnsi" w:hAnsiTheme="majorHAnsi" w:cstheme="majorHAnsi"/>
          <w:snapToGrid w:val="0"/>
          <w:kern w:val="22"/>
          <w:szCs w:val="22"/>
        </w:rPr>
        <w:t xml:space="preserve"> (VNRs) are presented annually in New York under the auspices of the High-level Political Forum (HLPF). </w:t>
      </w:r>
    </w:p>
    <w:p w14:paraId="0E88959E" w14:textId="77777777" w:rsidR="006D3E36" w:rsidRPr="003C10BC" w:rsidRDefault="006D3E36" w:rsidP="006D3E36">
      <w:pPr>
        <w:rPr>
          <w:rFonts w:asciiTheme="majorHAnsi" w:hAnsiTheme="majorHAnsi" w:cstheme="majorHAnsi"/>
          <w:snapToGrid w:val="0"/>
          <w:kern w:val="22"/>
          <w:szCs w:val="22"/>
        </w:rPr>
      </w:pPr>
    </w:p>
    <w:p w14:paraId="0E88959F" w14:textId="77777777" w:rsidR="006D3E36" w:rsidRPr="003C10BC" w:rsidRDefault="006D3E36" w:rsidP="006D3E36">
      <w:pPr>
        <w:rPr>
          <w:rFonts w:asciiTheme="majorHAnsi" w:hAnsiTheme="majorHAnsi" w:cstheme="majorHAnsi"/>
          <w:snapToGrid w:val="0"/>
          <w:kern w:val="22"/>
          <w:szCs w:val="22"/>
        </w:rPr>
      </w:pPr>
      <w:r w:rsidRPr="003C10BC">
        <w:rPr>
          <w:rFonts w:asciiTheme="majorHAnsi" w:hAnsiTheme="majorHAnsi" w:cstheme="majorHAnsi"/>
          <w:snapToGrid w:val="0"/>
          <w:kern w:val="22"/>
          <w:szCs w:val="22"/>
        </w:rPr>
        <w:t xml:space="preserve">A </w:t>
      </w:r>
      <w:hyperlink r:id="rId14" w:history="1">
        <w:r w:rsidRPr="003C10BC">
          <w:rPr>
            <w:rStyle w:val="Hyperlink"/>
            <w:rFonts w:asciiTheme="majorHAnsi" w:hAnsiTheme="majorHAnsi" w:cstheme="majorHAnsi"/>
            <w:snapToGrid w:val="0"/>
            <w:kern w:val="22"/>
            <w:sz w:val="22"/>
            <w:szCs w:val="22"/>
          </w:rPr>
          <w:t>Handbook</w:t>
        </w:r>
      </w:hyperlink>
      <w:r w:rsidRPr="003C10BC">
        <w:rPr>
          <w:rFonts w:asciiTheme="majorHAnsi" w:hAnsiTheme="majorHAnsi" w:cstheme="majorHAnsi"/>
          <w:snapToGrid w:val="0"/>
          <w:kern w:val="22"/>
          <w:szCs w:val="22"/>
        </w:rPr>
        <w:t xml:space="preserve"> and a set of Voluntary Common Reporting </w:t>
      </w:r>
      <w:hyperlink r:id="rId15" w:history="1">
        <w:r w:rsidRPr="003C10BC">
          <w:rPr>
            <w:rStyle w:val="Hyperlink"/>
            <w:rFonts w:asciiTheme="majorHAnsi" w:hAnsiTheme="majorHAnsi" w:cstheme="majorHAnsi"/>
            <w:snapToGrid w:val="0"/>
            <w:kern w:val="22"/>
            <w:sz w:val="22"/>
            <w:szCs w:val="22"/>
          </w:rPr>
          <w:t>Guidelines</w:t>
        </w:r>
      </w:hyperlink>
      <w:r w:rsidRPr="003C10BC">
        <w:rPr>
          <w:rFonts w:asciiTheme="majorHAnsi" w:hAnsiTheme="majorHAnsi" w:cstheme="majorHAnsi"/>
          <w:snapToGrid w:val="0"/>
          <w:kern w:val="22"/>
          <w:szCs w:val="22"/>
        </w:rPr>
        <w:t xml:space="preserve"> have been prepared by the UN’s Department of Economic and Social Affairs (UNDESA) to assist member states in the preparation of their VNRs.</w:t>
      </w:r>
    </w:p>
    <w:p w14:paraId="0E8895A0" w14:textId="77777777" w:rsidR="006D3E36" w:rsidRPr="003C10BC" w:rsidRDefault="006D3E36" w:rsidP="006D3E36">
      <w:pPr>
        <w:rPr>
          <w:rFonts w:asciiTheme="majorHAnsi" w:hAnsiTheme="majorHAnsi" w:cstheme="majorHAnsi"/>
          <w:snapToGrid w:val="0"/>
          <w:kern w:val="22"/>
          <w:szCs w:val="22"/>
        </w:rPr>
      </w:pPr>
    </w:p>
    <w:p w14:paraId="0E8895A1" w14:textId="7C4EE8F7" w:rsidR="006D3E36" w:rsidRPr="003C10BC" w:rsidRDefault="006D3E36" w:rsidP="006D3E36">
      <w:pPr>
        <w:rPr>
          <w:rFonts w:asciiTheme="majorHAnsi" w:hAnsiTheme="majorHAnsi" w:cstheme="majorHAnsi"/>
          <w:b/>
          <w:snapToGrid w:val="0"/>
          <w:kern w:val="22"/>
          <w:szCs w:val="22"/>
        </w:rPr>
      </w:pPr>
      <w:r w:rsidRPr="003C10BC">
        <w:rPr>
          <w:rFonts w:asciiTheme="majorHAnsi" w:hAnsiTheme="majorHAnsi" w:cstheme="majorHAnsi"/>
          <w:b/>
          <w:snapToGrid w:val="0"/>
          <w:kern w:val="22"/>
          <w:szCs w:val="22"/>
        </w:rPr>
        <w:t xml:space="preserve">The present document provides Parties to the Convention on Biological Diversity (CBD) with supplementary guidance for reporting on progress in the conservation and sustainable use of biodiversity in their VNRs and for articulating the important cross-cutting role that biodiversity plays in supporting each of the SDGs. This biodiversity-specific guidance document is organized according to the eight sections outlined in UNDESA’s Voluntary Common Reporting Guidelines for VNRs.  It also identifies commonalities in reporting between VNRs and the </w:t>
      </w:r>
      <w:hyperlink r:id="rId16" w:history="1">
        <w:r w:rsidRPr="003C10BC">
          <w:rPr>
            <w:rStyle w:val="Hyperlink"/>
            <w:rFonts w:asciiTheme="majorHAnsi" w:hAnsiTheme="majorHAnsi" w:cstheme="majorHAnsi"/>
            <w:b/>
            <w:snapToGrid w:val="0"/>
            <w:kern w:val="22"/>
            <w:sz w:val="22"/>
            <w:szCs w:val="22"/>
          </w:rPr>
          <w:t>Sixth National Reports</w:t>
        </w:r>
      </w:hyperlink>
      <w:r w:rsidRPr="003C10BC">
        <w:rPr>
          <w:rFonts w:asciiTheme="majorHAnsi" w:hAnsiTheme="majorHAnsi" w:cstheme="majorHAnsi"/>
          <w:b/>
          <w:snapToGrid w:val="0"/>
          <w:kern w:val="22"/>
          <w:szCs w:val="22"/>
        </w:rPr>
        <w:t xml:space="preserve"> due under the CBD in December 2018. </w:t>
      </w:r>
    </w:p>
    <w:p w14:paraId="0E8895A2" w14:textId="77777777" w:rsidR="006D3E36" w:rsidRPr="003C10BC" w:rsidRDefault="006D3E36" w:rsidP="006D3E36">
      <w:pPr>
        <w:rPr>
          <w:rFonts w:asciiTheme="majorHAnsi" w:hAnsiTheme="majorHAnsi" w:cstheme="majorHAnsi"/>
          <w:b/>
          <w:snapToGrid w:val="0"/>
          <w:kern w:val="22"/>
          <w:szCs w:val="22"/>
        </w:rPr>
      </w:pPr>
    </w:p>
    <w:p w14:paraId="0E8895A3" w14:textId="77777777" w:rsidR="006D3E36" w:rsidRPr="003C10BC" w:rsidRDefault="006D3E36" w:rsidP="006D3E36">
      <w:pPr>
        <w:rPr>
          <w:rFonts w:asciiTheme="majorHAnsi" w:hAnsiTheme="majorHAnsi" w:cstheme="majorHAnsi"/>
          <w:snapToGrid w:val="0"/>
          <w:kern w:val="22"/>
          <w:szCs w:val="22"/>
        </w:rPr>
      </w:pPr>
      <w:r w:rsidRPr="003C10BC">
        <w:rPr>
          <w:rFonts w:asciiTheme="majorHAnsi" w:hAnsiTheme="majorHAnsi" w:cstheme="majorHAnsi"/>
          <w:snapToGrid w:val="0"/>
          <w:kern w:val="22"/>
          <w:szCs w:val="22"/>
        </w:rPr>
        <w:t xml:space="preserve">The extent and type of biodiversity coverage in the VNRs presented at the 2017 HLPF was examined to help inform this draft guidance. This examination is summarized below. As well, useful examples from the 2017 VNRs are featured in the sections that follow. </w:t>
      </w:r>
    </w:p>
    <w:p w14:paraId="0E8895A4" w14:textId="77777777" w:rsidR="006D3E36" w:rsidRPr="003C10BC" w:rsidRDefault="006D3E36" w:rsidP="006D3E36">
      <w:pPr>
        <w:rPr>
          <w:rFonts w:asciiTheme="majorHAnsi" w:hAnsiTheme="majorHAnsi" w:cstheme="majorHAnsi"/>
          <w:snapToGrid w:val="0"/>
          <w:kern w:val="22"/>
          <w:szCs w:val="22"/>
        </w:rPr>
      </w:pPr>
    </w:p>
    <w:p w14:paraId="0E8895A5" w14:textId="7A4C3E4B" w:rsidR="006D3E36" w:rsidRPr="003C10BC" w:rsidRDefault="006D3E36" w:rsidP="006D3E36">
      <w:pPr>
        <w:rPr>
          <w:rFonts w:asciiTheme="majorHAnsi" w:hAnsiTheme="majorHAnsi" w:cstheme="majorHAnsi"/>
          <w:snapToGrid w:val="0"/>
          <w:kern w:val="22"/>
          <w:szCs w:val="22"/>
        </w:rPr>
      </w:pPr>
      <w:r w:rsidRPr="003C10BC">
        <w:rPr>
          <w:rFonts w:asciiTheme="majorHAnsi" w:hAnsiTheme="majorHAnsi" w:cstheme="majorHAnsi"/>
          <w:snapToGrid w:val="0"/>
          <w:kern w:val="22"/>
          <w:szCs w:val="22"/>
        </w:rPr>
        <w:t>The financial support of the European Union i</w:t>
      </w:r>
      <w:r w:rsidR="00833E1A" w:rsidRPr="003C10BC">
        <w:rPr>
          <w:rFonts w:asciiTheme="majorHAnsi" w:hAnsiTheme="majorHAnsi" w:cstheme="majorHAnsi"/>
          <w:snapToGrid w:val="0"/>
          <w:kern w:val="22"/>
          <w:szCs w:val="22"/>
        </w:rPr>
        <w:t>n</w:t>
      </w:r>
      <w:r w:rsidRPr="003C10BC">
        <w:rPr>
          <w:rFonts w:asciiTheme="majorHAnsi" w:hAnsiTheme="majorHAnsi" w:cstheme="majorHAnsi"/>
          <w:snapToGrid w:val="0"/>
          <w:kern w:val="22"/>
          <w:szCs w:val="22"/>
        </w:rPr>
        <w:t xml:space="preserve"> preparing this guidance is gratefully acknowledged.</w:t>
      </w:r>
    </w:p>
    <w:p w14:paraId="0E8895A6" w14:textId="77777777" w:rsidR="006D3E36" w:rsidRPr="003C10BC" w:rsidRDefault="006D3E36" w:rsidP="006D3E36">
      <w:pPr>
        <w:rPr>
          <w:rFonts w:asciiTheme="majorHAnsi" w:hAnsiTheme="majorHAnsi" w:cstheme="majorHAnsi"/>
          <w:snapToGrid w:val="0"/>
          <w:kern w:val="22"/>
          <w:szCs w:val="22"/>
        </w:rPr>
      </w:pPr>
    </w:p>
    <w:p w14:paraId="0E8895A7" w14:textId="77777777" w:rsidR="006D3E36" w:rsidRPr="003C10BC" w:rsidRDefault="006D3E36" w:rsidP="006D3E36">
      <w:pPr>
        <w:shd w:val="clear" w:color="auto" w:fill="FDE9D9" w:themeFill="accent6" w:themeFillTint="33"/>
        <w:jc w:val="center"/>
        <w:rPr>
          <w:rFonts w:asciiTheme="majorHAnsi" w:hAnsiTheme="majorHAnsi" w:cstheme="majorHAnsi"/>
          <w:b/>
          <w:snapToGrid w:val="0"/>
          <w:kern w:val="22"/>
          <w:szCs w:val="22"/>
        </w:rPr>
      </w:pPr>
      <w:r w:rsidRPr="003C10BC">
        <w:rPr>
          <w:rFonts w:asciiTheme="majorHAnsi" w:hAnsiTheme="majorHAnsi" w:cstheme="majorHAnsi"/>
          <w:b/>
          <w:snapToGrid w:val="0"/>
          <w:kern w:val="22"/>
          <w:szCs w:val="22"/>
        </w:rPr>
        <w:t>Biodiversity Coverage in the 2017 Voluntary National Reviews</w:t>
      </w:r>
    </w:p>
    <w:p w14:paraId="0E8895A8" w14:textId="77777777" w:rsidR="006D3E36" w:rsidRPr="003C10BC" w:rsidRDefault="006D3E36" w:rsidP="006D3E36">
      <w:pPr>
        <w:shd w:val="clear" w:color="auto" w:fill="FDE9D9" w:themeFill="accent6" w:themeFillTint="33"/>
        <w:rPr>
          <w:rFonts w:asciiTheme="majorHAnsi" w:hAnsiTheme="majorHAnsi" w:cstheme="majorHAnsi"/>
          <w:snapToGrid w:val="0"/>
          <w:kern w:val="22"/>
          <w:szCs w:val="22"/>
        </w:rPr>
      </w:pPr>
    </w:p>
    <w:p w14:paraId="0E8895A9" w14:textId="77777777" w:rsidR="006D3E36" w:rsidRPr="003C10BC" w:rsidRDefault="006D3E36" w:rsidP="006D3E36">
      <w:pPr>
        <w:shd w:val="clear" w:color="auto" w:fill="FDE9D9" w:themeFill="accent6" w:themeFillTint="33"/>
        <w:rPr>
          <w:rFonts w:asciiTheme="majorHAnsi" w:hAnsiTheme="majorHAnsi" w:cstheme="majorHAnsi"/>
          <w:snapToGrid w:val="0"/>
          <w:kern w:val="22"/>
          <w:szCs w:val="22"/>
        </w:rPr>
      </w:pPr>
      <w:r w:rsidRPr="003C10BC">
        <w:rPr>
          <w:rFonts w:asciiTheme="majorHAnsi" w:hAnsiTheme="majorHAnsi" w:cstheme="majorHAnsi"/>
          <w:snapToGrid w:val="0"/>
          <w:kern w:val="22"/>
          <w:szCs w:val="22"/>
        </w:rPr>
        <w:t>Forty-three countries presented VNRs to the HLPF in 2017. Biodiversity was covered to varying degrees in all but one report and was mentioned more than 20 times in the reports prepared by Belgium, Portugal, Cyprus, Chile, Uruguay, Malaysia and Thailand. While biodiversity was most often referenced in relation to SDGs 2, 14 and 15, several countries discussed it in the context of other SDGs, including Belgium (SDGs 2, 4, 6, 12, 14, 15 and 16), Portugal (SDGs 2, 4, 12, 13, 14 and 15), and Cyprus (SDGs 2, 12, 13, 14 and 15).</w:t>
      </w:r>
    </w:p>
    <w:p w14:paraId="0E8895AA" w14:textId="77777777" w:rsidR="006D3E36" w:rsidRPr="003C10BC" w:rsidRDefault="006D3E36" w:rsidP="006D3E36">
      <w:pPr>
        <w:shd w:val="clear" w:color="auto" w:fill="FDE9D9" w:themeFill="accent6" w:themeFillTint="33"/>
        <w:rPr>
          <w:rFonts w:asciiTheme="majorHAnsi" w:hAnsiTheme="majorHAnsi" w:cstheme="majorHAnsi"/>
          <w:snapToGrid w:val="0"/>
          <w:kern w:val="22"/>
          <w:szCs w:val="22"/>
        </w:rPr>
      </w:pPr>
    </w:p>
    <w:p w14:paraId="0E8895AB" w14:textId="77777777" w:rsidR="006D3E36" w:rsidRPr="003C10BC" w:rsidRDefault="006D3E36" w:rsidP="006D3E36">
      <w:pPr>
        <w:shd w:val="clear" w:color="auto" w:fill="FDE9D9" w:themeFill="accent6" w:themeFillTint="33"/>
        <w:rPr>
          <w:rFonts w:asciiTheme="majorHAnsi" w:hAnsiTheme="majorHAnsi" w:cstheme="majorHAnsi"/>
          <w:snapToGrid w:val="0"/>
          <w:kern w:val="22"/>
          <w:szCs w:val="22"/>
        </w:rPr>
      </w:pPr>
      <w:r w:rsidRPr="003C10BC">
        <w:rPr>
          <w:rFonts w:asciiTheme="majorHAnsi" w:hAnsiTheme="majorHAnsi" w:cstheme="majorHAnsi"/>
          <w:snapToGrid w:val="0"/>
          <w:kern w:val="22"/>
          <w:szCs w:val="22"/>
        </w:rPr>
        <w:t xml:space="preserve">In its </w:t>
      </w:r>
      <w:hyperlink r:id="rId17" w:history="1">
        <w:r w:rsidRPr="003C10BC">
          <w:rPr>
            <w:rStyle w:val="Hyperlink"/>
            <w:rFonts w:asciiTheme="majorHAnsi" w:hAnsiTheme="majorHAnsi" w:cstheme="majorHAnsi"/>
            <w:snapToGrid w:val="0"/>
            <w:kern w:val="22"/>
            <w:sz w:val="22"/>
            <w:szCs w:val="22"/>
          </w:rPr>
          <w:t>Synthesis Report</w:t>
        </w:r>
      </w:hyperlink>
      <w:r w:rsidRPr="003C10BC">
        <w:rPr>
          <w:rFonts w:asciiTheme="majorHAnsi" w:hAnsiTheme="majorHAnsi" w:cstheme="majorHAnsi"/>
          <w:snapToGrid w:val="0"/>
          <w:kern w:val="22"/>
          <w:szCs w:val="22"/>
        </w:rPr>
        <w:t xml:space="preserve"> of the 2017 VNR reports, UNDESA observed that countries which reported on SDG 15 stressed that ecosystems are of key importance to health and quality of life and highlighted the interconnectedness of water with healthy terrestrial ecosystems and biodiversity. Thailand for example, noted its efforts to conserve and restore deteriorated upstream forests and prevent soil erosion in an effort to promote water management. UNDESA also observed, based on the collection of 2017 VNR reports, that a key accelerator for biodiversity loss was destruction of habitats.</w:t>
      </w:r>
    </w:p>
    <w:p w14:paraId="0E8895AC" w14:textId="77777777" w:rsidR="006D3E36" w:rsidRPr="003C10BC" w:rsidRDefault="006D3E36" w:rsidP="006D3E36">
      <w:pPr>
        <w:shd w:val="clear" w:color="auto" w:fill="FDE9D9" w:themeFill="accent6" w:themeFillTint="33"/>
        <w:rPr>
          <w:rFonts w:asciiTheme="majorHAnsi" w:hAnsiTheme="majorHAnsi" w:cstheme="majorHAnsi"/>
          <w:snapToGrid w:val="0"/>
          <w:kern w:val="22"/>
          <w:szCs w:val="22"/>
        </w:rPr>
      </w:pPr>
    </w:p>
    <w:p w14:paraId="0E8895AD" w14:textId="648F84E9" w:rsidR="006D3E36" w:rsidRPr="003C10BC" w:rsidRDefault="006D3E36" w:rsidP="006D3E36">
      <w:pPr>
        <w:rPr>
          <w:rFonts w:asciiTheme="majorHAnsi" w:hAnsiTheme="majorHAnsi" w:cstheme="majorHAnsi"/>
          <w:b/>
          <w:i/>
          <w:snapToGrid w:val="0"/>
          <w:kern w:val="22"/>
          <w:szCs w:val="22"/>
        </w:rPr>
      </w:pPr>
    </w:p>
    <w:p w14:paraId="70EAD58E" w14:textId="77777777" w:rsidR="00833E1A" w:rsidRPr="003C10BC" w:rsidRDefault="00833E1A" w:rsidP="006D3E36">
      <w:pPr>
        <w:rPr>
          <w:rFonts w:asciiTheme="majorHAnsi" w:hAnsiTheme="majorHAnsi" w:cstheme="majorHAnsi"/>
          <w:b/>
          <w:i/>
          <w:snapToGrid w:val="0"/>
          <w:kern w:val="22"/>
          <w:szCs w:val="22"/>
        </w:rPr>
      </w:pPr>
    </w:p>
    <w:p w14:paraId="0E8895AE" w14:textId="77777777" w:rsidR="006D3E36" w:rsidRPr="003C10BC" w:rsidRDefault="006D3E36" w:rsidP="006D3E36">
      <w:pPr>
        <w:pStyle w:val="Heading1"/>
        <w:shd w:val="clear" w:color="auto" w:fill="DAEEF3" w:themeFill="accent5" w:themeFillTint="33"/>
        <w:rPr>
          <w:rFonts w:asciiTheme="majorHAnsi" w:hAnsiTheme="majorHAnsi" w:cstheme="majorHAnsi"/>
          <w:snapToGrid w:val="0"/>
          <w:kern w:val="22"/>
          <w:szCs w:val="22"/>
        </w:rPr>
      </w:pPr>
      <w:r w:rsidRPr="003C10BC">
        <w:rPr>
          <w:rFonts w:asciiTheme="majorHAnsi" w:hAnsiTheme="majorHAnsi" w:cstheme="majorHAnsi"/>
          <w:snapToGrid w:val="0"/>
          <w:kern w:val="22"/>
          <w:szCs w:val="22"/>
        </w:rPr>
        <w:lastRenderedPageBreak/>
        <w:t>1. Opening Statement</w:t>
      </w:r>
    </w:p>
    <w:p w14:paraId="0E8895AF" w14:textId="77777777" w:rsidR="006D3E36" w:rsidRPr="003C10BC" w:rsidRDefault="006D3E36" w:rsidP="006D3E36">
      <w:pPr>
        <w:rPr>
          <w:rFonts w:asciiTheme="majorHAnsi" w:hAnsiTheme="majorHAnsi" w:cstheme="majorHAnsi"/>
          <w:snapToGrid w:val="0"/>
          <w:kern w:val="22"/>
          <w:szCs w:val="22"/>
        </w:rPr>
      </w:pPr>
    </w:p>
    <w:p w14:paraId="0E8895B0" w14:textId="77777777" w:rsidR="006D3E36" w:rsidRPr="003C10BC" w:rsidRDefault="006D3E36" w:rsidP="006D3E36">
      <w:pPr>
        <w:rPr>
          <w:rFonts w:asciiTheme="majorHAnsi" w:hAnsiTheme="majorHAnsi" w:cstheme="majorHAnsi"/>
          <w:snapToGrid w:val="0"/>
          <w:kern w:val="22"/>
          <w:szCs w:val="22"/>
        </w:rPr>
      </w:pPr>
      <w:r w:rsidRPr="003C10BC">
        <w:rPr>
          <w:rFonts w:asciiTheme="majorHAnsi" w:hAnsiTheme="majorHAnsi" w:cstheme="majorHAnsi"/>
          <w:snapToGrid w:val="0"/>
          <w:kern w:val="22"/>
          <w:szCs w:val="22"/>
        </w:rPr>
        <w:t>In the opening statement of a VNR, UNDESA’s 2018 Voluntary Common Reporting Guidelines ask member states to “highlight the current status of SDG progress and how the Government is responding to the transformative nature of the 2030 Agenda for Development including through its national development plans, strategies, or other relevant documents.”</w:t>
      </w:r>
    </w:p>
    <w:p w14:paraId="0E8895B1" w14:textId="77777777" w:rsidR="006D3E36" w:rsidRPr="003C10BC" w:rsidRDefault="006D3E36" w:rsidP="006D3E36">
      <w:pPr>
        <w:rPr>
          <w:rFonts w:asciiTheme="majorHAnsi" w:hAnsiTheme="majorHAnsi" w:cstheme="majorHAnsi"/>
          <w:snapToGrid w:val="0"/>
          <w:kern w:val="22"/>
          <w:szCs w:val="22"/>
        </w:rPr>
      </w:pPr>
    </w:p>
    <w:p w14:paraId="0E8895B2"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 xml:space="preserve">In the context of a VNR’s ‘Opening Statement’, member states could articulate how biodiversity and healthy ecosystems provide a foundation for achieving the SDGs in their country. </w:t>
      </w:r>
    </w:p>
    <w:p w14:paraId="0E8895B3"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p>
    <w:p w14:paraId="0E8895B4"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 xml:space="preserve">For example, the CBD’s ‘Policy Brief on Biodiversity and the 2030 Agenda’ describes the cross-cutting role of biodiversity as follows: </w:t>
      </w:r>
    </w:p>
    <w:p w14:paraId="0E8895B5"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p>
    <w:p w14:paraId="0E8895B6" w14:textId="77777777" w:rsidR="006D3E36" w:rsidRPr="003C10BC" w:rsidRDefault="006D3E36" w:rsidP="006D3E36">
      <w:pPr>
        <w:shd w:val="clear" w:color="auto" w:fill="F2DBDB" w:themeFill="accent2" w:themeFillTint="33"/>
        <w:ind w:left="567" w:right="855"/>
        <w:rPr>
          <w:rFonts w:asciiTheme="majorHAnsi" w:hAnsiTheme="majorHAnsi" w:cstheme="majorHAnsi"/>
          <w:i/>
          <w:snapToGrid w:val="0"/>
          <w:kern w:val="22"/>
          <w:szCs w:val="22"/>
        </w:rPr>
      </w:pPr>
      <w:r w:rsidRPr="003C10BC">
        <w:rPr>
          <w:rFonts w:asciiTheme="majorHAnsi" w:hAnsiTheme="majorHAnsi" w:cstheme="majorHAnsi"/>
          <w:i/>
          <w:snapToGrid w:val="0"/>
          <w:kern w:val="22"/>
          <w:szCs w:val="22"/>
        </w:rPr>
        <w:t>“Biodiversity and ecosystem services contribute directly to human well-being and development priorities. Nearly half of the world’s population is directly dependent on natural resources for their livelihoods. Today, some 2.6 billion people draw their livelihoods either partially or fully from agriculture, 1.6 billion from forests, and 250 million from fisheries. Many of the most vulnerable people depend directly on biodiversity to fulfil their daily subsistence needs. Biodiversity is also at the centre of many economic activities, including those related to agriculture, forestry, fisheries and tourism. The importance of biodiversity and ecosystems is reflected in many of the SDGs and targets. Therefore, consideration of biodiversity and ecosystems will be essential as countries embark on the implementation of the 2030 Agenda and its SDGs, and in the implementation of key national priorities for sustainable development.”</w:t>
      </w:r>
    </w:p>
    <w:p w14:paraId="0E8895B7" w14:textId="77777777" w:rsidR="006D3E36" w:rsidRPr="003C10BC" w:rsidRDefault="006D3E36" w:rsidP="006D3E36">
      <w:pPr>
        <w:shd w:val="clear" w:color="auto" w:fill="F2DBDB" w:themeFill="accent2" w:themeFillTint="33"/>
        <w:ind w:left="567" w:right="855"/>
        <w:rPr>
          <w:rFonts w:asciiTheme="majorHAnsi" w:hAnsiTheme="majorHAnsi" w:cstheme="majorHAnsi"/>
          <w:i/>
          <w:snapToGrid w:val="0"/>
          <w:kern w:val="22"/>
          <w:szCs w:val="22"/>
        </w:rPr>
      </w:pPr>
    </w:p>
    <w:p w14:paraId="0E8895B8"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This section of a VNR is also a good opportunity to list any national strategy or action plan that has been created for helping to ensure the conservation and sustainable use of biodiversity, and thereby, contributing to the achievement of the 2030 Agenda and SDGs.</w:t>
      </w:r>
    </w:p>
    <w:p w14:paraId="0E8895B9"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p>
    <w:p w14:paraId="0E8895BA"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Useful Resources:</w:t>
      </w:r>
    </w:p>
    <w:p w14:paraId="0E8895BB" w14:textId="77777777" w:rsidR="006D3E36" w:rsidRPr="003C10BC" w:rsidRDefault="003C10BC" w:rsidP="006D3E36">
      <w:pPr>
        <w:pStyle w:val="ListParagraph"/>
        <w:numPr>
          <w:ilvl w:val="0"/>
          <w:numId w:val="13"/>
        </w:numPr>
        <w:shd w:val="clear" w:color="auto" w:fill="F2DBDB" w:themeFill="accent2" w:themeFillTint="33"/>
        <w:ind w:right="855"/>
        <w:jc w:val="left"/>
        <w:rPr>
          <w:rFonts w:asciiTheme="majorHAnsi" w:hAnsiTheme="majorHAnsi" w:cstheme="majorHAnsi"/>
          <w:snapToGrid w:val="0"/>
          <w:kern w:val="22"/>
          <w:szCs w:val="22"/>
        </w:rPr>
      </w:pPr>
      <w:hyperlink r:id="rId18" w:history="1">
        <w:r w:rsidR="006D3E36" w:rsidRPr="003C10BC">
          <w:rPr>
            <w:rStyle w:val="Hyperlink"/>
            <w:rFonts w:asciiTheme="majorHAnsi" w:hAnsiTheme="majorHAnsi" w:cstheme="majorHAnsi"/>
            <w:snapToGrid w:val="0"/>
            <w:kern w:val="22"/>
            <w:sz w:val="22"/>
            <w:szCs w:val="22"/>
          </w:rPr>
          <w:t>Technical Note: Biodiversity and the 2030 Agenda for Sustainable Development</w:t>
        </w:r>
      </w:hyperlink>
      <w:r w:rsidR="006D3E36" w:rsidRPr="003C10BC">
        <w:rPr>
          <w:rFonts w:asciiTheme="majorHAnsi" w:hAnsiTheme="majorHAnsi" w:cstheme="majorHAnsi"/>
          <w:snapToGrid w:val="0"/>
          <w:kern w:val="22"/>
          <w:szCs w:val="22"/>
        </w:rPr>
        <w:t>, CBD and Partners</w:t>
      </w:r>
    </w:p>
    <w:p w14:paraId="0E8895BC" w14:textId="77777777" w:rsidR="006D3E36" w:rsidRPr="003C10BC" w:rsidRDefault="003C10BC" w:rsidP="006D3E36">
      <w:pPr>
        <w:pStyle w:val="ListParagraph"/>
        <w:numPr>
          <w:ilvl w:val="0"/>
          <w:numId w:val="13"/>
        </w:numPr>
        <w:shd w:val="clear" w:color="auto" w:fill="F2DBDB" w:themeFill="accent2" w:themeFillTint="33"/>
        <w:ind w:right="855"/>
        <w:jc w:val="left"/>
        <w:rPr>
          <w:rFonts w:asciiTheme="majorHAnsi" w:hAnsiTheme="majorHAnsi" w:cstheme="majorHAnsi"/>
          <w:snapToGrid w:val="0"/>
          <w:kern w:val="22"/>
          <w:szCs w:val="22"/>
        </w:rPr>
      </w:pPr>
      <w:hyperlink r:id="rId19" w:history="1">
        <w:r w:rsidR="006D3E36" w:rsidRPr="003C10BC">
          <w:rPr>
            <w:rStyle w:val="Hyperlink"/>
            <w:rFonts w:asciiTheme="majorHAnsi" w:hAnsiTheme="majorHAnsi" w:cstheme="majorHAnsi"/>
            <w:snapToGrid w:val="0"/>
            <w:kern w:val="22"/>
            <w:sz w:val="22"/>
            <w:szCs w:val="22"/>
          </w:rPr>
          <w:t>Policy Brief: Biodiversity and the 2030 Agenda for Sustainable Development</w:t>
        </w:r>
      </w:hyperlink>
      <w:r w:rsidR="006D3E36" w:rsidRPr="003C10BC">
        <w:rPr>
          <w:rFonts w:asciiTheme="majorHAnsi" w:hAnsiTheme="majorHAnsi" w:cstheme="majorHAnsi"/>
          <w:snapToGrid w:val="0"/>
          <w:kern w:val="22"/>
          <w:szCs w:val="22"/>
        </w:rPr>
        <w:t>, CBD and Partners</w:t>
      </w:r>
    </w:p>
    <w:p w14:paraId="0E8895BD" w14:textId="77777777" w:rsidR="006D3E36" w:rsidRPr="003C10BC" w:rsidRDefault="003C10BC" w:rsidP="006D3E36">
      <w:pPr>
        <w:pStyle w:val="ListParagraph"/>
        <w:numPr>
          <w:ilvl w:val="0"/>
          <w:numId w:val="13"/>
        </w:numPr>
        <w:shd w:val="clear" w:color="auto" w:fill="F2DBDB" w:themeFill="accent2" w:themeFillTint="33"/>
        <w:ind w:right="855"/>
        <w:jc w:val="left"/>
        <w:rPr>
          <w:rFonts w:asciiTheme="majorHAnsi" w:hAnsiTheme="majorHAnsi" w:cstheme="majorHAnsi"/>
          <w:snapToGrid w:val="0"/>
          <w:kern w:val="22"/>
          <w:szCs w:val="22"/>
        </w:rPr>
      </w:pPr>
      <w:hyperlink r:id="rId20" w:history="1">
        <w:r w:rsidR="006D3E36" w:rsidRPr="003C10BC">
          <w:rPr>
            <w:rStyle w:val="Hyperlink"/>
            <w:rFonts w:asciiTheme="majorHAnsi" w:hAnsiTheme="majorHAnsi" w:cstheme="majorHAnsi"/>
            <w:snapToGrid w:val="0"/>
            <w:kern w:val="22"/>
            <w:sz w:val="22"/>
            <w:szCs w:val="22"/>
          </w:rPr>
          <w:t>Note by the Executive Secretary on Biodiversity and the 2030 Agenda for Sustainable Development</w:t>
        </w:r>
      </w:hyperlink>
      <w:r w:rsidR="006D3E36" w:rsidRPr="003C10BC">
        <w:rPr>
          <w:rFonts w:asciiTheme="majorHAnsi" w:hAnsiTheme="majorHAnsi" w:cstheme="majorHAnsi"/>
          <w:snapToGrid w:val="0"/>
          <w:kern w:val="22"/>
          <w:szCs w:val="22"/>
        </w:rPr>
        <w:t>, Subsidiary Body on Scientific, Technical, and Technological Advice.</w:t>
      </w:r>
    </w:p>
    <w:p w14:paraId="0E8895BE" w14:textId="77777777" w:rsidR="006D3E36" w:rsidRPr="003C10BC" w:rsidRDefault="003C10BC" w:rsidP="006D3E36">
      <w:pPr>
        <w:pStyle w:val="ListParagraph"/>
        <w:numPr>
          <w:ilvl w:val="0"/>
          <w:numId w:val="13"/>
        </w:numPr>
        <w:shd w:val="clear" w:color="auto" w:fill="F2DBDB" w:themeFill="accent2" w:themeFillTint="33"/>
        <w:ind w:right="855"/>
        <w:jc w:val="left"/>
        <w:rPr>
          <w:rFonts w:asciiTheme="majorHAnsi" w:hAnsiTheme="majorHAnsi" w:cstheme="majorHAnsi"/>
          <w:snapToGrid w:val="0"/>
          <w:kern w:val="22"/>
          <w:szCs w:val="22"/>
        </w:rPr>
      </w:pPr>
      <w:hyperlink r:id="rId21" w:history="1">
        <w:r w:rsidR="006D3E36" w:rsidRPr="003C10BC">
          <w:rPr>
            <w:rStyle w:val="Hyperlink"/>
            <w:rFonts w:asciiTheme="majorHAnsi" w:hAnsiTheme="majorHAnsi" w:cstheme="majorHAnsi"/>
            <w:snapToGrid w:val="0"/>
            <w:kern w:val="22"/>
            <w:sz w:val="22"/>
            <w:szCs w:val="22"/>
          </w:rPr>
          <w:t>Background Note: Expert Meeting on SDG 15</w:t>
        </w:r>
      </w:hyperlink>
      <w:r w:rsidR="006D3E36" w:rsidRPr="003C10BC">
        <w:rPr>
          <w:rFonts w:asciiTheme="majorHAnsi" w:hAnsiTheme="majorHAnsi" w:cstheme="majorHAnsi"/>
          <w:snapToGrid w:val="0"/>
          <w:kern w:val="22"/>
          <w:szCs w:val="22"/>
        </w:rPr>
        <w:t>, UNDESA</w:t>
      </w:r>
    </w:p>
    <w:p w14:paraId="0E8895BF" w14:textId="77777777" w:rsidR="006D3E36" w:rsidRPr="003C10BC" w:rsidRDefault="003C10BC" w:rsidP="006D3E36">
      <w:pPr>
        <w:pStyle w:val="ListParagraph"/>
        <w:numPr>
          <w:ilvl w:val="0"/>
          <w:numId w:val="13"/>
        </w:numPr>
        <w:shd w:val="clear" w:color="auto" w:fill="F2DBDB" w:themeFill="accent2" w:themeFillTint="33"/>
        <w:ind w:right="855"/>
        <w:rPr>
          <w:rFonts w:asciiTheme="majorHAnsi" w:hAnsiTheme="majorHAnsi" w:cstheme="majorHAnsi"/>
          <w:snapToGrid w:val="0"/>
          <w:kern w:val="22"/>
          <w:szCs w:val="22"/>
        </w:rPr>
      </w:pPr>
      <w:hyperlink r:id="rId22" w:history="1">
        <w:r w:rsidR="006D3E36" w:rsidRPr="003C10BC">
          <w:rPr>
            <w:rStyle w:val="Hyperlink"/>
            <w:rFonts w:asciiTheme="majorHAnsi" w:hAnsiTheme="majorHAnsi" w:cstheme="majorHAnsi"/>
            <w:snapToGrid w:val="0"/>
            <w:kern w:val="22"/>
            <w:sz w:val="22"/>
            <w:szCs w:val="22"/>
          </w:rPr>
          <w:t>CBD Website: National Biodiversity Strategies and Action Plans (NBSAPs)</w:t>
        </w:r>
      </w:hyperlink>
    </w:p>
    <w:p w14:paraId="0E8895C0" w14:textId="77777777" w:rsidR="006D3E36" w:rsidRPr="003C10BC" w:rsidRDefault="003C10BC" w:rsidP="006D3E36">
      <w:pPr>
        <w:pStyle w:val="ListParagraph"/>
        <w:numPr>
          <w:ilvl w:val="0"/>
          <w:numId w:val="13"/>
        </w:numPr>
        <w:shd w:val="clear" w:color="auto" w:fill="F2DBDB" w:themeFill="accent2" w:themeFillTint="33"/>
        <w:ind w:right="855"/>
        <w:rPr>
          <w:rFonts w:asciiTheme="majorHAnsi" w:hAnsiTheme="majorHAnsi" w:cstheme="majorHAnsi"/>
          <w:snapToGrid w:val="0"/>
          <w:kern w:val="22"/>
          <w:szCs w:val="22"/>
        </w:rPr>
      </w:pPr>
      <w:hyperlink r:id="rId23" w:history="1">
        <w:r w:rsidR="006D3E36" w:rsidRPr="003C10BC">
          <w:rPr>
            <w:rStyle w:val="Hyperlink"/>
            <w:rFonts w:asciiTheme="majorHAnsi" w:hAnsiTheme="majorHAnsi" w:cstheme="majorHAnsi"/>
            <w:snapToGrid w:val="0"/>
            <w:kern w:val="22"/>
            <w:sz w:val="22"/>
            <w:szCs w:val="22"/>
          </w:rPr>
          <w:t>COP-13 decisions containing requests related to NBSAPs</w:t>
        </w:r>
      </w:hyperlink>
      <w:r w:rsidR="006D3E36" w:rsidRPr="003C10BC">
        <w:rPr>
          <w:rFonts w:asciiTheme="majorHAnsi" w:hAnsiTheme="majorHAnsi" w:cstheme="majorHAnsi"/>
          <w:snapToGrid w:val="0"/>
          <w:kern w:val="22"/>
          <w:szCs w:val="22"/>
        </w:rPr>
        <w:t>, CBD</w:t>
      </w:r>
    </w:p>
    <w:p w14:paraId="0E8895C1" w14:textId="77777777" w:rsidR="006D3E36" w:rsidRPr="003C10BC" w:rsidRDefault="003C10BC" w:rsidP="006D3E36">
      <w:pPr>
        <w:pStyle w:val="ListParagraph"/>
        <w:numPr>
          <w:ilvl w:val="0"/>
          <w:numId w:val="13"/>
        </w:numPr>
        <w:shd w:val="clear" w:color="auto" w:fill="F2DBDB" w:themeFill="accent2" w:themeFillTint="33"/>
        <w:ind w:right="855"/>
        <w:rPr>
          <w:rFonts w:asciiTheme="majorHAnsi" w:hAnsiTheme="majorHAnsi" w:cstheme="majorHAnsi"/>
          <w:snapToGrid w:val="0"/>
          <w:kern w:val="22"/>
          <w:szCs w:val="22"/>
        </w:rPr>
      </w:pPr>
      <w:hyperlink r:id="rId24" w:history="1">
        <w:r w:rsidR="006D3E36" w:rsidRPr="003C10BC">
          <w:rPr>
            <w:rStyle w:val="Hyperlink"/>
            <w:rFonts w:asciiTheme="majorHAnsi" w:hAnsiTheme="majorHAnsi" w:cstheme="majorHAnsi"/>
            <w:snapToGrid w:val="0"/>
            <w:kern w:val="22"/>
            <w:sz w:val="22"/>
            <w:szCs w:val="22"/>
          </w:rPr>
          <w:t>NBSAPs: Natural Catalysts for Accelerating Action on SDGs (UNDP and the Norwegian Ministry of Foreign Affairs, 2016)</w:t>
        </w:r>
      </w:hyperlink>
    </w:p>
    <w:p w14:paraId="0E8895C2" w14:textId="77777777" w:rsidR="006D3E36" w:rsidRPr="003C10BC" w:rsidRDefault="006D3E36" w:rsidP="006D3E36">
      <w:pPr>
        <w:shd w:val="clear" w:color="auto" w:fill="F2DBDB" w:themeFill="accent2" w:themeFillTint="33"/>
        <w:ind w:left="567" w:right="855"/>
        <w:rPr>
          <w:rFonts w:asciiTheme="majorHAnsi" w:hAnsiTheme="majorHAnsi" w:cstheme="majorHAnsi"/>
          <w:i/>
          <w:snapToGrid w:val="0"/>
          <w:kern w:val="22"/>
          <w:szCs w:val="22"/>
        </w:rPr>
      </w:pPr>
    </w:p>
    <w:p w14:paraId="0E8895C3" w14:textId="77777777" w:rsidR="006D3E36" w:rsidRPr="003C10BC" w:rsidRDefault="006D3E36" w:rsidP="006D3E36">
      <w:pPr>
        <w:rPr>
          <w:rFonts w:asciiTheme="majorHAnsi" w:hAnsiTheme="majorHAnsi" w:cstheme="majorHAnsi"/>
          <w:snapToGrid w:val="0"/>
          <w:kern w:val="22"/>
          <w:szCs w:val="22"/>
        </w:rPr>
      </w:pPr>
    </w:p>
    <w:p w14:paraId="0E8895C4" w14:textId="77777777" w:rsidR="006D3E36" w:rsidRPr="003C10BC" w:rsidRDefault="006D3E36" w:rsidP="006D3E36">
      <w:pPr>
        <w:shd w:val="clear" w:color="auto" w:fill="FDE9D9" w:themeFill="accent6" w:themeFillTint="33"/>
        <w:jc w:val="center"/>
        <w:rPr>
          <w:rFonts w:asciiTheme="majorHAnsi" w:hAnsiTheme="majorHAnsi" w:cstheme="majorHAnsi"/>
          <w:b/>
          <w:snapToGrid w:val="0"/>
          <w:kern w:val="22"/>
          <w:szCs w:val="22"/>
        </w:rPr>
      </w:pPr>
      <w:r w:rsidRPr="003C10BC">
        <w:rPr>
          <w:rFonts w:asciiTheme="majorHAnsi" w:hAnsiTheme="majorHAnsi" w:cstheme="majorHAnsi"/>
          <w:b/>
          <w:snapToGrid w:val="0"/>
          <w:kern w:val="22"/>
          <w:szCs w:val="22"/>
        </w:rPr>
        <w:t>Good Practice Example – Italy’s 2017 VNR</w:t>
      </w:r>
    </w:p>
    <w:p w14:paraId="0E8895C5" w14:textId="77777777" w:rsidR="006D3E36" w:rsidRPr="003C10BC" w:rsidRDefault="006D3E36" w:rsidP="006D3E36">
      <w:pPr>
        <w:shd w:val="clear" w:color="auto" w:fill="FDE9D9" w:themeFill="accent6" w:themeFillTint="33"/>
        <w:rPr>
          <w:rFonts w:asciiTheme="majorHAnsi" w:hAnsiTheme="majorHAnsi" w:cstheme="majorHAnsi"/>
          <w:snapToGrid w:val="0"/>
          <w:kern w:val="22"/>
          <w:szCs w:val="22"/>
        </w:rPr>
      </w:pPr>
    </w:p>
    <w:p w14:paraId="0E8895C6" w14:textId="77777777" w:rsidR="006D3E36" w:rsidRPr="003C10BC" w:rsidRDefault="003C10BC" w:rsidP="006D3E36">
      <w:pPr>
        <w:shd w:val="clear" w:color="auto" w:fill="FDE9D9" w:themeFill="accent6" w:themeFillTint="33"/>
        <w:rPr>
          <w:rStyle w:val="A4"/>
          <w:rFonts w:asciiTheme="majorHAnsi" w:hAnsiTheme="majorHAnsi" w:cstheme="majorHAnsi"/>
          <w:iCs/>
          <w:snapToGrid w:val="0"/>
          <w:kern w:val="22"/>
        </w:rPr>
      </w:pPr>
      <w:hyperlink r:id="rId25" w:history="1">
        <w:r w:rsidR="006D3E36" w:rsidRPr="003C10BC">
          <w:rPr>
            <w:rStyle w:val="Hyperlink"/>
            <w:rFonts w:asciiTheme="majorHAnsi" w:hAnsiTheme="majorHAnsi" w:cstheme="majorHAnsi"/>
            <w:snapToGrid w:val="0"/>
            <w:kern w:val="22"/>
            <w:sz w:val="22"/>
            <w:szCs w:val="22"/>
          </w:rPr>
          <w:t>Italy’s 2017 VNR</w:t>
        </w:r>
      </w:hyperlink>
      <w:r w:rsidR="006D3E36" w:rsidRPr="003C10BC">
        <w:rPr>
          <w:rFonts w:asciiTheme="majorHAnsi" w:hAnsiTheme="majorHAnsi" w:cstheme="majorHAnsi"/>
          <w:snapToGrid w:val="0"/>
          <w:kern w:val="22"/>
          <w:szCs w:val="22"/>
        </w:rPr>
        <w:t xml:space="preserve"> highlights the fundamental importance of biodiversity to achieving the 2030 Agenda and the SDGs. In its foreword, which is equivalent to the “Opening Statement”, the report states</w:t>
      </w:r>
      <w:r w:rsidR="006D3E36" w:rsidRPr="003C10BC">
        <w:rPr>
          <w:rStyle w:val="A8"/>
          <w:rFonts w:asciiTheme="majorHAnsi" w:hAnsiTheme="majorHAnsi" w:cstheme="majorHAnsi"/>
          <w:snapToGrid w:val="0"/>
          <w:kern w:val="22"/>
          <w:sz w:val="22"/>
          <w:szCs w:val="22"/>
        </w:rPr>
        <w:t xml:space="preserve">: </w:t>
      </w:r>
      <w:r w:rsidR="006D3E36" w:rsidRPr="003C10BC">
        <w:rPr>
          <w:rStyle w:val="A4"/>
          <w:rFonts w:asciiTheme="majorHAnsi" w:hAnsiTheme="majorHAnsi" w:cstheme="majorHAnsi"/>
          <w:i/>
          <w:snapToGrid w:val="0"/>
          <w:kern w:val="22"/>
        </w:rPr>
        <w:t xml:space="preserve">“Following the 2030 Agenda, the [National Sustainable Development Strategy] shapes a new vision towards a </w:t>
      </w:r>
      <w:r w:rsidR="006D3E36" w:rsidRPr="003C10BC">
        <w:rPr>
          <w:rStyle w:val="A4"/>
          <w:rFonts w:asciiTheme="majorHAnsi" w:hAnsiTheme="majorHAnsi" w:cstheme="majorHAnsi"/>
          <w:i/>
          <w:snapToGrid w:val="0"/>
          <w:kern w:val="22"/>
        </w:rPr>
        <w:lastRenderedPageBreak/>
        <w:t>circular, low-emission economy, resilient to climate impacts and to other global changes endangering local communities, prioritising the fight against biodiversity loss, alteration of the fundamental bio-geochemical cycles (carbon, nitrogen, phosphorus) and land-use change.”</w:t>
      </w:r>
    </w:p>
    <w:p w14:paraId="0E8895C7" w14:textId="77777777" w:rsidR="006D3E36" w:rsidRPr="003C10BC" w:rsidRDefault="006D3E36" w:rsidP="006D3E36">
      <w:pPr>
        <w:shd w:val="clear" w:color="auto" w:fill="FDE9D9" w:themeFill="accent6" w:themeFillTint="33"/>
        <w:rPr>
          <w:rStyle w:val="A4"/>
          <w:rFonts w:asciiTheme="majorHAnsi" w:hAnsiTheme="majorHAnsi" w:cstheme="majorHAnsi"/>
          <w:snapToGrid w:val="0"/>
          <w:kern w:val="22"/>
        </w:rPr>
      </w:pPr>
    </w:p>
    <w:p w14:paraId="0E8895C8" w14:textId="77777777" w:rsidR="006D3E36" w:rsidRPr="003C10BC" w:rsidRDefault="006D3E36" w:rsidP="006D3E36">
      <w:pPr>
        <w:shd w:val="clear" w:color="auto" w:fill="FDE9D9" w:themeFill="accent6" w:themeFillTint="33"/>
        <w:rPr>
          <w:rStyle w:val="A4"/>
          <w:rFonts w:asciiTheme="majorHAnsi" w:hAnsiTheme="majorHAnsi" w:cstheme="majorHAnsi"/>
          <w:snapToGrid w:val="0"/>
          <w:kern w:val="22"/>
        </w:rPr>
      </w:pPr>
      <w:r w:rsidRPr="003C10BC">
        <w:rPr>
          <w:rStyle w:val="A4"/>
          <w:rFonts w:asciiTheme="majorHAnsi" w:hAnsiTheme="majorHAnsi" w:cstheme="majorHAnsi"/>
          <w:snapToGrid w:val="0"/>
          <w:kern w:val="22"/>
        </w:rPr>
        <w:t xml:space="preserve">Moreover, Italy’s 2017 VNR included a section pertaining to “planet preservation” (p.38) which is also a useful example of the type of statement that could be included in a VNR opening statement. Their report highlighted the following points: </w:t>
      </w:r>
    </w:p>
    <w:p w14:paraId="0E8895C9" w14:textId="77777777" w:rsidR="006D3E36" w:rsidRPr="003C10BC" w:rsidRDefault="006D3E36" w:rsidP="006D3E36">
      <w:pPr>
        <w:pStyle w:val="ListParagraph"/>
        <w:numPr>
          <w:ilvl w:val="0"/>
          <w:numId w:val="10"/>
        </w:numPr>
        <w:shd w:val="clear" w:color="auto" w:fill="FDE9D9" w:themeFill="accent6" w:themeFillTint="33"/>
        <w:rPr>
          <w:rStyle w:val="A8"/>
          <w:rFonts w:asciiTheme="majorHAnsi" w:hAnsiTheme="majorHAnsi" w:cstheme="majorHAnsi"/>
          <w:i w:val="0"/>
          <w:iCs w:val="0"/>
          <w:snapToGrid w:val="0"/>
          <w:kern w:val="22"/>
          <w:sz w:val="22"/>
          <w:szCs w:val="22"/>
        </w:rPr>
      </w:pPr>
      <w:r w:rsidRPr="003C10BC">
        <w:rPr>
          <w:rStyle w:val="A4"/>
          <w:rFonts w:asciiTheme="majorHAnsi" w:hAnsiTheme="majorHAnsi" w:cstheme="majorHAnsi"/>
          <w:i/>
          <w:snapToGrid w:val="0"/>
          <w:kern w:val="22"/>
        </w:rPr>
        <w:t>“It is crucial to adequately consider the link between the health of terrestrial and aquatic ecosystems, social well-being and economic perspectives within territorial development and infrastructure policies.</w:t>
      </w:r>
      <w:r w:rsidRPr="003C10BC">
        <w:rPr>
          <w:rStyle w:val="A8"/>
          <w:rFonts w:asciiTheme="majorHAnsi" w:hAnsiTheme="majorHAnsi" w:cstheme="majorHAnsi"/>
          <w:snapToGrid w:val="0"/>
          <w:kern w:val="22"/>
          <w:sz w:val="22"/>
          <w:szCs w:val="22"/>
        </w:rPr>
        <w:t>”</w:t>
      </w:r>
    </w:p>
    <w:p w14:paraId="0E8895CA" w14:textId="77777777" w:rsidR="006D3E36" w:rsidRPr="003C10BC" w:rsidRDefault="006D3E36" w:rsidP="006D3E36">
      <w:pPr>
        <w:pStyle w:val="ListParagraph"/>
        <w:numPr>
          <w:ilvl w:val="0"/>
          <w:numId w:val="10"/>
        </w:numPr>
        <w:shd w:val="clear" w:color="auto" w:fill="FDE9D9" w:themeFill="accent6" w:themeFillTint="33"/>
        <w:rPr>
          <w:rFonts w:asciiTheme="majorHAnsi" w:hAnsiTheme="majorHAnsi" w:cstheme="majorHAnsi"/>
          <w:snapToGrid w:val="0"/>
          <w:color w:val="000000"/>
          <w:kern w:val="22"/>
          <w:szCs w:val="22"/>
        </w:rPr>
      </w:pPr>
      <w:r w:rsidRPr="003C10BC">
        <w:rPr>
          <w:rStyle w:val="A8"/>
          <w:rFonts w:asciiTheme="majorHAnsi" w:hAnsiTheme="majorHAnsi" w:cstheme="majorHAnsi"/>
          <w:snapToGrid w:val="0"/>
          <w:kern w:val="22"/>
          <w:sz w:val="22"/>
          <w:szCs w:val="22"/>
        </w:rPr>
        <w:t xml:space="preserve">“In </w:t>
      </w:r>
      <w:r w:rsidRPr="003C10BC">
        <w:rPr>
          <w:rFonts w:asciiTheme="majorHAnsi" w:hAnsiTheme="majorHAnsi" w:cstheme="majorHAnsi"/>
          <w:i/>
          <w:iCs/>
          <w:snapToGrid w:val="0"/>
          <w:color w:val="221E1F"/>
          <w:kern w:val="22"/>
          <w:szCs w:val="22"/>
        </w:rPr>
        <w:t>this sense, the ability to account Natural Capital is decisive to promote long-lasting growth by focusing on environmental quality. This objective is at the basis of the first report on the State of Natural Capital, coordinated by a Natural Capital Committee, composed by representatives of institutions and research experts.”</w:t>
      </w:r>
    </w:p>
    <w:p w14:paraId="0E8895CB" w14:textId="77777777" w:rsidR="006D3E36" w:rsidRPr="003C10BC" w:rsidRDefault="006D3E36" w:rsidP="006D3E36">
      <w:pPr>
        <w:pStyle w:val="ListParagraph"/>
        <w:numPr>
          <w:ilvl w:val="0"/>
          <w:numId w:val="10"/>
        </w:numPr>
        <w:shd w:val="clear" w:color="auto" w:fill="FDE9D9" w:themeFill="accent6" w:themeFillTint="33"/>
        <w:rPr>
          <w:rStyle w:val="A8"/>
          <w:rFonts w:asciiTheme="majorHAnsi" w:hAnsiTheme="majorHAnsi" w:cstheme="majorHAnsi"/>
          <w:i w:val="0"/>
          <w:iCs w:val="0"/>
          <w:snapToGrid w:val="0"/>
          <w:kern w:val="22"/>
          <w:sz w:val="22"/>
          <w:szCs w:val="22"/>
        </w:rPr>
      </w:pPr>
      <w:r w:rsidRPr="003C10BC">
        <w:rPr>
          <w:rStyle w:val="A8"/>
          <w:rFonts w:asciiTheme="majorHAnsi" w:hAnsiTheme="majorHAnsi" w:cstheme="majorHAnsi"/>
          <w:snapToGrid w:val="0"/>
          <w:kern w:val="22"/>
          <w:sz w:val="22"/>
          <w:szCs w:val="22"/>
        </w:rPr>
        <w:t>“</w:t>
      </w:r>
      <w:r w:rsidRPr="003C10BC">
        <w:rPr>
          <w:rFonts w:asciiTheme="majorHAnsi" w:hAnsiTheme="majorHAnsi" w:cstheme="majorHAnsi"/>
          <w:i/>
          <w:iCs/>
          <w:snapToGrid w:val="0"/>
          <w:color w:val="221E1F"/>
          <w:kern w:val="22"/>
          <w:szCs w:val="22"/>
        </w:rPr>
        <w:t>In 2010, Italy adopted a National Strategy for Biodiversity, building on a participatory and shared process involving institutional, social and economic actors concerned with Natural Capital accountability and mainstreaming.”</w:t>
      </w:r>
    </w:p>
    <w:p w14:paraId="0E8895CC" w14:textId="77777777" w:rsidR="006D3E36" w:rsidRPr="003C10BC" w:rsidRDefault="006D3E36" w:rsidP="006D3E36">
      <w:pPr>
        <w:shd w:val="clear" w:color="auto" w:fill="FDE9D9" w:themeFill="accent6" w:themeFillTint="33"/>
        <w:rPr>
          <w:rStyle w:val="A8"/>
          <w:rFonts w:asciiTheme="majorHAnsi" w:hAnsiTheme="majorHAnsi" w:cstheme="majorHAnsi"/>
          <w:i w:val="0"/>
          <w:snapToGrid w:val="0"/>
          <w:kern w:val="22"/>
          <w:sz w:val="22"/>
          <w:szCs w:val="22"/>
        </w:rPr>
      </w:pPr>
    </w:p>
    <w:p w14:paraId="0E8895CD" w14:textId="77777777" w:rsidR="006D3E36" w:rsidRPr="003C10BC" w:rsidRDefault="006D3E36" w:rsidP="006D3E36">
      <w:pPr>
        <w:shd w:val="clear" w:color="auto" w:fill="FFFFFF" w:themeFill="background1"/>
        <w:rPr>
          <w:rFonts w:asciiTheme="majorHAnsi" w:hAnsiTheme="majorHAnsi" w:cstheme="majorHAnsi"/>
          <w:snapToGrid w:val="0"/>
          <w:kern w:val="22"/>
          <w:szCs w:val="22"/>
        </w:rPr>
      </w:pPr>
    </w:p>
    <w:p w14:paraId="0E8895CE" w14:textId="77777777" w:rsidR="006D3E36" w:rsidRPr="003C10BC" w:rsidRDefault="006D3E36" w:rsidP="006D3E36">
      <w:pPr>
        <w:shd w:val="clear" w:color="auto" w:fill="FFFFFF" w:themeFill="background1"/>
        <w:rPr>
          <w:rFonts w:asciiTheme="majorHAnsi" w:hAnsiTheme="majorHAnsi" w:cstheme="majorHAnsi"/>
          <w:snapToGrid w:val="0"/>
          <w:kern w:val="22"/>
          <w:szCs w:val="22"/>
        </w:rPr>
      </w:pPr>
    </w:p>
    <w:p w14:paraId="0E8895CF" w14:textId="77777777" w:rsidR="006D3E36" w:rsidRPr="003C10BC" w:rsidRDefault="006D3E36" w:rsidP="006D3E36">
      <w:pPr>
        <w:pStyle w:val="Heading1"/>
        <w:shd w:val="clear" w:color="auto" w:fill="DAEEF3" w:themeFill="accent5" w:themeFillTint="33"/>
        <w:rPr>
          <w:rFonts w:asciiTheme="majorHAnsi" w:hAnsiTheme="majorHAnsi" w:cstheme="majorHAnsi"/>
          <w:snapToGrid w:val="0"/>
          <w:kern w:val="22"/>
          <w:szCs w:val="22"/>
        </w:rPr>
      </w:pPr>
      <w:r w:rsidRPr="003C10BC">
        <w:rPr>
          <w:rFonts w:asciiTheme="majorHAnsi" w:hAnsiTheme="majorHAnsi" w:cstheme="majorHAnsi"/>
          <w:snapToGrid w:val="0"/>
          <w:kern w:val="22"/>
          <w:szCs w:val="22"/>
        </w:rPr>
        <w:t>2. Highlights</w:t>
      </w:r>
    </w:p>
    <w:p w14:paraId="0E8895D0" w14:textId="77777777" w:rsidR="006D3E36" w:rsidRPr="003C10BC" w:rsidRDefault="006D3E36" w:rsidP="006D3E36">
      <w:pPr>
        <w:rPr>
          <w:rFonts w:asciiTheme="majorHAnsi" w:hAnsiTheme="majorHAnsi" w:cstheme="majorHAnsi"/>
          <w:snapToGrid w:val="0"/>
          <w:kern w:val="22"/>
          <w:szCs w:val="22"/>
        </w:rPr>
      </w:pPr>
    </w:p>
    <w:p w14:paraId="0E8895D1" w14:textId="77777777" w:rsidR="006D3E36" w:rsidRPr="003C10BC" w:rsidRDefault="006D3E36" w:rsidP="006D3E36">
      <w:pPr>
        <w:rPr>
          <w:rFonts w:asciiTheme="majorHAnsi" w:hAnsiTheme="majorHAnsi" w:cstheme="majorHAnsi"/>
          <w:snapToGrid w:val="0"/>
          <w:kern w:val="22"/>
          <w:szCs w:val="22"/>
        </w:rPr>
      </w:pPr>
      <w:r w:rsidRPr="003C10BC">
        <w:rPr>
          <w:rFonts w:asciiTheme="majorHAnsi" w:hAnsiTheme="majorHAnsi" w:cstheme="majorHAnsi"/>
          <w:snapToGrid w:val="0"/>
          <w:kern w:val="22"/>
          <w:szCs w:val="22"/>
        </w:rPr>
        <w:t>UNDESA’s VNR Guidelines recommend including a ‘Highlights’ section in a VNR and to describe “how the Government has responded to the integrated and indivisible nature of the SDGs and to the principle of leaving no-one behind”, among other aspects.</w:t>
      </w:r>
    </w:p>
    <w:p w14:paraId="0E8895D2" w14:textId="77777777" w:rsidR="006D3E36" w:rsidRPr="003C10BC" w:rsidRDefault="006D3E36" w:rsidP="006D3E36">
      <w:pPr>
        <w:rPr>
          <w:rFonts w:asciiTheme="majorHAnsi" w:hAnsiTheme="majorHAnsi" w:cstheme="majorHAnsi"/>
          <w:snapToGrid w:val="0"/>
          <w:kern w:val="22"/>
          <w:szCs w:val="22"/>
        </w:rPr>
      </w:pPr>
    </w:p>
    <w:p w14:paraId="0E8895D3"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 xml:space="preserve">In the context of the ‘Highlights’ section of a VNR, member states could emphasize the importance of achieving the SDGs in a manner that considers the interaction among all SDGs and minimizes trade-offs. Member states could also describe the cross-cutting role of biodiversity in achieving the SDGs in their country, and the role biodiversity plays in ‘leaving no one behind’. </w:t>
      </w:r>
    </w:p>
    <w:p w14:paraId="0E8895D4"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 xml:space="preserve"> </w:t>
      </w:r>
    </w:p>
    <w:p w14:paraId="0E8895D5"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 xml:space="preserve">For example, the CBD’s Technical Note on ‘Biodiversity and the 2030 Agenda’ makes the following statement:  </w:t>
      </w:r>
    </w:p>
    <w:p w14:paraId="0E8895D6" w14:textId="77777777" w:rsidR="006D3E36" w:rsidRPr="003C10BC" w:rsidRDefault="006D3E36" w:rsidP="006D3E36">
      <w:pPr>
        <w:shd w:val="clear" w:color="auto" w:fill="F2DBDB" w:themeFill="accent2" w:themeFillTint="33"/>
        <w:ind w:left="567" w:right="855"/>
        <w:rPr>
          <w:rFonts w:asciiTheme="majorHAnsi" w:hAnsiTheme="majorHAnsi" w:cstheme="majorHAnsi"/>
          <w:i/>
          <w:snapToGrid w:val="0"/>
          <w:kern w:val="22"/>
          <w:szCs w:val="22"/>
        </w:rPr>
      </w:pPr>
    </w:p>
    <w:p w14:paraId="0E8895D7"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r w:rsidRPr="003C10BC">
        <w:rPr>
          <w:rFonts w:asciiTheme="majorHAnsi" w:hAnsiTheme="majorHAnsi" w:cstheme="majorHAnsi"/>
          <w:i/>
          <w:snapToGrid w:val="0"/>
          <w:kern w:val="22"/>
          <w:szCs w:val="22"/>
        </w:rPr>
        <w:t>“</w:t>
      </w:r>
      <w:r w:rsidRPr="003C10BC">
        <w:rPr>
          <w:rFonts w:asciiTheme="majorHAnsi" w:hAnsiTheme="majorHAnsi" w:cstheme="majorHAnsi"/>
          <w:i/>
          <w:snapToGrid w:val="0"/>
          <w:color w:val="221E1F"/>
          <w:kern w:val="22"/>
          <w:szCs w:val="22"/>
        </w:rPr>
        <w:t>Biodiversity and ecosystems feature prominently across many of the Sustainable Development Goals (SDGs) and associated targets. They contribute directly to human well-being and development priorities. Biodiversity is at the centre of many economic activities, particularly those related to crop and livestock agriculture, forestry, and fisheries. Globally, nearly half of the human population is directly dependent on natural resources for its livelihood, and many of the most vulnerable people depend directly on biodiversity to fulfil their daily subsistence needs.”</w:t>
      </w:r>
    </w:p>
    <w:p w14:paraId="0E8895D8"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p>
    <w:p w14:paraId="0E8895D9"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Useful Resources on Biodiversity’s Role in Achieving the SDGs:</w:t>
      </w:r>
    </w:p>
    <w:p w14:paraId="0E8895DA" w14:textId="77777777" w:rsidR="006D3E36" w:rsidRPr="003C10BC" w:rsidRDefault="003C10BC" w:rsidP="006D3E36">
      <w:pPr>
        <w:pStyle w:val="ListParagraph"/>
        <w:numPr>
          <w:ilvl w:val="0"/>
          <w:numId w:val="13"/>
        </w:numPr>
        <w:shd w:val="clear" w:color="auto" w:fill="F2DBDB" w:themeFill="accent2" w:themeFillTint="33"/>
        <w:ind w:right="855"/>
        <w:jc w:val="left"/>
        <w:rPr>
          <w:rFonts w:asciiTheme="majorHAnsi" w:hAnsiTheme="majorHAnsi" w:cstheme="majorHAnsi"/>
          <w:snapToGrid w:val="0"/>
          <w:kern w:val="22"/>
          <w:szCs w:val="22"/>
        </w:rPr>
      </w:pPr>
      <w:hyperlink r:id="rId26" w:history="1">
        <w:r w:rsidR="006D3E36" w:rsidRPr="003C10BC">
          <w:rPr>
            <w:rStyle w:val="Hyperlink"/>
            <w:rFonts w:asciiTheme="majorHAnsi" w:hAnsiTheme="majorHAnsi" w:cstheme="majorHAnsi"/>
            <w:snapToGrid w:val="0"/>
            <w:kern w:val="22"/>
            <w:sz w:val="22"/>
            <w:szCs w:val="22"/>
          </w:rPr>
          <w:t>CBD Website, Biodiversity for Development</w:t>
        </w:r>
      </w:hyperlink>
    </w:p>
    <w:p w14:paraId="0E8895DB" w14:textId="77777777" w:rsidR="006D3E36" w:rsidRPr="003C10BC" w:rsidRDefault="003C10BC" w:rsidP="006D3E36">
      <w:pPr>
        <w:pStyle w:val="ListParagraph"/>
        <w:numPr>
          <w:ilvl w:val="0"/>
          <w:numId w:val="13"/>
        </w:numPr>
        <w:shd w:val="clear" w:color="auto" w:fill="F2DBDB" w:themeFill="accent2" w:themeFillTint="33"/>
        <w:ind w:right="855"/>
        <w:jc w:val="left"/>
        <w:rPr>
          <w:rFonts w:asciiTheme="majorHAnsi" w:hAnsiTheme="majorHAnsi" w:cstheme="majorHAnsi"/>
          <w:snapToGrid w:val="0"/>
          <w:kern w:val="22"/>
          <w:szCs w:val="22"/>
        </w:rPr>
      </w:pPr>
      <w:hyperlink r:id="rId27" w:history="1">
        <w:r w:rsidR="006D3E36" w:rsidRPr="003C10BC">
          <w:rPr>
            <w:rStyle w:val="Hyperlink"/>
            <w:rFonts w:asciiTheme="majorHAnsi" w:hAnsiTheme="majorHAnsi" w:cstheme="majorHAnsi"/>
            <w:snapToGrid w:val="0"/>
            <w:kern w:val="22"/>
            <w:sz w:val="22"/>
            <w:szCs w:val="22"/>
          </w:rPr>
          <w:t>Technical Note: Biodiversity and the 2030 Agenda for Sustainable Development</w:t>
        </w:r>
      </w:hyperlink>
      <w:r w:rsidR="006D3E36" w:rsidRPr="003C10BC">
        <w:rPr>
          <w:rFonts w:asciiTheme="majorHAnsi" w:hAnsiTheme="majorHAnsi" w:cstheme="majorHAnsi"/>
          <w:snapToGrid w:val="0"/>
          <w:kern w:val="22"/>
          <w:szCs w:val="22"/>
        </w:rPr>
        <w:t>, UNCBD and Partners</w:t>
      </w:r>
    </w:p>
    <w:p w14:paraId="0E8895DC" w14:textId="77777777" w:rsidR="006D3E36" w:rsidRPr="003C10BC" w:rsidRDefault="003C10BC" w:rsidP="006D3E36">
      <w:pPr>
        <w:pStyle w:val="ListParagraph"/>
        <w:numPr>
          <w:ilvl w:val="0"/>
          <w:numId w:val="13"/>
        </w:numPr>
        <w:shd w:val="clear" w:color="auto" w:fill="F2DBDB" w:themeFill="accent2" w:themeFillTint="33"/>
        <w:ind w:right="855"/>
        <w:jc w:val="left"/>
        <w:rPr>
          <w:rFonts w:asciiTheme="majorHAnsi" w:hAnsiTheme="majorHAnsi" w:cstheme="majorHAnsi"/>
          <w:snapToGrid w:val="0"/>
          <w:kern w:val="22"/>
          <w:szCs w:val="22"/>
        </w:rPr>
      </w:pPr>
      <w:hyperlink r:id="rId28" w:history="1">
        <w:r w:rsidR="006D3E36" w:rsidRPr="003C10BC">
          <w:rPr>
            <w:rStyle w:val="Hyperlink"/>
            <w:rFonts w:asciiTheme="majorHAnsi" w:hAnsiTheme="majorHAnsi" w:cstheme="majorHAnsi"/>
            <w:snapToGrid w:val="0"/>
            <w:kern w:val="22"/>
            <w:sz w:val="22"/>
            <w:szCs w:val="22"/>
          </w:rPr>
          <w:t>Policy Brief: Biodiversity and the 2030 Agenda for Sustainable Development</w:t>
        </w:r>
      </w:hyperlink>
      <w:r w:rsidR="006D3E36" w:rsidRPr="003C10BC">
        <w:rPr>
          <w:rFonts w:asciiTheme="majorHAnsi" w:hAnsiTheme="majorHAnsi" w:cstheme="majorHAnsi"/>
          <w:snapToGrid w:val="0"/>
          <w:kern w:val="22"/>
          <w:szCs w:val="22"/>
        </w:rPr>
        <w:t>, UNCBD and Partners</w:t>
      </w:r>
    </w:p>
    <w:p w14:paraId="0E8895DD" w14:textId="77777777" w:rsidR="006D3E36" w:rsidRPr="003C10BC" w:rsidRDefault="003C10BC" w:rsidP="006D3E36">
      <w:pPr>
        <w:pStyle w:val="ListParagraph"/>
        <w:numPr>
          <w:ilvl w:val="0"/>
          <w:numId w:val="13"/>
        </w:numPr>
        <w:shd w:val="clear" w:color="auto" w:fill="F2DBDB" w:themeFill="accent2" w:themeFillTint="33"/>
        <w:ind w:right="855"/>
        <w:jc w:val="left"/>
        <w:rPr>
          <w:rFonts w:asciiTheme="majorHAnsi" w:hAnsiTheme="majorHAnsi" w:cstheme="majorHAnsi"/>
          <w:snapToGrid w:val="0"/>
          <w:kern w:val="22"/>
          <w:szCs w:val="22"/>
        </w:rPr>
      </w:pPr>
      <w:hyperlink r:id="rId29" w:history="1">
        <w:r w:rsidR="006D3E36" w:rsidRPr="003C10BC">
          <w:rPr>
            <w:rStyle w:val="Hyperlink"/>
            <w:rFonts w:asciiTheme="majorHAnsi" w:hAnsiTheme="majorHAnsi" w:cstheme="majorHAnsi"/>
            <w:snapToGrid w:val="0"/>
            <w:kern w:val="22"/>
            <w:sz w:val="22"/>
            <w:szCs w:val="22"/>
          </w:rPr>
          <w:t>Note by the Executive Secretary on Biodiversity and the 2030 Agenda for Sustainable Development</w:t>
        </w:r>
      </w:hyperlink>
      <w:r w:rsidR="006D3E36" w:rsidRPr="003C10BC">
        <w:rPr>
          <w:rFonts w:asciiTheme="majorHAnsi" w:hAnsiTheme="majorHAnsi" w:cstheme="majorHAnsi"/>
          <w:snapToGrid w:val="0"/>
          <w:kern w:val="22"/>
          <w:szCs w:val="22"/>
        </w:rPr>
        <w:t>, Subsidiary Body on Scientific, Technical, and Technological Advice.</w:t>
      </w:r>
    </w:p>
    <w:p w14:paraId="0E8895DE" w14:textId="77777777" w:rsidR="006D3E36" w:rsidRPr="003C10BC" w:rsidRDefault="003C10BC" w:rsidP="006D3E36">
      <w:pPr>
        <w:pStyle w:val="ListParagraph"/>
        <w:numPr>
          <w:ilvl w:val="0"/>
          <w:numId w:val="13"/>
        </w:numPr>
        <w:shd w:val="clear" w:color="auto" w:fill="F2DBDB" w:themeFill="accent2" w:themeFillTint="33"/>
        <w:ind w:right="855"/>
        <w:jc w:val="left"/>
        <w:rPr>
          <w:rFonts w:asciiTheme="majorHAnsi" w:hAnsiTheme="majorHAnsi" w:cstheme="majorHAnsi"/>
          <w:snapToGrid w:val="0"/>
          <w:kern w:val="22"/>
          <w:szCs w:val="22"/>
        </w:rPr>
      </w:pPr>
      <w:hyperlink r:id="rId30" w:history="1">
        <w:r w:rsidR="006D3E36" w:rsidRPr="003C10BC">
          <w:rPr>
            <w:rStyle w:val="Hyperlink"/>
            <w:rFonts w:asciiTheme="majorHAnsi" w:hAnsiTheme="majorHAnsi" w:cstheme="majorHAnsi"/>
            <w:snapToGrid w:val="0"/>
            <w:kern w:val="22"/>
            <w:sz w:val="22"/>
            <w:szCs w:val="22"/>
          </w:rPr>
          <w:t>The 2030 Agenda and Ecosystems</w:t>
        </w:r>
      </w:hyperlink>
      <w:r w:rsidR="006D3E36" w:rsidRPr="003C10BC">
        <w:rPr>
          <w:rFonts w:asciiTheme="majorHAnsi" w:hAnsiTheme="majorHAnsi" w:cstheme="majorHAnsi"/>
          <w:snapToGrid w:val="0"/>
          <w:kern w:val="22"/>
          <w:szCs w:val="22"/>
        </w:rPr>
        <w:t>: A discussion paper on the links between the Aichi Biodiversity Targets and the Sustainable Development Goals. Stockholm Resilience Centre and the Swedish Biodiversity Centre.</w:t>
      </w:r>
    </w:p>
    <w:p w14:paraId="0E8895DF"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p>
    <w:p w14:paraId="0E8895E0"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Useful Resources on Biodiversity’s Role in ‘Leaving No One Behind’:</w:t>
      </w:r>
    </w:p>
    <w:p w14:paraId="0E8895E1" w14:textId="77777777" w:rsidR="006D3E36" w:rsidRPr="003C10BC" w:rsidRDefault="006D3E36" w:rsidP="006D3E36">
      <w:pPr>
        <w:pStyle w:val="ListParagraph"/>
        <w:numPr>
          <w:ilvl w:val="0"/>
          <w:numId w:val="14"/>
        </w:numPr>
        <w:shd w:val="clear" w:color="auto" w:fill="F2DBDB" w:themeFill="accent2" w:themeFillTint="33"/>
        <w:ind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 xml:space="preserve">Report of the Special Rapporteur on the issue of human rights obligations relating to the enjoyment of a safe, clean, healthy and sustainable environment. </w:t>
      </w:r>
      <w:hyperlink r:id="rId31" w:history="1">
        <w:r w:rsidRPr="003C10BC">
          <w:rPr>
            <w:rStyle w:val="Hyperlink"/>
            <w:rFonts w:asciiTheme="majorHAnsi" w:hAnsiTheme="majorHAnsi" w:cstheme="majorHAnsi"/>
            <w:snapToGrid w:val="0"/>
            <w:kern w:val="22"/>
            <w:sz w:val="22"/>
            <w:szCs w:val="22"/>
          </w:rPr>
          <w:t>UN Human Rights Council</w:t>
        </w:r>
      </w:hyperlink>
      <w:r w:rsidRPr="003C10BC">
        <w:rPr>
          <w:rFonts w:asciiTheme="majorHAnsi" w:hAnsiTheme="majorHAnsi" w:cstheme="majorHAnsi"/>
          <w:snapToGrid w:val="0"/>
          <w:kern w:val="22"/>
          <w:szCs w:val="22"/>
        </w:rPr>
        <w:t>, 34</w:t>
      </w:r>
      <w:r w:rsidRPr="003C10BC">
        <w:rPr>
          <w:rFonts w:asciiTheme="majorHAnsi" w:hAnsiTheme="majorHAnsi" w:cstheme="majorHAnsi"/>
          <w:snapToGrid w:val="0"/>
          <w:kern w:val="22"/>
          <w:szCs w:val="22"/>
          <w:vertAlign w:val="superscript"/>
        </w:rPr>
        <w:t>th</w:t>
      </w:r>
      <w:r w:rsidRPr="003C10BC">
        <w:rPr>
          <w:rFonts w:asciiTheme="majorHAnsi" w:hAnsiTheme="majorHAnsi" w:cstheme="majorHAnsi"/>
          <w:snapToGrid w:val="0"/>
          <w:kern w:val="22"/>
          <w:szCs w:val="22"/>
        </w:rPr>
        <w:t xml:space="preserve"> Session</w:t>
      </w:r>
    </w:p>
    <w:p w14:paraId="0E8895E2" w14:textId="77777777" w:rsidR="006D3E36" w:rsidRPr="003C10BC" w:rsidRDefault="003C10BC" w:rsidP="006D3E36">
      <w:pPr>
        <w:pStyle w:val="ListParagraph"/>
        <w:numPr>
          <w:ilvl w:val="0"/>
          <w:numId w:val="14"/>
        </w:numPr>
        <w:shd w:val="clear" w:color="auto" w:fill="F2DBDB" w:themeFill="accent2" w:themeFillTint="33"/>
        <w:ind w:right="855"/>
        <w:rPr>
          <w:rFonts w:asciiTheme="majorHAnsi" w:hAnsiTheme="majorHAnsi" w:cstheme="majorHAnsi"/>
          <w:snapToGrid w:val="0"/>
          <w:kern w:val="22"/>
          <w:szCs w:val="22"/>
        </w:rPr>
      </w:pPr>
      <w:hyperlink r:id="rId32" w:history="1">
        <w:r w:rsidR="006D3E36" w:rsidRPr="003C10BC">
          <w:rPr>
            <w:rStyle w:val="Hyperlink"/>
            <w:rFonts w:asciiTheme="majorHAnsi" w:hAnsiTheme="majorHAnsi" w:cstheme="majorHAnsi"/>
            <w:snapToGrid w:val="0"/>
            <w:kern w:val="22"/>
            <w:sz w:val="22"/>
            <w:szCs w:val="22"/>
          </w:rPr>
          <w:t>COP XII/5. Biodiversity for poverty eradication and sustainable development</w:t>
        </w:r>
      </w:hyperlink>
      <w:r w:rsidR="006D3E36" w:rsidRPr="003C10BC">
        <w:rPr>
          <w:rFonts w:asciiTheme="majorHAnsi" w:hAnsiTheme="majorHAnsi" w:cstheme="majorHAnsi"/>
          <w:snapToGrid w:val="0"/>
          <w:kern w:val="22"/>
          <w:szCs w:val="22"/>
        </w:rPr>
        <w:t>, CBD</w:t>
      </w:r>
    </w:p>
    <w:p w14:paraId="0E8895E3" w14:textId="77777777" w:rsidR="006D3E36" w:rsidRPr="003C10BC" w:rsidRDefault="003C10BC" w:rsidP="006D3E36">
      <w:pPr>
        <w:pStyle w:val="ListParagraph"/>
        <w:numPr>
          <w:ilvl w:val="0"/>
          <w:numId w:val="14"/>
        </w:numPr>
        <w:shd w:val="clear" w:color="auto" w:fill="F2DBDB" w:themeFill="accent2" w:themeFillTint="33"/>
        <w:ind w:right="855"/>
        <w:rPr>
          <w:rFonts w:asciiTheme="majorHAnsi" w:hAnsiTheme="majorHAnsi" w:cstheme="majorHAnsi"/>
          <w:snapToGrid w:val="0"/>
          <w:kern w:val="22"/>
          <w:szCs w:val="22"/>
        </w:rPr>
      </w:pPr>
      <w:hyperlink r:id="rId33" w:history="1">
        <w:r w:rsidR="006D3E36" w:rsidRPr="003C10BC">
          <w:rPr>
            <w:rStyle w:val="Hyperlink"/>
            <w:rFonts w:asciiTheme="majorHAnsi" w:hAnsiTheme="majorHAnsi" w:cstheme="majorHAnsi"/>
            <w:snapToGrid w:val="0"/>
            <w:kern w:val="22"/>
            <w:sz w:val="22"/>
            <w:szCs w:val="22"/>
          </w:rPr>
          <w:t>Biodiversity, Development and Poverty Alleviation. Recognizing the Role of Biodiversity for Human Well-being</w:t>
        </w:r>
      </w:hyperlink>
      <w:r w:rsidR="006D3E36" w:rsidRPr="003C10BC">
        <w:rPr>
          <w:rFonts w:asciiTheme="majorHAnsi" w:hAnsiTheme="majorHAnsi" w:cstheme="majorHAnsi"/>
          <w:snapToGrid w:val="0"/>
          <w:kern w:val="22"/>
          <w:szCs w:val="22"/>
        </w:rPr>
        <w:t>, CBD</w:t>
      </w:r>
    </w:p>
    <w:p w14:paraId="0E8895E4" w14:textId="77777777" w:rsidR="006D3E36" w:rsidRPr="003C10BC" w:rsidRDefault="003C10BC" w:rsidP="006D3E36">
      <w:pPr>
        <w:pStyle w:val="ListParagraph"/>
        <w:numPr>
          <w:ilvl w:val="0"/>
          <w:numId w:val="14"/>
        </w:numPr>
        <w:shd w:val="clear" w:color="auto" w:fill="F2DBDB" w:themeFill="accent2" w:themeFillTint="33"/>
        <w:ind w:right="855"/>
        <w:rPr>
          <w:rFonts w:asciiTheme="majorHAnsi" w:hAnsiTheme="majorHAnsi" w:cstheme="majorHAnsi"/>
          <w:snapToGrid w:val="0"/>
          <w:kern w:val="22"/>
          <w:szCs w:val="22"/>
        </w:rPr>
      </w:pPr>
      <w:hyperlink r:id="rId34" w:history="1">
        <w:r w:rsidR="006D3E36" w:rsidRPr="003C10BC">
          <w:rPr>
            <w:rStyle w:val="Hyperlink"/>
            <w:rFonts w:asciiTheme="majorHAnsi" w:hAnsiTheme="majorHAnsi" w:cstheme="majorHAnsi"/>
            <w:snapToGrid w:val="0"/>
            <w:kern w:val="22"/>
            <w:sz w:val="22"/>
            <w:szCs w:val="22"/>
          </w:rPr>
          <w:t>CBD Website, Gender and Biodiversity</w:t>
        </w:r>
      </w:hyperlink>
    </w:p>
    <w:p w14:paraId="0E8895E5" w14:textId="77777777" w:rsidR="006D3E36" w:rsidRPr="003C10BC" w:rsidRDefault="003C10BC" w:rsidP="006D3E36">
      <w:pPr>
        <w:pStyle w:val="ListParagraph"/>
        <w:numPr>
          <w:ilvl w:val="0"/>
          <w:numId w:val="14"/>
        </w:numPr>
        <w:shd w:val="clear" w:color="auto" w:fill="F2DBDB" w:themeFill="accent2" w:themeFillTint="33"/>
        <w:ind w:right="855"/>
        <w:rPr>
          <w:rStyle w:val="Hyperlink"/>
          <w:rFonts w:asciiTheme="majorHAnsi" w:hAnsiTheme="majorHAnsi" w:cstheme="majorHAnsi"/>
          <w:snapToGrid w:val="0"/>
          <w:color w:val="auto"/>
          <w:kern w:val="22"/>
          <w:sz w:val="22"/>
          <w:szCs w:val="22"/>
        </w:rPr>
      </w:pPr>
      <w:hyperlink r:id="rId35" w:history="1">
        <w:r w:rsidR="006D3E36" w:rsidRPr="003C10BC">
          <w:rPr>
            <w:rStyle w:val="Hyperlink"/>
            <w:rFonts w:asciiTheme="majorHAnsi" w:hAnsiTheme="majorHAnsi" w:cstheme="majorHAnsi"/>
            <w:snapToGrid w:val="0"/>
            <w:kern w:val="22"/>
            <w:sz w:val="22"/>
            <w:szCs w:val="22"/>
          </w:rPr>
          <w:t>UNDP Blog: Valuing biodiversity and achieving national SDG targets, UNDP</w:t>
        </w:r>
      </w:hyperlink>
    </w:p>
    <w:p w14:paraId="0E8895E6" w14:textId="77777777" w:rsidR="006D3E36" w:rsidRPr="003C10BC" w:rsidRDefault="003C10BC" w:rsidP="006D3E36">
      <w:pPr>
        <w:pStyle w:val="ListParagraph"/>
        <w:numPr>
          <w:ilvl w:val="0"/>
          <w:numId w:val="14"/>
        </w:numPr>
        <w:shd w:val="clear" w:color="auto" w:fill="F2DBDB" w:themeFill="accent2" w:themeFillTint="33"/>
        <w:ind w:right="855"/>
        <w:rPr>
          <w:rFonts w:asciiTheme="majorHAnsi" w:hAnsiTheme="majorHAnsi" w:cstheme="majorHAnsi"/>
          <w:snapToGrid w:val="0"/>
          <w:kern w:val="22"/>
          <w:szCs w:val="22"/>
        </w:rPr>
      </w:pPr>
      <w:hyperlink r:id="rId36" w:history="1">
        <w:r w:rsidR="006D3E36" w:rsidRPr="003C10BC">
          <w:rPr>
            <w:rStyle w:val="Hyperlink"/>
            <w:rFonts w:asciiTheme="majorHAnsi" w:hAnsiTheme="majorHAnsi" w:cstheme="majorHAnsi"/>
            <w:snapToGrid w:val="0"/>
            <w:kern w:val="22"/>
            <w:sz w:val="22"/>
            <w:szCs w:val="22"/>
          </w:rPr>
          <w:t>Shared UN System Framework for Action on Leaving No One Behind, UN Chief Executives Board for Coordination</w:t>
        </w:r>
      </w:hyperlink>
    </w:p>
    <w:p w14:paraId="0E8895E7"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p>
    <w:p w14:paraId="0E8895E8" w14:textId="77777777" w:rsidR="006D3E36" w:rsidRPr="003C10BC" w:rsidRDefault="006D3E36" w:rsidP="006D3E36">
      <w:pPr>
        <w:rPr>
          <w:rFonts w:asciiTheme="majorHAnsi" w:hAnsiTheme="majorHAnsi" w:cstheme="majorHAnsi"/>
          <w:snapToGrid w:val="0"/>
          <w:kern w:val="22"/>
          <w:szCs w:val="22"/>
        </w:rPr>
      </w:pPr>
    </w:p>
    <w:p w14:paraId="0E8895E9" w14:textId="77777777" w:rsidR="006D3E36" w:rsidRPr="003C10BC" w:rsidRDefault="006D3E36" w:rsidP="006D3E36">
      <w:pPr>
        <w:shd w:val="clear" w:color="auto" w:fill="FDE9D9" w:themeFill="accent6" w:themeFillTint="33"/>
        <w:jc w:val="center"/>
        <w:rPr>
          <w:rFonts w:asciiTheme="majorHAnsi" w:hAnsiTheme="majorHAnsi" w:cstheme="majorHAnsi"/>
          <w:b/>
          <w:snapToGrid w:val="0"/>
          <w:kern w:val="22"/>
          <w:szCs w:val="22"/>
        </w:rPr>
      </w:pPr>
      <w:r w:rsidRPr="003C10BC">
        <w:rPr>
          <w:rFonts w:asciiTheme="majorHAnsi" w:hAnsiTheme="majorHAnsi" w:cstheme="majorHAnsi"/>
          <w:b/>
          <w:snapToGrid w:val="0"/>
          <w:kern w:val="22"/>
          <w:szCs w:val="22"/>
        </w:rPr>
        <w:t>Good Practice Example – Chile’s 2017 VNR</w:t>
      </w:r>
    </w:p>
    <w:p w14:paraId="0E8895EA" w14:textId="77777777" w:rsidR="006D3E36" w:rsidRPr="003C10BC" w:rsidRDefault="006D3E36" w:rsidP="006D3E36">
      <w:pPr>
        <w:shd w:val="clear" w:color="auto" w:fill="FDE9D9" w:themeFill="accent6" w:themeFillTint="33"/>
        <w:rPr>
          <w:rFonts w:asciiTheme="majorHAnsi" w:hAnsiTheme="majorHAnsi" w:cstheme="majorHAnsi"/>
          <w:snapToGrid w:val="0"/>
          <w:kern w:val="22"/>
          <w:szCs w:val="22"/>
        </w:rPr>
      </w:pPr>
    </w:p>
    <w:p w14:paraId="0E8895EB" w14:textId="77777777" w:rsidR="006D3E36" w:rsidRPr="003C10BC" w:rsidRDefault="003C10BC" w:rsidP="006D3E36">
      <w:pPr>
        <w:shd w:val="clear" w:color="auto" w:fill="FDE9D9" w:themeFill="accent6" w:themeFillTint="33"/>
        <w:rPr>
          <w:rFonts w:asciiTheme="majorHAnsi" w:hAnsiTheme="majorHAnsi" w:cstheme="majorHAnsi"/>
          <w:snapToGrid w:val="0"/>
          <w:kern w:val="22"/>
          <w:szCs w:val="22"/>
        </w:rPr>
      </w:pPr>
      <w:hyperlink r:id="rId37" w:history="1">
        <w:r w:rsidR="006D3E36" w:rsidRPr="003C10BC">
          <w:rPr>
            <w:rStyle w:val="Hyperlink"/>
            <w:rFonts w:asciiTheme="majorHAnsi" w:hAnsiTheme="majorHAnsi" w:cstheme="majorHAnsi"/>
            <w:snapToGrid w:val="0"/>
            <w:kern w:val="22"/>
            <w:sz w:val="22"/>
            <w:szCs w:val="22"/>
          </w:rPr>
          <w:t>Chile’s 2017 VNR</w:t>
        </w:r>
      </w:hyperlink>
      <w:r w:rsidR="006D3E36" w:rsidRPr="003C10BC">
        <w:rPr>
          <w:rFonts w:asciiTheme="majorHAnsi" w:hAnsiTheme="majorHAnsi" w:cstheme="majorHAnsi"/>
          <w:snapToGrid w:val="0"/>
          <w:kern w:val="22"/>
          <w:szCs w:val="22"/>
        </w:rPr>
        <w:t xml:space="preserve"> highlights near the beginning of its report (in its ‘Declaration’ section) how the country is responding to the 2030 Agenda and the role biodiversity plays in that response. Chile’s 2017 VNR states:</w:t>
      </w:r>
    </w:p>
    <w:p w14:paraId="0E8895EC" w14:textId="77777777" w:rsidR="006D3E36" w:rsidRPr="003C10BC" w:rsidRDefault="006D3E36" w:rsidP="006D3E36">
      <w:pPr>
        <w:shd w:val="clear" w:color="auto" w:fill="FDE9D9" w:themeFill="accent6" w:themeFillTint="33"/>
        <w:rPr>
          <w:rFonts w:asciiTheme="majorHAnsi" w:hAnsiTheme="majorHAnsi" w:cstheme="majorHAnsi"/>
          <w:snapToGrid w:val="0"/>
          <w:kern w:val="22"/>
          <w:szCs w:val="22"/>
        </w:rPr>
      </w:pPr>
    </w:p>
    <w:p w14:paraId="0E8895ED" w14:textId="77777777" w:rsidR="006D3E36" w:rsidRPr="003C10BC" w:rsidRDefault="006D3E36" w:rsidP="006D3E36">
      <w:pPr>
        <w:shd w:val="clear" w:color="auto" w:fill="FDE9D9" w:themeFill="accent6" w:themeFillTint="3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ajorHAnsi" w:hAnsiTheme="majorHAnsi" w:cstheme="majorHAnsi"/>
          <w:i/>
          <w:snapToGrid w:val="0"/>
          <w:color w:val="212121"/>
          <w:kern w:val="22"/>
          <w:szCs w:val="22"/>
        </w:rPr>
      </w:pPr>
      <w:r w:rsidRPr="003C10BC">
        <w:rPr>
          <w:rFonts w:asciiTheme="majorHAnsi" w:hAnsiTheme="majorHAnsi" w:cstheme="majorHAnsi"/>
          <w:i/>
          <w:snapToGrid w:val="0"/>
          <w:color w:val="212121"/>
          <w:kern w:val="22"/>
          <w:szCs w:val="22"/>
        </w:rPr>
        <w:t>“The environmental policy establishes conditions and incentives to advance towards sustainability, guaranteeing the quality of life, environmental equity and protection of ecosystems. The environmental dimension of development is promoted through a green growth strategy through the National Climate Change Action Plan, the National Sustainable Consumption and Production Program, the Recycling Law, new atmospheric decontamination plans and the implementation of green taxes. In addition, the environment is protected by expanding protected areas, advancing in a National Biodiversity Strategy and the legislative proposal of the Biodiversity and Protected Areas Service.”</w:t>
      </w:r>
    </w:p>
    <w:p w14:paraId="0E8895EE" w14:textId="77777777" w:rsidR="006D3E36" w:rsidRPr="003C10BC" w:rsidRDefault="006D3E36" w:rsidP="006D3E36">
      <w:pPr>
        <w:shd w:val="clear" w:color="auto" w:fill="FDE9D9" w:themeFill="accent6" w:themeFillTint="3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ajorHAnsi" w:hAnsiTheme="majorHAnsi" w:cstheme="majorHAnsi"/>
          <w:snapToGrid w:val="0"/>
          <w:color w:val="212121"/>
          <w:kern w:val="22"/>
          <w:szCs w:val="22"/>
        </w:rPr>
      </w:pPr>
    </w:p>
    <w:p w14:paraId="0E8895EF" w14:textId="77777777" w:rsidR="006D3E36" w:rsidRPr="003C10BC" w:rsidRDefault="006D3E36" w:rsidP="006D3E36">
      <w:pPr>
        <w:shd w:val="clear" w:color="auto" w:fill="FDE9D9" w:themeFill="accent6" w:themeFillTint="33"/>
        <w:jc w:val="center"/>
        <w:rPr>
          <w:rFonts w:asciiTheme="majorHAnsi" w:hAnsiTheme="majorHAnsi" w:cstheme="majorHAnsi"/>
          <w:b/>
          <w:snapToGrid w:val="0"/>
          <w:kern w:val="22"/>
          <w:szCs w:val="22"/>
        </w:rPr>
      </w:pPr>
      <w:r w:rsidRPr="003C10BC">
        <w:rPr>
          <w:rFonts w:asciiTheme="majorHAnsi" w:hAnsiTheme="majorHAnsi" w:cstheme="majorHAnsi"/>
          <w:b/>
          <w:snapToGrid w:val="0"/>
          <w:kern w:val="22"/>
          <w:szCs w:val="22"/>
        </w:rPr>
        <w:t>Good Practice Example – Thailand’s 2017 VNR</w:t>
      </w:r>
    </w:p>
    <w:p w14:paraId="0E8895F0" w14:textId="77777777" w:rsidR="006D3E36" w:rsidRPr="003C10BC" w:rsidRDefault="006D3E36" w:rsidP="006D3E36">
      <w:pPr>
        <w:shd w:val="clear" w:color="auto" w:fill="FDE9D9" w:themeFill="accent6" w:themeFillTint="3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ajorHAnsi" w:hAnsiTheme="majorHAnsi" w:cstheme="majorHAnsi"/>
          <w:snapToGrid w:val="0"/>
          <w:color w:val="212121"/>
          <w:kern w:val="22"/>
          <w:szCs w:val="22"/>
        </w:rPr>
      </w:pPr>
    </w:p>
    <w:p w14:paraId="0E8895F1" w14:textId="77777777" w:rsidR="006D3E36" w:rsidRPr="003C10BC" w:rsidRDefault="003C10BC" w:rsidP="006D3E36">
      <w:pPr>
        <w:shd w:val="clear" w:color="auto" w:fill="FDE9D9" w:themeFill="accent6" w:themeFillTint="33"/>
        <w:autoSpaceDE w:val="0"/>
        <w:autoSpaceDN w:val="0"/>
        <w:adjustRightInd w:val="0"/>
        <w:rPr>
          <w:rFonts w:asciiTheme="majorHAnsi" w:hAnsiTheme="majorHAnsi" w:cstheme="majorHAnsi"/>
          <w:snapToGrid w:val="0"/>
          <w:color w:val="212121"/>
          <w:kern w:val="22"/>
          <w:szCs w:val="22"/>
        </w:rPr>
      </w:pPr>
      <w:hyperlink r:id="rId38" w:history="1">
        <w:r w:rsidR="006D3E36" w:rsidRPr="003C10BC">
          <w:rPr>
            <w:rStyle w:val="Hyperlink"/>
            <w:rFonts w:asciiTheme="majorHAnsi" w:hAnsiTheme="majorHAnsi" w:cstheme="majorHAnsi"/>
            <w:snapToGrid w:val="0"/>
            <w:kern w:val="22"/>
            <w:sz w:val="22"/>
            <w:szCs w:val="22"/>
          </w:rPr>
          <w:t>Thailand’s 2017 VNR</w:t>
        </w:r>
      </w:hyperlink>
      <w:r w:rsidR="006D3E36" w:rsidRPr="003C10BC">
        <w:rPr>
          <w:rFonts w:asciiTheme="majorHAnsi" w:hAnsiTheme="majorHAnsi" w:cstheme="majorHAnsi"/>
          <w:snapToGrid w:val="0"/>
          <w:color w:val="212121"/>
          <w:kern w:val="22"/>
          <w:szCs w:val="22"/>
        </w:rPr>
        <w:t xml:space="preserve"> highlights its 2030 Agenda efforts and the role of biodiversity. The report has a “main highlights” section in which it underlines its progress towards SDG 15, stressing that forests might bring out a stable source of income. In this regard the report states: </w:t>
      </w:r>
    </w:p>
    <w:p w14:paraId="0E8895F2" w14:textId="77777777" w:rsidR="006D3E36" w:rsidRPr="003C10BC" w:rsidRDefault="006D3E36" w:rsidP="006D3E36">
      <w:pPr>
        <w:shd w:val="clear" w:color="auto" w:fill="FDE9D9" w:themeFill="accent6" w:themeFillTint="33"/>
        <w:autoSpaceDE w:val="0"/>
        <w:autoSpaceDN w:val="0"/>
        <w:adjustRightInd w:val="0"/>
        <w:rPr>
          <w:rFonts w:asciiTheme="majorHAnsi" w:hAnsiTheme="majorHAnsi" w:cstheme="majorHAnsi"/>
          <w:snapToGrid w:val="0"/>
          <w:color w:val="212121"/>
          <w:kern w:val="22"/>
          <w:szCs w:val="22"/>
        </w:rPr>
      </w:pPr>
    </w:p>
    <w:p w14:paraId="0E8895F3" w14:textId="77777777" w:rsidR="006D3E36" w:rsidRPr="003C10BC" w:rsidRDefault="006D3E36" w:rsidP="006D3E36">
      <w:pPr>
        <w:shd w:val="clear" w:color="auto" w:fill="FDE9D9" w:themeFill="accent6" w:themeFillTint="33"/>
        <w:autoSpaceDE w:val="0"/>
        <w:autoSpaceDN w:val="0"/>
        <w:adjustRightInd w:val="0"/>
        <w:rPr>
          <w:rFonts w:asciiTheme="majorHAnsi" w:hAnsiTheme="majorHAnsi" w:cstheme="majorHAnsi"/>
          <w:i/>
          <w:snapToGrid w:val="0"/>
          <w:kern w:val="22"/>
          <w:szCs w:val="22"/>
          <w:lang w:val="en-US"/>
        </w:rPr>
      </w:pPr>
      <w:r w:rsidRPr="003C10BC">
        <w:rPr>
          <w:rFonts w:asciiTheme="majorHAnsi" w:hAnsiTheme="majorHAnsi" w:cstheme="majorHAnsi"/>
          <w:i/>
          <w:snapToGrid w:val="0"/>
          <w:color w:val="212121"/>
          <w:kern w:val="22"/>
          <w:szCs w:val="22"/>
        </w:rPr>
        <w:t>“</w:t>
      </w:r>
      <w:r w:rsidRPr="003C10BC">
        <w:rPr>
          <w:rFonts w:asciiTheme="majorHAnsi" w:hAnsiTheme="majorHAnsi" w:cstheme="majorHAnsi"/>
          <w:i/>
          <w:snapToGrid w:val="0"/>
          <w:kern w:val="22"/>
          <w:szCs w:val="22"/>
          <w:lang w:val="en-US"/>
        </w:rPr>
        <w:t>Thailand has set a target of increasing forest area from 31.6 percent of land area to 40 per cent through various forestation schemes and financial mechanisms. Authorities are also working with communities in forest areas to uplift their well-being, providing alternative means of income and reducing the need to deforest or endanger biodiversity. The Elephant Ivory Act 2015 has been proven to be effective in controlling illicit ivory trade and possession, demonstrating Thailand’s determination in combat wildlife trafficking.”</w:t>
      </w:r>
    </w:p>
    <w:p w14:paraId="0E8895F4" w14:textId="77777777" w:rsidR="006D3E36" w:rsidRPr="003C10BC" w:rsidRDefault="006D3E36" w:rsidP="006D3E36">
      <w:pPr>
        <w:shd w:val="clear" w:color="auto" w:fill="FDE9D9" w:themeFill="accent6" w:themeFillTint="33"/>
        <w:autoSpaceDE w:val="0"/>
        <w:autoSpaceDN w:val="0"/>
        <w:adjustRightInd w:val="0"/>
        <w:rPr>
          <w:rFonts w:asciiTheme="majorHAnsi" w:hAnsiTheme="majorHAnsi" w:cstheme="majorHAnsi"/>
          <w:i/>
          <w:snapToGrid w:val="0"/>
          <w:kern w:val="22"/>
          <w:szCs w:val="22"/>
          <w:lang w:val="en-US"/>
        </w:rPr>
      </w:pPr>
    </w:p>
    <w:p w14:paraId="0E8895F5" w14:textId="77777777" w:rsidR="006D3E36" w:rsidRPr="003C10BC" w:rsidRDefault="006D3E36" w:rsidP="006D3E36">
      <w:pPr>
        <w:autoSpaceDE w:val="0"/>
        <w:autoSpaceDN w:val="0"/>
        <w:adjustRightInd w:val="0"/>
        <w:rPr>
          <w:rFonts w:asciiTheme="majorHAnsi" w:hAnsiTheme="majorHAnsi" w:cstheme="majorHAnsi"/>
          <w:i/>
          <w:snapToGrid w:val="0"/>
          <w:kern w:val="22"/>
          <w:szCs w:val="22"/>
          <w:lang w:val="en-US"/>
        </w:rPr>
      </w:pPr>
    </w:p>
    <w:p w14:paraId="0E8895F6" w14:textId="77777777" w:rsidR="006D3E36" w:rsidRPr="003C10BC" w:rsidRDefault="006D3E36" w:rsidP="006D3E36">
      <w:pPr>
        <w:pStyle w:val="Heading1"/>
        <w:shd w:val="clear" w:color="auto" w:fill="DAEEF3" w:themeFill="accent5" w:themeFillTint="33"/>
        <w:rPr>
          <w:rFonts w:asciiTheme="majorHAnsi" w:hAnsiTheme="majorHAnsi" w:cstheme="majorHAnsi"/>
          <w:snapToGrid w:val="0"/>
          <w:kern w:val="22"/>
          <w:szCs w:val="22"/>
        </w:rPr>
      </w:pPr>
      <w:r w:rsidRPr="003C10BC">
        <w:rPr>
          <w:rFonts w:asciiTheme="majorHAnsi" w:hAnsiTheme="majorHAnsi" w:cstheme="majorHAnsi"/>
          <w:snapToGrid w:val="0"/>
          <w:kern w:val="22"/>
          <w:szCs w:val="22"/>
        </w:rPr>
        <w:lastRenderedPageBreak/>
        <w:t>3. Introduction</w:t>
      </w:r>
    </w:p>
    <w:p w14:paraId="0E8895F7" w14:textId="77777777" w:rsidR="006D3E36" w:rsidRPr="003C10BC" w:rsidRDefault="006D3E36" w:rsidP="006D3E36">
      <w:pPr>
        <w:rPr>
          <w:rFonts w:asciiTheme="majorHAnsi" w:hAnsiTheme="majorHAnsi" w:cstheme="majorHAnsi"/>
          <w:snapToGrid w:val="0"/>
          <w:kern w:val="22"/>
          <w:szCs w:val="22"/>
        </w:rPr>
      </w:pPr>
    </w:p>
    <w:p w14:paraId="0E8895F8" w14:textId="77777777" w:rsidR="006D3E36" w:rsidRPr="003C10BC" w:rsidRDefault="006D3E36" w:rsidP="006D3E36">
      <w:pPr>
        <w:rPr>
          <w:rFonts w:asciiTheme="majorHAnsi" w:hAnsiTheme="majorHAnsi" w:cstheme="majorHAnsi"/>
          <w:snapToGrid w:val="0"/>
          <w:kern w:val="22"/>
          <w:szCs w:val="22"/>
        </w:rPr>
      </w:pPr>
      <w:r w:rsidRPr="003C10BC">
        <w:rPr>
          <w:rFonts w:asciiTheme="majorHAnsi" w:hAnsiTheme="majorHAnsi" w:cstheme="majorHAnsi"/>
          <w:snapToGrid w:val="0"/>
          <w:kern w:val="22"/>
          <w:szCs w:val="22"/>
        </w:rPr>
        <w:t xml:space="preserve">UNDESA’s VNR Guidelines suggest that Member States should include in their introduction section a mention of the international agreements it is party to in the context of how the county’s policy architecture reflects the three dimensions of sustainable development. </w:t>
      </w:r>
    </w:p>
    <w:p w14:paraId="0E8895F9" w14:textId="77777777" w:rsidR="006D3E36" w:rsidRPr="003C10BC" w:rsidRDefault="006D3E36" w:rsidP="006D3E36">
      <w:pPr>
        <w:rPr>
          <w:rFonts w:asciiTheme="majorHAnsi" w:hAnsiTheme="majorHAnsi" w:cstheme="majorHAnsi"/>
          <w:snapToGrid w:val="0"/>
          <w:kern w:val="22"/>
          <w:szCs w:val="22"/>
        </w:rPr>
      </w:pPr>
    </w:p>
    <w:p w14:paraId="0E8895FA"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 xml:space="preserve">In the context of the ‘Introduction’ section of a VNR, member states could include a statement mentioning if they are a Party to the Convention on Biological Diversity and/or other biodiversity-related multi-lateral environmental agreements (MEAs), and describe how these MEAs are part of its policy architecture for achieving the 2030 Agenda. </w:t>
      </w:r>
    </w:p>
    <w:p w14:paraId="0E8895FB"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p>
    <w:p w14:paraId="0E8895FC"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Useful Resources:</w:t>
      </w:r>
    </w:p>
    <w:p w14:paraId="0E8895FD" w14:textId="77777777" w:rsidR="006D3E36" w:rsidRPr="003C10BC" w:rsidRDefault="003C10BC" w:rsidP="006D3E36">
      <w:pPr>
        <w:pStyle w:val="ListParagraph"/>
        <w:numPr>
          <w:ilvl w:val="0"/>
          <w:numId w:val="18"/>
        </w:numPr>
        <w:shd w:val="clear" w:color="auto" w:fill="F2DBDB" w:themeFill="accent2" w:themeFillTint="33"/>
        <w:ind w:right="855"/>
        <w:jc w:val="left"/>
        <w:rPr>
          <w:rFonts w:asciiTheme="majorHAnsi" w:hAnsiTheme="majorHAnsi" w:cstheme="majorHAnsi"/>
          <w:snapToGrid w:val="0"/>
          <w:kern w:val="22"/>
          <w:szCs w:val="22"/>
        </w:rPr>
      </w:pPr>
      <w:hyperlink r:id="rId39" w:history="1">
        <w:r w:rsidR="006D3E36" w:rsidRPr="003C10BC">
          <w:rPr>
            <w:rStyle w:val="Hyperlink"/>
            <w:rFonts w:asciiTheme="majorHAnsi" w:hAnsiTheme="majorHAnsi" w:cstheme="majorHAnsi"/>
            <w:snapToGrid w:val="0"/>
            <w:kern w:val="22"/>
            <w:sz w:val="22"/>
            <w:szCs w:val="22"/>
          </w:rPr>
          <w:t>CBD Website, Text of the Convention</w:t>
        </w:r>
      </w:hyperlink>
    </w:p>
    <w:p w14:paraId="0E8895FE" w14:textId="77777777" w:rsidR="006D3E36" w:rsidRPr="003C10BC" w:rsidRDefault="003C10BC" w:rsidP="006D3E36">
      <w:pPr>
        <w:pStyle w:val="ListParagraph"/>
        <w:numPr>
          <w:ilvl w:val="0"/>
          <w:numId w:val="18"/>
        </w:numPr>
        <w:shd w:val="clear" w:color="auto" w:fill="F2DBDB" w:themeFill="accent2" w:themeFillTint="33"/>
        <w:ind w:right="855"/>
        <w:jc w:val="left"/>
        <w:rPr>
          <w:rStyle w:val="Hyperlink"/>
          <w:rFonts w:asciiTheme="majorHAnsi" w:hAnsiTheme="majorHAnsi" w:cstheme="majorHAnsi"/>
          <w:snapToGrid w:val="0"/>
          <w:color w:val="auto"/>
          <w:kern w:val="22"/>
          <w:sz w:val="22"/>
          <w:szCs w:val="22"/>
        </w:rPr>
      </w:pPr>
      <w:hyperlink r:id="rId40" w:history="1">
        <w:r w:rsidR="006D3E36" w:rsidRPr="003C10BC">
          <w:rPr>
            <w:rStyle w:val="Hyperlink"/>
            <w:rFonts w:asciiTheme="majorHAnsi" w:hAnsiTheme="majorHAnsi" w:cstheme="majorHAnsi"/>
            <w:snapToGrid w:val="0"/>
            <w:kern w:val="22"/>
            <w:sz w:val="22"/>
            <w:szCs w:val="22"/>
          </w:rPr>
          <w:t>CBD Website, List of Parties to the Convention</w:t>
        </w:r>
      </w:hyperlink>
    </w:p>
    <w:p w14:paraId="0E8895FF"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p>
    <w:p w14:paraId="0E889600" w14:textId="77777777" w:rsidR="006D3E36" w:rsidRPr="003C10BC" w:rsidRDefault="006D3E36" w:rsidP="006D3E36">
      <w:pPr>
        <w:rPr>
          <w:rFonts w:asciiTheme="majorHAnsi" w:hAnsiTheme="majorHAnsi" w:cstheme="majorHAnsi"/>
          <w:snapToGrid w:val="0"/>
          <w:kern w:val="22"/>
          <w:szCs w:val="22"/>
        </w:rPr>
      </w:pPr>
    </w:p>
    <w:p w14:paraId="0E889601" w14:textId="77777777" w:rsidR="006D3E36" w:rsidRPr="003C10BC" w:rsidRDefault="006D3E36" w:rsidP="006D3E36">
      <w:pPr>
        <w:pStyle w:val="Heading1"/>
        <w:shd w:val="clear" w:color="auto" w:fill="DAEEF3" w:themeFill="accent5" w:themeFillTint="33"/>
        <w:rPr>
          <w:rFonts w:asciiTheme="majorHAnsi" w:hAnsiTheme="majorHAnsi" w:cstheme="majorHAnsi"/>
          <w:snapToGrid w:val="0"/>
          <w:kern w:val="22"/>
          <w:szCs w:val="22"/>
        </w:rPr>
      </w:pPr>
      <w:r w:rsidRPr="003C10BC">
        <w:rPr>
          <w:rFonts w:asciiTheme="majorHAnsi" w:hAnsiTheme="majorHAnsi" w:cstheme="majorHAnsi"/>
          <w:snapToGrid w:val="0"/>
          <w:kern w:val="22"/>
          <w:szCs w:val="22"/>
        </w:rPr>
        <w:t>4. Methodology and process for preparation of the review</w:t>
      </w:r>
    </w:p>
    <w:p w14:paraId="0E889602" w14:textId="77777777" w:rsidR="006D3E36" w:rsidRPr="003C10BC" w:rsidRDefault="006D3E36" w:rsidP="006D3E36">
      <w:pPr>
        <w:rPr>
          <w:rFonts w:asciiTheme="majorHAnsi" w:hAnsiTheme="majorHAnsi" w:cstheme="majorHAnsi"/>
          <w:snapToGrid w:val="0"/>
          <w:kern w:val="22"/>
          <w:szCs w:val="22"/>
        </w:rPr>
      </w:pPr>
    </w:p>
    <w:p w14:paraId="0E889603" w14:textId="77777777" w:rsidR="006D3E36" w:rsidRPr="003C10BC" w:rsidRDefault="006D3E36" w:rsidP="006D3E36">
      <w:pPr>
        <w:rPr>
          <w:rFonts w:asciiTheme="majorHAnsi" w:hAnsiTheme="majorHAnsi" w:cstheme="majorHAnsi"/>
          <w:snapToGrid w:val="0"/>
          <w:kern w:val="22"/>
          <w:szCs w:val="22"/>
        </w:rPr>
      </w:pPr>
      <w:r w:rsidRPr="003C10BC">
        <w:rPr>
          <w:rFonts w:asciiTheme="majorHAnsi" w:hAnsiTheme="majorHAnsi" w:cstheme="majorHAnsi"/>
          <w:snapToGrid w:val="0"/>
          <w:kern w:val="22"/>
          <w:szCs w:val="22"/>
        </w:rPr>
        <w:t>In this section of a VNR, member states are asked to describe “how different levels and sectors of Government contributed to the review”, “whether and how the whole-of-Government approach was used” and “what mechanisms have been used to engage stakeholders”, among other aspects.</w:t>
      </w:r>
    </w:p>
    <w:p w14:paraId="0E889604" w14:textId="77777777" w:rsidR="006D3E36" w:rsidRPr="003C10BC" w:rsidRDefault="006D3E36" w:rsidP="006D3E36">
      <w:pPr>
        <w:rPr>
          <w:rFonts w:asciiTheme="majorHAnsi" w:hAnsiTheme="majorHAnsi" w:cstheme="majorHAnsi"/>
          <w:snapToGrid w:val="0"/>
          <w:kern w:val="22"/>
          <w:szCs w:val="22"/>
        </w:rPr>
      </w:pPr>
    </w:p>
    <w:p w14:paraId="0E889605"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 xml:space="preserve">In this section, member states could describe their institutional arrangements and mechanisms for ensuring that different issues and priorities are considered together in an integrated national approach to implementation.  Examples of how the importance of biodiversity is considered through such mechanisms could be provided.  This is also the section where member states could highlight the contribution to the review of stakeholders who have first-hand perspective of ecosystems and the services they provide, such as representatives from watershed associations, conservation districts, and Indigenous Peoples and local communities. </w:t>
      </w:r>
    </w:p>
    <w:p w14:paraId="0E889606"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 xml:space="preserve"> </w:t>
      </w:r>
    </w:p>
    <w:p w14:paraId="0E889607"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 xml:space="preserve">Useful Resources: </w:t>
      </w:r>
    </w:p>
    <w:p w14:paraId="0E889608" w14:textId="77777777" w:rsidR="006D3E36" w:rsidRPr="003C10BC" w:rsidRDefault="003C10BC" w:rsidP="006D3E36">
      <w:pPr>
        <w:pStyle w:val="ListParagraph"/>
        <w:numPr>
          <w:ilvl w:val="0"/>
          <w:numId w:val="16"/>
        </w:numPr>
        <w:shd w:val="clear" w:color="auto" w:fill="F2DBDB" w:themeFill="accent2" w:themeFillTint="33"/>
        <w:ind w:right="855"/>
        <w:rPr>
          <w:rFonts w:asciiTheme="majorHAnsi" w:hAnsiTheme="majorHAnsi" w:cstheme="majorHAnsi"/>
          <w:snapToGrid w:val="0"/>
          <w:kern w:val="22"/>
          <w:szCs w:val="22"/>
        </w:rPr>
      </w:pPr>
      <w:hyperlink r:id="rId41" w:history="1">
        <w:r w:rsidR="006D3E36" w:rsidRPr="003C10BC">
          <w:rPr>
            <w:rStyle w:val="Hyperlink"/>
            <w:rFonts w:asciiTheme="majorHAnsi" w:hAnsiTheme="majorHAnsi" w:cstheme="majorHAnsi"/>
            <w:snapToGrid w:val="0"/>
            <w:kern w:val="22"/>
            <w:sz w:val="22"/>
            <w:szCs w:val="22"/>
          </w:rPr>
          <w:t>COP XII/8. Stakeholder engagement</w:t>
        </w:r>
      </w:hyperlink>
      <w:r w:rsidR="006D3E36" w:rsidRPr="003C10BC">
        <w:rPr>
          <w:rFonts w:asciiTheme="majorHAnsi" w:hAnsiTheme="majorHAnsi" w:cstheme="majorHAnsi"/>
          <w:snapToGrid w:val="0"/>
          <w:kern w:val="22"/>
          <w:szCs w:val="22"/>
        </w:rPr>
        <w:t>, CBD</w:t>
      </w:r>
    </w:p>
    <w:p w14:paraId="0E889609" w14:textId="77777777" w:rsidR="006D3E36" w:rsidRPr="003C10BC" w:rsidRDefault="003C10BC" w:rsidP="006D3E36">
      <w:pPr>
        <w:pStyle w:val="ListParagraph"/>
        <w:numPr>
          <w:ilvl w:val="0"/>
          <w:numId w:val="16"/>
        </w:numPr>
        <w:shd w:val="clear" w:color="auto" w:fill="F2DBDB" w:themeFill="accent2" w:themeFillTint="33"/>
        <w:ind w:right="855"/>
        <w:rPr>
          <w:rFonts w:asciiTheme="majorHAnsi" w:hAnsiTheme="majorHAnsi" w:cstheme="majorHAnsi"/>
          <w:snapToGrid w:val="0"/>
          <w:kern w:val="22"/>
          <w:szCs w:val="22"/>
        </w:rPr>
      </w:pPr>
      <w:hyperlink r:id="rId42" w:history="1">
        <w:r w:rsidR="006D3E36" w:rsidRPr="003C10BC">
          <w:rPr>
            <w:rStyle w:val="Hyperlink"/>
            <w:rFonts w:asciiTheme="majorHAnsi" w:hAnsiTheme="majorHAnsi" w:cstheme="majorHAnsi"/>
            <w:snapToGrid w:val="0"/>
            <w:kern w:val="22"/>
            <w:sz w:val="22"/>
            <w:szCs w:val="22"/>
          </w:rPr>
          <w:t>COP XII/9. Engagement with subnational and local governments</w:t>
        </w:r>
      </w:hyperlink>
      <w:r w:rsidR="006D3E36" w:rsidRPr="003C10BC">
        <w:rPr>
          <w:rFonts w:asciiTheme="majorHAnsi" w:hAnsiTheme="majorHAnsi" w:cstheme="majorHAnsi"/>
          <w:snapToGrid w:val="0"/>
          <w:kern w:val="22"/>
          <w:szCs w:val="22"/>
        </w:rPr>
        <w:t>, CBD</w:t>
      </w:r>
    </w:p>
    <w:p w14:paraId="0E88960A" w14:textId="77777777" w:rsidR="006D3E36" w:rsidRPr="003C10BC" w:rsidRDefault="003C10BC" w:rsidP="006D3E36">
      <w:pPr>
        <w:pStyle w:val="ListParagraph"/>
        <w:numPr>
          <w:ilvl w:val="0"/>
          <w:numId w:val="16"/>
        </w:numPr>
        <w:shd w:val="clear" w:color="auto" w:fill="F2DBDB" w:themeFill="accent2" w:themeFillTint="33"/>
        <w:ind w:right="855"/>
        <w:rPr>
          <w:rFonts w:asciiTheme="majorHAnsi" w:hAnsiTheme="majorHAnsi" w:cstheme="majorHAnsi"/>
          <w:snapToGrid w:val="0"/>
          <w:kern w:val="22"/>
          <w:szCs w:val="22"/>
        </w:rPr>
      </w:pPr>
      <w:hyperlink r:id="rId43" w:history="1">
        <w:r w:rsidR="006D3E36" w:rsidRPr="003C10BC">
          <w:rPr>
            <w:rStyle w:val="Hyperlink"/>
            <w:rFonts w:asciiTheme="majorHAnsi" w:hAnsiTheme="majorHAnsi" w:cstheme="majorHAnsi"/>
            <w:snapToGrid w:val="0"/>
            <w:kern w:val="22"/>
            <w:sz w:val="22"/>
            <w:szCs w:val="22"/>
          </w:rPr>
          <w:t>COP XII/10. Business engagement</w:t>
        </w:r>
      </w:hyperlink>
      <w:r w:rsidR="006D3E36" w:rsidRPr="003C10BC">
        <w:rPr>
          <w:rFonts w:asciiTheme="majorHAnsi" w:hAnsiTheme="majorHAnsi" w:cstheme="majorHAnsi"/>
          <w:snapToGrid w:val="0"/>
          <w:kern w:val="22"/>
          <w:szCs w:val="22"/>
        </w:rPr>
        <w:t>, CBD</w:t>
      </w:r>
    </w:p>
    <w:p w14:paraId="0E88960B" w14:textId="77777777" w:rsidR="006D3E36" w:rsidRPr="003C10BC" w:rsidRDefault="003C10BC" w:rsidP="006D3E36">
      <w:pPr>
        <w:pStyle w:val="ListParagraph"/>
        <w:numPr>
          <w:ilvl w:val="0"/>
          <w:numId w:val="16"/>
        </w:numPr>
        <w:shd w:val="clear" w:color="auto" w:fill="F2DBDB" w:themeFill="accent2" w:themeFillTint="33"/>
        <w:ind w:right="855"/>
        <w:rPr>
          <w:rFonts w:asciiTheme="majorHAnsi" w:hAnsiTheme="majorHAnsi" w:cstheme="majorHAnsi"/>
          <w:snapToGrid w:val="0"/>
          <w:kern w:val="22"/>
          <w:szCs w:val="22"/>
        </w:rPr>
      </w:pPr>
      <w:hyperlink r:id="rId44" w:history="1">
        <w:r w:rsidR="006D3E36" w:rsidRPr="003C10BC">
          <w:rPr>
            <w:rStyle w:val="Hyperlink"/>
            <w:rFonts w:asciiTheme="majorHAnsi" w:hAnsiTheme="majorHAnsi" w:cstheme="majorHAnsi"/>
            <w:snapToGrid w:val="0"/>
            <w:kern w:val="22"/>
            <w:sz w:val="22"/>
            <w:szCs w:val="22"/>
          </w:rPr>
          <w:t>UNCBD Website on Traditional Knowledge</w:t>
        </w:r>
      </w:hyperlink>
    </w:p>
    <w:p w14:paraId="0E88960C" w14:textId="77777777" w:rsidR="006D3E36" w:rsidRPr="003C10BC" w:rsidRDefault="003C10BC" w:rsidP="006D3E36">
      <w:pPr>
        <w:pStyle w:val="ListParagraph"/>
        <w:numPr>
          <w:ilvl w:val="0"/>
          <w:numId w:val="16"/>
        </w:numPr>
        <w:shd w:val="clear" w:color="auto" w:fill="F2DBDB" w:themeFill="accent2" w:themeFillTint="33"/>
        <w:ind w:right="855"/>
        <w:rPr>
          <w:rFonts w:asciiTheme="majorHAnsi" w:hAnsiTheme="majorHAnsi" w:cstheme="majorHAnsi"/>
          <w:snapToGrid w:val="0"/>
          <w:kern w:val="22"/>
          <w:szCs w:val="22"/>
        </w:rPr>
      </w:pPr>
      <w:hyperlink r:id="rId45" w:history="1">
        <w:r w:rsidR="006D3E36" w:rsidRPr="003C10BC">
          <w:rPr>
            <w:rStyle w:val="Hyperlink"/>
            <w:rFonts w:asciiTheme="majorHAnsi" w:hAnsiTheme="majorHAnsi" w:cstheme="majorHAnsi"/>
            <w:snapToGrid w:val="0"/>
            <w:kern w:val="22"/>
            <w:sz w:val="22"/>
            <w:szCs w:val="22"/>
          </w:rPr>
          <w:t>CBD Traditional Knowledge Information Portal</w:t>
        </w:r>
      </w:hyperlink>
    </w:p>
    <w:p w14:paraId="0E88960D" w14:textId="77777777" w:rsidR="006D3E36" w:rsidRPr="003C10BC" w:rsidRDefault="003C10BC" w:rsidP="006D3E36">
      <w:pPr>
        <w:pStyle w:val="ListParagraph"/>
        <w:numPr>
          <w:ilvl w:val="0"/>
          <w:numId w:val="16"/>
        </w:numPr>
        <w:shd w:val="clear" w:color="auto" w:fill="F2DBDB" w:themeFill="accent2" w:themeFillTint="33"/>
        <w:ind w:right="855"/>
        <w:rPr>
          <w:rFonts w:asciiTheme="majorHAnsi" w:hAnsiTheme="majorHAnsi" w:cstheme="majorHAnsi"/>
          <w:snapToGrid w:val="0"/>
          <w:kern w:val="22"/>
          <w:szCs w:val="22"/>
        </w:rPr>
      </w:pPr>
      <w:hyperlink r:id="rId46" w:history="1">
        <w:r w:rsidR="006D3E36" w:rsidRPr="003C10BC">
          <w:rPr>
            <w:rStyle w:val="Hyperlink"/>
            <w:rFonts w:asciiTheme="majorHAnsi" w:hAnsiTheme="majorHAnsi" w:cstheme="majorHAnsi"/>
            <w:snapToGrid w:val="0"/>
            <w:kern w:val="22"/>
            <w:sz w:val="22"/>
            <w:szCs w:val="22"/>
          </w:rPr>
          <w:t>CBD WG8j Recommendations</w:t>
        </w:r>
      </w:hyperlink>
    </w:p>
    <w:p w14:paraId="0E88960E" w14:textId="77777777" w:rsidR="006D3E36" w:rsidRPr="003C10BC" w:rsidRDefault="003C10BC" w:rsidP="006D3E36">
      <w:pPr>
        <w:pStyle w:val="ListParagraph"/>
        <w:numPr>
          <w:ilvl w:val="0"/>
          <w:numId w:val="16"/>
        </w:numPr>
        <w:shd w:val="clear" w:color="auto" w:fill="F2DBDB" w:themeFill="accent2" w:themeFillTint="33"/>
        <w:ind w:right="855"/>
        <w:rPr>
          <w:rFonts w:asciiTheme="majorHAnsi" w:hAnsiTheme="majorHAnsi" w:cstheme="majorHAnsi"/>
          <w:snapToGrid w:val="0"/>
          <w:kern w:val="22"/>
          <w:szCs w:val="22"/>
        </w:rPr>
      </w:pPr>
      <w:hyperlink r:id="rId47" w:history="1">
        <w:r w:rsidR="006D3E36" w:rsidRPr="003C10BC">
          <w:rPr>
            <w:rStyle w:val="Hyperlink"/>
            <w:rFonts w:asciiTheme="majorHAnsi" w:hAnsiTheme="majorHAnsi" w:cstheme="majorHAnsi"/>
            <w:snapToGrid w:val="0"/>
            <w:kern w:val="22"/>
            <w:sz w:val="22"/>
            <w:szCs w:val="22"/>
          </w:rPr>
          <w:t>COP XIII/18. Article 8(j) and related provisions</w:t>
        </w:r>
      </w:hyperlink>
      <w:r w:rsidR="006D3E36" w:rsidRPr="003C10BC">
        <w:rPr>
          <w:rFonts w:asciiTheme="majorHAnsi" w:hAnsiTheme="majorHAnsi" w:cstheme="majorHAnsi"/>
          <w:snapToGrid w:val="0"/>
          <w:kern w:val="22"/>
          <w:szCs w:val="22"/>
        </w:rPr>
        <w:t>, CBD</w:t>
      </w:r>
    </w:p>
    <w:p w14:paraId="0E88960F" w14:textId="77777777" w:rsidR="006D3E36" w:rsidRPr="003C10BC" w:rsidRDefault="003C10BC" w:rsidP="006D3E36">
      <w:pPr>
        <w:pStyle w:val="ListParagraph"/>
        <w:numPr>
          <w:ilvl w:val="0"/>
          <w:numId w:val="16"/>
        </w:numPr>
        <w:shd w:val="clear" w:color="auto" w:fill="F2DBDB" w:themeFill="accent2" w:themeFillTint="33"/>
        <w:ind w:right="855"/>
        <w:rPr>
          <w:rFonts w:asciiTheme="majorHAnsi" w:hAnsiTheme="majorHAnsi" w:cstheme="majorHAnsi"/>
          <w:snapToGrid w:val="0"/>
          <w:kern w:val="22"/>
          <w:szCs w:val="22"/>
        </w:rPr>
      </w:pPr>
      <w:hyperlink r:id="rId48" w:history="1">
        <w:r w:rsidR="006D3E36" w:rsidRPr="003C10BC">
          <w:rPr>
            <w:rStyle w:val="Hyperlink"/>
            <w:rFonts w:asciiTheme="majorHAnsi" w:hAnsiTheme="majorHAnsi" w:cstheme="majorHAnsi"/>
            <w:snapToGrid w:val="0"/>
            <w:kern w:val="22"/>
            <w:sz w:val="22"/>
            <w:szCs w:val="22"/>
          </w:rPr>
          <w:t>COP XIII/19. Article 8(j) and related Articles: other matters related to the programme of work</w:t>
        </w:r>
      </w:hyperlink>
      <w:r w:rsidR="006D3E36" w:rsidRPr="003C10BC">
        <w:rPr>
          <w:rFonts w:asciiTheme="majorHAnsi" w:hAnsiTheme="majorHAnsi" w:cstheme="majorHAnsi"/>
          <w:snapToGrid w:val="0"/>
          <w:kern w:val="22"/>
          <w:szCs w:val="22"/>
        </w:rPr>
        <w:t>, CBD</w:t>
      </w:r>
    </w:p>
    <w:p w14:paraId="0E889610"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p>
    <w:p w14:paraId="0E889611" w14:textId="7C0F8C89" w:rsidR="006D3E36" w:rsidRPr="003C10BC" w:rsidRDefault="006D3E36" w:rsidP="006D3E36">
      <w:pPr>
        <w:rPr>
          <w:rFonts w:asciiTheme="majorHAnsi" w:hAnsiTheme="majorHAnsi" w:cstheme="majorHAnsi"/>
          <w:snapToGrid w:val="0"/>
          <w:kern w:val="22"/>
          <w:szCs w:val="22"/>
        </w:rPr>
      </w:pPr>
    </w:p>
    <w:p w14:paraId="7B8F6FF5" w14:textId="48C70483" w:rsidR="00833E1A" w:rsidRPr="003C10BC" w:rsidRDefault="00833E1A" w:rsidP="006D3E36">
      <w:pPr>
        <w:rPr>
          <w:rFonts w:asciiTheme="majorHAnsi" w:hAnsiTheme="majorHAnsi" w:cstheme="majorHAnsi"/>
          <w:snapToGrid w:val="0"/>
          <w:kern w:val="22"/>
          <w:szCs w:val="22"/>
        </w:rPr>
      </w:pPr>
    </w:p>
    <w:p w14:paraId="1604EED5" w14:textId="77777777" w:rsidR="00833E1A" w:rsidRPr="003C10BC" w:rsidRDefault="00833E1A" w:rsidP="006D3E36">
      <w:pPr>
        <w:rPr>
          <w:rFonts w:asciiTheme="majorHAnsi" w:hAnsiTheme="majorHAnsi" w:cstheme="majorHAnsi"/>
          <w:snapToGrid w:val="0"/>
          <w:kern w:val="22"/>
          <w:szCs w:val="22"/>
        </w:rPr>
      </w:pPr>
    </w:p>
    <w:p w14:paraId="0E889612" w14:textId="77777777" w:rsidR="006D3E36" w:rsidRPr="003C10BC" w:rsidRDefault="006D3E36" w:rsidP="006D3E36">
      <w:pPr>
        <w:pStyle w:val="Heading1"/>
        <w:shd w:val="clear" w:color="auto" w:fill="DAEEF3" w:themeFill="accent5" w:themeFillTint="33"/>
        <w:rPr>
          <w:rFonts w:asciiTheme="majorHAnsi" w:hAnsiTheme="majorHAnsi" w:cstheme="majorHAnsi"/>
          <w:snapToGrid w:val="0"/>
          <w:kern w:val="22"/>
          <w:szCs w:val="22"/>
        </w:rPr>
      </w:pPr>
      <w:r w:rsidRPr="003C10BC">
        <w:rPr>
          <w:rFonts w:asciiTheme="majorHAnsi" w:hAnsiTheme="majorHAnsi" w:cstheme="majorHAnsi"/>
          <w:snapToGrid w:val="0"/>
          <w:kern w:val="22"/>
          <w:szCs w:val="22"/>
        </w:rPr>
        <w:lastRenderedPageBreak/>
        <w:t>5. Policy and Enabling Environment</w:t>
      </w:r>
    </w:p>
    <w:p w14:paraId="0E889613" w14:textId="77777777" w:rsidR="006D3E36" w:rsidRPr="003C10BC" w:rsidRDefault="006D3E36" w:rsidP="006D3E36">
      <w:pPr>
        <w:rPr>
          <w:rFonts w:asciiTheme="majorHAnsi" w:hAnsiTheme="majorHAnsi" w:cstheme="majorHAnsi"/>
          <w:snapToGrid w:val="0"/>
          <w:kern w:val="22"/>
          <w:szCs w:val="22"/>
        </w:rPr>
      </w:pPr>
    </w:p>
    <w:p w14:paraId="0E889614" w14:textId="77777777" w:rsidR="006D3E36" w:rsidRPr="003C10BC" w:rsidRDefault="006D3E36" w:rsidP="006D3E36">
      <w:pPr>
        <w:rPr>
          <w:rFonts w:asciiTheme="majorHAnsi" w:hAnsiTheme="majorHAnsi" w:cstheme="majorHAnsi"/>
          <w:snapToGrid w:val="0"/>
          <w:kern w:val="22"/>
          <w:szCs w:val="22"/>
        </w:rPr>
      </w:pPr>
      <w:r w:rsidRPr="003C10BC">
        <w:rPr>
          <w:rFonts w:asciiTheme="majorHAnsi" w:hAnsiTheme="majorHAnsi" w:cstheme="majorHAnsi"/>
          <w:snapToGrid w:val="0"/>
          <w:kern w:val="22"/>
          <w:szCs w:val="22"/>
        </w:rPr>
        <w:t>The policy and enabling environment section of a VNR comprises multiple sub-sections and therefore, several opportunities exist to articulate how biodiversity and healthy ecosystems serve as the foundation for sustainable development.</w:t>
      </w:r>
    </w:p>
    <w:p w14:paraId="0E889615" w14:textId="77777777" w:rsidR="006D3E36" w:rsidRPr="003C10BC" w:rsidRDefault="006D3E36" w:rsidP="006D3E36">
      <w:pPr>
        <w:rPr>
          <w:rFonts w:asciiTheme="majorHAnsi" w:hAnsiTheme="majorHAnsi" w:cstheme="majorHAnsi"/>
          <w:snapToGrid w:val="0"/>
          <w:kern w:val="22"/>
          <w:szCs w:val="22"/>
        </w:rPr>
      </w:pPr>
    </w:p>
    <w:p w14:paraId="0E889616" w14:textId="77777777" w:rsidR="006D3E36" w:rsidRPr="003C10BC" w:rsidRDefault="006D3E36" w:rsidP="006D3E36">
      <w:pPr>
        <w:pStyle w:val="Heading2"/>
        <w:rPr>
          <w:rFonts w:asciiTheme="majorHAnsi" w:hAnsiTheme="majorHAnsi" w:cstheme="majorHAnsi"/>
          <w:snapToGrid w:val="0"/>
          <w:kern w:val="22"/>
          <w:szCs w:val="22"/>
        </w:rPr>
      </w:pPr>
      <w:r w:rsidRPr="003C10BC">
        <w:rPr>
          <w:rFonts w:asciiTheme="majorHAnsi" w:hAnsiTheme="majorHAnsi" w:cstheme="majorHAnsi"/>
          <w:snapToGrid w:val="0"/>
          <w:kern w:val="22"/>
          <w:szCs w:val="22"/>
        </w:rPr>
        <w:t>Creating ownership of the Sustainable Development Goals</w:t>
      </w:r>
    </w:p>
    <w:p w14:paraId="0E889617" w14:textId="77777777" w:rsidR="006D3E36" w:rsidRPr="003C10BC" w:rsidRDefault="006D3E36" w:rsidP="006D3E36">
      <w:pPr>
        <w:rPr>
          <w:rFonts w:asciiTheme="majorHAnsi" w:hAnsiTheme="majorHAnsi" w:cstheme="majorHAnsi"/>
          <w:snapToGrid w:val="0"/>
          <w:kern w:val="22"/>
          <w:szCs w:val="22"/>
        </w:rPr>
      </w:pPr>
    </w:p>
    <w:p w14:paraId="0E889618" w14:textId="77777777" w:rsidR="006D3E36" w:rsidRPr="003C10BC" w:rsidRDefault="006D3E36" w:rsidP="006D3E36">
      <w:pPr>
        <w:rPr>
          <w:rFonts w:asciiTheme="majorHAnsi" w:hAnsiTheme="majorHAnsi" w:cstheme="majorHAnsi"/>
          <w:snapToGrid w:val="0"/>
          <w:kern w:val="22"/>
          <w:szCs w:val="22"/>
        </w:rPr>
      </w:pPr>
      <w:r w:rsidRPr="003C10BC">
        <w:rPr>
          <w:rFonts w:asciiTheme="majorHAnsi" w:hAnsiTheme="majorHAnsi" w:cstheme="majorHAnsi"/>
          <w:snapToGrid w:val="0"/>
          <w:kern w:val="22"/>
          <w:szCs w:val="22"/>
        </w:rPr>
        <w:t>This subsection calls for examples of how the 2030 Agenda and SDGs are being mainstreamed into policy and planning by governments (national and sub-national), civil society and the private sector. It also asks “how different groups, particularly women and young people, have been engaged and how direct citizen engagement has been facilitated.”</w:t>
      </w:r>
    </w:p>
    <w:p w14:paraId="0E889619" w14:textId="77777777" w:rsidR="006D3E36" w:rsidRPr="003C10BC" w:rsidRDefault="006D3E36" w:rsidP="006D3E36">
      <w:pPr>
        <w:rPr>
          <w:rFonts w:asciiTheme="majorHAnsi" w:hAnsiTheme="majorHAnsi" w:cstheme="majorHAnsi"/>
          <w:snapToGrid w:val="0"/>
          <w:kern w:val="22"/>
          <w:szCs w:val="22"/>
        </w:rPr>
      </w:pPr>
    </w:p>
    <w:p w14:paraId="0E88961A"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 xml:space="preserve">In the context of the ‘Creating Ownership’ section of a VNR, member states could describe efforts toward mainstreaming biodiversity into planning and policy in national and sub-national governments, civil society and the private sector. </w:t>
      </w:r>
    </w:p>
    <w:p w14:paraId="0E88961B"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p>
    <w:p w14:paraId="0E88961C"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In particular, Parties to Convention on Biological Diversity have increasingly focused on the need to “mainstream” biodiversity in the sectors and cross-sectoral policies that have the greatest relevance to biodiversity, from dependencies to potential adverse impacts.  At its twelfth meeting, the Parties adopted a decision on biodiversity for poverty eradication and development, along with the Chennai Guidance related to actions to integrate biodiversity considerations into policy and planning by governments, and actions by civil society and the private sector, as well as Indigenous Peoples and local communities.</w:t>
      </w:r>
    </w:p>
    <w:p w14:paraId="0E88961D"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p>
    <w:p w14:paraId="0E88961E"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At its thirteenth meeting, the Parties adopted a decision on the mainstreaming of biodiversity with a particular focus on the agriculture, forestry, fisheries and tourism sectors (decision XIII/3). In the same decision, the Parties decided that at the fourteenth meeting of the Conference of the Parties (COP 14), they would consider the mainstreaming of biodiversity in the sectors of energy and mining, infrastructure, manufacturing and processing, as well as health.</w:t>
      </w:r>
    </w:p>
    <w:p w14:paraId="0E88961F"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p>
    <w:p w14:paraId="0E889620"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Useful Resources:</w:t>
      </w:r>
    </w:p>
    <w:p w14:paraId="0E889621" w14:textId="77777777" w:rsidR="006D3E36" w:rsidRPr="003C10BC" w:rsidRDefault="003C10BC" w:rsidP="006D3E36">
      <w:pPr>
        <w:pStyle w:val="ListParagraph"/>
        <w:numPr>
          <w:ilvl w:val="0"/>
          <w:numId w:val="15"/>
        </w:numPr>
        <w:shd w:val="clear" w:color="auto" w:fill="F2DBDB" w:themeFill="accent2" w:themeFillTint="33"/>
        <w:ind w:right="855"/>
        <w:rPr>
          <w:rFonts w:asciiTheme="majorHAnsi" w:hAnsiTheme="majorHAnsi" w:cstheme="majorHAnsi"/>
          <w:snapToGrid w:val="0"/>
          <w:kern w:val="22"/>
          <w:szCs w:val="22"/>
        </w:rPr>
      </w:pPr>
      <w:hyperlink r:id="rId49" w:history="1">
        <w:r w:rsidR="006D3E36" w:rsidRPr="003C10BC">
          <w:rPr>
            <w:rStyle w:val="Hyperlink"/>
            <w:rFonts w:asciiTheme="majorHAnsi" w:hAnsiTheme="majorHAnsi" w:cstheme="majorHAnsi"/>
            <w:snapToGrid w:val="0"/>
            <w:kern w:val="22"/>
            <w:sz w:val="22"/>
            <w:szCs w:val="22"/>
          </w:rPr>
          <w:t>CBD/COP/DEC/XIII/4</w:t>
        </w:r>
      </w:hyperlink>
      <w:r w:rsidR="006D3E36" w:rsidRPr="003C10BC">
        <w:rPr>
          <w:rFonts w:asciiTheme="majorHAnsi" w:hAnsiTheme="majorHAnsi" w:cstheme="majorHAnsi"/>
          <w:snapToGrid w:val="0"/>
          <w:kern w:val="22"/>
          <w:szCs w:val="22"/>
        </w:rPr>
        <w:t>, Biodiversity and Climate Change</w:t>
      </w:r>
    </w:p>
    <w:p w14:paraId="0E889622" w14:textId="77777777" w:rsidR="006D3E36" w:rsidRPr="003C10BC" w:rsidRDefault="003C10BC" w:rsidP="006D3E36">
      <w:pPr>
        <w:pStyle w:val="ListParagraph"/>
        <w:numPr>
          <w:ilvl w:val="0"/>
          <w:numId w:val="15"/>
        </w:numPr>
        <w:shd w:val="clear" w:color="auto" w:fill="F2DBDB" w:themeFill="accent2" w:themeFillTint="33"/>
        <w:ind w:right="855"/>
        <w:rPr>
          <w:rFonts w:asciiTheme="majorHAnsi" w:hAnsiTheme="majorHAnsi" w:cstheme="majorHAnsi"/>
          <w:snapToGrid w:val="0"/>
          <w:kern w:val="22"/>
          <w:szCs w:val="22"/>
        </w:rPr>
      </w:pPr>
      <w:hyperlink r:id="rId50" w:history="1">
        <w:r w:rsidR="006D3E36" w:rsidRPr="003C10BC">
          <w:rPr>
            <w:rStyle w:val="Hyperlink"/>
            <w:rFonts w:asciiTheme="majorHAnsi" w:hAnsiTheme="majorHAnsi" w:cstheme="majorHAnsi"/>
            <w:snapToGrid w:val="0"/>
            <w:kern w:val="22"/>
            <w:sz w:val="22"/>
            <w:szCs w:val="22"/>
          </w:rPr>
          <w:t>CBD/COP/DEC/XIII/3</w:t>
        </w:r>
      </w:hyperlink>
      <w:r w:rsidR="006D3E36" w:rsidRPr="003C10BC">
        <w:rPr>
          <w:rFonts w:asciiTheme="majorHAnsi" w:hAnsiTheme="majorHAnsi" w:cstheme="majorHAnsi"/>
          <w:snapToGrid w:val="0"/>
          <w:kern w:val="22"/>
          <w:szCs w:val="22"/>
        </w:rPr>
        <w:t xml:space="preserve">, 16 December 2016. Strategic actions to enhance the implementation of the Strategic Plan for Biodiversity 2011-2020 and the achievement of the Aichi Biodiversity Targets, including with respect to mainstreaming and the integration of biodiversity within and across sectors, CBD </w:t>
      </w:r>
    </w:p>
    <w:p w14:paraId="0E889623" w14:textId="77777777" w:rsidR="006D3E36" w:rsidRPr="003C10BC" w:rsidRDefault="003C10BC" w:rsidP="006D3E36">
      <w:pPr>
        <w:pStyle w:val="ListParagraph"/>
        <w:numPr>
          <w:ilvl w:val="0"/>
          <w:numId w:val="15"/>
        </w:numPr>
        <w:shd w:val="clear" w:color="auto" w:fill="F2DBDB" w:themeFill="accent2" w:themeFillTint="33"/>
        <w:ind w:right="855"/>
        <w:rPr>
          <w:rFonts w:asciiTheme="majorHAnsi" w:hAnsiTheme="majorHAnsi" w:cstheme="majorHAnsi"/>
          <w:snapToGrid w:val="0"/>
          <w:kern w:val="22"/>
          <w:szCs w:val="22"/>
        </w:rPr>
      </w:pPr>
      <w:hyperlink r:id="rId51" w:history="1">
        <w:r w:rsidR="006D3E36" w:rsidRPr="003C10BC">
          <w:rPr>
            <w:rStyle w:val="Hyperlink"/>
            <w:rFonts w:asciiTheme="majorHAnsi" w:hAnsiTheme="majorHAnsi" w:cstheme="majorHAnsi"/>
            <w:snapToGrid w:val="0"/>
            <w:kern w:val="22"/>
            <w:sz w:val="22"/>
            <w:szCs w:val="22"/>
          </w:rPr>
          <w:t xml:space="preserve">CBD SBSTTA XXI/4. </w:t>
        </w:r>
      </w:hyperlink>
      <w:r w:rsidR="006D3E36" w:rsidRPr="003C10BC">
        <w:rPr>
          <w:rFonts w:asciiTheme="majorHAnsi" w:hAnsiTheme="majorHAnsi" w:cstheme="majorHAnsi"/>
          <w:snapToGrid w:val="0"/>
          <w:kern w:val="22"/>
          <w:szCs w:val="22"/>
        </w:rPr>
        <w:t>Mainstreaming of biodiversity in the sectors of energy and mining, infrastructure, manufacturing and processing, and health, CBD</w:t>
      </w:r>
    </w:p>
    <w:p w14:paraId="0E889624" w14:textId="77777777" w:rsidR="006D3E36" w:rsidRPr="003C10BC" w:rsidRDefault="003C10BC" w:rsidP="006D3E36">
      <w:pPr>
        <w:pStyle w:val="ListParagraph"/>
        <w:numPr>
          <w:ilvl w:val="0"/>
          <w:numId w:val="15"/>
        </w:numPr>
        <w:shd w:val="clear" w:color="auto" w:fill="F2DBDB" w:themeFill="accent2" w:themeFillTint="33"/>
        <w:ind w:right="855"/>
        <w:rPr>
          <w:rFonts w:asciiTheme="majorHAnsi" w:hAnsiTheme="majorHAnsi" w:cstheme="majorHAnsi"/>
          <w:snapToGrid w:val="0"/>
          <w:kern w:val="22"/>
          <w:szCs w:val="22"/>
        </w:rPr>
      </w:pPr>
      <w:hyperlink r:id="rId52" w:history="1">
        <w:r w:rsidR="006D3E36" w:rsidRPr="003C10BC">
          <w:rPr>
            <w:rStyle w:val="Hyperlink"/>
            <w:rFonts w:asciiTheme="majorHAnsi" w:hAnsiTheme="majorHAnsi" w:cstheme="majorHAnsi"/>
            <w:snapToGrid w:val="0"/>
            <w:kern w:val="22"/>
            <w:sz w:val="22"/>
            <w:szCs w:val="22"/>
          </w:rPr>
          <w:t>UNEP/CBD/COP/DEC/XII/5</w:t>
        </w:r>
      </w:hyperlink>
      <w:r w:rsidR="006D3E36" w:rsidRPr="003C10BC">
        <w:rPr>
          <w:rFonts w:asciiTheme="majorHAnsi" w:hAnsiTheme="majorHAnsi" w:cstheme="majorHAnsi"/>
          <w:snapToGrid w:val="0"/>
          <w:kern w:val="22"/>
          <w:szCs w:val="22"/>
        </w:rPr>
        <w:t>, Chennai Guidance for the Integration of Biodiversity and Poverty Eradication.</w:t>
      </w:r>
    </w:p>
    <w:p w14:paraId="0E889625"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p>
    <w:p w14:paraId="0E889626"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Member states could also include brief examples of any efforts within their country with regard to traditional knowledge, engaging community stakeholders, including using citizen science or local crowdsourcing to monitor biodiversity and ecosystem health in the context of SDGs 14 and 15.</w:t>
      </w:r>
    </w:p>
    <w:p w14:paraId="0E889627"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p>
    <w:p w14:paraId="0E889628" w14:textId="77777777" w:rsidR="006D3E36" w:rsidRPr="003C10BC" w:rsidRDefault="006D3E36" w:rsidP="006D3E36">
      <w:pPr>
        <w:pStyle w:val="ListParagraph"/>
        <w:shd w:val="clear" w:color="auto" w:fill="F2DBDB" w:themeFill="accent2" w:themeFillTint="33"/>
        <w:ind w:left="567"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Useful Resources:</w:t>
      </w:r>
    </w:p>
    <w:p w14:paraId="0E889629" w14:textId="77777777" w:rsidR="006D3E36" w:rsidRPr="003C10BC" w:rsidRDefault="006D3E36" w:rsidP="006D3E36">
      <w:pPr>
        <w:pStyle w:val="ListParagraph"/>
        <w:numPr>
          <w:ilvl w:val="0"/>
          <w:numId w:val="17"/>
        </w:numPr>
        <w:shd w:val="clear" w:color="auto" w:fill="F2DBDB" w:themeFill="accent2" w:themeFillTint="33"/>
        <w:ind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See Part 4 of this document.</w:t>
      </w:r>
    </w:p>
    <w:p w14:paraId="0E88962A" w14:textId="77777777" w:rsidR="006D3E36" w:rsidRPr="003C10BC" w:rsidRDefault="006D3E36" w:rsidP="006D3E36">
      <w:pPr>
        <w:rPr>
          <w:rFonts w:asciiTheme="majorHAnsi" w:hAnsiTheme="majorHAnsi" w:cstheme="majorHAnsi"/>
          <w:snapToGrid w:val="0"/>
          <w:kern w:val="22"/>
          <w:szCs w:val="22"/>
        </w:rPr>
      </w:pPr>
    </w:p>
    <w:p w14:paraId="0E88962B" w14:textId="77777777" w:rsidR="006D3E36" w:rsidRPr="003C10BC" w:rsidRDefault="006D3E36" w:rsidP="006D3E36">
      <w:pPr>
        <w:pStyle w:val="Heading2"/>
        <w:rPr>
          <w:rFonts w:asciiTheme="majorHAnsi" w:hAnsiTheme="majorHAnsi" w:cstheme="majorHAnsi"/>
          <w:snapToGrid w:val="0"/>
          <w:kern w:val="22"/>
          <w:szCs w:val="22"/>
        </w:rPr>
      </w:pPr>
      <w:r w:rsidRPr="003C10BC">
        <w:rPr>
          <w:rFonts w:asciiTheme="majorHAnsi" w:hAnsiTheme="majorHAnsi" w:cstheme="majorHAnsi"/>
          <w:snapToGrid w:val="0"/>
          <w:kern w:val="22"/>
          <w:szCs w:val="22"/>
        </w:rPr>
        <w:t>Incorporation of the Sustainable Development Goals in national frameworks</w:t>
      </w:r>
    </w:p>
    <w:p w14:paraId="0E88962C" w14:textId="77777777" w:rsidR="006D3E36" w:rsidRPr="003C10BC" w:rsidRDefault="006D3E36" w:rsidP="006D3E36">
      <w:pPr>
        <w:rPr>
          <w:rFonts w:asciiTheme="majorHAnsi" w:hAnsiTheme="majorHAnsi" w:cstheme="majorHAnsi"/>
          <w:snapToGrid w:val="0"/>
          <w:kern w:val="22"/>
          <w:szCs w:val="22"/>
        </w:rPr>
      </w:pPr>
    </w:p>
    <w:p w14:paraId="0E88962D" w14:textId="77777777" w:rsidR="006D3E36" w:rsidRPr="003C10BC" w:rsidRDefault="006D3E36" w:rsidP="006D3E36">
      <w:pPr>
        <w:rPr>
          <w:rFonts w:asciiTheme="majorHAnsi" w:hAnsiTheme="majorHAnsi" w:cstheme="majorHAnsi"/>
          <w:snapToGrid w:val="0"/>
          <w:kern w:val="22"/>
          <w:szCs w:val="22"/>
        </w:rPr>
      </w:pPr>
      <w:r w:rsidRPr="003C10BC">
        <w:rPr>
          <w:rFonts w:asciiTheme="majorHAnsi" w:hAnsiTheme="majorHAnsi" w:cstheme="majorHAnsi"/>
          <w:snapToGrid w:val="0"/>
          <w:kern w:val="22"/>
          <w:szCs w:val="22"/>
        </w:rPr>
        <w:t>This subsection asks member states to “outline critical initiatives that the country has undertaken to adapt the SDGs and targets to its national circumstances.” UNDESA’s VNR Guidelines also suggest that “countries could consider referring to major efforts undertaken by local authorities and non-State actors to implement the Goals, the role of science-policy interfaces, and partnerships.”</w:t>
      </w:r>
    </w:p>
    <w:p w14:paraId="0E88962E" w14:textId="77777777" w:rsidR="006D3E36" w:rsidRPr="003C10BC" w:rsidRDefault="006D3E36" w:rsidP="006D3E36">
      <w:pPr>
        <w:rPr>
          <w:rFonts w:asciiTheme="majorHAnsi" w:hAnsiTheme="majorHAnsi" w:cstheme="majorHAnsi"/>
          <w:snapToGrid w:val="0"/>
          <w:kern w:val="22"/>
          <w:szCs w:val="22"/>
        </w:rPr>
      </w:pPr>
    </w:p>
    <w:p w14:paraId="0E88962F"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In the context of the ‘National Frameworks’ section of a VNR, Parties to the CBD could make reference to their National Biodiversity Strategies and Action Plans (NBSAPs) and how it is integrated with its broader national development plan. NBSAPs are to be a policy instrument per Decision X/2 and XIII/1.</w:t>
      </w:r>
    </w:p>
    <w:p w14:paraId="0E889630"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p>
    <w:p w14:paraId="0E889631"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Useful Resources:</w:t>
      </w:r>
    </w:p>
    <w:p w14:paraId="0E889632" w14:textId="77777777" w:rsidR="006D3E36" w:rsidRPr="003C10BC" w:rsidRDefault="003C10BC" w:rsidP="006D3E36">
      <w:pPr>
        <w:pStyle w:val="ListParagraph"/>
        <w:numPr>
          <w:ilvl w:val="0"/>
          <w:numId w:val="17"/>
        </w:numPr>
        <w:shd w:val="clear" w:color="auto" w:fill="F2DBDB" w:themeFill="accent2" w:themeFillTint="33"/>
        <w:ind w:right="855"/>
        <w:rPr>
          <w:rFonts w:asciiTheme="majorHAnsi" w:hAnsiTheme="majorHAnsi" w:cstheme="majorHAnsi"/>
          <w:snapToGrid w:val="0"/>
          <w:kern w:val="22"/>
          <w:szCs w:val="22"/>
        </w:rPr>
      </w:pPr>
      <w:hyperlink r:id="rId53" w:history="1">
        <w:r w:rsidR="006D3E36" w:rsidRPr="003C10BC">
          <w:rPr>
            <w:rStyle w:val="Hyperlink"/>
            <w:rFonts w:asciiTheme="majorHAnsi" w:hAnsiTheme="majorHAnsi" w:cstheme="majorHAnsi"/>
            <w:snapToGrid w:val="0"/>
            <w:kern w:val="22"/>
            <w:sz w:val="22"/>
            <w:szCs w:val="22"/>
          </w:rPr>
          <w:t>CBD Website: National Biodiversity Strategies and Action Plans (NBSAPs)</w:t>
        </w:r>
      </w:hyperlink>
    </w:p>
    <w:p w14:paraId="0E889633" w14:textId="77777777" w:rsidR="006D3E36" w:rsidRPr="003C10BC" w:rsidRDefault="003C10BC" w:rsidP="006D3E36">
      <w:pPr>
        <w:pStyle w:val="ListParagraph"/>
        <w:numPr>
          <w:ilvl w:val="0"/>
          <w:numId w:val="17"/>
        </w:numPr>
        <w:shd w:val="clear" w:color="auto" w:fill="F2DBDB" w:themeFill="accent2" w:themeFillTint="33"/>
        <w:ind w:right="855"/>
        <w:rPr>
          <w:rFonts w:asciiTheme="majorHAnsi" w:hAnsiTheme="majorHAnsi" w:cstheme="majorHAnsi"/>
          <w:snapToGrid w:val="0"/>
          <w:kern w:val="22"/>
          <w:szCs w:val="22"/>
        </w:rPr>
      </w:pPr>
      <w:hyperlink r:id="rId54" w:history="1">
        <w:r w:rsidR="006D3E36" w:rsidRPr="003C10BC">
          <w:rPr>
            <w:rStyle w:val="Hyperlink"/>
            <w:rFonts w:asciiTheme="majorHAnsi" w:hAnsiTheme="majorHAnsi" w:cstheme="majorHAnsi"/>
            <w:snapToGrid w:val="0"/>
            <w:kern w:val="22"/>
            <w:sz w:val="22"/>
            <w:szCs w:val="22"/>
          </w:rPr>
          <w:t>COP-13 requests related to NBSAPs</w:t>
        </w:r>
      </w:hyperlink>
      <w:r w:rsidR="006D3E36" w:rsidRPr="003C10BC">
        <w:rPr>
          <w:rFonts w:asciiTheme="majorHAnsi" w:hAnsiTheme="majorHAnsi" w:cstheme="majorHAnsi"/>
          <w:snapToGrid w:val="0"/>
          <w:kern w:val="22"/>
          <w:szCs w:val="22"/>
        </w:rPr>
        <w:t>, UNCBD</w:t>
      </w:r>
    </w:p>
    <w:p w14:paraId="0E889634" w14:textId="77777777" w:rsidR="006D3E36" w:rsidRPr="003C10BC" w:rsidRDefault="003C10BC" w:rsidP="006D3E36">
      <w:pPr>
        <w:pStyle w:val="ListParagraph"/>
        <w:numPr>
          <w:ilvl w:val="0"/>
          <w:numId w:val="17"/>
        </w:numPr>
        <w:shd w:val="clear" w:color="auto" w:fill="F2DBDB" w:themeFill="accent2" w:themeFillTint="33"/>
        <w:ind w:right="855"/>
        <w:rPr>
          <w:rFonts w:asciiTheme="majorHAnsi" w:hAnsiTheme="majorHAnsi" w:cstheme="majorHAnsi"/>
          <w:snapToGrid w:val="0"/>
          <w:kern w:val="22"/>
          <w:szCs w:val="22"/>
        </w:rPr>
      </w:pPr>
      <w:hyperlink r:id="rId55" w:history="1">
        <w:r w:rsidR="006D3E36" w:rsidRPr="003C10BC">
          <w:rPr>
            <w:rStyle w:val="Hyperlink"/>
            <w:rFonts w:asciiTheme="majorHAnsi" w:hAnsiTheme="majorHAnsi" w:cstheme="majorHAnsi"/>
            <w:snapToGrid w:val="0"/>
            <w:kern w:val="22"/>
            <w:sz w:val="22"/>
            <w:szCs w:val="22"/>
          </w:rPr>
          <w:t>NBSAPs: Natural Catalysts for Accelerating Action on SDGs (UNDP, 2016)</w:t>
        </w:r>
      </w:hyperlink>
    </w:p>
    <w:p w14:paraId="0E889635" w14:textId="77777777" w:rsidR="006D3E36" w:rsidRPr="003C10BC" w:rsidRDefault="006D3E36" w:rsidP="006D3E36">
      <w:pPr>
        <w:pStyle w:val="ListParagraph"/>
        <w:numPr>
          <w:ilvl w:val="0"/>
          <w:numId w:val="17"/>
        </w:numPr>
        <w:shd w:val="clear" w:color="auto" w:fill="F2DBDB" w:themeFill="accent2" w:themeFillTint="33"/>
        <w:ind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 xml:space="preserve">UNCBD Website: </w:t>
      </w:r>
      <w:hyperlink r:id="rId56" w:history="1">
        <w:r w:rsidRPr="003C10BC">
          <w:rPr>
            <w:rStyle w:val="Hyperlink"/>
            <w:rFonts w:asciiTheme="majorHAnsi" w:hAnsiTheme="majorHAnsi" w:cstheme="majorHAnsi"/>
            <w:snapToGrid w:val="0"/>
            <w:kern w:val="22"/>
            <w:sz w:val="22"/>
            <w:szCs w:val="22"/>
          </w:rPr>
          <w:t>Subnational Biodiversity Strategies and Action Plans (SBSAPs)</w:t>
        </w:r>
      </w:hyperlink>
    </w:p>
    <w:p w14:paraId="0E889636" w14:textId="77777777" w:rsidR="006D3E36" w:rsidRPr="003C10BC" w:rsidRDefault="006D3E36" w:rsidP="006D3E36">
      <w:pPr>
        <w:pStyle w:val="ListParagraph"/>
        <w:numPr>
          <w:ilvl w:val="0"/>
          <w:numId w:val="17"/>
        </w:numPr>
        <w:shd w:val="clear" w:color="auto" w:fill="F2DBDB" w:themeFill="accent2" w:themeFillTint="33"/>
        <w:ind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 xml:space="preserve">UNCBD Website: </w:t>
      </w:r>
      <w:hyperlink r:id="rId57" w:history="1">
        <w:r w:rsidRPr="003C10BC">
          <w:rPr>
            <w:rStyle w:val="Hyperlink"/>
            <w:rFonts w:asciiTheme="majorHAnsi" w:hAnsiTheme="majorHAnsi" w:cstheme="majorHAnsi"/>
            <w:snapToGrid w:val="0"/>
            <w:kern w:val="22"/>
            <w:sz w:val="22"/>
            <w:szCs w:val="22"/>
          </w:rPr>
          <w:t>Regional Biodiversity Strategies and Action Plans (RBSAPs)</w:t>
        </w:r>
      </w:hyperlink>
    </w:p>
    <w:p w14:paraId="0E889637" w14:textId="77777777" w:rsidR="006D3E36" w:rsidRPr="003C10BC" w:rsidRDefault="006D3E36" w:rsidP="006D3E36">
      <w:pPr>
        <w:rPr>
          <w:rFonts w:asciiTheme="majorHAnsi" w:hAnsiTheme="majorHAnsi" w:cstheme="majorHAnsi"/>
          <w:snapToGrid w:val="0"/>
          <w:kern w:val="22"/>
          <w:szCs w:val="22"/>
        </w:rPr>
      </w:pPr>
    </w:p>
    <w:p w14:paraId="0E889638" w14:textId="77777777" w:rsidR="006D3E36" w:rsidRPr="003C10BC" w:rsidRDefault="006D3E36" w:rsidP="006D3E36">
      <w:pPr>
        <w:shd w:val="clear" w:color="auto" w:fill="FDE9D9" w:themeFill="accent6" w:themeFillTint="33"/>
        <w:jc w:val="center"/>
        <w:rPr>
          <w:rFonts w:asciiTheme="majorHAnsi" w:hAnsiTheme="majorHAnsi" w:cstheme="majorHAnsi"/>
          <w:b/>
          <w:snapToGrid w:val="0"/>
          <w:kern w:val="22"/>
          <w:szCs w:val="22"/>
        </w:rPr>
      </w:pPr>
      <w:r w:rsidRPr="003C10BC">
        <w:rPr>
          <w:rFonts w:asciiTheme="majorHAnsi" w:hAnsiTheme="majorHAnsi" w:cstheme="majorHAnsi"/>
          <w:b/>
          <w:snapToGrid w:val="0"/>
          <w:kern w:val="22"/>
          <w:szCs w:val="22"/>
        </w:rPr>
        <w:t>Good Practice Example – Thailand’s 2017 VNR</w:t>
      </w:r>
    </w:p>
    <w:p w14:paraId="0E889639" w14:textId="77777777" w:rsidR="006D3E36" w:rsidRPr="003C10BC" w:rsidRDefault="006D3E36" w:rsidP="006D3E36">
      <w:pPr>
        <w:shd w:val="clear" w:color="auto" w:fill="FDE9D9" w:themeFill="accent6" w:themeFillTint="33"/>
        <w:rPr>
          <w:rFonts w:asciiTheme="majorHAnsi" w:hAnsiTheme="majorHAnsi" w:cstheme="majorHAnsi"/>
          <w:snapToGrid w:val="0"/>
          <w:kern w:val="22"/>
          <w:szCs w:val="22"/>
        </w:rPr>
      </w:pPr>
    </w:p>
    <w:p w14:paraId="0E88963A" w14:textId="77777777" w:rsidR="006D3E36" w:rsidRPr="003C10BC" w:rsidRDefault="003C10BC" w:rsidP="006D3E36">
      <w:pPr>
        <w:shd w:val="clear" w:color="auto" w:fill="FDE9D9" w:themeFill="accent6" w:themeFillTint="33"/>
        <w:rPr>
          <w:rFonts w:asciiTheme="majorHAnsi" w:hAnsiTheme="majorHAnsi" w:cstheme="majorHAnsi"/>
          <w:snapToGrid w:val="0"/>
          <w:kern w:val="22"/>
          <w:szCs w:val="22"/>
        </w:rPr>
      </w:pPr>
      <w:hyperlink r:id="rId58" w:history="1">
        <w:r w:rsidR="006D3E36" w:rsidRPr="003C10BC">
          <w:rPr>
            <w:rStyle w:val="Hyperlink"/>
            <w:rFonts w:asciiTheme="majorHAnsi" w:hAnsiTheme="majorHAnsi" w:cstheme="majorHAnsi"/>
            <w:snapToGrid w:val="0"/>
            <w:kern w:val="22"/>
            <w:sz w:val="22"/>
            <w:szCs w:val="22"/>
          </w:rPr>
          <w:t>Thailand’s 2017 VNR</w:t>
        </w:r>
      </w:hyperlink>
      <w:r w:rsidR="006D3E36" w:rsidRPr="003C10BC">
        <w:rPr>
          <w:rFonts w:asciiTheme="majorHAnsi" w:hAnsiTheme="majorHAnsi" w:cstheme="majorHAnsi"/>
          <w:snapToGrid w:val="0"/>
          <w:kern w:val="22"/>
          <w:szCs w:val="22"/>
        </w:rPr>
        <w:t xml:space="preserve"> makes reference to its national biodiversity plan in the context of discussing progress toward SDG 2. For example, the report states:</w:t>
      </w:r>
    </w:p>
    <w:p w14:paraId="0E88963B" w14:textId="77777777" w:rsidR="006D3E36" w:rsidRPr="003C10BC" w:rsidRDefault="006D3E36" w:rsidP="006D3E36">
      <w:pPr>
        <w:shd w:val="clear" w:color="auto" w:fill="FDE9D9" w:themeFill="accent6" w:themeFillTint="33"/>
        <w:rPr>
          <w:rFonts w:asciiTheme="majorHAnsi" w:hAnsiTheme="majorHAnsi" w:cstheme="majorHAnsi"/>
          <w:snapToGrid w:val="0"/>
          <w:kern w:val="22"/>
          <w:szCs w:val="22"/>
        </w:rPr>
      </w:pPr>
    </w:p>
    <w:p w14:paraId="0E88963C" w14:textId="77777777" w:rsidR="006D3E36" w:rsidRPr="003C10BC" w:rsidRDefault="006D3E36" w:rsidP="006D3E36">
      <w:pPr>
        <w:shd w:val="clear" w:color="auto" w:fill="FDE9D9" w:themeFill="accent6" w:themeFillTint="33"/>
        <w:rPr>
          <w:rFonts w:asciiTheme="majorHAnsi" w:hAnsiTheme="majorHAnsi" w:cstheme="majorHAnsi"/>
          <w:i/>
          <w:snapToGrid w:val="0"/>
          <w:kern w:val="22"/>
          <w:szCs w:val="22"/>
        </w:rPr>
      </w:pPr>
      <w:r w:rsidRPr="003C10BC">
        <w:rPr>
          <w:rFonts w:asciiTheme="majorHAnsi" w:hAnsiTheme="majorHAnsi" w:cstheme="majorHAnsi"/>
          <w:i/>
          <w:snapToGrid w:val="0"/>
          <w:kern w:val="22"/>
          <w:szCs w:val="22"/>
        </w:rPr>
        <w:t>“Furthermore, the Royal Thai Government attaches importance to possessing the biodiversity of seeds used in agriculture, domesticated animals, and relevant species of plants and animals. This has led to the formulation of the Master Plan on Integration of the Management of Biodiversity 2015 – 2021 consisting of four strategies: (1) inclusive biodiversity management, (2) conservation and restoration of biodiversity, (3) protect national interests on biodiversity, increase and share benefits from biodiversity in accordance with Green Economy concept and (4) develop knowledge and database on biodiversity of international standards.”</w:t>
      </w:r>
    </w:p>
    <w:p w14:paraId="0E88963D" w14:textId="77777777" w:rsidR="006D3E36" w:rsidRPr="003C10BC" w:rsidRDefault="006D3E36" w:rsidP="006D3E36">
      <w:pPr>
        <w:shd w:val="clear" w:color="auto" w:fill="FDE9D9" w:themeFill="accent6" w:themeFillTint="33"/>
        <w:rPr>
          <w:rFonts w:asciiTheme="majorHAnsi" w:hAnsiTheme="majorHAnsi" w:cstheme="majorHAnsi"/>
          <w:i/>
          <w:snapToGrid w:val="0"/>
          <w:kern w:val="22"/>
          <w:szCs w:val="22"/>
        </w:rPr>
      </w:pPr>
    </w:p>
    <w:p w14:paraId="0E88963E" w14:textId="77777777" w:rsidR="006D3E36" w:rsidRPr="003C10BC" w:rsidRDefault="006D3E36" w:rsidP="006D3E36">
      <w:pPr>
        <w:rPr>
          <w:rFonts w:asciiTheme="majorHAnsi" w:hAnsiTheme="majorHAnsi" w:cstheme="majorHAnsi"/>
          <w:snapToGrid w:val="0"/>
          <w:kern w:val="22"/>
          <w:szCs w:val="22"/>
        </w:rPr>
      </w:pPr>
    </w:p>
    <w:p w14:paraId="0E88963F" w14:textId="77777777" w:rsidR="006D3E36" w:rsidRPr="003C10BC" w:rsidRDefault="006D3E36" w:rsidP="006D3E36">
      <w:pPr>
        <w:pStyle w:val="Heading2"/>
        <w:rPr>
          <w:rFonts w:asciiTheme="majorHAnsi" w:hAnsiTheme="majorHAnsi" w:cstheme="majorHAnsi"/>
          <w:snapToGrid w:val="0"/>
          <w:kern w:val="22"/>
          <w:szCs w:val="22"/>
        </w:rPr>
      </w:pPr>
      <w:r w:rsidRPr="003C10BC">
        <w:rPr>
          <w:rFonts w:asciiTheme="majorHAnsi" w:hAnsiTheme="majorHAnsi" w:cstheme="majorHAnsi"/>
          <w:snapToGrid w:val="0"/>
          <w:kern w:val="22"/>
          <w:szCs w:val="22"/>
        </w:rPr>
        <w:t>Integration of the three dimensions</w:t>
      </w:r>
    </w:p>
    <w:p w14:paraId="0E889640" w14:textId="77777777" w:rsidR="006D3E36" w:rsidRPr="003C10BC" w:rsidRDefault="006D3E36" w:rsidP="006D3E36">
      <w:pPr>
        <w:rPr>
          <w:rFonts w:asciiTheme="majorHAnsi" w:hAnsiTheme="majorHAnsi" w:cstheme="majorHAnsi"/>
          <w:snapToGrid w:val="0"/>
          <w:kern w:val="22"/>
          <w:szCs w:val="22"/>
        </w:rPr>
      </w:pPr>
    </w:p>
    <w:p w14:paraId="0E889641" w14:textId="77777777" w:rsidR="006D3E36" w:rsidRPr="003C10BC" w:rsidRDefault="006D3E36" w:rsidP="006D3E36">
      <w:pPr>
        <w:rPr>
          <w:rFonts w:asciiTheme="majorHAnsi" w:hAnsiTheme="majorHAnsi" w:cstheme="majorHAnsi"/>
          <w:snapToGrid w:val="0"/>
          <w:kern w:val="22"/>
          <w:szCs w:val="22"/>
        </w:rPr>
      </w:pPr>
      <w:r w:rsidRPr="003C10BC">
        <w:rPr>
          <w:rFonts w:asciiTheme="majorHAnsi" w:hAnsiTheme="majorHAnsi" w:cstheme="majorHAnsi"/>
          <w:snapToGrid w:val="0"/>
          <w:kern w:val="22"/>
          <w:szCs w:val="22"/>
        </w:rPr>
        <w:t>UNDESA’s VNR Guidelines recommend that Member States “discuss how the three dimensions of sustainable development (economic, social and environmental) are being integrated and how sustainable development policies are being designed and implemented to reflect such integration.”</w:t>
      </w:r>
    </w:p>
    <w:p w14:paraId="0E889642" w14:textId="77777777" w:rsidR="006D3E36" w:rsidRPr="003C10BC" w:rsidRDefault="006D3E36" w:rsidP="006D3E36">
      <w:pPr>
        <w:rPr>
          <w:rFonts w:asciiTheme="majorHAnsi" w:hAnsiTheme="majorHAnsi" w:cstheme="majorHAnsi"/>
          <w:snapToGrid w:val="0"/>
          <w:kern w:val="22"/>
          <w:szCs w:val="22"/>
        </w:rPr>
      </w:pPr>
    </w:p>
    <w:p w14:paraId="0E889643"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In the context of the ‘Integration’ section of a VNR, member states could elaborate how policy tools for upstream planning, such as strategic environmental assessment (SEA), were used and how this helped advance the SDGs, including the conservation and sustainable use of biodiversity.</w:t>
      </w:r>
    </w:p>
    <w:p w14:paraId="0E889644"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p>
    <w:p w14:paraId="0E889645"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lastRenderedPageBreak/>
        <w:t>Useful Resources:</w:t>
      </w:r>
    </w:p>
    <w:p w14:paraId="0E889646" w14:textId="77777777" w:rsidR="006D3E36" w:rsidRPr="003C10BC" w:rsidRDefault="003C10BC" w:rsidP="006D3E36">
      <w:pPr>
        <w:pStyle w:val="ListParagraph"/>
        <w:numPr>
          <w:ilvl w:val="0"/>
          <w:numId w:val="19"/>
        </w:numPr>
        <w:shd w:val="clear" w:color="auto" w:fill="F2DBDB" w:themeFill="accent2" w:themeFillTint="33"/>
        <w:ind w:right="855"/>
        <w:rPr>
          <w:rFonts w:asciiTheme="majorHAnsi" w:hAnsiTheme="majorHAnsi" w:cstheme="majorHAnsi"/>
          <w:snapToGrid w:val="0"/>
          <w:kern w:val="22"/>
          <w:szCs w:val="22"/>
        </w:rPr>
      </w:pPr>
      <w:hyperlink r:id="rId59" w:history="1">
        <w:r w:rsidR="006D3E36" w:rsidRPr="003C10BC">
          <w:rPr>
            <w:rStyle w:val="Hyperlink"/>
            <w:rFonts w:asciiTheme="majorHAnsi" w:hAnsiTheme="majorHAnsi" w:cstheme="majorHAnsi"/>
            <w:snapToGrid w:val="0"/>
            <w:kern w:val="22"/>
            <w:sz w:val="22"/>
            <w:szCs w:val="22"/>
          </w:rPr>
          <w:t>COP 8 Decision VIII/28. Impact assessment: Voluntary guidelines on biodiversity-inclusive impact assessment</w:t>
        </w:r>
      </w:hyperlink>
      <w:r w:rsidR="006D3E36" w:rsidRPr="003C10BC">
        <w:rPr>
          <w:rFonts w:asciiTheme="majorHAnsi" w:hAnsiTheme="majorHAnsi" w:cstheme="majorHAnsi"/>
          <w:snapToGrid w:val="0"/>
          <w:kern w:val="22"/>
          <w:szCs w:val="22"/>
        </w:rPr>
        <w:t>, CBD</w:t>
      </w:r>
    </w:p>
    <w:p w14:paraId="0E889647" w14:textId="77777777" w:rsidR="006D3E36" w:rsidRPr="003C10BC" w:rsidRDefault="003C10BC" w:rsidP="006D3E36">
      <w:pPr>
        <w:pStyle w:val="ListParagraph"/>
        <w:numPr>
          <w:ilvl w:val="0"/>
          <w:numId w:val="19"/>
        </w:numPr>
        <w:shd w:val="clear" w:color="auto" w:fill="F2DBDB" w:themeFill="accent2" w:themeFillTint="33"/>
        <w:ind w:right="855"/>
        <w:rPr>
          <w:rStyle w:val="Hyperlink"/>
          <w:rFonts w:asciiTheme="majorHAnsi" w:hAnsiTheme="majorHAnsi" w:cstheme="majorHAnsi"/>
          <w:snapToGrid w:val="0"/>
          <w:color w:val="auto"/>
          <w:kern w:val="22"/>
          <w:sz w:val="22"/>
          <w:szCs w:val="22"/>
        </w:rPr>
      </w:pPr>
      <w:hyperlink r:id="rId60" w:history="1">
        <w:r w:rsidR="006D3E36" w:rsidRPr="003C10BC">
          <w:rPr>
            <w:rStyle w:val="Hyperlink"/>
            <w:rFonts w:asciiTheme="majorHAnsi" w:hAnsiTheme="majorHAnsi" w:cstheme="majorHAnsi"/>
            <w:snapToGrid w:val="0"/>
            <w:kern w:val="22"/>
            <w:sz w:val="22"/>
            <w:szCs w:val="22"/>
          </w:rPr>
          <w:t>Brochure with the voluntary guidelines on biodiversity-inclusive impact assessment, Netherlands Commission for Environmental Assessment.</w:t>
        </w:r>
      </w:hyperlink>
    </w:p>
    <w:p w14:paraId="0E889648"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p>
    <w:p w14:paraId="0E889649" w14:textId="77777777" w:rsidR="006D3E36" w:rsidRPr="003C10BC" w:rsidRDefault="006D3E36" w:rsidP="006D3E36">
      <w:pPr>
        <w:rPr>
          <w:rFonts w:asciiTheme="majorHAnsi" w:hAnsiTheme="majorHAnsi" w:cstheme="majorHAnsi"/>
          <w:snapToGrid w:val="0"/>
          <w:kern w:val="22"/>
          <w:szCs w:val="22"/>
        </w:rPr>
      </w:pPr>
    </w:p>
    <w:p w14:paraId="0E88964A" w14:textId="77777777" w:rsidR="006D3E36" w:rsidRPr="003C10BC" w:rsidRDefault="006D3E36" w:rsidP="006D3E36">
      <w:pPr>
        <w:pStyle w:val="Heading2"/>
        <w:rPr>
          <w:rFonts w:asciiTheme="majorHAnsi" w:hAnsiTheme="majorHAnsi" w:cstheme="majorHAnsi"/>
          <w:snapToGrid w:val="0"/>
          <w:kern w:val="22"/>
          <w:szCs w:val="22"/>
        </w:rPr>
      </w:pPr>
      <w:r w:rsidRPr="003C10BC">
        <w:rPr>
          <w:rFonts w:asciiTheme="majorHAnsi" w:hAnsiTheme="majorHAnsi" w:cstheme="majorHAnsi"/>
          <w:snapToGrid w:val="0"/>
          <w:kern w:val="22"/>
          <w:szCs w:val="22"/>
        </w:rPr>
        <w:t>Leaving no one behind</w:t>
      </w:r>
    </w:p>
    <w:p w14:paraId="0E88964B" w14:textId="77777777" w:rsidR="006D3E36" w:rsidRPr="003C10BC" w:rsidRDefault="006D3E36" w:rsidP="006D3E36">
      <w:pPr>
        <w:rPr>
          <w:rFonts w:asciiTheme="majorHAnsi" w:hAnsiTheme="majorHAnsi" w:cstheme="majorHAnsi"/>
          <w:snapToGrid w:val="0"/>
          <w:kern w:val="22"/>
          <w:szCs w:val="22"/>
        </w:rPr>
      </w:pPr>
    </w:p>
    <w:p w14:paraId="0E88964C" w14:textId="77777777" w:rsidR="006D3E36" w:rsidRPr="003C10BC" w:rsidRDefault="006D3E36" w:rsidP="006D3E36">
      <w:pPr>
        <w:rPr>
          <w:rFonts w:asciiTheme="majorHAnsi" w:hAnsiTheme="majorHAnsi" w:cstheme="majorHAnsi"/>
          <w:snapToGrid w:val="0"/>
          <w:kern w:val="22"/>
          <w:szCs w:val="22"/>
        </w:rPr>
      </w:pPr>
      <w:r w:rsidRPr="003C10BC">
        <w:rPr>
          <w:rFonts w:asciiTheme="majorHAnsi" w:hAnsiTheme="majorHAnsi" w:cstheme="majorHAnsi"/>
          <w:snapToGrid w:val="0"/>
          <w:kern w:val="22"/>
          <w:szCs w:val="22"/>
        </w:rPr>
        <w:t>An underlying principle for the 2030 Agenda is to ‘leave no one behind’ as articulated in paragraphs 3, 4, 18, 23, 48, 72 and 74 of the Agenda. Accordingly, UNDESA’s VNR Guidelines suggest that member states “assess how the principle of leaving no one behind has been mainstreamed in the implementation of the Sustainable Development Goals” and describe “how vulnerable groups have been identified, including through improved data collection and disaggregation” and additionally, “what policies and programmes are being implemented to address their needs and support their empowerment.”</w:t>
      </w:r>
    </w:p>
    <w:p w14:paraId="0E88964D" w14:textId="77777777" w:rsidR="006D3E36" w:rsidRPr="003C10BC" w:rsidRDefault="006D3E36" w:rsidP="006D3E36">
      <w:pPr>
        <w:rPr>
          <w:rFonts w:asciiTheme="majorHAnsi" w:hAnsiTheme="majorHAnsi" w:cstheme="majorHAnsi"/>
          <w:snapToGrid w:val="0"/>
          <w:kern w:val="22"/>
          <w:szCs w:val="22"/>
        </w:rPr>
      </w:pPr>
    </w:p>
    <w:p w14:paraId="0E88964E"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 xml:space="preserve">From the perspective of the ‘leave no one behind’ principle, the importance of biodiversity as a basic human right could be elaborated in a VNR by drawing on aspects of the following quote from the UN Human Rights Council: </w:t>
      </w:r>
    </w:p>
    <w:p w14:paraId="0E88964F"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p>
    <w:p w14:paraId="0E889650" w14:textId="77777777" w:rsidR="006D3E36" w:rsidRPr="003C10BC" w:rsidRDefault="006D3E36" w:rsidP="006D3E36">
      <w:pPr>
        <w:shd w:val="clear" w:color="auto" w:fill="F2DBDB" w:themeFill="accent2" w:themeFillTint="33"/>
        <w:ind w:left="567" w:right="855"/>
        <w:rPr>
          <w:rFonts w:asciiTheme="majorHAnsi" w:hAnsiTheme="majorHAnsi" w:cstheme="majorHAnsi"/>
          <w:i/>
          <w:snapToGrid w:val="0"/>
          <w:kern w:val="22"/>
          <w:szCs w:val="22"/>
        </w:rPr>
      </w:pPr>
      <w:r w:rsidRPr="003C10BC">
        <w:rPr>
          <w:rFonts w:asciiTheme="majorHAnsi" w:hAnsiTheme="majorHAnsi" w:cstheme="majorHAnsi"/>
          <w:i/>
          <w:snapToGrid w:val="0"/>
          <w:kern w:val="22"/>
          <w:szCs w:val="22"/>
        </w:rPr>
        <w:t xml:space="preserve">“The full enjoyment of human rights, including the rights to life, health, food and water, depends on the services provided by ecosystems. The provision of ecosystem services depends on the health and sustainability of ecosystems, which in turn depend on biodiversity. The full enjoyment of human rights thus depends on biodiversity, and the degradation and loss of biodiversity undermine the ability of human beings to enjoy their human rights.” (source: </w:t>
      </w:r>
      <w:hyperlink r:id="rId61" w:history="1">
        <w:r w:rsidRPr="003C10BC">
          <w:rPr>
            <w:rStyle w:val="Hyperlink"/>
            <w:rFonts w:asciiTheme="majorHAnsi" w:hAnsiTheme="majorHAnsi" w:cstheme="majorHAnsi"/>
            <w:i/>
            <w:snapToGrid w:val="0"/>
            <w:kern w:val="22"/>
            <w:sz w:val="22"/>
            <w:szCs w:val="22"/>
          </w:rPr>
          <w:t>UN Human Rights Council</w:t>
        </w:r>
      </w:hyperlink>
      <w:r w:rsidRPr="003C10BC">
        <w:rPr>
          <w:rFonts w:asciiTheme="majorHAnsi" w:hAnsiTheme="majorHAnsi" w:cstheme="majorHAnsi"/>
          <w:i/>
          <w:snapToGrid w:val="0"/>
          <w:kern w:val="22"/>
          <w:szCs w:val="22"/>
        </w:rPr>
        <w:t>, 34</w:t>
      </w:r>
      <w:r w:rsidRPr="003C10BC">
        <w:rPr>
          <w:rFonts w:asciiTheme="majorHAnsi" w:hAnsiTheme="majorHAnsi" w:cstheme="majorHAnsi"/>
          <w:i/>
          <w:snapToGrid w:val="0"/>
          <w:kern w:val="22"/>
          <w:szCs w:val="22"/>
          <w:vertAlign w:val="superscript"/>
        </w:rPr>
        <w:t>th</w:t>
      </w:r>
      <w:r w:rsidRPr="003C10BC">
        <w:rPr>
          <w:rFonts w:asciiTheme="majorHAnsi" w:hAnsiTheme="majorHAnsi" w:cstheme="majorHAnsi"/>
          <w:i/>
          <w:snapToGrid w:val="0"/>
          <w:kern w:val="22"/>
          <w:szCs w:val="22"/>
        </w:rPr>
        <w:t xml:space="preserve"> Session)</w:t>
      </w:r>
    </w:p>
    <w:p w14:paraId="0E889651" w14:textId="77777777" w:rsidR="006D3E36" w:rsidRPr="003C10BC" w:rsidRDefault="006D3E36" w:rsidP="006D3E36">
      <w:pPr>
        <w:shd w:val="clear" w:color="auto" w:fill="F2DBDB" w:themeFill="accent2" w:themeFillTint="33"/>
        <w:ind w:left="567" w:right="855"/>
        <w:rPr>
          <w:rFonts w:asciiTheme="majorHAnsi" w:hAnsiTheme="majorHAnsi" w:cstheme="majorHAnsi"/>
          <w:i/>
          <w:snapToGrid w:val="0"/>
          <w:kern w:val="22"/>
          <w:szCs w:val="22"/>
        </w:rPr>
      </w:pPr>
    </w:p>
    <w:p w14:paraId="0E889652"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Biodiversity’s contribution to the Agenda’s ‘leave no one behind’ principle can be further elaborated by member states in providing country-specific examples of any or all of the following aspects identified by the UN Human Rights Council:</w:t>
      </w:r>
    </w:p>
    <w:p w14:paraId="0E889653"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p>
    <w:p w14:paraId="0E889654" w14:textId="77777777" w:rsidR="006D3E36" w:rsidRPr="003C10BC" w:rsidRDefault="006D3E36" w:rsidP="006D3E36">
      <w:pPr>
        <w:pStyle w:val="ListParagraph"/>
        <w:numPr>
          <w:ilvl w:val="0"/>
          <w:numId w:val="11"/>
        </w:numPr>
        <w:shd w:val="clear" w:color="auto" w:fill="F2DBDB" w:themeFill="accent2" w:themeFillTint="33"/>
        <w:autoSpaceDE w:val="0"/>
        <w:autoSpaceDN w:val="0"/>
        <w:adjustRightInd w:val="0"/>
        <w:spacing w:after="120"/>
        <w:ind w:right="855"/>
        <w:rPr>
          <w:rFonts w:asciiTheme="majorHAnsi" w:hAnsiTheme="majorHAnsi" w:cstheme="majorHAnsi"/>
          <w:snapToGrid w:val="0"/>
          <w:kern w:val="22"/>
          <w:szCs w:val="22"/>
        </w:rPr>
      </w:pPr>
      <w:r w:rsidRPr="003C10BC">
        <w:rPr>
          <w:rFonts w:asciiTheme="majorHAnsi" w:hAnsiTheme="majorHAnsi" w:cstheme="majorHAnsi"/>
          <w:i/>
          <w:snapToGrid w:val="0"/>
          <w:kern w:val="22"/>
          <w:szCs w:val="22"/>
        </w:rPr>
        <w:t>The loss of biodiversity-dependent ecosystem services has disproportionate effects on people who are vulnerable for other reasons, including gender, age, disability, poverty or minority status.</w:t>
      </w:r>
    </w:p>
    <w:p w14:paraId="0E889655" w14:textId="77777777" w:rsidR="006D3E36" w:rsidRPr="003C10BC" w:rsidRDefault="006D3E36" w:rsidP="006D3E36">
      <w:pPr>
        <w:pStyle w:val="ListParagraph"/>
        <w:numPr>
          <w:ilvl w:val="0"/>
          <w:numId w:val="11"/>
        </w:numPr>
        <w:shd w:val="clear" w:color="auto" w:fill="F2DBDB" w:themeFill="accent2" w:themeFillTint="33"/>
        <w:autoSpaceDE w:val="0"/>
        <w:autoSpaceDN w:val="0"/>
        <w:adjustRightInd w:val="0"/>
        <w:spacing w:after="120"/>
        <w:ind w:right="855"/>
        <w:rPr>
          <w:rFonts w:asciiTheme="majorHAnsi" w:hAnsiTheme="majorHAnsi" w:cstheme="majorHAnsi"/>
          <w:snapToGrid w:val="0"/>
          <w:kern w:val="22"/>
          <w:szCs w:val="22"/>
        </w:rPr>
      </w:pPr>
      <w:r w:rsidRPr="003C10BC">
        <w:rPr>
          <w:rFonts w:asciiTheme="majorHAnsi" w:hAnsiTheme="majorHAnsi" w:cstheme="majorHAnsi"/>
          <w:i/>
          <w:snapToGrid w:val="0"/>
          <w:kern w:val="22"/>
          <w:szCs w:val="22"/>
        </w:rPr>
        <w:t>The degradation and loss of biodiversity often result from and reinforce existing patterns of discrimination.</w:t>
      </w:r>
      <w:r w:rsidRPr="003C10BC">
        <w:rPr>
          <w:rFonts w:asciiTheme="majorHAnsi" w:hAnsiTheme="majorHAnsi" w:cstheme="majorHAnsi"/>
          <w:snapToGrid w:val="0"/>
          <w:kern w:val="22"/>
          <w:szCs w:val="22"/>
        </w:rPr>
        <w:t xml:space="preserve"> Although everyone depends on ecosystem services, some people depend on them more closely than others. For indigenous peoples, forest-dwellers, fisherfolk and others who rely directly on the products of forests, rivers, lakes and oceans for their food, fuel and medicine, environmental harm can and often does have disastrous consequences. </w:t>
      </w:r>
    </w:p>
    <w:p w14:paraId="0E889656" w14:textId="77777777" w:rsidR="006D3E36" w:rsidRPr="003C10BC" w:rsidRDefault="006D3E36" w:rsidP="006D3E36">
      <w:pPr>
        <w:pStyle w:val="ListParagraph"/>
        <w:numPr>
          <w:ilvl w:val="0"/>
          <w:numId w:val="11"/>
        </w:numPr>
        <w:shd w:val="clear" w:color="auto" w:fill="F2DBDB" w:themeFill="accent2" w:themeFillTint="33"/>
        <w:autoSpaceDE w:val="0"/>
        <w:autoSpaceDN w:val="0"/>
        <w:adjustRightInd w:val="0"/>
        <w:spacing w:after="120"/>
        <w:ind w:right="855"/>
        <w:rPr>
          <w:rFonts w:asciiTheme="majorHAnsi" w:hAnsiTheme="majorHAnsi" w:cstheme="majorHAnsi"/>
          <w:snapToGrid w:val="0"/>
          <w:kern w:val="22"/>
          <w:szCs w:val="22"/>
        </w:rPr>
      </w:pPr>
      <w:r w:rsidRPr="003C10BC">
        <w:rPr>
          <w:rFonts w:asciiTheme="majorHAnsi" w:hAnsiTheme="majorHAnsi" w:cstheme="majorHAnsi"/>
          <w:i/>
          <w:snapToGrid w:val="0"/>
          <w:kern w:val="22"/>
          <w:szCs w:val="22"/>
        </w:rPr>
        <w:t>Many religions call on all human beings to be stewards of the riches of the natural world. However, the loss of particular places is felt predominantly by those who associate their sacred rituals and sites with those locations.</w:t>
      </w:r>
      <w:r w:rsidRPr="003C10BC">
        <w:rPr>
          <w:rFonts w:asciiTheme="majorHAnsi" w:hAnsiTheme="majorHAnsi" w:cstheme="majorHAnsi"/>
          <w:snapToGrid w:val="0"/>
          <w:kern w:val="22"/>
          <w:szCs w:val="22"/>
        </w:rPr>
        <w:t xml:space="preserve"> Food and shelter may be replaced, but the destruction of a sacred grove may cause irreparable harm.</w:t>
      </w:r>
    </w:p>
    <w:p w14:paraId="0E889657" w14:textId="77777777" w:rsidR="006D3E36" w:rsidRPr="003C10BC" w:rsidRDefault="006D3E36" w:rsidP="006D3E36">
      <w:pPr>
        <w:pStyle w:val="ListParagraph"/>
        <w:numPr>
          <w:ilvl w:val="0"/>
          <w:numId w:val="11"/>
        </w:numPr>
        <w:shd w:val="clear" w:color="auto" w:fill="F2DBDB" w:themeFill="accent2" w:themeFillTint="33"/>
        <w:autoSpaceDE w:val="0"/>
        <w:autoSpaceDN w:val="0"/>
        <w:adjustRightInd w:val="0"/>
        <w:ind w:right="855"/>
        <w:rPr>
          <w:rFonts w:asciiTheme="majorHAnsi" w:hAnsiTheme="majorHAnsi" w:cstheme="majorHAnsi"/>
          <w:snapToGrid w:val="0"/>
          <w:kern w:val="22"/>
          <w:szCs w:val="22"/>
        </w:rPr>
      </w:pPr>
      <w:r w:rsidRPr="003C10BC">
        <w:rPr>
          <w:rFonts w:asciiTheme="majorHAnsi" w:hAnsiTheme="majorHAnsi" w:cstheme="majorHAnsi"/>
          <w:i/>
          <w:snapToGrid w:val="0"/>
          <w:kern w:val="22"/>
          <w:szCs w:val="22"/>
        </w:rPr>
        <w:t>The loss of biodiversity-dependent ecosystem services is likely to accentuate inequality and marginalization of the most vulnerable sectors of society, by decreasing their access to basic materials for a healthy life and by reducing their freedom of choice and action.</w:t>
      </w:r>
      <w:r w:rsidRPr="003C10BC">
        <w:rPr>
          <w:rFonts w:asciiTheme="majorHAnsi" w:hAnsiTheme="majorHAnsi" w:cstheme="majorHAnsi"/>
          <w:snapToGrid w:val="0"/>
          <w:kern w:val="22"/>
          <w:szCs w:val="22"/>
        </w:rPr>
        <w:t xml:space="preserve"> Economic development that does not consider effects on these ecosystem </w:t>
      </w:r>
      <w:r w:rsidRPr="003C10BC">
        <w:rPr>
          <w:rFonts w:asciiTheme="majorHAnsi" w:hAnsiTheme="majorHAnsi" w:cstheme="majorHAnsi"/>
          <w:snapToGrid w:val="0"/>
          <w:kern w:val="22"/>
          <w:szCs w:val="22"/>
        </w:rPr>
        <w:lastRenderedPageBreak/>
        <w:t>services may decrease the quality of life of these vulnerable populations, even if other segments of society benefit.</w:t>
      </w:r>
    </w:p>
    <w:p w14:paraId="0E889658" w14:textId="77777777" w:rsidR="006D3E36" w:rsidRPr="003C10BC" w:rsidRDefault="006D3E36" w:rsidP="006D3E36">
      <w:pPr>
        <w:shd w:val="clear" w:color="auto" w:fill="F2DBDB" w:themeFill="accent2" w:themeFillTint="33"/>
        <w:autoSpaceDE w:val="0"/>
        <w:autoSpaceDN w:val="0"/>
        <w:adjustRightInd w:val="0"/>
        <w:ind w:left="570" w:right="855"/>
        <w:rPr>
          <w:rFonts w:asciiTheme="majorHAnsi" w:hAnsiTheme="majorHAnsi" w:cstheme="majorHAnsi"/>
          <w:snapToGrid w:val="0"/>
          <w:kern w:val="22"/>
          <w:szCs w:val="22"/>
        </w:rPr>
      </w:pPr>
    </w:p>
    <w:p w14:paraId="0E889659" w14:textId="77777777" w:rsidR="006D3E36" w:rsidRPr="003C10BC" w:rsidRDefault="006D3E36" w:rsidP="006D3E36">
      <w:pPr>
        <w:shd w:val="clear" w:color="auto" w:fill="F2DBDB" w:themeFill="accent2" w:themeFillTint="33"/>
        <w:autoSpaceDE w:val="0"/>
        <w:autoSpaceDN w:val="0"/>
        <w:adjustRightInd w:val="0"/>
        <w:ind w:left="570"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Useful Resources:</w:t>
      </w:r>
    </w:p>
    <w:p w14:paraId="0E88965A" w14:textId="77777777" w:rsidR="006D3E36" w:rsidRPr="003C10BC" w:rsidRDefault="006D3E36" w:rsidP="006D3E36">
      <w:pPr>
        <w:pStyle w:val="ListParagraph"/>
        <w:numPr>
          <w:ilvl w:val="0"/>
          <w:numId w:val="20"/>
        </w:numPr>
        <w:shd w:val="clear" w:color="auto" w:fill="F2DBDB" w:themeFill="accent2" w:themeFillTint="33"/>
        <w:autoSpaceDE w:val="0"/>
        <w:autoSpaceDN w:val="0"/>
        <w:adjustRightInd w:val="0"/>
        <w:ind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See Part 2 of this document.</w:t>
      </w:r>
    </w:p>
    <w:p w14:paraId="0E88965B" w14:textId="77777777" w:rsidR="006D3E36" w:rsidRPr="003C10BC" w:rsidRDefault="006D3E36" w:rsidP="006D3E36">
      <w:pPr>
        <w:shd w:val="clear" w:color="auto" w:fill="F2DBDB" w:themeFill="accent2" w:themeFillTint="33"/>
        <w:autoSpaceDE w:val="0"/>
        <w:autoSpaceDN w:val="0"/>
        <w:adjustRightInd w:val="0"/>
        <w:ind w:left="570" w:right="855"/>
        <w:rPr>
          <w:rFonts w:asciiTheme="majorHAnsi" w:hAnsiTheme="majorHAnsi" w:cstheme="majorHAnsi"/>
          <w:snapToGrid w:val="0"/>
          <w:kern w:val="22"/>
          <w:szCs w:val="22"/>
        </w:rPr>
      </w:pPr>
    </w:p>
    <w:p w14:paraId="0E88965C" w14:textId="77777777" w:rsidR="006D3E36" w:rsidRPr="003C10BC" w:rsidRDefault="006D3E36" w:rsidP="006D3E36">
      <w:pPr>
        <w:rPr>
          <w:rFonts w:asciiTheme="majorHAnsi" w:hAnsiTheme="majorHAnsi" w:cstheme="majorHAnsi"/>
          <w:snapToGrid w:val="0"/>
          <w:kern w:val="22"/>
          <w:szCs w:val="22"/>
        </w:rPr>
      </w:pPr>
    </w:p>
    <w:p w14:paraId="0E88965D" w14:textId="77777777" w:rsidR="006D3E36" w:rsidRPr="003C10BC" w:rsidRDefault="006D3E36" w:rsidP="006D3E36">
      <w:pPr>
        <w:pStyle w:val="Heading2"/>
        <w:rPr>
          <w:rFonts w:asciiTheme="majorHAnsi" w:hAnsiTheme="majorHAnsi" w:cstheme="majorHAnsi"/>
          <w:snapToGrid w:val="0"/>
          <w:kern w:val="22"/>
          <w:szCs w:val="22"/>
        </w:rPr>
      </w:pPr>
      <w:r w:rsidRPr="003C10BC">
        <w:rPr>
          <w:rFonts w:asciiTheme="majorHAnsi" w:hAnsiTheme="majorHAnsi" w:cstheme="majorHAnsi"/>
          <w:snapToGrid w:val="0"/>
          <w:kern w:val="22"/>
          <w:szCs w:val="22"/>
        </w:rPr>
        <w:t>Institutional mechanisms</w:t>
      </w:r>
    </w:p>
    <w:p w14:paraId="0E88965E" w14:textId="77777777" w:rsidR="006D3E36" w:rsidRPr="003C10BC" w:rsidRDefault="006D3E36" w:rsidP="006D3E36">
      <w:pPr>
        <w:rPr>
          <w:rFonts w:asciiTheme="majorHAnsi" w:hAnsiTheme="majorHAnsi" w:cstheme="majorHAnsi"/>
          <w:snapToGrid w:val="0"/>
          <w:kern w:val="22"/>
          <w:szCs w:val="22"/>
        </w:rPr>
      </w:pPr>
    </w:p>
    <w:p w14:paraId="0E88965F" w14:textId="77777777" w:rsidR="006D3E36" w:rsidRPr="003C10BC" w:rsidRDefault="006D3E36" w:rsidP="006D3E36">
      <w:pPr>
        <w:rPr>
          <w:rFonts w:asciiTheme="majorHAnsi" w:hAnsiTheme="majorHAnsi" w:cstheme="majorHAnsi"/>
          <w:snapToGrid w:val="0"/>
          <w:kern w:val="22"/>
          <w:szCs w:val="22"/>
        </w:rPr>
      </w:pPr>
      <w:r w:rsidRPr="003C10BC">
        <w:rPr>
          <w:rFonts w:asciiTheme="majorHAnsi" w:hAnsiTheme="majorHAnsi" w:cstheme="majorHAnsi"/>
          <w:snapToGrid w:val="0"/>
          <w:kern w:val="22"/>
          <w:szCs w:val="22"/>
        </w:rPr>
        <w:t xml:space="preserve">Under this subsection of a VNR, member states are asked how it has adapted its institutional framework in light of the 2030 Agenda (i.e., to promote horizontal and vertical policy coherence and coordination). </w:t>
      </w:r>
    </w:p>
    <w:p w14:paraId="0E889660" w14:textId="77777777" w:rsidR="006D3E36" w:rsidRPr="003C10BC" w:rsidRDefault="006D3E36" w:rsidP="006D3E36">
      <w:pPr>
        <w:rPr>
          <w:rFonts w:asciiTheme="majorHAnsi" w:hAnsiTheme="majorHAnsi" w:cstheme="majorHAnsi"/>
          <w:snapToGrid w:val="0"/>
          <w:kern w:val="22"/>
          <w:szCs w:val="22"/>
        </w:rPr>
      </w:pPr>
    </w:p>
    <w:p w14:paraId="0E889661"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 xml:space="preserve">The ‘Institutions’ section of a VNR provides an opportunity for member states and Parties to the CBD to describe government coordination mechanisms, mechanisms for stakeholder inputs and engagement, multi-stakeholder knowledge platforms, and independent governmental audit or evaluation institutions. This can include for example, how any horizontal coordinating bodies created in relation to the preparation of National Biodiversity Strategies and Action Plans (NBSAPs) and its implementation are integrated with any new inter-agency coordinating bodies for the 2030 Agenda and SDGs. </w:t>
      </w:r>
    </w:p>
    <w:p w14:paraId="0E889662"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p>
    <w:p w14:paraId="0E889663"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Useful Resources:</w:t>
      </w:r>
    </w:p>
    <w:p w14:paraId="0E889664" w14:textId="77777777" w:rsidR="006D3E36" w:rsidRPr="003C10BC" w:rsidRDefault="003C10BC" w:rsidP="006D3E36">
      <w:pPr>
        <w:pStyle w:val="ListParagraph"/>
        <w:numPr>
          <w:ilvl w:val="0"/>
          <w:numId w:val="20"/>
        </w:numPr>
        <w:shd w:val="clear" w:color="auto" w:fill="F2DBDB" w:themeFill="accent2" w:themeFillTint="33"/>
        <w:ind w:right="855"/>
        <w:rPr>
          <w:rFonts w:asciiTheme="majorHAnsi" w:hAnsiTheme="majorHAnsi" w:cstheme="majorHAnsi"/>
          <w:snapToGrid w:val="0"/>
          <w:kern w:val="22"/>
          <w:szCs w:val="22"/>
        </w:rPr>
      </w:pPr>
      <w:hyperlink r:id="rId62" w:history="1">
        <w:r w:rsidR="006D3E36" w:rsidRPr="003C10BC">
          <w:rPr>
            <w:rStyle w:val="Hyperlink"/>
            <w:rFonts w:asciiTheme="majorHAnsi" w:hAnsiTheme="majorHAnsi" w:cstheme="majorHAnsi"/>
            <w:snapToGrid w:val="0"/>
            <w:kern w:val="22"/>
            <w:sz w:val="22"/>
            <w:szCs w:val="22"/>
          </w:rPr>
          <w:t>Compendium of National Institutional Arrangements for implementing the 2030 Agenda for Sustainable Development</w:t>
        </w:r>
      </w:hyperlink>
      <w:r w:rsidR="006D3E36" w:rsidRPr="003C10BC">
        <w:rPr>
          <w:rFonts w:asciiTheme="majorHAnsi" w:hAnsiTheme="majorHAnsi" w:cstheme="majorHAnsi"/>
          <w:snapToGrid w:val="0"/>
          <w:kern w:val="22"/>
          <w:szCs w:val="22"/>
        </w:rPr>
        <w:t>, UNDESA</w:t>
      </w:r>
    </w:p>
    <w:p w14:paraId="0E889665" w14:textId="77777777" w:rsidR="006D3E36" w:rsidRPr="003C10BC" w:rsidRDefault="003C10BC" w:rsidP="006D3E36">
      <w:pPr>
        <w:pStyle w:val="ListParagraph"/>
        <w:numPr>
          <w:ilvl w:val="0"/>
          <w:numId w:val="20"/>
        </w:numPr>
        <w:shd w:val="clear" w:color="auto" w:fill="F2DBDB" w:themeFill="accent2" w:themeFillTint="33"/>
        <w:ind w:right="855"/>
        <w:rPr>
          <w:rStyle w:val="Hyperlink"/>
          <w:rFonts w:asciiTheme="majorHAnsi" w:hAnsiTheme="majorHAnsi" w:cstheme="majorHAnsi"/>
          <w:snapToGrid w:val="0"/>
          <w:color w:val="auto"/>
          <w:kern w:val="22"/>
          <w:sz w:val="22"/>
          <w:szCs w:val="22"/>
        </w:rPr>
      </w:pPr>
      <w:hyperlink r:id="rId63" w:history="1">
        <w:r w:rsidR="006D3E36" w:rsidRPr="003C10BC">
          <w:rPr>
            <w:rStyle w:val="Hyperlink"/>
            <w:rFonts w:asciiTheme="majorHAnsi" w:hAnsiTheme="majorHAnsi" w:cstheme="majorHAnsi"/>
            <w:snapToGrid w:val="0"/>
            <w:kern w:val="22"/>
            <w:sz w:val="22"/>
            <w:szCs w:val="22"/>
          </w:rPr>
          <w:t>CBD Website: National Biodiversity Strategies and Action Plans (NBSAPs)</w:t>
        </w:r>
      </w:hyperlink>
    </w:p>
    <w:p w14:paraId="0E889666" w14:textId="77777777" w:rsidR="006D3E36" w:rsidRPr="003C10BC" w:rsidRDefault="003C10BC" w:rsidP="006D3E36">
      <w:pPr>
        <w:pStyle w:val="ListParagraph"/>
        <w:numPr>
          <w:ilvl w:val="0"/>
          <w:numId w:val="20"/>
        </w:numPr>
        <w:shd w:val="clear" w:color="auto" w:fill="F2DBDB" w:themeFill="accent2" w:themeFillTint="33"/>
        <w:ind w:right="855"/>
        <w:rPr>
          <w:rStyle w:val="Hyperlink"/>
          <w:rFonts w:asciiTheme="majorHAnsi" w:hAnsiTheme="majorHAnsi" w:cstheme="majorHAnsi"/>
          <w:snapToGrid w:val="0"/>
          <w:color w:val="auto"/>
          <w:kern w:val="22"/>
          <w:sz w:val="22"/>
          <w:szCs w:val="22"/>
        </w:rPr>
      </w:pPr>
      <w:hyperlink r:id="rId64" w:history="1">
        <w:r w:rsidR="006D3E36" w:rsidRPr="003C10BC">
          <w:rPr>
            <w:rStyle w:val="Hyperlink"/>
            <w:rFonts w:asciiTheme="majorHAnsi" w:hAnsiTheme="majorHAnsi" w:cstheme="majorHAnsi"/>
            <w:snapToGrid w:val="0"/>
            <w:kern w:val="22"/>
            <w:sz w:val="22"/>
            <w:szCs w:val="22"/>
          </w:rPr>
          <w:t>CBD/SBI/2/4/Add.1</w:t>
        </w:r>
      </w:hyperlink>
      <w:r w:rsidR="006D3E36" w:rsidRPr="003C10BC">
        <w:rPr>
          <w:rStyle w:val="Hyperlink"/>
          <w:rFonts w:asciiTheme="majorHAnsi" w:hAnsiTheme="majorHAnsi" w:cstheme="majorHAnsi"/>
          <w:snapToGrid w:val="0"/>
          <w:color w:val="auto"/>
          <w:kern w:val="22"/>
          <w:sz w:val="22"/>
          <w:szCs w:val="22"/>
        </w:rPr>
        <w:t>, Institutional Mechanisms and Effective Measures to Enhance Implementation at the National Level</w:t>
      </w:r>
    </w:p>
    <w:p w14:paraId="0E889667" w14:textId="77777777" w:rsidR="006D3E36" w:rsidRPr="003C10BC" w:rsidRDefault="006D3E36" w:rsidP="006D3E36">
      <w:pPr>
        <w:shd w:val="clear" w:color="auto" w:fill="F2DBDB" w:themeFill="accent2" w:themeFillTint="33"/>
        <w:ind w:left="570" w:right="855"/>
        <w:rPr>
          <w:rFonts w:asciiTheme="majorHAnsi" w:hAnsiTheme="majorHAnsi" w:cstheme="majorHAnsi"/>
          <w:snapToGrid w:val="0"/>
          <w:kern w:val="22"/>
          <w:szCs w:val="22"/>
        </w:rPr>
      </w:pPr>
    </w:p>
    <w:p w14:paraId="0E889668" w14:textId="77777777" w:rsidR="006D3E36" w:rsidRPr="003C10BC" w:rsidRDefault="006D3E36" w:rsidP="006D3E36">
      <w:pPr>
        <w:rPr>
          <w:rFonts w:asciiTheme="majorHAnsi" w:hAnsiTheme="majorHAnsi" w:cstheme="majorHAnsi"/>
          <w:snapToGrid w:val="0"/>
          <w:kern w:val="22"/>
          <w:szCs w:val="22"/>
        </w:rPr>
      </w:pPr>
    </w:p>
    <w:p w14:paraId="0E889669" w14:textId="77777777" w:rsidR="006D3E36" w:rsidRPr="003C10BC" w:rsidRDefault="006D3E36" w:rsidP="006D3E36">
      <w:pPr>
        <w:pStyle w:val="Heading2"/>
        <w:rPr>
          <w:rFonts w:asciiTheme="majorHAnsi" w:hAnsiTheme="majorHAnsi" w:cstheme="majorHAnsi"/>
          <w:snapToGrid w:val="0"/>
          <w:kern w:val="22"/>
          <w:szCs w:val="22"/>
        </w:rPr>
      </w:pPr>
      <w:r w:rsidRPr="003C10BC">
        <w:rPr>
          <w:rFonts w:asciiTheme="majorHAnsi" w:hAnsiTheme="majorHAnsi" w:cstheme="majorHAnsi"/>
          <w:snapToGrid w:val="0"/>
          <w:kern w:val="22"/>
          <w:szCs w:val="22"/>
        </w:rPr>
        <w:t>Structural issues</w:t>
      </w:r>
    </w:p>
    <w:p w14:paraId="0E88966A" w14:textId="77777777" w:rsidR="006D3E36" w:rsidRPr="003C10BC" w:rsidRDefault="006D3E36" w:rsidP="006D3E36">
      <w:pPr>
        <w:rPr>
          <w:rFonts w:asciiTheme="majorHAnsi" w:hAnsiTheme="majorHAnsi" w:cstheme="majorHAnsi"/>
          <w:snapToGrid w:val="0"/>
          <w:kern w:val="22"/>
          <w:szCs w:val="22"/>
        </w:rPr>
      </w:pPr>
    </w:p>
    <w:p w14:paraId="0E88966B" w14:textId="77777777" w:rsidR="006D3E36" w:rsidRPr="003C10BC" w:rsidRDefault="006D3E36" w:rsidP="006D3E36">
      <w:pPr>
        <w:rPr>
          <w:rFonts w:asciiTheme="majorHAnsi" w:hAnsiTheme="majorHAnsi" w:cstheme="majorHAnsi"/>
          <w:snapToGrid w:val="0"/>
          <w:kern w:val="22"/>
          <w:szCs w:val="22"/>
        </w:rPr>
      </w:pPr>
      <w:r w:rsidRPr="003C10BC">
        <w:rPr>
          <w:rFonts w:asciiTheme="majorHAnsi" w:hAnsiTheme="majorHAnsi" w:cstheme="majorHAnsi"/>
          <w:snapToGrid w:val="0"/>
          <w:kern w:val="22"/>
          <w:szCs w:val="22"/>
        </w:rPr>
        <w:t>In this subsection of a VNR, UNDESA’s Voluntary Common Reporting Guidelines note that member states are “encouraged to report on relevant structural issues or barriers they have faced, including the possible external consequences of domestic policies” and to “highlight the transformative policies, tools, institutional changes they have used to address these issues or barriers.”</w:t>
      </w:r>
    </w:p>
    <w:p w14:paraId="0E88966C" w14:textId="77777777" w:rsidR="006D3E36" w:rsidRPr="003C10BC" w:rsidRDefault="006D3E36" w:rsidP="006D3E36">
      <w:pPr>
        <w:rPr>
          <w:rFonts w:asciiTheme="majorHAnsi" w:hAnsiTheme="majorHAnsi" w:cstheme="majorHAnsi"/>
          <w:snapToGrid w:val="0"/>
          <w:kern w:val="22"/>
          <w:szCs w:val="22"/>
        </w:rPr>
      </w:pPr>
    </w:p>
    <w:p w14:paraId="0E88966D"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In the context of a VNR’s “Structural Issues’ section, Parties to the CBD are encouraged to highlight the barriers/obstacles that they have experienced in the implementation of the Convention. In doing so, Parties can draw on insights from the CBD’s Subsidiary Body on Implementation (SBI), the mandate of which is “to identify strategic actions to enhance implementation, which may include, as appropriate, actions related to mainstreaming; the development and implementation of coherent and effective measures and supporting institutional frameworks, as well as actions related to synergies with other biodiversity-related conventions, partnerships with other intergovernmental and non-governmental organizations; and the enhancement of the role of relevant actors…”</w:t>
      </w:r>
    </w:p>
    <w:p w14:paraId="0E88966E"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p>
    <w:p w14:paraId="0E88966F"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Useful Resources:</w:t>
      </w:r>
    </w:p>
    <w:p w14:paraId="0E889670" w14:textId="77777777" w:rsidR="006D3E36" w:rsidRPr="003C10BC" w:rsidRDefault="003C10BC" w:rsidP="006D3E36">
      <w:pPr>
        <w:pStyle w:val="ListParagraph"/>
        <w:numPr>
          <w:ilvl w:val="0"/>
          <w:numId w:val="21"/>
        </w:numPr>
        <w:shd w:val="clear" w:color="auto" w:fill="F2DBDB" w:themeFill="accent2" w:themeFillTint="33"/>
        <w:ind w:right="855"/>
        <w:rPr>
          <w:rStyle w:val="Hyperlink"/>
          <w:rFonts w:asciiTheme="majorHAnsi" w:hAnsiTheme="majorHAnsi" w:cstheme="majorHAnsi"/>
          <w:snapToGrid w:val="0"/>
          <w:color w:val="auto"/>
          <w:kern w:val="22"/>
          <w:sz w:val="22"/>
          <w:szCs w:val="22"/>
        </w:rPr>
      </w:pPr>
      <w:hyperlink r:id="rId65" w:history="1">
        <w:r w:rsidR="006D3E36" w:rsidRPr="003C10BC">
          <w:rPr>
            <w:rStyle w:val="Hyperlink"/>
            <w:rFonts w:asciiTheme="majorHAnsi" w:hAnsiTheme="majorHAnsi" w:cstheme="majorHAnsi"/>
            <w:snapToGrid w:val="0"/>
            <w:kern w:val="22"/>
            <w:sz w:val="22"/>
            <w:szCs w:val="22"/>
          </w:rPr>
          <w:t>CBD/SBI/2/4/Add.1</w:t>
        </w:r>
      </w:hyperlink>
      <w:r w:rsidR="006D3E36" w:rsidRPr="003C10BC">
        <w:rPr>
          <w:rStyle w:val="Hyperlink"/>
          <w:rFonts w:asciiTheme="majorHAnsi" w:hAnsiTheme="majorHAnsi" w:cstheme="majorHAnsi"/>
          <w:snapToGrid w:val="0"/>
          <w:color w:val="auto"/>
          <w:kern w:val="22"/>
          <w:sz w:val="22"/>
          <w:szCs w:val="22"/>
        </w:rPr>
        <w:t>, Institutional Mechanisms and Effective Measures to Enhance Implementation at the National Level</w:t>
      </w:r>
    </w:p>
    <w:p w14:paraId="0E889671"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p>
    <w:p w14:paraId="0E889672"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Furthermore, discussions taking place in the context of the post-2020 global biodiversity framework to be adopted at COP15 will include consideration of systems thinking, transition management, and/or other tools for transformational change, including: disrupters and innovation, accelerators and multipliers; corporate policies, markets, and finance; transforming implementation through technology, data and accountability; and public awareness efforts related to the urgency of transformational change in the conservation and sustainable use of biodiversity.</w:t>
      </w:r>
    </w:p>
    <w:p w14:paraId="0E889673"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p>
    <w:p w14:paraId="0E889674"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Useful Resources:</w:t>
      </w:r>
    </w:p>
    <w:p w14:paraId="0E889675" w14:textId="77777777" w:rsidR="006D3E36" w:rsidRPr="003C10BC" w:rsidRDefault="003C10BC" w:rsidP="006D3E36">
      <w:pPr>
        <w:pStyle w:val="ListParagraph"/>
        <w:numPr>
          <w:ilvl w:val="0"/>
          <w:numId w:val="21"/>
        </w:numPr>
        <w:shd w:val="clear" w:color="auto" w:fill="F2DBDB" w:themeFill="accent2" w:themeFillTint="33"/>
        <w:ind w:right="855"/>
        <w:rPr>
          <w:rFonts w:asciiTheme="majorHAnsi" w:hAnsiTheme="majorHAnsi" w:cstheme="majorHAnsi"/>
          <w:snapToGrid w:val="0"/>
          <w:kern w:val="22"/>
          <w:szCs w:val="22"/>
        </w:rPr>
      </w:pPr>
      <w:hyperlink r:id="rId66" w:history="1">
        <w:proofErr w:type="spellStart"/>
        <w:r w:rsidR="006D3E36" w:rsidRPr="003C10BC">
          <w:rPr>
            <w:rStyle w:val="Hyperlink"/>
            <w:rFonts w:asciiTheme="majorHAnsi" w:hAnsiTheme="majorHAnsi" w:cstheme="majorHAnsi"/>
            <w:snapToGrid w:val="0"/>
            <w:kern w:val="22"/>
            <w:sz w:val="22"/>
            <w:szCs w:val="22"/>
          </w:rPr>
          <w:t>Bogis</w:t>
        </w:r>
        <w:proofErr w:type="spellEnd"/>
        <w:r w:rsidR="006D3E36" w:rsidRPr="003C10BC">
          <w:rPr>
            <w:rStyle w:val="Hyperlink"/>
            <w:rFonts w:asciiTheme="majorHAnsi" w:hAnsiTheme="majorHAnsi" w:cstheme="majorHAnsi"/>
            <w:snapToGrid w:val="0"/>
            <w:kern w:val="22"/>
            <w:sz w:val="22"/>
            <w:szCs w:val="22"/>
          </w:rPr>
          <w:t xml:space="preserve"> </w:t>
        </w:r>
        <w:proofErr w:type="spellStart"/>
        <w:r w:rsidR="006D3E36" w:rsidRPr="003C10BC">
          <w:rPr>
            <w:rStyle w:val="Hyperlink"/>
            <w:rFonts w:asciiTheme="majorHAnsi" w:hAnsiTheme="majorHAnsi" w:cstheme="majorHAnsi"/>
            <w:snapToGrid w:val="0"/>
            <w:kern w:val="22"/>
            <w:sz w:val="22"/>
            <w:szCs w:val="22"/>
          </w:rPr>
          <w:t>Bossey</w:t>
        </w:r>
        <w:proofErr w:type="spellEnd"/>
        <w:r w:rsidR="006D3E36" w:rsidRPr="003C10BC">
          <w:rPr>
            <w:rStyle w:val="Hyperlink"/>
            <w:rFonts w:asciiTheme="majorHAnsi" w:hAnsiTheme="majorHAnsi" w:cstheme="majorHAnsi"/>
            <w:snapToGrid w:val="0"/>
            <w:kern w:val="22"/>
            <w:sz w:val="22"/>
            <w:szCs w:val="22"/>
          </w:rPr>
          <w:t xml:space="preserve"> Dialogue for Biodiversity</w:t>
        </w:r>
      </w:hyperlink>
      <w:r w:rsidR="006D3E36" w:rsidRPr="003C10BC">
        <w:rPr>
          <w:rFonts w:asciiTheme="majorHAnsi" w:hAnsiTheme="majorHAnsi" w:cstheme="majorHAnsi"/>
          <w:snapToGrid w:val="0"/>
          <w:kern w:val="22"/>
          <w:szCs w:val="22"/>
        </w:rPr>
        <w:t>, CBD</w:t>
      </w:r>
    </w:p>
    <w:p w14:paraId="0E889676" w14:textId="77777777" w:rsidR="006D3E36" w:rsidRPr="003C10BC" w:rsidRDefault="003C10BC" w:rsidP="006D3E36">
      <w:pPr>
        <w:pStyle w:val="ListParagraph"/>
        <w:numPr>
          <w:ilvl w:val="0"/>
          <w:numId w:val="21"/>
        </w:numPr>
        <w:shd w:val="clear" w:color="auto" w:fill="F2DBDB" w:themeFill="accent2" w:themeFillTint="33"/>
        <w:ind w:right="855"/>
        <w:rPr>
          <w:rFonts w:asciiTheme="majorHAnsi" w:hAnsiTheme="majorHAnsi" w:cstheme="majorHAnsi"/>
          <w:snapToGrid w:val="0"/>
          <w:kern w:val="22"/>
          <w:szCs w:val="22"/>
        </w:rPr>
      </w:pPr>
      <w:hyperlink r:id="rId67" w:history="1">
        <w:r w:rsidR="006D3E36" w:rsidRPr="003C10BC">
          <w:rPr>
            <w:rStyle w:val="Hyperlink"/>
            <w:rFonts w:asciiTheme="majorHAnsi" w:hAnsiTheme="majorHAnsi" w:cstheme="majorHAnsi"/>
            <w:snapToGrid w:val="0"/>
            <w:kern w:val="22"/>
            <w:sz w:val="22"/>
            <w:szCs w:val="22"/>
          </w:rPr>
          <w:t>Scenarios for the 2050 Vision for Biodiversity</w:t>
        </w:r>
      </w:hyperlink>
      <w:r w:rsidR="006D3E36" w:rsidRPr="003C10BC">
        <w:rPr>
          <w:rFonts w:asciiTheme="majorHAnsi" w:hAnsiTheme="majorHAnsi" w:cstheme="majorHAnsi"/>
          <w:snapToGrid w:val="0"/>
          <w:kern w:val="22"/>
          <w:szCs w:val="22"/>
        </w:rPr>
        <w:t>, CBD</w:t>
      </w:r>
    </w:p>
    <w:p w14:paraId="0E889677" w14:textId="77777777" w:rsidR="006D3E36" w:rsidRPr="003C10BC" w:rsidRDefault="003C10BC" w:rsidP="006D3E36">
      <w:pPr>
        <w:pStyle w:val="ListParagraph"/>
        <w:numPr>
          <w:ilvl w:val="0"/>
          <w:numId w:val="21"/>
        </w:numPr>
        <w:shd w:val="clear" w:color="auto" w:fill="F2DBDB" w:themeFill="accent2" w:themeFillTint="33"/>
        <w:ind w:right="855"/>
        <w:rPr>
          <w:rFonts w:asciiTheme="majorHAnsi" w:hAnsiTheme="majorHAnsi" w:cstheme="majorHAnsi"/>
          <w:snapToGrid w:val="0"/>
          <w:kern w:val="22"/>
          <w:szCs w:val="22"/>
        </w:rPr>
      </w:pPr>
      <w:hyperlink r:id="rId68" w:history="1">
        <w:r w:rsidR="006D3E36" w:rsidRPr="003C10BC">
          <w:rPr>
            <w:rStyle w:val="Hyperlink"/>
            <w:rFonts w:asciiTheme="majorHAnsi" w:hAnsiTheme="majorHAnsi" w:cstheme="majorHAnsi"/>
            <w:snapToGrid w:val="0"/>
            <w:kern w:val="22"/>
            <w:sz w:val="22"/>
            <w:szCs w:val="22"/>
          </w:rPr>
          <w:t>Policy Innovations for Transformative Change: Implementing the 2030 Agenda for Sustainable Development</w:t>
        </w:r>
      </w:hyperlink>
      <w:r w:rsidR="006D3E36" w:rsidRPr="003C10BC">
        <w:rPr>
          <w:rFonts w:asciiTheme="majorHAnsi" w:hAnsiTheme="majorHAnsi" w:cstheme="majorHAnsi"/>
          <w:snapToGrid w:val="0"/>
          <w:kern w:val="22"/>
          <w:szCs w:val="22"/>
        </w:rPr>
        <w:t xml:space="preserve"> (UN Research Institute for Social Change)</w:t>
      </w:r>
    </w:p>
    <w:p w14:paraId="0E889678"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p>
    <w:p w14:paraId="0E889679" w14:textId="77777777" w:rsidR="006D3E36" w:rsidRPr="003C10BC" w:rsidRDefault="006D3E36" w:rsidP="006D3E36">
      <w:pPr>
        <w:rPr>
          <w:rFonts w:asciiTheme="majorHAnsi" w:hAnsiTheme="majorHAnsi" w:cstheme="majorHAnsi"/>
          <w:snapToGrid w:val="0"/>
          <w:kern w:val="22"/>
          <w:szCs w:val="22"/>
        </w:rPr>
      </w:pPr>
    </w:p>
    <w:p w14:paraId="0E88967A" w14:textId="77777777" w:rsidR="006D3E36" w:rsidRPr="003C10BC" w:rsidRDefault="006D3E36" w:rsidP="006D3E36">
      <w:pPr>
        <w:pStyle w:val="Heading1"/>
        <w:shd w:val="clear" w:color="auto" w:fill="DAEEF3" w:themeFill="accent5" w:themeFillTint="33"/>
        <w:rPr>
          <w:rFonts w:asciiTheme="majorHAnsi" w:hAnsiTheme="majorHAnsi" w:cstheme="majorHAnsi"/>
          <w:snapToGrid w:val="0"/>
          <w:kern w:val="22"/>
          <w:szCs w:val="22"/>
        </w:rPr>
      </w:pPr>
      <w:r w:rsidRPr="003C10BC">
        <w:rPr>
          <w:rFonts w:asciiTheme="majorHAnsi" w:hAnsiTheme="majorHAnsi" w:cstheme="majorHAnsi"/>
          <w:snapToGrid w:val="0"/>
          <w:kern w:val="22"/>
          <w:szCs w:val="22"/>
        </w:rPr>
        <w:t>6. Progress on Goals and Targets</w:t>
      </w:r>
    </w:p>
    <w:p w14:paraId="0E88967B" w14:textId="77777777" w:rsidR="006D3E36" w:rsidRPr="003C10BC" w:rsidRDefault="006D3E36" w:rsidP="006D3E36">
      <w:pPr>
        <w:rPr>
          <w:rFonts w:asciiTheme="majorHAnsi" w:hAnsiTheme="majorHAnsi" w:cstheme="majorHAnsi"/>
          <w:snapToGrid w:val="0"/>
          <w:kern w:val="22"/>
          <w:szCs w:val="22"/>
        </w:rPr>
      </w:pPr>
    </w:p>
    <w:p w14:paraId="0E88967C" w14:textId="77777777" w:rsidR="006D3E36" w:rsidRPr="003C10BC" w:rsidRDefault="006D3E36" w:rsidP="006D3E36">
      <w:pPr>
        <w:rPr>
          <w:rFonts w:asciiTheme="majorHAnsi" w:hAnsiTheme="majorHAnsi" w:cstheme="majorHAnsi"/>
          <w:snapToGrid w:val="0"/>
          <w:kern w:val="22"/>
          <w:szCs w:val="22"/>
        </w:rPr>
      </w:pPr>
      <w:r w:rsidRPr="003C10BC">
        <w:rPr>
          <w:rFonts w:asciiTheme="majorHAnsi" w:hAnsiTheme="majorHAnsi" w:cstheme="majorHAnsi"/>
          <w:snapToGrid w:val="0"/>
          <w:kern w:val="22"/>
          <w:szCs w:val="22"/>
        </w:rPr>
        <w:t>This section is a core part of a VNR, and as such UNDESA’s Guidelines encouraged member states to “provide brief information on progress and the status of all SDGs” and to “describe critical difficulties encountered in reaching them and how they could be addressed.”</w:t>
      </w:r>
    </w:p>
    <w:p w14:paraId="0E88967D" w14:textId="77777777" w:rsidR="006D3E36" w:rsidRPr="003C10BC" w:rsidRDefault="006D3E36" w:rsidP="006D3E36">
      <w:pPr>
        <w:rPr>
          <w:rFonts w:asciiTheme="majorHAnsi" w:hAnsiTheme="majorHAnsi" w:cstheme="majorHAnsi"/>
          <w:snapToGrid w:val="0"/>
          <w:kern w:val="22"/>
          <w:szCs w:val="22"/>
        </w:rPr>
      </w:pPr>
    </w:p>
    <w:p w14:paraId="0E88967E"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 xml:space="preserve">In the context of the ‘Progress on Goals and Targets’ section of a VNR, biodiversity and healthy ecosystems support each SDG in a unique way (see Part 1 and 2 of this document), and together these links give a systems view for how biodiversity provides a cross-cutting foundation for the 2030 Agenda. Therefore, in discussing the progress of each SDG and their targets in this section of a VNR, member states are encouraged to consider and reflect on the role that biodiversity and healthy ecosystems play in reaching targets, including mention of the relevant Aichi Biodiversity Targets (see </w:t>
      </w:r>
      <w:hyperlink r:id="rId69" w:history="1">
        <w:r w:rsidRPr="003C10BC">
          <w:rPr>
            <w:rStyle w:val="Hyperlink"/>
            <w:rFonts w:asciiTheme="majorHAnsi" w:hAnsiTheme="majorHAnsi" w:cstheme="majorHAnsi"/>
            <w:snapToGrid w:val="0"/>
            <w:kern w:val="22"/>
            <w:sz w:val="22"/>
            <w:szCs w:val="22"/>
          </w:rPr>
          <w:t>CBD Technical Note</w:t>
        </w:r>
      </w:hyperlink>
      <w:r w:rsidRPr="003C10BC">
        <w:rPr>
          <w:rFonts w:asciiTheme="majorHAnsi" w:hAnsiTheme="majorHAnsi" w:cstheme="majorHAnsi"/>
          <w:snapToGrid w:val="0"/>
          <w:kern w:val="22"/>
          <w:szCs w:val="22"/>
        </w:rPr>
        <w:t>), and how any difficulties encountered could be mitigated or how any successes achieved could be further leveraged for transformative change.</w:t>
      </w:r>
    </w:p>
    <w:p w14:paraId="0E88967F"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p>
    <w:p w14:paraId="0E889680"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In addition to examining progress based on the SDG indicators as put forth by the Inter-agency and Expert Group on SDG Indicators (</w:t>
      </w:r>
      <w:hyperlink r:id="rId70" w:history="1">
        <w:r w:rsidRPr="003C10BC">
          <w:rPr>
            <w:rStyle w:val="Hyperlink"/>
            <w:rFonts w:asciiTheme="majorHAnsi" w:hAnsiTheme="majorHAnsi" w:cstheme="majorHAnsi"/>
            <w:snapToGrid w:val="0"/>
            <w:kern w:val="22"/>
            <w:sz w:val="22"/>
            <w:szCs w:val="22"/>
          </w:rPr>
          <w:t>IAEG-SDGs</w:t>
        </w:r>
      </w:hyperlink>
      <w:r w:rsidRPr="003C10BC">
        <w:rPr>
          <w:rFonts w:asciiTheme="majorHAnsi" w:hAnsiTheme="majorHAnsi" w:cstheme="majorHAnsi"/>
          <w:snapToGrid w:val="0"/>
          <w:kern w:val="22"/>
          <w:szCs w:val="22"/>
        </w:rPr>
        <w:t xml:space="preserve">), Parties to the CBD are encouraged to draw on insights and data from their </w:t>
      </w:r>
      <w:hyperlink r:id="rId71" w:history="1">
        <w:r w:rsidRPr="003C10BC">
          <w:rPr>
            <w:rStyle w:val="Hyperlink"/>
            <w:rFonts w:asciiTheme="majorHAnsi" w:hAnsiTheme="majorHAnsi" w:cstheme="majorHAnsi"/>
            <w:i/>
            <w:snapToGrid w:val="0"/>
            <w:kern w:val="22"/>
            <w:sz w:val="22"/>
            <w:szCs w:val="22"/>
          </w:rPr>
          <w:t>Sixth National Report</w:t>
        </w:r>
        <w:r w:rsidRPr="003C10BC">
          <w:rPr>
            <w:rStyle w:val="Hyperlink"/>
            <w:rFonts w:asciiTheme="majorHAnsi" w:hAnsiTheme="majorHAnsi" w:cstheme="majorHAnsi"/>
            <w:snapToGrid w:val="0"/>
            <w:kern w:val="22"/>
            <w:sz w:val="22"/>
            <w:szCs w:val="22"/>
          </w:rPr>
          <w:t xml:space="preserve"> </w:t>
        </w:r>
      </w:hyperlink>
      <w:r w:rsidRPr="003C10BC">
        <w:rPr>
          <w:rFonts w:asciiTheme="majorHAnsi" w:hAnsiTheme="majorHAnsi" w:cstheme="majorHAnsi"/>
          <w:snapToGrid w:val="0"/>
          <w:kern w:val="22"/>
          <w:szCs w:val="22"/>
        </w:rPr>
        <w:t xml:space="preserve">which is due under the Convention by 31 December 2018. Similarly, Parties can also draw on their VNR reports for the preparation of their Sixth National Report. </w:t>
      </w:r>
    </w:p>
    <w:p w14:paraId="0E889681"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p>
    <w:p w14:paraId="0E889682"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Furthermore, member States are encouraged to draw on insights from the regional assessments of the Intergovernmental Science-Policy Platform on Biodiversity and Ecosystem Services (IPBES), and also take into account preparations for the</w:t>
      </w:r>
      <w:hyperlink r:id="rId72" w:history="1">
        <w:r w:rsidRPr="003C10BC">
          <w:rPr>
            <w:rStyle w:val="Hyperlink"/>
            <w:rFonts w:asciiTheme="majorHAnsi" w:hAnsiTheme="majorHAnsi" w:cstheme="majorHAnsi"/>
            <w:snapToGrid w:val="0"/>
            <w:kern w:val="22"/>
            <w:sz w:val="22"/>
            <w:szCs w:val="22"/>
          </w:rPr>
          <w:t xml:space="preserve"> fifth edition of the </w:t>
        </w:r>
        <w:r w:rsidRPr="003C10BC">
          <w:rPr>
            <w:rStyle w:val="Hyperlink"/>
            <w:rFonts w:asciiTheme="majorHAnsi" w:hAnsiTheme="majorHAnsi" w:cstheme="majorHAnsi"/>
            <w:i/>
            <w:snapToGrid w:val="0"/>
            <w:kern w:val="22"/>
            <w:sz w:val="22"/>
            <w:szCs w:val="22"/>
          </w:rPr>
          <w:t>Global Biodiversity Outlook</w:t>
        </w:r>
      </w:hyperlink>
      <w:r w:rsidRPr="003C10BC">
        <w:rPr>
          <w:rFonts w:asciiTheme="majorHAnsi" w:hAnsiTheme="majorHAnsi" w:cstheme="majorHAnsi"/>
          <w:i/>
          <w:snapToGrid w:val="0"/>
          <w:kern w:val="22"/>
          <w:szCs w:val="22"/>
        </w:rPr>
        <w:t xml:space="preserve"> </w:t>
      </w:r>
      <w:r w:rsidRPr="003C10BC">
        <w:rPr>
          <w:rFonts w:asciiTheme="majorHAnsi" w:hAnsiTheme="majorHAnsi" w:cstheme="majorHAnsi"/>
          <w:snapToGrid w:val="0"/>
          <w:kern w:val="22"/>
          <w:szCs w:val="22"/>
        </w:rPr>
        <w:t xml:space="preserve">and other indicators shared through the </w:t>
      </w:r>
      <w:hyperlink r:id="rId73" w:history="1">
        <w:r w:rsidRPr="003C10BC">
          <w:rPr>
            <w:rStyle w:val="Hyperlink"/>
            <w:rFonts w:asciiTheme="majorHAnsi" w:hAnsiTheme="majorHAnsi" w:cstheme="majorHAnsi"/>
            <w:i/>
            <w:snapToGrid w:val="0"/>
            <w:kern w:val="22"/>
            <w:sz w:val="22"/>
            <w:szCs w:val="22"/>
          </w:rPr>
          <w:t>Biodiversity Indicators Partnership</w:t>
        </w:r>
      </w:hyperlink>
      <w:r w:rsidRPr="003C10BC">
        <w:rPr>
          <w:rFonts w:asciiTheme="majorHAnsi" w:hAnsiTheme="majorHAnsi" w:cstheme="majorHAnsi"/>
          <w:snapToGrid w:val="0"/>
          <w:kern w:val="22"/>
          <w:szCs w:val="22"/>
        </w:rPr>
        <w:t xml:space="preserve">. </w:t>
      </w:r>
    </w:p>
    <w:p w14:paraId="0E889683"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p>
    <w:p w14:paraId="0E889684"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Useful Resources:</w:t>
      </w:r>
    </w:p>
    <w:p w14:paraId="0E889685" w14:textId="77777777" w:rsidR="006D3E36" w:rsidRPr="003C10BC" w:rsidRDefault="003C10BC" w:rsidP="006D3E36">
      <w:pPr>
        <w:pStyle w:val="ListParagraph"/>
        <w:numPr>
          <w:ilvl w:val="0"/>
          <w:numId w:val="13"/>
        </w:numPr>
        <w:shd w:val="clear" w:color="auto" w:fill="F2DBDB" w:themeFill="accent2" w:themeFillTint="33"/>
        <w:ind w:right="855"/>
        <w:jc w:val="left"/>
        <w:rPr>
          <w:rFonts w:asciiTheme="majorHAnsi" w:hAnsiTheme="majorHAnsi" w:cstheme="majorHAnsi"/>
          <w:snapToGrid w:val="0"/>
          <w:kern w:val="22"/>
          <w:szCs w:val="22"/>
        </w:rPr>
      </w:pPr>
      <w:hyperlink r:id="rId74" w:history="1">
        <w:r w:rsidR="006D3E36" w:rsidRPr="003C10BC">
          <w:rPr>
            <w:rStyle w:val="Hyperlink"/>
            <w:rFonts w:asciiTheme="majorHAnsi" w:hAnsiTheme="majorHAnsi" w:cstheme="majorHAnsi"/>
            <w:snapToGrid w:val="0"/>
            <w:kern w:val="22"/>
            <w:sz w:val="22"/>
            <w:szCs w:val="22"/>
          </w:rPr>
          <w:t>CBD Website, Biodiversity for Development</w:t>
        </w:r>
      </w:hyperlink>
    </w:p>
    <w:p w14:paraId="0E889686" w14:textId="77777777" w:rsidR="006D3E36" w:rsidRPr="003C10BC" w:rsidRDefault="003C10BC" w:rsidP="006D3E36">
      <w:pPr>
        <w:pStyle w:val="ListParagraph"/>
        <w:numPr>
          <w:ilvl w:val="0"/>
          <w:numId w:val="13"/>
        </w:numPr>
        <w:shd w:val="clear" w:color="auto" w:fill="F2DBDB" w:themeFill="accent2" w:themeFillTint="33"/>
        <w:ind w:right="855"/>
        <w:jc w:val="left"/>
        <w:rPr>
          <w:rFonts w:asciiTheme="majorHAnsi" w:hAnsiTheme="majorHAnsi" w:cstheme="majorHAnsi"/>
          <w:snapToGrid w:val="0"/>
          <w:kern w:val="22"/>
          <w:szCs w:val="22"/>
        </w:rPr>
      </w:pPr>
      <w:hyperlink r:id="rId75" w:history="1">
        <w:r w:rsidR="006D3E36" w:rsidRPr="003C10BC">
          <w:rPr>
            <w:rStyle w:val="Hyperlink"/>
            <w:rFonts w:asciiTheme="majorHAnsi" w:hAnsiTheme="majorHAnsi" w:cstheme="majorHAnsi"/>
            <w:snapToGrid w:val="0"/>
            <w:kern w:val="22"/>
            <w:sz w:val="22"/>
            <w:szCs w:val="22"/>
          </w:rPr>
          <w:t>Technical Note: Biodiversity and the 2030 Agenda for Sustainable Development</w:t>
        </w:r>
      </w:hyperlink>
      <w:r w:rsidR="006D3E36" w:rsidRPr="003C10BC">
        <w:rPr>
          <w:rFonts w:asciiTheme="majorHAnsi" w:hAnsiTheme="majorHAnsi" w:cstheme="majorHAnsi"/>
          <w:snapToGrid w:val="0"/>
          <w:kern w:val="22"/>
          <w:szCs w:val="22"/>
        </w:rPr>
        <w:t>, CBD and Partners</w:t>
      </w:r>
    </w:p>
    <w:p w14:paraId="0E889687" w14:textId="77777777" w:rsidR="006D3E36" w:rsidRPr="003C10BC" w:rsidRDefault="003C10BC" w:rsidP="006D3E36">
      <w:pPr>
        <w:pStyle w:val="ListParagraph"/>
        <w:numPr>
          <w:ilvl w:val="0"/>
          <w:numId w:val="13"/>
        </w:numPr>
        <w:shd w:val="clear" w:color="auto" w:fill="F2DBDB" w:themeFill="accent2" w:themeFillTint="33"/>
        <w:ind w:right="855"/>
        <w:jc w:val="left"/>
        <w:rPr>
          <w:rFonts w:asciiTheme="majorHAnsi" w:hAnsiTheme="majorHAnsi" w:cstheme="majorHAnsi"/>
          <w:snapToGrid w:val="0"/>
          <w:kern w:val="22"/>
          <w:szCs w:val="22"/>
        </w:rPr>
      </w:pPr>
      <w:hyperlink r:id="rId76" w:history="1">
        <w:r w:rsidR="006D3E36" w:rsidRPr="003C10BC">
          <w:rPr>
            <w:rStyle w:val="Hyperlink"/>
            <w:rFonts w:asciiTheme="majorHAnsi" w:hAnsiTheme="majorHAnsi" w:cstheme="majorHAnsi"/>
            <w:snapToGrid w:val="0"/>
            <w:kern w:val="22"/>
            <w:sz w:val="22"/>
            <w:szCs w:val="22"/>
          </w:rPr>
          <w:t>Policy Brief: Biodiversity and the 2030 Agenda for Sustainable Development</w:t>
        </w:r>
      </w:hyperlink>
      <w:r w:rsidR="006D3E36" w:rsidRPr="003C10BC">
        <w:rPr>
          <w:rFonts w:asciiTheme="majorHAnsi" w:hAnsiTheme="majorHAnsi" w:cstheme="majorHAnsi"/>
          <w:snapToGrid w:val="0"/>
          <w:kern w:val="22"/>
          <w:szCs w:val="22"/>
        </w:rPr>
        <w:t>, CBD and Partners</w:t>
      </w:r>
    </w:p>
    <w:p w14:paraId="0E889688" w14:textId="77777777" w:rsidR="006D3E36" w:rsidRPr="003C10BC" w:rsidRDefault="003C10BC" w:rsidP="006D3E36">
      <w:pPr>
        <w:pStyle w:val="ListParagraph"/>
        <w:numPr>
          <w:ilvl w:val="0"/>
          <w:numId w:val="13"/>
        </w:numPr>
        <w:shd w:val="clear" w:color="auto" w:fill="F2DBDB" w:themeFill="accent2" w:themeFillTint="33"/>
        <w:ind w:right="855"/>
        <w:jc w:val="left"/>
        <w:rPr>
          <w:rFonts w:asciiTheme="majorHAnsi" w:hAnsiTheme="majorHAnsi" w:cstheme="majorHAnsi"/>
          <w:snapToGrid w:val="0"/>
          <w:kern w:val="22"/>
          <w:szCs w:val="22"/>
        </w:rPr>
      </w:pPr>
      <w:hyperlink r:id="rId77" w:history="1">
        <w:r w:rsidR="006D3E36" w:rsidRPr="003C10BC">
          <w:rPr>
            <w:rStyle w:val="Hyperlink"/>
            <w:rFonts w:asciiTheme="majorHAnsi" w:hAnsiTheme="majorHAnsi" w:cstheme="majorHAnsi"/>
            <w:snapToGrid w:val="0"/>
            <w:kern w:val="22"/>
            <w:sz w:val="22"/>
            <w:szCs w:val="22"/>
          </w:rPr>
          <w:t>Note by the Executive Secretary on Biodiversity and the 2030 Agenda for Sustainable Development</w:t>
        </w:r>
      </w:hyperlink>
      <w:r w:rsidR="006D3E36" w:rsidRPr="003C10BC">
        <w:rPr>
          <w:rFonts w:asciiTheme="majorHAnsi" w:hAnsiTheme="majorHAnsi" w:cstheme="majorHAnsi"/>
          <w:snapToGrid w:val="0"/>
          <w:kern w:val="22"/>
          <w:szCs w:val="22"/>
        </w:rPr>
        <w:t>, Subsidiary Body on Scientific, Technical, and Technological Advice.</w:t>
      </w:r>
    </w:p>
    <w:p w14:paraId="0E889689" w14:textId="77777777" w:rsidR="006D3E36" w:rsidRPr="003C10BC" w:rsidRDefault="003C10BC" w:rsidP="006D3E36">
      <w:pPr>
        <w:pStyle w:val="ListParagraph"/>
        <w:numPr>
          <w:ilvl w:val="0"/>
          <w:numId w:val="13"/>
        </w:numPr>
        <w:shd w:val="clear" w:color="auto" w:fill="F2DBDB" w:themeFill="accent2" w:themeFillTint="33"/>
        <w:ind w:right="855"/>
        <w:jc w:val="left"/>
        <w:rPr>
          <w:rFonts w:asciiTheme="majorHAnsi" w:hAnsiTheme="majorHAnsi" w:cstheme="majorHAnsi"/>
          <w:snapToGrid w:val="0"/>
          <w:kern w:val="22"/>
          <w:szCs w:val="22"/>
        </w:rPr>
      </w:pPr>
      <w:hyperlink r:id="rId78" w:history="1">
        <w:r w:rsidR="006D3E36" w:rsidRPr="003C10BC">
          <w:rPr>
            <w:rStyle w:val="Hyperlink"/>
            <w:rFonts w:asciiTheme="majorHAnsi" w:hAnsiTheme="majorHAnsi" w:cstheme="majorHAnsi"/>
            <w:snapToGrid w:val="0"/>
            <w:kern w:val="22"/>
            <w:sz w:val="22"/>
            <w:szCs w:val="22"/>
          </w:rPr>
          <w:t>The 2030 Agenda and Ecosystems</w:t>
        </w:r>
      </w:hyperlink>
      <w:r w:rsidR="006D3E36" w:rsidRPr="003C10BC">
        <w:rPr>
          <w:rFonts w:asciiTheme="majorHAnsi" w:hAnsiTheme="majorHAnsi" w:cstheme="majorHAnsi"/>
          <w:snapToGrid w:val="0"/>
          <w:kern w:val="22"/>
          <w:szCs w:val="22"/>
        </w:rPr>
        <w:t>: A discussion paper on the links between the Aichi Biodiversity Targets and the Sustainable Development Goals. Stockholm Resilience Centre and the Swedish Biodiversity Centre.</w:t>
      </w:r>
    </w:p>
    <w:p w14:paraId="0E88968A" w14:textId="77777777" w:rsidR="006D3E36" w:rsidRPr="003C10BC" w:rsidRDefault="003C10BC" w:rsidP="006D3E36">
      <w:pPr>
        <w:pStyle w:val="ListParagraph"/>
        <w:numPr>
          <w:ilvl w:val="0"/>
          <w:numId w:val="13"/>
        </w:numPr>
        <w:shd w:val="clear" w:color="auto" w:fill="F2DBDB" w:themeFill="accent2" w:themeFillTint="33"/>
        <w:ind w:right="855"/>
        <w:jc w:val="left"/>
        <w:rPr>
          <w:rFonts w:asciiTheme="majorHAnsi" w:hAnsiTheme="majorHAnsi" w:cstheme="majorHAnsi"/>
          <w:snapToGrid w:val="0"/>
          <w:kern w:val="22"/>
          <w:szCs w:val="22"/>
        </w:rPr>
      </w:pPr>
      <w:hyperlink r:id="rId79" w:history="1">
        <w:r w:rsidR="006D3E36" w:rsidRPr="003C10BC">
          <w:rPr>
            <w:rStyle w:val="Hyperlink"/>
            <w:rFonts w:asciiTheme="majorHAnsi" w:hAnsiTheme="majorHAnsi" w:cstheme="majorHAnsi"/>
            <w:snapToGrid w:val="0"/>
            <w:kern w:val="22"/>
            <w:sz w:val="22"/>
            <w:szCs w:val="22"/>
          </w:rPr>
          <w:t>Sixth National Report Information Portal</w:t>
        </w:r>
      </w:hyperlink>
      <w:r w:rsidR="006D3E36" w:rsidRPr="003C10BC">
        <w:rPr>
          <w:rFonts w:asciiTheme="majorHAnsi" w:hAnsiTheme="majorHAnsi" w:cstheme="majorHAnsi"/>
          <w:snapToGrid w:val="0"/>
          <w:kern w:val="22"/>
          <w:szCs w:val="22"/>
        </w:rPr>
        <w:t>, CBD</w:t>
      </w:r>
    </w:p>
    <w:p w14:paraId="0E88968B" w14:textId="77777777" w:rsidR="006D3E36" w:rsidRPr="003C10BC" w:rsidRDefault="003C10BC" w:rsidP="006D3E36">
      <w:pPr>
        <w:pStyle w:val="ListParagraph"/>
        <w:numPr>
          <w:ilvl w:val="0"/>
          <w:numId w:val="13"/>
        </w:numPr>
        <w:shd w:val="clear" w:color="auto" w:fill="F2DBDB" w:themeFill="accent2" w:themeFillTint="33"/>
        <w:ind w:right="855"/>
        <w:jc w:val="left"/>
        <w:rPr>
          <w:rFonts w:asciiTheme="majorHAnsi" w:hAnsiTheme="majorHAnsi" w:cstheme="majorHAnsi"/>
          <w:snapToGrid w:val="0"/>
          <w:kern w:val="22"/>
          <w:szCs w:val="22"/>
        </w:rPr>
      </w:pPr>
      <w:hyperlink r:id="rId80" w:history="1">
        <w:r w:rsidR="006D3E36" w:rsidRPr="003C10BC">
          <w:rPr>
            <w:rStyle w:val="Hyperlink"/>
            <w:rFonts w:asciiTheme="majorHAnsi" w:hAnsiTheme="majorHAnsi" w:cstheme="majorHAnsi"/>
            <w:snapToGrid w:val="0"/>
            <w:kern w:val="22"/>
            <w:sz w:val="22"/>
            <w:szCs w:val="22"/>
          </w:rPr>
          <w:t>CBD/COP/DEC/XIII/28</w:t>
        </w:r>
      </w:hyperlink>
      <w:r w:rsidR="006D3E36" w:rsidRPr="003C10BC">
        <w:rPr>
          <w:rFonts w:asciiTheme="majorHAnsi" w:hAnsiTheme="majorHAnsi" w:cstheme="majorHAnsi"/>
          <w:snapToGrid w:val="0"/>
          <w:kern w:val="22"/>
          <w:szCs w:val="22"/>
        </w:rPr>
        <w:t>, Indicators for the Strategic Plan for Biodiversity 2011-2020 and the Aichi Biodiversity Targets</w:t>
      </w:r>
    </w:p>
    <w:p w14:paraId="0E88968C" w14:textId="77777777" w:rsidR="006D3E36" w:rsidRPr="003C10BC" w:rsidRDefault="003C10BC" w:rsidP="006D3E36">
      <w:pPr>
        <w:pStyle w:val="ListParagraph"/>
        <w:numPr>
          <w:ilvl w:val="0"/>
          <w:numId w:val="13"/>
        </w:numPr>
        <w:shd w:val="clear" w:color="auto" w:fill="F2DBDB" w:themeFill="accent2" w:themeFillTint="33"/>
        <w:ind w:right="855"/>
        <w:jc w:val="left"/>
        <w:rPr>
          <w:rFonts w:asciiTheme="majorHAnsi" w:hAnsiTheme="majorHAnsi" w:cstheme="majorHAnsi"/>
          <w:snapToGrid w:val="0"/>
          <w:kern w:val="22"/>
          <w:szCs w:val="22"/>
        </w:rPr>
      </w:pPr>
      <w:hyperlink r:id="rId81" w:history="1">
        <w:r w:rsidR="006D3E36" w:rsidRPr="003C10BC">
          <w:rPr>
            <w:rStyle w:val="Hyperlink"/>
            <w:rFonts w:asciiTheme="majorHAnsi" w:hAnsiTheme="majorHAnsi" w:cstheme="majorHAnsi"/>
            <w:snapToGrid w:val="0"/>
            <w:kern w:val="22"/>
            <w:sz w:val="22"/>
            <w:szCs w:val="22"/>
          </w:rPr>
          <w:t>Biodiversity Indictors Partnership</w:t>
        </w:r>
      </w:hyperlink>
    </w:p>
    <w:p w14:paraId="0E88968D" w14:textId="77777777" w:rsidR="006D3E36" w:rsidRPr="003C10BC" w:rsidRDefault="003C10BC" w:rsidP="006D3E36">
      <w:pPr>
        <w:pStyle w:val="ListParagraph"/>
        <w:numPr>
          <w:ilvl w:val="0"/>
          <w:numId w:val="13"/>
        </w:numPr>
        <w:shd w:val="clear" w:color="auto" w:fill="F2DBDB" w:themeFill="accent2" w:themeFillTint="33"/>
        <w:ind w:right="855"/>
        <w:jc w:val="left"/>
        <w:rPr>
          <w:rFonts w:asciiTheme="majorHAnsi" w:hAnsiTheme="majorHAnsi" w:cstheme="majorHAnsi"/>
          <w:snapToGrid w:val="0"/>
          <w:kern w:val="22"/>
          <w:szCs w:val="22"/>
        </w:rPr>
      </w:pPr>
      <w:hyperlink r:id="rId82" w:history="1">
        <w:r w:rsidR="006D3E36" w:rsidRPr="003C10BC">
          <w:rPr>
            <w:rStyle w:val="Hyperlink"/>
            <w:rFonts w:asciiTheme="majorHAnsi" w:hAnsiTheme="majorHAnsi" w:cstheme="majorHAnsi"/>
            <w:snapToGrid w:val="0"/>
            <w:kern w:val="22"/>
            <w:sz w:val="22"/>
            <w:szCs w:val="22"/>
          </w:rPr>
          <w:t>CBD/COP/DEC/XIII/29</w:t>
        </w:r>
      </w:hyperlink>
      <w:r w:rsidR="006D3E36" w:rsidRPr="003C10BC">
        <w:rPr>
          <w:rFonts w:asciiTheme="majorHAnsi" w:hAnsiTheme="majorHAnsi" w:cstheme="majorHAnsi"/>
          <w:snapToGrid w:val="0"/>
          <w:kern w:val="22"/>
          <w:szCs w:val="22"/>
        </w:rPr>
        <w:t>, Global Biodiversity Outlook and Intergovernmental Science-Policy Platform on Biodiversity and Ecosystem Services</w:t>
      </w:r>
    </w:p>
    <w:p w14:paraId="0E88968E" w14:textId="77777777" w:rsidR="006D3E36" w:rsidRPr="003C10BC" w:rsidRDefault="003C10BC" w:rsidP="006D3E36">
      <w:pPr>
        <w:pStyle w:val="ListParagraph"/>
        <w:numPr>
          <w:ilvl w:val="0"/>
          <w:numId w:val="13"/>
        </w:numPr>
        <w:shd w:val="clear" w:color="auto" w:fill="F2DBDB" w:themeFill="accent2" w:themeFillTint="33"/>
        <w:ind w:right="855"/>
        <w:jc w:val="left"/>
        <w:rPr>
          <w:rFonts w:asciiTheme="majorHAnsi" w:hAnsiTheme="majorHAnsi" w:cstheme="majorHAnsi"/>
          <w:snapToGrid w:val="0"/>
          <w:kern w:val="22"/>
          <w:szCs w:val="22"/>
        </w:rPr>
      </w:pPr>
      <w:hyperlink r:id="rId83" w:history="1">
        <w:r w:rsidR="006D3E36" w:rsidRPr="003C10BC">
          <w:rPr>
            <w:rStyle w:val="Hyperlink"/>
            <w:rFonts w:asciiTheme="majorHAnsi" w:hAnsiTheme="majorHAnsi" w:cstheme="majorHAnsi"/>
            <w:snapToGrid w:val="0"/>
            <w:kern w:val="22"/>
            <w:sz w:val="22"/>
            <w:szCs w:val="22"/>
          </w:rPr>
          <w:t>The Intergovernmental Science-Policy Platform on Biodiversity and Ecosystem Services (IPBES)</w:t>
        </w:r>
      </w:hyperlink>
    </w:p>
    <w:p w14:paraId="0E88968F"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p>
    <w:p w14:paraId="0E889690" w14:textId="77777777" w:rsidR="006D3E36" w:rsidRPr="003C10BC" w:rsidRDefault="006D3E36" w:rsidP="006D3E36">
      <w:pPr>
        <w:rPr>
          <w:rFonts w:asciiTheme="majorHAnsi" w:hAnsiTheme="majorHAnsi" w:cstheme="majorHAnsi"/>
          <w:snapToGrid w:val="0"/>
          <w:kern w:val="22"/>
          <w:szCs w:val="22"/>
        </w:rPr>
      </w:pPr>
    </w:p>
    <w:p w14:paraId="0E889691" w14:textId="77777777" w:rsidR="006D3E36" w:rsidRPr="003C10BC" w:rsidRDefault="006D3E36" w:rsidP="006D3E36">
      <w:pPr>
        <w:pStyle w:val="Heading1"/>
        <w:shd w:val="clear" w:color="auto" w:fill="DAEEF3" w:themeFill="accent5" w:themeFillTint="33"/>
        <w:rPr>
          <w:rFonts w:asciiTheme="majorHAnsi" w:hAnsiTheme="majorHAnsi" w:cstheme="majorHAnsi"/>
          <w:snapToGrid w:val="0"/>
          <w:kern w:val="22"/>
          <w:szCs w:val="22"/>
        </w:rPr>
      </w:pPr>
      <w:r w:rsidRPr="003C10BC">
        <w:rPr>
          <w:rFonts w:asciiTheme="majorHAnsi" w:hAnsiTheme="majorHAnsi" w:cstheme="majorHAnsi"/>
          <w:snapToGrid w:val="0"/>
          <w:kern w:val="22"/>
          <w:szCs w:val="22"/>
        </w:rPr>
        <w:t>7. Means of implementation</w:t>
      </w:r>
    </w:p>
    <w:p w14:paraId="0E889692" w14:textId="77777777" w:rsidR="006D3E36" w:rsidRPr="003C10BC" w:rsidRDefault="006D3E36" w:rsidP="006D3E36">
      <w:pPr>
        <w:rPr>
          <w:rFonts w:asciiTheme="majorHAnsi" w:hAnsiTheme="majorHAnsi" w:cstheme="majorHAnsi"/>
          <w:snapToGrid w:val="0"/>
          <w:kern w:val="22"/>
          <w:szCs w:val="22"/>
        </w:rPr>
      </w:pPr>
    </w:p>
    <w:p w14:paraId="0E889693" w14:textId="77777777" w:rsidR="006D3E36" w:rsidRPr="003C10BC" w:rsidRDefault="006D3E36" w:rsidP="006D3E36">
      <w:pPr>
        <w:rPr>
          <w:rFonts w:asciiTheme="majorHAnsi" w:hAnsiTheme="majorHAnsi" w:cstheme="majorHAnsi"/>
          <w:snapToGrid w:val="0"/>
          <w:kern w:val="22"/>
          <w:szCs w:val="22"/>
        </w:rPr>
      </w:pPr>
      <w:r w:rsidRPr="003C10BC">
        <w:rPr>
          <w:rFonts w:asciiTheme="majorHAnsi" w:hAnsiTheme="majorHAnsi" w:cstheme="majorHAnsi"/>
          <w:snapToGrid w:val="0"/>
          <w:kern w:val="22"/>
          <w:szCs w:val="22"/>
        </w:rPr>
        <w:t>UNDESA’s VNR Guidelines encourage Member States to “discuss how means of implementation are mobilized, what difficulties this process faces, and what additional resources are needed to implement the 2030 Agenda, including in terms of financing, capacity development and data needs, technology, and partnerships.”</w:t>
      </w:r>
    </w:p>
    <w:p w14:paraId="0E889694" w14:textId="77777777" w:rsidR="006D3E36" w:rsidRPr="003C10BC" w:rsidRDefault="006D3E36" w:rsidP="006D3E36">
      <w:pPr>
        <w:rPr>
          <w:rFonts w:asciiTheme="majorHAnsi" w:hAnsiTheme="majorHAnsi" w:cstheme="majorHAnsi"/>
          <w:snapToGrid w:val="0"/>
          <w:kern w:val="22"/>
          <w:szCs w:val="22"/>
        </w:rPr>
      </w:pPr>
    </w:p>
    <w:p w14:paraId="0E889695"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In the context of the ‘Means of Implementation’ section of a VNR, member states could elaborate on experience with various financing sources and mechanisms for the conservation and sustainable use of biodiversity, as well with associated capacity building and technical support activities, such as through the Biodiversity Finance (BIOFIN) Initiative of the United Nations Development Programme.</w:t>
      </w:r>
    </w:p>
    <w:p w14:paraId="0E889696"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p>
    <w:p w14:paraId="0E889697"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 xml:space="preserve">Furthermore, Parties to the CBD could also elaborate on progress towards the </w:t>
      </w:r>
      <w:r w:rsidRPr="003C10BC">
        <w:rPr>
          <w:rFonts w:asciiTheme="majorHAnsi" w:hAnsiTheme="majorHAnsi" w:cstheme="majorHAnsi"/>
          <w:i/>
          <w:snapToGrid w:val="0"/>
          <w:kern w:val="22"/>
          <w:szCs w:val="22"/>
        </w:rPr>
        <w:t>Resource Mobilization</w:t>
      </w:r>
      <w:r w:rsidRPr="003C10BC">
        <w:rPr>
          <w:rFonts w:asciiTheme="majorHAnsi" w:hAnsiTheme="majorHAnsi" w:cstheme="majorHAnsi"/>
          <w:snapToGrid w:val="0"/>
          <w:kern w:val="22"/>
          <w:szCs w:val="22"/>
        </w:rPr>
        <w:t xml:space="preserve"> targets as adopted by the Conference at its thirteenth meeting, under Aichi Target 20 of the Strategic Plan for Biodiversity 2011-2020 (decision XIII/20).</w:t>
      </w:r>
    </w:p>
    <w:p w14:paraId="0E889698"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p>
    <w:p w14:paraId="0E889699"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Useful Resources:</w:t>
      </w:r>
    </w:p>
    <w:p w14:paraId="0E88969A" w14:textId="77777777" w:rsidR="006D3E36" w:rsidRPr="003C10BC" w:rsidRDefault="003C10BC" w:rsidP="006D3E36">
      <w:pPr>
        <w:pStyle w:val="ListParagraph"/>
        <w:numPr>
          <w:ilvl w:val="0"/>
          <w:numId w:val="12"/>
        </w:numPr>
        <w:shd w:val="clear" w:color="auto" w:fill="F2DBDB" w:themeFill="accent2" w:themeFillTint="33"/>
        <w:ind w:right="855"/>
        <w:jc w:val="left"/>
        <w:rPr>
          <w:rFonts w:asciiTheme="majorHAnsi" w:hAnsiTheme="majorHAnsi" w:cstheme="majorHAnsi"/>
          <w:snapToGrid w:val="0"/>
          <w:kern w:val="22"/>
          <w:szCs w:val="22"/>
        </w:rPr>
      </w:pPr>
      <w:hyperlink r:id="rId84" w:history="1">
        <w:r w:rsidR="006D3E36" w:rsidRPr="003C10BC">
          <w:rPr>
            <w:rStyle w:val="Hyperlink"/>
            <w:rFonts w:asciiTheme="majorHAnsi" w:hAnsiTheme="majorHAnsi" w:cstheme="majorHAnsi"/>
            <w:snapToGrid w:val="0"/>
            <w:kern w:val="22"/>
            <w:sz w:val="22"/>
            <w:szCs w:val="22"/>
          </w:rPr>
          <w:t>CBD Website, Financial Mechanism and Resources</w:t>
        </w:r>
      </w:hyperlink>
    </w:p>
    <w:p w14:paraId="0E88969B" w14:textId="77777777" w:rsidR="006D3E36" w:rsidRPr="003C10BC" w:rsidRDefault="003C10BC" w:rsidP="006D3E36">
      <w:pPr>
        <w:pStyle w:val="ListParagraph"/>
        <w:numPr>
          <w:ilvl w:val="0"/>
          <w:numId w:val="12"/>
        </w:numPr>
        <w:shd w:val="clear" w:color="auto" w:fill="F2DBDB" w:themeFill="accent2" w:themeFillTint="33"/>
        <w:ind w:right="855"/>
        <w:jc w:val="left"/>
        <w:rPr>
          <w:rFonts w:asciiTheme="majorHAnsi" w:hAnsiTheme="majorHAnsi" w:cstheme="majorHAnsi"/>
          <w:snapToGrid w:val="0"/>
          <w:kern w:val="22"/>
          <w:szCs w:val="22"/>
        </w:rPr>
      </w:pPr>
      <w:hyperlink r:id="rId85" w:history="1">
        <w:r w:rsidR="006D3E36" w:rsidRPr="003C10BC">
          <w:rPr>
            <w:rStyle w:val="Hyperlink"/>
            <w:rFonts w:asciiTheme="majorHAnsi" w:hAnsiTheme="majorHAnsi" w:cstheme="majorHAnsi"/>
            <w:snapToGrid w:val="0"/>
            <w:kern w:val="22"/>
            <w:sz w:val="22"/>
            <w:szCs w:val="22"/>
          </w:rPr>
          <w:t>CBD Website, National financing: Africa</w:t>
        </w:r>
      </w:hyperlink>
    </w:p>
    <w:p w14:paraId="0E88969C" w14:textId="77777777" w:rsidR="006D3E36" w:rsidRPr="003C10BC" w:rsidRDefault="003C10BC" w:rsidP="006D3E36">
      <w:pPr>
        <w:pStyle w:val="ListParagraph"/>
        <w:numPr>
          <w:ilvl w:val="0"/>
          <w:numId w:val="12"/>
        </w:numPr>
        <w:shd w:val="clear" w:color="auto" w:fill="F2DBDB" w:themeFill="accent2" w:themeFillTint="33"/>
        <w:ind w:right="855"/>
        <w:jc w:val="left"/>
        <w:rPr>
          <w:rFonts w:asciiTheme="majorHAnsi" w:hAnsiTheme="majorHAnsi" w:cstheme="majorHAnsi"/>
          <w:snapToGrid w:val="0"/>
          <w:kern w:val="22"/>
          <w:szCs w:val="22"/>
        </w:rPr>
      </w:pPr>
      <w:hyperlink r:id="rId86" w:history="1">
        <w:r w:rsidR="006D3E36" w:rsidRPr="003C10BC">
          <w:rPr>
            <w:rStyle w:val="Hyperlink"/>
            <w:rFonts w:asciiTheme="majorHAnsi" w:hAnsiTheme="majorHAnsi" w:cstheme="majorHAnsi"/>
            <w:snapToGrid w:val="0"/>
            <w:kern w:val="22"/>
            <w:sz w:val="22"/>
            <w:szCs w:val="22"/>
          </w:rPr>
          <w:t>CBD Website, National financing: Asia-Pacific</w:t>
        </w:r>
      </w:hyperlink>
    </w:p>
    <w:p w14:paraId="0E88969D" w14:textId="77777777" w:rsidR="006D3E36" w:rsidRPr="003C10BC" w:rsidRDefault="003C10BC" w:rsidP="006D3E36">
      <w:pPr>
        <w:pStyle w:val="ListParagraph"/>
        <w:numPr>
          <w:ilvl w:val="0"/>
          <w:numId w:val="12"/>
        </w:numPr>
        <w:shd w:val="clear" w:color="auto" w:fill="F2DBDB" w:themeFill="accent2" w:themeFillTint="33"/>
        <w:ind w:right="855"/>
        <w:jc w:val="left"/>
        <w:rPr>
          <w:rFonts w:asciiTheme="majorHAnsi" w:hAnsiTheme="majorHAnsi" w:cstheme="majorHAnsi"/>
          <w:snapToGrid w:val="0"/>
          <w:kern w:val="22"/>
          <w:szCs w:val="22"/>
        </w:rPr>
      </w:pPr>
      <w:hyperlink r:id="rId87" w:history="1">
        <w:r w:rsidR="006D3E36" w:rsidRPr="003C10BC">
          <w:rPr>
            <w:rStyle w:val="Hyperlink"/>
            <w:rFonts w:asciiTheme="majorHAnsi" w:hAnsiTheme="majorHAnsi" w:cstheme="majorHAnsi"/>
            <w:snapToGrid w:val="0"/>
            <w:kern w:val="22"/>
            <w:sz w:val="22"/>
            <w:szCs w:val="22"/>
          </w:rPr>
          <w:t>CBD Website, National financing: Latin American and Caribbean</w:t>
        </w:r>
      </w:hyperlink>
    </w:p>
    <w:p w14:paraId="0E88969E" w14:textId="77777777" w:rsidR="006D3E36" w:rsidRPr="003C10BC" w:rsidRDefault="003C10BC" w:rsidP="006D3E36">
      <w:pPr>
        <w:pStyle w:val="ListParagraph"/>
        <w:numPr>
          <w:ilvl w:val="0"/>
          <w:numId w:val="12"/>
        </w:numPr>
        <w:shd w:val="clear" w:color="auto" w:fill="F2DBDB" w:themeFill="accent2" w:themeFillTint="33"/>
        <w:ind w:right="855"/>
        <w:jc w:val="left"/>
        <w:rPr>
          <w:rFonts w:asciiTheme="majorHAnsi" w:hAnsiTheme="majorHAnsi" w:cstheme="majorHAnsi"/>
          <w:snapToGrid w:val="0"/>
          <w:kern w:val="22"/>
          <w:szCs w:val="22"/>
        </w:rPr>
      </w:pPr>
      <w:hyperlink r:id="rId88" w:history="1">
        <w:r w:rsidR="006D3E36" w:rsidRPr="003C10BC">
          <w:rPr>
            <w:rStyle w:val="Hyperlink"/>
            <w:rFonts w:asciiTheme="majorHAnsi" w:hAnsiTheme="majorHAnsi" w:cstheme="majorHAnsi"/>
            <w:snapToGrid w:val="0"/>
            <w:kern w:val="22"/>
            <w:sz w:val="22"/>
            <w:szCs w:val="22"/>
          </w:rPr>
          <w:t>CBD Website, National and international financing: Eastern European</w:t>
        </w:r>
      </w:hyperlink>
    </w:p>
    <w:p w14:paraId="0E88969F" w14:textId="77777777" w:rsidR="006D3E36" w:rsidRPr="003C10BC" w:rsidRDefault="003C10BC" w:rsidP="006D3E36">
      <w:pPr>
        <w:pStyle w:val="ListParagraph"/>
        <w:numPr>
          <w:ilvl w:val="0"/>
          <w:numId w:val="12"/>
        </w:numPr>
        <w:shd w:val="clear" w:color="auto" w:fill="F2DBDB" w:themeFill="accent2" w:themeFillTint="33"/>
        <w:ind w:right="855"/>
        <w:jc w:val="left"/>
        <w:rPr>
          <w:rStyle w:val="Hyperlink"/>
          <w:rFonts w:asciiTheme="majorHAnsi" w:hAnsiTheme="majorHAnsi" w:cstheme="majorHAnsi"/>
          <w:snapToGrid w:val="0"/>
          <w:color w:val="auto"/>
          <w:kern w:val="22"/>
          <w:sz w:val="22"/>
          <w:szCs w:val="22"/>
        </w:rPr>
      </w:pPr>
      <w:hyperlink r:id="rId89" w:history="1">
        <w:r w:rsidR="006D3E36" w:rsidRPr="003C10BC">
          <w:rPr>
            <w:rStyle w:val="Hyperlink"/>
            <w:rFonts w:asciiTheme="majorHAnsi" w:hAnsiTheme="majorHAnsi" w:cstheme="majorHAnsi"/>
            <w:snapToGrid w:val="0"/>
            <w:kern w:val="22"/>
            <w:sz w:val="22"/>
            <w:szCs w:val="22"/>
          </w:rPr>
          <w:t>CBD Website, National and international financing: Western European and Others</w:t>
        </w:r>
      </w:hyperlink>
    </w:p>
    <w:p w14:paraId="0E8896A0" w14:textId="77777777" w:rsidR="006D3E36" w:rsidRPr="003C10BC" w:rsidRDefault="003C10BC" w:rsidP="006D3E36">
      <w:pPr>
        <w:pStyle w:val="ListParagraph"/>
        <w:numPr>
          <w:ilvl w:val="0"/>
          <w:numId w:val="12"/>
        </w:numPr>
        <w:shd w:val="clear" w:color="auto" w:fill="F2DBDB" w:themeFill="accent2" w:themeFillTint="33"/>
        <w:ind w:right="855"/>
        <w:jc w:val="left"/>
        <w:rPr>
          <w:rFonts w:asciiTheme="majorHAnsi" w:hAnsiTheme="majorHAnsi" w:cstheme="majorHAnsi"/>
          <w:snapToGrid w:val="0"/>
          <w:kern w:val="22"/>
          <w:szCs w:val="22"/>
        </w:rPr>
      </w:pPr>
      <w:hyperlink r:id="rId90" w:history="1">
        <w:r w:rsidR="006D3E36" w:rsidRPr="003C10BC">
          <w:rPr>
            <w:rStyle w:val="Hyperlink"/>
            <w:rFonts w:asciiTheme="majorHAnsi" w:hAnsiTheme="majorHAnsi" w:cstheme="majorHAnsi"/>
            <w:snapToGrid w:val="0"/>
            <w:kern w:val="22"/>
            <w:sz w:val="22"/>
            <w:szCs w:val="22"/>
          </w:rPr>
          <w:t>UNEP/CBD/COP/DEC/XII/3</w:t>
        </w:r>
      </w:hyperlink>
      <w:r w:rsidR="006D3E36" w:rsidRPr="003C10BC">
        <w:rPr>
          <w:rFonts w:asciiTheme="majorHAnsi" w:hAnsiTheme="majorHAnsi" w:cstheme="majorHAnsi"/>
          <w:snapToGrid w:val="0"/>
          <w:kern w:val="22"/>
          <w:szCs w:val="22"/>
        </w:rPr>
        <w:t>, Resource Mobilization.</w:t>
      </w:r>
    </w:p>
    <w:p w14:paraId="0E8896A1" w14:textId="77777777" w:rsidR="006D3E36" w:rsidRPr="003C10BC" w:rsidRDefault="003C10BC" w:rsidP="006D3E36">
      <w:pPr>
        <w:pStyle w:val="ListParagraph"/>
        <w:numPr>
          <w:ilvl w:val="0"/>
          <w:numId w:val="12"/>
        </w:numPr>
        <w:shd w:val="clear" w:color="auto" w:fill="F2DBDB" w:themeFill="accent2" w:themeFillTint="33"/>
        <w:ind w:right="855"/>
        <w:jc w:val="left"/>
        <w:rPr>
          <w:rStyle w:val="Hyperlink"/>
          <w:rFonts w:asciiTheme="majorHAnsi" w:hAnsiTheme="majorHAnsi" w:cstheme="majorHAnsi"/>
          <w:snapToGrid w:val="0"/>
          <w:color w:val="auto"/>
          <w:kern w:val="22"/>
          <w:sz w:val="22"/>
          <w:szCs w:val="22"/>
        </w:rPr>
      </w:pPr>
      <w:hyperlink r:id="rId91" w:history="1">
        <w:r w:rsidR="006D3E36" w:rsidRPr="003C10BC">
          <w:rPr>
            <w:rStyle w:val="Hyperlink"/>
            <w:rFonts w:asciiTheme="majorHAnsi" w:hAnsiTheme="majorHAnsi" w:cstheme="majorHAnsi"/>
            <w:snapToGrid w:val="0"/>
            <w:kern w:val="22"/>
            <w:sz w:val="22"/>
            <w:szCs w:val="22"/>
          </w:rPr>
          <w:t>CBD/COP/DEC/XIII/20</w:t>
        </w:r>
      </w:hyperlink>
      <w:r w:rsidR="006D3E36" w:rsidRPr="003C10BC">
        <w:rPr>
          <w:rStyle w:val="Hyperlink"/>
          <w:rFonts w:asciiTheme="majorHAnsi" w:hAnsiTheme="majorHAnsi" w:cstheme="majorHAnsi"/>
          <w:snapToGrid w:val="0"/>
          <w:color w:val="auto"/>
          <w:kern w:val="22"/>
          <w:sz w:val="22"/>
          <w:szCs w:val="22"/>
        </w:rPr>
        <w:t>, Resource Mobilization</w:t>
      </w:r>
    </w:p>
    <w:p w14:paraId="0E8896A2"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p>
    <w:p w14:paraId="0E8896A3" w14:textId="77777777" w:rsidR="006D3E36" w:rsidRPr="003C10BC" w:rsidRDefault="006D3E36" w:rsidP="006D3E36">
      <w:pPr>
        <w:rPr>
          <w:rFonts w:asciiTheme="majorHAnsi" w:hAnsiTheme="majorHAnsi" w:cstheme="majorHAnsi"/>
          <w:snapToGrid w:val="0"/>
          <w:kern w:val="22"/>
          <w:szCs w:val="22"/>
        </w:rPr>
      </w:pPr>
    </w:p>
    <w:p w14:paraId="0E8896A4" w14:textId="564B21AB" w:rsidR="006D3E36" w:rsidRPr="003C10BC" w:rsidRDefault="006D3E36" w:rsidP="006D3E36">
      <w:pPr>
        <w:rPr>
          <w:rFonts w:asciiTheme="majorHAnsi" w:hAnsiTheme="majorHAnsi" w:cstheme="majorHAnsi"/>
          <w:snapToGrid w:val="0"/>
          <w:kern w:val="22"/>
          <w:szCs w:val="22"/>
        </w:rPr>
      </w:pPr>
    </w:p>
    <w:p w14:paraId="1B57711E" w14:textId="049B5721" w:rsidR="00833E1A" w:rsidRPr="003C10BC" w:rsidRDefault="00833E1A" w:rsidP="006D3E36">
      <w:pPr>
        <w:rPr>
          <w:rFonts w:asciiTheme="majorHAnsi" w:hAnsiTheme="majorHAnsi" w:cstheme="majorHAnsi"/>
          <w:snapToGrid w:val="0"/>
          <w:kern w:val="22"/>
          <w:szCs w:val="22"/>
        </w:rPr>
      </w:pPr>
    </w:p>
    <w:p w14:paraId="566A4E8D" w14:textId="77777777" w:rsidR="00833E1A" w:rsidRPr="003C10BC" w:rsidRDefault="00833E1A" w:rsidP="006D3E36">
      <w:pPr>
        <w:rPr>
          <w:rFonts w:asciiTheme="majorHAnsi" w:hAnsiTheme="majorHAnsi" w:cstheme="majorHAnsi"/>
          <w:snapToGrid w:val="0"/>
          <w:kern w:val="22"/>
          <w:szCs w:val="22"/>
        </w:rPr>
      </w:pPr>
    </w:p>
    <w:p w14:paraId="0E8896A5" w14:textId="77777777" w:rsidR="006D3E36" w:rsidRPr="003C10BC" w:rsidRDefault="006D3E36" w:rsidP="006D3E36">
      <w:pPr>
        <w:shd w:val="clear" w:color="auto" w:fill="FDE9D9" w:themeFill="accent6" w:themeFillTint="33"/>
        <w:jc w:val="center"/>
        <w:rPr>
          <w:rFonts w:asciiTheme="majorHAnsi" w:hAnsiTheme="majorHAnsi" w:cstheme="majorHAnsi"/>
          <w:b/>
          <w:snapToGrid w:val="0"/>
          <w:kern w:val="22"/>
          <w:szCs w:val="22"/>
        </w:rPr>
      </w:pPr>
      <w:r w:rsidRPr="003C10BC">
        <w:rPr>
          <w:rFonts w:asciiTheme="majorHAnsi" w:hAnsiTheme="majorHAnsi" w:cstheme="majorHAnsi"/>
          <w:b/>
          <w:snapToGrid w:val="0"/>
          <w:kern w:val="22"/>
          <w:szCs w:val="22"/>
        </w:rPr>
        <w:lastRenderedPageBreak/>
        <w:t>Good Practice Example – Malaysia’s 2017 VNR</w:t>
      </w:r>
    </w:p>
    <w:p w14:paraId="0E8896A6" w14:textId="77777777" w:rsidR="006D3E36" w:rsidRPr="003C10BC" w:rsidRDefault="006D3E36" w:rsidP="006D3E36">
      <w:pPr>
        <w:shd w:val="clear" w:color="auto" w:fill="FDE9D9" w:themeFill="accent6" w:themeFillTint="33"/>
        <w:rPr>
          <w:rFonts w:asciiTheme="majorHAnsi" w:hAnsiTheme="majorHAnsi" w:cstheme="majorHAnsi"/>
          <w:snapToGrid w:val="0"/>
          <w:kern w:val="22"/>
          <w:szCs w:val="22"/>
        </w:rPr>
      </w:pPr>
    </w:p>
    <w:p w14:paraId="0E8896A7" w14:textId="77777777" w:rsidR="006D3E36" w:rsidRPr="003C10BC" w:rsidRDefault="006D3E36" w:rsidP="006D3E36">
      <w:pPr>
        <w:shd w:val="clear" w:color="auto" w:fill="FDE9D9" w:themeFill="accent6" w:themeFillTint="33"/>
        <w:autoSpaceDE w:val="0"/>
        <w:autoSpaceDN w:val="0"/>
        <w:adjustRightInd w:val="0"/>
        <w:rPr>
          <w:rFonts w:asciiTheme="majorHAnsi" w:hAnsiTheme="majorHAnsi" w:cstheme="majorHAnsi"/>
          <w:snapToGrid w:val="0"/>
          <w:kern w:val="22"/>
          <w:szCs w:val="22"/>
        </w:rPr>
      </w:pPr>
      <w:r w:rsidRPr="003C10BC">
        <w:rPr>
          <w:rFonts w:asciiTheme="majorHAnsi" w:hAnsiTheme="majorHAnsi" w:cstheme="majorHAnsi"/>
          <w:snapToGrid w:val="0"/>
          <w:kern w:val="22"/>
          <w:szCs w:val="22"/>
        </w:rPr>
        <w:t xml:space="preserve">The </w:t>
      </w:r>
      <w:hyperlink r:id="rId92" w:history="1">
        <w:r w:rsidRPr="003C10BC">
          <w:rPr>
            <w:rStyle w:val="Hyperlink"/>
            <w:rFonts w:asciiTheme="majorHAnsi" w:hAnsiTheme="majorHAnsi" w:cstheme="majorHAnsi"/>
            <w:snapToGrid w:val="0"/>
            <w:kern w:val="22"/>
            <w:sz w:val="22"/>
            <w:szCs w:val="22"/>
          </w:rPr>
          <w:t>Malaysian 2017 VNR</w:t>
        </w:r>
      </w:hyperlink>
      <w:r w:rsidRPr="003C10BC">
        <w:rPr>
          <w:rFonts w:asciiTheme="majorHAnsi" w:hAnsiTheme="majorHAnsi" w:cstheme="majorHAnsi"/>
          <w:snapToGrid w:val="0"/>
          <w:kern w:val="22"/>
          <w:szCs w:val="22"/>
        </w:rPr>
        <w:t xml:space="preserve"> report is a good case example elaborating on the array of financing sources and mechanisms for the conservation and sustainable use of biodiversity. The report states:</w:t>
      </w:r>
    </w:p>
    <w:p w14:paraId="0E8896A8" w14:textId="77777777" w:rsidR="006D3E36" w:rsidRPr="003C10BC" w:rsidRDefault="006D3E36" w:rsidP="006D3E36">
      <w:pPr>
        <w:shd w:val="clear" w:color="auto" w:fill="FDE9D9" w:themeFill="accent6" w:themeFillTint="33"/>
        <w:autoSpaceDE w:val="0"/>
        <w:autoSpaceDN w:val="0"/>
        <w:adjustRightInd w:val="0"/>
        <w:rPr>
          <w:rFonts w:asciiTheme="majorHAnsi" w:hAnsiTheme="majorHAnsi" w:cstheme="majorHAnsi"/>
          <w:snapToGrid w:val="0"/>
          <w:kern w:val="22"/>
          <w:szCs w:val="22"/>
        </w:rPr>
      </w:pPr>
    </w:p>
    <w:p w14:paraId="0E8896A9" w14:textId="77777777" w:rsidR="006D3E36" w:rsidRPr="003C10BC" w:rsidRDefault="006D3E36" w:rsidP="006D3E36">
      <w:pPr>
        <w:shd w:val="clear" w:color="auto" w:fill="FDE9D9" w:themeFill="accent6" w:themeFillTint="33"/>
        <w:autoSpaceDE w:val="0"/>
        <w:autoSpaceDN w:val="0"/>
        <w:adjustRightInd w:val="0"/>
        <w:rPr>
          <w:rFonts w:asciiTheme="majorHAnsi" w:hAnsiTheme="majorHAnsi" w:cstheme="majorHAnsi"/>
          <w:i/>
          <w:snapToGrid w:val="0"/>
          <w:kern w:val="22"/>
          <w:szCs w:val="22"/>
          <w:lang w:val="en-US"/>
        </w:rPr>
      </w:pPr>
      <w:r w:rsidRPr="003C10BC">
        <w:rPr>
          <w:rFonts w:asciiTheme="majorHAnsi" w:hAnsiTheme="majorHAnsi" w:cstheme="majorHAnsi"/>
          <w:i/>
          <w:snapToGrid w:val="0"/>
          <w:kern w:val="22"/>
          <w:szCs w:val="22"/>
        </w:rPr>
        <w:t>“</w:t>
      </w:r>
      <w:r w:rsidRPr="003C10BC">
        <w:rPr>
          <w:rFonts w:asciiTheme="majorHAnsi" w:hAnsiTheme="majorHAnsi" w:cstheme="majorHAnsi"/>
          <w:i/>
          <w:snapToGrid w:val="0"/>
          <w:kern w:val="22"/>
          <w:szCs w:val="22"/>
          <w:lang w:val="en-US"/>
        </w:rPr>
        <w:t xml:space="preserve">Malaysia will need funding and technical assistance to develop national indicators and baselines to assess the progress of the 2030 Agenda and SDGs. </w:t>
      </w:r>
      <w:proofErr w:type="spellStart"/>
      <w:r w:rsidRPr="003C10BC">
        <w:rPr>
          <w:rFonts w:asciiTheme="majorHAnsi" w:hAnsiTheme="majorHAnsi" w:cstheme="majorHAnsi"/>
          <w:i/>
          <w:snapToGrid w:val="0"/>
          <w:kern w:val="22"/>
          <w:szCs w:val="22"/>
          <w:lang w:val="en-US"/>
        </w:rPr>
        <w:t>Channelling</w:t>
      </w:r>
      <w:proofErr w:type="spellEnd"/>
      <w:r w:rsidRPr="003C10BC">
        <w:rPr>
          <w:rFonts w:asciiTheme="majorHAnsi" w:hAnsiTheme="majorHAnsi" w:cstheme="majorHAnsi"/>
          <w:i/>
          <w:snapToGrid w:val="0"/>
          <w:kern w:val="22"/>
          <w:szCs w:val="22"/>
          <w:lang w:val="en-US"/>
        </w:rPr>
        <w:t xml:space="preserve"> resources to develop data for national indicators will be critical for evidence-based decisions and future plans. Technical assistance in developing proxy indicators may be needed in capacity building and “info-structure” development (e.g., using big data and open data for data collection). Innovative resource </w:t>
      </w:r>
      <w:proofErr w:type="spellStart"/>
      <w:r w:rsidRPr="003C10BC">
        <w:rPr>
          <w:rFonts w:asciiTheme="majorHAnsi" w:hAnsiTheme="majorHAnsi" w:cstheme="majorHAnsi"/>
          <w:i/>
          <w:snapToGrid w:val="0"/>
          <w:kern w:val="22"/>
          <w:szCs w:val="22"/>
          <w:lang w:val="en-US"/>
        </w:rPr>
        <w:t>mobilisation</w:t>
      </w:r>
      <w:proofErr w:type="spellEnd"/>
      <w:r w:rsidRPr="003C10BC">
        <w:rPr>
          <w:rFonts w:asciiTheme="majorHAnsi" w:hAnsiTheme="majorHAnsi" w:cstheme="majorHAnsi"/>
          <w:i/>
          <w:snapToGrid w:val="0"/>
          <w:kern w:val="22"/>
          <w:szCs w:val="22"/>
          <w:lang w:val="en-US"/>
        </w:rPr>
        <w:t xml:space="preserve"> is an area that requires technical and legal knowledge and funding. For example, in the environment sector, Malaysia is exploring alternative sources of financing through initiatives such as the Biodiversity Finance Initiative (BIOFIN), Reduced Emissions from Deforestation and Degradation (REDD+) and Payment for Ecosystem Services (PES). These pilot projects are instrumental to support </w:t>
      </w:r>
      <w:proofErr w:type="spellStart"/>
      <w:r w:rsidRPr="003C10BC">
        <w:rPr>
          <w:rFonts w:asciiTheme="majorHAnsi" w:hAnsiTheme="majorHAnsi" w:cstheme="majorHAnsi"/>
          <w:i/>
          <w:snapToGrid w:val="0"/>
          <w:kern w:val="22"/>
          <w:szCs w:val="22"/>
          <w:lang w:val="en-US"/>
        </w:rPr>
        <w:t>mobilisation</w:t>
      </w:r>
      <w:proofErr w:type="spellEnd"/>
      <w:r w:rsidRPr="003C10BC">
        <w:rPr>
          <w:rFonts w:asciiTheme="majorHAnsi" w:hAnsiTheme="majorHAnsi" w:cstheme="majorHAnsi"/>
          <w:i/>
          <w:snapToGrid w:val="0"/>
          <w:kern w:val="22"/>
          <w:szCs w:val="22"/>
          <w:lang w:val="en-US"/>
        </w:rPr>
        <w:t xml:space="preserve"> of additional resources.”</w:t>
      </w:r>
    </w:p>
    <w:p w14:paraId="0E8896AA" w14:textId="77777777" w:rsidR="006D3E36" w:rsidRPr="003C10BC" w:rsidRDefault="006D3E36" w:rsidP="006D3E36">
      <w:pPr>
        <w:shd w:val="clear" w:color="auto" w:fill="FDE9D9" w:themeFill="accent6" w:themeFillTint="33"/>
        <w:autoSpaceDE w:val="0"/>
        <w:autoSpaceDN w:val="0"/>
        <w:adjustRightInd w:val="0"/>
        <w:rPr>
          <w:rFonts w:asciiTheme="majorHAnsi" w:hAnsiTheme="majorHAnsi" w:cstheme="majorHAnsi"/>
          <w:i/>
          <w:snapToGrid w:val="0"/>
          <w:kern w:val="22"/>
          <w:szCs w:val="22"/>
          <w:lang w:val="en-US"/>
        </w:rPr>
      </w:pPr>
    </w:p>
    <w:p w14:paraId="0E8896AB" w14:textId="77777777" w:rsidR="006D3E36" w:rsidRPr="003C10BC" w:rsidRDefault="006D3E36" w:rsidP="006D3E36">
      <w:pPr>
        <w:autoSpaceDE w:val="0"/>
        <w:autoSpaceDN w:val="0"/>
        <w:adjustRightInd w:val="0"/>
        <w:rPr>
          <w:rFonts w:asciiTheme="majorHAnsi" w:hAnsiTheme="majorHAnsi" w:cstheme="majorHAnsi"/>
          <w:snapToGrid w:val="0"/>
          <w:kern w:val="22"/>
          <w:szCs w:val="22"/>
          <w:lang w:val="en-US"/>
        </w:rPr>
      </w:pPr>
    </w:p>
    <w:p w14:paraId="0E8896AC" w14:textId="77777777" w:rsidR="006D3E36" w:rsidRPr="003C10BC" w:rsidRDefault="006D3E36" w:rsidP="006D3E36">
      <w:pPr>
        <w:pStyle w:val="Heading1"/>
        <w:shd w:val="clear" w:color="auto" w:fill="DAEEF3" w:themeFill="accent5" w:themeFillTint="33"/>
        <w:rPr>
          <w:rFonts w:asciiTheme="majorHAnsi" w:hAnsiTheme="majorHAnsi" w:cstheme="majorHAnsi"/>
          <w:snapToGrid w:val="0"/>
          <w:kern w:val="22"/>
          <w:szCs w:val="22"/>
        </w:rPr>
      </w:pPr>
      <w:r w:rsidRPr="003C10BC">
        <w:rPr>
          <w:rFonts w:asciiTheme="majorHAnsi" w:hAnsiTheme="majorHAnsi" w:cstheme="majorHAnsi"/>
          <w:snapToGrid w:val="0"/>
          <w:kern w:val="22"/>
          <w:szCs w:val="22"/>
        </w:rPr>
        <w:t>8. Next steps</w:t>
      </w:r>
    </w:p>
    <w:p w14:paraId="0E8896AD" w14:textId="77777777" w:rsidR="006D3E36" w:rsidRPr="003C10BC" w:rsidRDefault="006D3E36" w:rsidP="006D3E36">
      <w:pPr>
        <w:rPr>
          <w:rFonts w:asciiTheme="majorHAnsi" w:hAnsiTheme="majorHAnsi" w:cstheme="majorHAnsi"/>
          <w:snapToGrid w:val="0"/>
          <w:kern w:val="22"/>
          <w:szCs w:val="22"/>
        </w:rPr>
      </w:pPr>
    </w:p>
    <w:p w14:paraId="0E8896AE" w14:textId="77777777" w:rsidR="006D3E36" w:rsidRPr="003C10BC" w:rsidRDefault="006D3E36" w:rsidP="006D3E36">
      <w:pPr>
        <w:rPr>
          <w:rFonts w:asciiTheme="majorHAnsi" w:hAnsiTheme="majorHAnsi" w:cstheme="majorHAnsi"/>
          <w:snapToGrid w:val="0"/>
          <w:kern w:val="22"/>
          <w:szCs w:val="22"/>
        </w:rPr>
      </w:pPr>
      <w:r w:rsidRPr="003C10BC">
        <w:rPr>
          <w:rFonts w:asciiTheme="majorHAnsi" w:hAnsiTheme="majorHAnsi" w:cstheme="majorHAnsi"/>
          <w:snapToGrid w:val="0"/>
          <w:kern w:val="22"/>
          <w:szCs w:val="22"/>
        </w:rPr>
        <w:t>This penultimate section of the VNR asks Member States to “outline what steps are planned to enhance the implementation of the 2030 Agenda” and also to “indicate how it is planned to keep the Goals under review at the national and sub-national levels, including dissemination of reviews and their findings.”</w:t>
      </w:r>
    </w:p>
    <w:p w14:paraId="0E8896AF" w14:textId="77777777" w:rsidR="006D3E36" w:rsidRPr="003C10BC" w:rsidRDefault="006D3E36" w:rsidP="006D3E36">
      <w:pPr>
        <w:rPr>
          <w:rFonts w:asciiTheme="majorHAnsi" w:hAnsiTheme="majorHAnsi" w:cstheme="majorHAnsi"/>
          <w:snapToGrid w:val="0"/>
          <w:kern w:val="22"/>
          <w:szCs w:val="22"/>
        </w:rPr>
      </w:pPr>
    </w:p>
    <w:p w14:paraId="0E8896B0"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In the context of the ‘Next Steps’ section of a VNR, Parties to the CBD could comment on how implementation of their National Biodiversity Strategy and Action Plan (NBSAP) and achievement of related targets align with and contribute to the 2030 Agenda and SDGs. Additionally, Parties to the CBD are also encouraged to draw on information from their Sixth National Report, as it becomes available (see Part 10 of this document), and likewise, information collected as part of the VNR could also be used in the sixth National Report.</w:t>
      </w:r>
    </w:p>
    <w:p w14:paraId="0E8896B1"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p>
    <w:p w14:paraId="0E8896B2"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Useful Resources:</w:t>
      </w:r>
    </w:p>
    <w:p w14:paraId="0E8896B3" w14:textId="77777777" w:rsidR="006D3E36" w:rsidRPr="003C10BC" w:rsidRDefault="003C10BC" w:rsidP="006D3E36">
      <w:pPr>
        <w:pStyle w:val="ListParagraph"/>
        <w:numPr>
          <w:ilvl w:val="0"/>
          <w:numId w:val="23"/>
        </w:numPr>
        <w:shd w:val="clear" w:color="auto" w:fill="F2DBDB" w:themeFill="accent2" w:themeFillTint="33"/>
        <w:ind w:right="855"/>
        <w:rPr>
          <w:rFonts w:asciiTheme="majorHAnsi" w:hAnsiTheme="majorHAnsi" w:cstheme="majorHAnsi"/>
          <w:snapToGrid w:val="0"/>
          <w:kern w:val="22"/>
          <w:szCs w:val="22"/>
        </w:rPr>
      </w:pPr>
      <w:hyperlink r:id="rId93" w:history="1">
        <w:r w:rsidR="006D3E36" w:rsidRPr="003C10BC">
          <w:rPr>
            <w:rStyle w:val="Hyperlink"/>
            <w:rFonts w:asciiTheme="majorHAnsi" w:hAnsiTheme="majorHAnsi" w:cstheme="majorHAnsi"/>
            <w:snapToGrid w:val="0"/>
            <w:kern w:val="22"/>
            <w:sz w:val="22"/>
            <w:szCs w:val="22"/>
          </w:rPr>
          <w:t>CBD Website: National Biodiversity Strategies and Action Plans (NBSAPs)</w:t>
        </w:r>
      </w:hyperlink>
    </w:p>
    <w:p w14:paraId="0E8896B4" w14:textId="77777777" w:rsidR="006D3E36" w:rsidRPr="003C10BC" w:rsidRDefault="003C10BC" w:rsidP="006D3E36">
      <w:pPr>
        <w:pStyle w:val="ListParagraph"/>
        <w:numPr>
          <w:ilvl w:val="0"/>
          <w:numId w:val="23"/>
        </w:numPr>
        <w:shd w:val="clear" w:color="auto" w:fill="F2DBDB" w:themeFill="accent2" w:themeFillTint="33"/>
        <w:ind w:right="855"/>
        <w:jc w:val="left"/>
        <w:rPr>
          <w:rFonts w:asciiTheme="majorHAnsi" w:hAnsiTheme="majorHAnsi" w:cstheme="majorHAnsi"/>
          <w:snapToGrid w:val="0"/>
          <w:kern w:val="22"/>
          <w:szCs w:val="22"/>
        </w:rPr>
      </w:pPr>
      <w:hyperlink r:id="rId94" w:history="1">
        <w:r w:rsidR="006D3E36" w:rsidRPr="003C10BC">
          <w:rPr>
            <w:rStyle w:val="Hyperlink"/>
            <w:rFonts w:asciiTheme="majorHAnsi" w:hAnsiTheme="majorHAnsi" w:cstheme="majorHAnsi"/>
            <w:snapToGrid w:val="0"/>
            <w:kern w:val="22"/>
            <w:sz w:val="22"/>
            <w:szCs w:val="22"/>
          </w:rPr>
          <w:t>Sixth National Report Information Portal</w:t>
        </w:r>
      </w:hyperlink>
      <w:r w:rsidR="006D3E36" w:rsidRPr="003C10BC">
        <w:rPr>
          <w:rFonts w:asciiTheme="majorHAnsi" w:hAnsiTheme="majorHAnsi" w:cstheme="majorHAnsi"/>
          <w:snapToGrid w:val="0"/>
          <w:kern w:val="22"/>
          <w:szCs w:val="22"/>
        </w:rPr>
        <w:t>, CBD</w:t>
      </w:r>
    </w:p>
    <w:p w14:paraId="0E8896B5"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p>
    <w:p w14:paraId="0E8896B6" w14:textId="77777777" w:rsidR="006D3E36" w:rsidRPr="003C10BC" w:rsidRDefault="006D3E36" w:rsidP="006D3E36">
      <w:pPr>
        <w:ind w:left="567" w:right="855"/>
        <w:rPr>
          <w:rFonts w:asciiTheme="majorHAnsi" w:hAnsiTheme="majorHAnsi" w:cstheme="majorHAnsi"/>
          <w:snapToGrid w:val="0"/>
          <w:kern w:val="22"/>
          <w:szCs w:val="22"/>
        </w:rPr>
      </w:pPr>
    </w:p>
    <w:p w14:paraId="0E8896B7" w14:textId="77777777" w:rsidR="006D3E36" w:rsidRPr="003C10BC" w:rsidRDefault="006D3E36" w:rsidP="006D3E36">
      <w:pPr>
        <w:pStyle w:val="Heading1"/>
        <w:shd w:val="clear" w:color="auto" w:fill="DAEEF3" w:themeFill="accent5" w:themeFillTint="33"/>
        <w:rPr>
          <w:rFonts w:asciiTheme="majorHAnsi" w:hAnsiTheme="majorHAnsi" w:cstheme="majorHAnsi"/>
          <w:snapToGrid w:val="0"/>
          <w:kern w:val="22"/>
          <w:szCs w:val="22"/>
        </w:rPr>
      </w:pPr>
      <w:r w:rsidRPr="003C10BC">
        <w:rPr>
          <w:rFonts w:asciiTheme="majorHAnsi" w:hAnsiTheme="majorHAnsi" w:cstheme="majorHAnsi"/>
          <w:snapToGrid w:val="0"/>
          <w:kern w:val="22"/>
          <w:szCs w:val="22"/>
        </w:rPr>
        <w:t>9. Conclusion</w:t>
      </w:r>
    </w:p>
    <w:p w14:paraId="0E8896B8" w14:textId="77777777" w:rsidR="006D3E36" w:rsidRPr="003C10BC" w:rsidRDefault="006D3E36" w:rsidP="006D3E36">
      <w:pPr>
        <w:rPr>
          <w:rFonts w:asciiTheme="majorHAnsi" w:hAnsiTheme="majorHAnsi" w:cstheme="majorHAnsi"/>
          <w:snapToGrid w:val="0"/>
          <w:kern w:val="22"/>
          <w:szCs w:val="22"/>
        </w:rPr>
      </w:pPr>
    </w:p>
    <w:p w14:paraId="0E8896B9" w14:textId="77777777" w:rsidR="006D3E36" w:rsidRPr="003C10BC" w:rsidRDefault="006D3E36" w:rsidP="006D3E36">
      <w:pPr>
        <w:rPr>
          <w:rFonts w:asciiTheme="majorHAnsi" w:hAnsiTheme="majorHAnsi" w:cstheme="majorHAnsi"/>
          <w:snapToGrid w:val="0"/>
          <w:kern w:val="22"/>
          <w:szCs w:val="22"/>
        </w:rPr>
      </w:pPr>
      <w:r w:rsidRPr="003C10BC">
        <w:rPr>
          <w:rFonts w:asciiTheme="majorHAnsi" w:hAnsiTheme="majorHAnsi" w:cstheme="majorHAnsi"/>
          <w:snapToGrid w:val="0"/>
          <w:kern w:val="22"/>
          <w:szCs w:val="22"/>
        </w:rPr>
        <w:t>UNDESA’s Voluntary Common Reporting Guidelines describes the ‘Conclusion’ section as an opportunity to “present a summary of the analysis, findings and policy implications” as well as to “discuss new or and emerging issues identified by the review.”</w:t>
      </w:r>
    </w:p>
    <w:p w14:paraId="0E8896BA"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In the context of the “Conclusion” section of a VNR, and in relation to emerging issues, Parties to the CBD could discuss relevant linkages to the post-2020 strategic framework.</w:t>
      </w:r>
    </w:p>
    <w:p w14:paraId="0E8896BB"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p>
    <w:p w14:paraId="0E8896BC"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 xml:space="preserve">The fifteenth meeting of the Conference of the Parties in 2020 is expected to update the Convention’s strategic plan. This would be done in the context of the </w:t>
      </w:r>
      <w:hyperlink r:id="rId95" w:anchor="II" w:history="1">
        <w:r w:rsidRPr="003C10BC">
          <w:rPr>
            <w:rStyle w:val="Hyperlink"/>
            <w:rFonts w:asciiTheme="majorHAnsi" w:hAnsiTheme="majorHAnsi" w:cstheme="majorHAnsi"/>
            <w:snapToGrid w:val="0"/>
            <w:kern w:val="22"/>
            <w:sz w:val="22"/>
            <w:szCs w:val="22"/>
          </w:rPr>
          <w:t xml:space="preserve">2050 Vision </w:t>
        </w:r>
      </w:hyperlink>
      <w:r w:rsidRPr="003C10BC">
        <w:rPr>
          <w:rFonts w:asciiTheme="majorHAnsi" w:hAnsiTheme="majorHAnsi" w:cstheme="majorHAnsi"/>
          <w:snapToGrid w:val="0"/>
          <w:kern w:val="22"/>
          <w:szCs w:val="22"/>
        </w:rPr>
        <w:t xml:space="preserve">of the current </w:t>
      </w:r>
      <w:hyperlink r:id="rId96" w:history="1">
        <w:r w:rsidRPr="003C10BC">
          <w:rPr>
            <w:rStyle w:val="Hyperlink"/>
            <w:rFonts w:asciiTheme="majorHAnsi" w:hAnsiTheme="majorHAnsi" w:cstheme="majorHAnsi"/>
            <w:snapToGrid w:val="0"/>
            <w:kern w:val="22"/>
            <w:sz w:val="22"/>
            <w:szCs w:val="22"/>
          </w:rPr>
          <w:t>Strategic Plan for Biodiversity 2011-2020</w:t>
        </w:r>
      </w:hyperlink>
      <w:r w:rsidRPr="003C10BC">
        <w:rPr>
          <w:rFonts w:asciiTheme="majorHAnsi" w:hAnsiTheme="majorHAnsi" w:cstheme="majorHAnsi"/>
          <w:snapToGrid w:val="0"/>
          <w:kern w:val="22"/>
          <w:szCs w:val="22"/>
        </w:rPr>
        <w:t xml:space="preserve"> as well the 2030 Agenda for Sustainable Development and other relevant international processes, and in the light of an </w:t>
      </w:r>
      <w:r w:rsidRPr="003C10BC">
        <w:rPr>
          <w:rFonts w:asciiTheme="majorHAnsi" w:hAnsiTheme="majorHAnsi" w:cstheme="majorHAnsi"/>
          <w:snapToGrid w:val="0"/>
          <w:kern w:val="22"/>
          <w:szCs w:val="22"/>
        </w:rPr>
        <w:lastRenderedPageBreak/>
        <w:t xml:space="preserve">assessment of progress in achieving the goals and </w:t>
      </w:r>
      <w:hyperlink r:id="rId97" w:history="1">
        <w:r w:rsidRPr="003C10BC">
          <w:rPr>
            <w:rStyle w:val="Hyperlink"/>
            <w:rFonts w:asciiTheme="majorHAnsi" w:hAnsiTheme="majorHAnsi" w:cstheme="majorHAnsi"/>
            <w:snapToGrid w:val="0"/>
            <w:kern w:val="22"/>
            <w:sz w:val="22"/>
            <w:szCs w:val="22"/>
          </w:rPr>
          <w:t>Aichi Biodiversity Targets</w:t>
        </w:r>
      </w:hyperlink>
      <w:r w:rsidRPr="003C10BC">
        <w:rPr>
          <w:rFonts w:asciiTheme="majorHAnsi" w:hAnsiTheme="majorHAnsi" w:cstheme="majorHAnsi"/>
          <w:snapToGrid w:val="0"/>
          <w:kern w:val="22"/>
          <w:szCs w:val="22"/>
        </w:rPr>
        <w:t xml:space="preserve"> of the current plan as well as of </w:t>
      </w:r>
      <w:hyperlink r:id="rId98" w:history="1">
        <w:r w:rsidRPr="003C10BC">
          <w:rPr>
            <w:rStyle w:val="Hyperlink"/>
            <w:rFonts w:asciiTheme="majorHAnsi" w:hAnsiTheme="majorHAnsi" w:cstheme="majorHAnsi"/>
            <w:snapToGrid w:val="0"/>
            <w:kern w:val="22"/>
            <w:sz w:val="22"/>
            <w:szCs w:val="22"/>
          </w:rPr>
          <w:t>future scenarios of change</w:t>
        </w:r>
      </w:hyperlink>
      <w:r w:rsidRPr="003C10BC">
        <w:rPr>
          <w:rFonts w:asciiTheme="majorHAnsi" w:hAnsiTheme="majorHAnsi" w:cstheme="majorHAnsi"/>
          <w:snapToGrid w:val="0"/>
          <w:kern w:val="22"/>
          <w:szCs w:val="22"/>
        </w:rPr>
        <w:t>.</w:t>
      </w:r>
    </w:p>
    <w:p w14:paraId="0E8896BD"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p>
    <w:p w14:paraId="0E8896BE"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Useful Resources:</w:t>
      </w:r>
    </w:p>
    <w:p w14:paraId="0E8896BF" w14:textId="77777777" w:rsidR="006D3E36" w:rsidRPr="003C10BC" w:rsidRDefault="003C10BC" w:rsidP="006D3E36">
      <w:pPr>
        <w:pStyle w:val="ListParagraph"/>
        <w:numPr>
          <w:ilvl w:val="0"/>
          <w:numId w:val="24"/>
        </w:numPr>
        <w:shd w:val="clear" w:color="auto" w:fill="F2DBDB" w:themeFill="accent2" w:themeFillTint="33"/>
        <w:ind w:right="855"/>
        <w:jc w:val="left"/>
        <w:rPr>
          <w:rFonts w:asciiTheme="majorHAnsi" w:hAnsiTheme="majorHAnsi" w:cstheme="majorHAnsi"/>
          <w:snapToGrid w:val="0"/>
          <w:kern w:val="22"/>
          <w:szCs w:val="22"/>
        </w:rPr>
      </w:pPr>
      <w:hyperlink r:id="rId99" w:history="1">
        <w:r w:rsidR="006D3E36" w:rsidRPr="003C10BC">
          <w:rPr>
            <w:rStyle w:val="Hyperlink"/>
            <w:rFonts w:asciiTheme="majorHAnsi" w:hAnsiTheme="majorHAnsi" w:cstheme="majorHAnsi"/>
            <w:snapToGrid w:val="0"/>
            <w:kern w:val="22"/>
            <w:sz w:val="22"/>
            <w:szCs w:val="22"/>
          </w:rPr>
          <w:t>UNCBD Post 2020 Website</w:t>
        </w:r>
      </w:hyperlink>
    </w:p>
    <w:p w14:paraId="0E8896C0" w14:textId="77777777" w:rsidR="006D3E36" w:rsidRPr="003C10BC" w:rsidRDefault="003C10BC" w:rsidP="006D3E36">
      <w:pPr>
        <w:pStyle w:val="ListParagraph"/>
        <w:numPr>
          <w:ilvl w:val="0"/>
          <w:numId w:val="24"/>
        </w:numPr>
        <w:shd w:val="clear" w:color="auto" w:fill="F2DBDB" w:themeFill="accent2" w:themeFillTint="33"/>
        <w:ind w:right="855"/>
        <w:jc w:val="left"/>
        <w:rPr>
          <w:rFonts w:asciiTheme="majorHAnsi" w:hAnsiTheme="majorHAnsi" w:cstheme="majorHAnsi"/>
          <w:snapToGrid w:val="0"/>
          <w:kern w:val="22"/>
          <w:szCs w:val="22"/>
        </w:rPr>
      </w:pPr>
      <w:hyperlink r:id="rId100" w:history="1">
        <w:r w:rsidR="006D3E36" w:rsidRPr="003C10BC">
          <w:rPr>
            <w:rStyle w:val="Hyperlink"/>
            <w:rFonts w:asciiTheme="majorHAnsi" w:hAnsiTheme="majorHAnsi" w:cstheme="majorHAnsi"/>
            <w:snapToGrid w:val="0"/>
            <w:kern w:val="22"/>
            <w:sz w:val="22"/>
            <w:szCs w:val="22"/>
          </w:rPr>
          <w:t>Strategic Plan for Biodiversity 2011-2020</w:t>
        </w:r>
      </w:hyperlink>
    </w:p>
    <w:p w14:paraId="0E8896C1" w14:textId="77777777" w:rsidR="006D3E36" w:rsidRPr="003C10BC" w:rsidRDefault="003C10BC" w:rsidP="006D3E36">
      <w:pPr>
        <w:pStyle w:val="ListParagraph"/>
        <w:numPr>
          <w:ilvl w:val="0"/>
          <w:numId w:val="24"/>
        </w:numPr>
        <w:shd w:val="clear" w:color="auto" w:fill="F2DBDB" w:themeFill="accent2" w:themeFillTint="33"/>
        <w:ind w:right="855"/>
        <w:jc w:val="left"/>
        <w:rPr>
          <w:rFonts w:asciiTheme="majorHAnsi" w:hAnsiTheme="majorHAnsi" w:cstheme="majorHAnsi"/>
          <w:snapToGrid w:val="0"/>
          <w:kern w:val="22"/>
          <w:szCs w:val="22"/>
        </w:rPr>
      </w:pPr>
      <w:hyperlink r:id="rId101" w:history="1">
        <w:r w:rsidR="006D3E36" w:rsidRPr="003C10BC">
          <w:rPr>
            <w:rStyle w:val="Hyperlink"/>
            <w:rFonts w:asciiTheme="majorHAnsi" w:hAnsiTheme="majorHAnsi" w:cstheme="majorHAnsi"/>
            <w:snapToGrid w:val="0"/>
            <w:kern w:val="22"/>
            <w:sz w:val="22"/>
            <w:szCs w:val="22"/>
          </w:rPr>
          <w:t xml:space="preserve">CBD/SBSTTA/21/2, </w:t>
        </w:r>
      </w:hyperlink>
      <w:hyperlink r:id="rId102" w:history="1">
        <w:r w:rsidR="006D3E36" w:rsidRPr="003C10BC">
          <w:rPr>
            <w:rStyle w:val="Hyperlink"/>
            <w:rFonts w:asciiTheme="majorHAnsi" w:hAnsiTheme="majorHAnsi" w:cstheme="majorHAnsi"/>
            <w:snapToGrid w:val="0"/>
            <w:kern w:val="22"/>
            <w:sz w:val="22"/>
            <w:szCs w:val="22"/>
          </w:rPr>
          <w:t>Scenarios for the 2050 Vision for Biodiversity</w:t>
        </w:r>
      </w:hyperlink>
    </w:p>
    <w:p w14:paraId="0E8896C2"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p>
    <w:p w14:paraId="0E8896C3" w14:textId="77777777" w:rsidR="006D3E36" w:rsidRPr="003C10BC" w:rsidRDefault="006D3E36" w:rsidP="006D3E36">
      <w:pPr>
        <w:rPr>
          <w:rFonts w:asciiTheme="majorHAnsi" w:hAnsiTheme="majorHAnsi" w:cstheme="majorHAnsi"/>
          <w:snapToGrid w:val="0"/>
          <w:kern w:val="22"/>
          <w:szCs w:val="22"/>
        </w:rPr>
      </w:pPr>
    </w:p>
    <w:p w14:paraId="0E8896C5" w14:textId="77777777" w:rsidR="006D3E36" w:rsidRPr="003C10BC" w:rsidRDefault="006D3E36" w:rsidP="006D3E36">
      <w:pPr>
        <w:pStyle w:val="Heading1"/>
        <w:shd w:val="clear" w:color="auto" w:fill="DAEEF3" w:themeFill="accent5" w:themeFillTint="33"/>
        <w:rPr>
          <w:rFonts w:asciiTheme="majorHAnsi" w:hAnsiTheme="majorHAnsi" w:cstheme="majorHAnsi"/>
          <w:snapToGrid w:val="0"/>
          <w:kern w:val="22"/>
          <w:szCs w:val="22"/>
        </w:rPr>
      </w:pPr>
      <w:r w:rsidRPr="003C10BC">
        <w:rPr>
          <w:rFonts w:asciiTheme="majorHAnsi" w:hAnsiTheme="majorHAnsi" w:cstheme="majorHAnsi"/>
          <w:snapToGrid w:val="0"/>
          <w:kern w:val="22"/>
          <w:szCs w:val="22"/>
        </w:rPr>
        <w:t>10. Annexes</w:t>
      </w:r>
    </w:p>
    <w:p w14:paraId="0E8896C6" w14:textId="77777777" w:rsidR="006D3E36" w:rsidRPr="003C10BC" w:rsidRDefault="006D3E36" w:rsidP="006D3E36">
      <w:pPr>
        <w:rPr>
          <w:rFonts w:asciiTheme="majorHAnsi" w:hAnsiTheme="majorHAnsi" w:cstheme="majorHAnsi"/>
          <w:snapToGrid w:val="0"/>
          <w:kern w:val="22"/>
          <w:szCs w:val="22"/>
        </w:rPr>
      </w:pPr>
    </w:p>
    <w:p w14:paraId="0E8896C7" w14:textId="77777777" w:rsidR="006D3E36" w:rsidRPr="003C10BC" w:rsidRDefault="006D3E36" w:rsidP="006D3E36">
      <w:pPr>
        <w:rPr>
          <w:rFonts w:asciiTheme="majorHAnsi" w:hAnsiTheme="majorHAnsi" w:cstheme="majorHAnsi"/>
          <w:snapToGrid w:val="0"/>
          <w:kern w:val="22"/>
          <w:szCs w:val="22"/>
        </w:rPr>
      </w:pPr>
      <w:r w:rsidRPr="003C10BC">
        <w:rPr>
          <w:rFonts w:asciiTheme="majorHAnsi" w:hAnsiTheme="majorHAnsi" w:cstheme="majorHAnsi"/>
          <w:snapToGrid w:val="0"/>
          <w:kern w:val="22"/>
          <w:szCs w:val="22"/>
        </w:rPr>
        <w:t>The annex of a VNR is an important part of the report and UNDESA’s guidance notes that it “may include an annex with data, using the global Sustainable Development Goal indicators and adding priority indicators identified at the regional and national levels where appropriate.”</w:t>
      </w:r>
    </w:p>
    <w:p w14:paraId="0E8896C8" w14:textId="77777777" w:rsidR="006D3E36" w:rsidRPr="003C10BC" w:rsidRDefault="006D3E36" w:rsidP="006D3E36">
      <w:pPr>
        <w:rPr>
          <w:rFonts w:asciiTheme="majorHAnsi" w:hAnsiTheme="majorHAnsi" w:cstheme="majorHAnsi"/>
          <w:snapToGrid w:val="0"/>
          <w:kern w:val="22"/>
          <w:szCs w:val="22"/>
        </w:rPr>
      </w:pPr>
    </w:p>
    <w:p w14:paraId="0E8896C9"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In the context of the data “Annexes” of a VNR, in addition to reporting on the SDG indicator list developed by the Inter-agency and Expert Group on SDG Indicators (</w:t>
      </w:r>
      <w:hyperlink r:id="rId103" w:history="1">
        <w:r w:rsidRPr="003C10BC">
          <w:rPr>
            <w:rStyle w:val="Hyperlink"/>
            <w:rFonts w:asciiTheme="majorHAnsi" w:hAnsiTheme="majorHAnsi" w:cstheme="majorHAnsi"/>
            <w:snapToGrid w:val="0"/>
            <w:kern w:val="22"/>
            <w:sz w:val="22"/>
            <w:szCs w:val="22"/>
          </w:rPr>
          <w:t>IAEG-SDGs</w:t>
        </w:r>
      </w:hyperlink>
      <w:r w:rsidRPr="003C10BC">
        <w:rPr>
          <w:rFonts w:asciiTheme="majorHAnsi" w:hAnsiTheme="majorHAnsi" w:cstheme="majorHAnsi"/>
          <w:snapToGrid w:val="0"/>
          <w:kern w:val="22"/>
          <w:szCs w:val="22"/>
        </w:rPr>
        <w:t>), Parties to the CBD are encouraged to draw on indicators used in their Sixth National Report. Relating to the Sixth National Report, Parties to the Convention “</w:t>
      </w:r>
      <w:r w:rsidRPr="003C10BC">
        <w:rPr>
          <w:rFonts w:asciiTheme="majorHAnsi" w:hAnsiTheme="majorHAnsi" w:cstheme="majorHAnsi"/>
          <w:i/>
          <w:snapToGrid w:val="0"/>
          <w:kern w:val="22"/>
          <w:szCs w:val="22"/>
        </w:rPr>
        <w:t xml:space="preserve">Encourages </w:t>
      </w:r>
      <w:r w:rsidRPr="003C10BC">
        <w:rPr>
          <w:rFonts w:asciiTheme="majorHAnsi" w:hAnsiTheme="majorHAnsi" w:cstheme="majorHAnsi"/>
          <w:snapToGrid w:val="0"/>
          <w:kern w:val="22"/>
          <w:szCs w:val="22"/>
        </w:rPr>
        <w:t xml:space="preserve">Parties to submit their sixth national report by 31 December 2018, taking into account preparations for the fifth edition of the </w:t>
      </w:r>
      <w:r w:rsidRPr="003C10BC">
        <w:rPr>
          <w:rFonts w:asciiTheme="majorHAnsi" w:hAnsiTheme="majorHAnsi" w:cstheme="majorHAnsi"/>
          <w:i/>
          <w:snapToGrid w:val="0"/>
          <w:kern w:val="22"/>
          <w:szCs w:val="22"/>
        </w:rPr>
        <w:t>Global Biodiversity Outlook</w:t>
      </w:r>
      <w:r w:rsidRPr="003C10BC">
        <w:rPr>
          <w:rFonts w:asciiTheme="majorHAnsi" w:hAnsiTheme="majorHAnsi" w:cstheme="majorHAnsi"/>
          <w:snapToGrid w:val="0"/>
          <w:kern w:val="22"/>
          <w:szCs w:val="22"/>
        </w:rPr>
        <w:t xml:space="preserve">, and </w:t>
      </w:r>
      <w:r w:rsidRPr="003C10BC">
        <w:rPr>
          <w:rFonts w:asciiTheme="majorHAnsi" w:hAnsiTheme="majorHAnsi" w:cstheme="majorHAnsi"/>
          <w:i/>
          <w:snapToGrid w:val="0"/>
          <w:kern w:val="22"/>
          <w:szCs w:val="22"/>
        </w:rPr>
        <w:t>encourages</w:t>
      </w:r>
      <w:r w:rsidRPr="003C10BC">
        <w:rPr>
          <w:rFonts w:asciiTheme="majorHAnsi" w:hAnsiTheme="majorHAnsi" w:cstheme="majorHAnsi"/>
          <w:snapToGrid w:val="0"/>
          <w:kern w:val="22"/>
          <w:szCs w:val="22"/>
        </w:rPr>
        <w:t xml:space="preserve"> Parties to submit elements of their sixth national report as soon as they are ready, as appropriate, through the voluntary online reporting tool.”</w:t>
      </w:r>
    </w:p>
    <w:p w14:paraId="0E8896CA"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(para. 3, CBD/COP/DEC/XIII/27)</w:t>
      </w:r>
    </w:p>
    <w:p w14:paraId="0E8896CB"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p>
    <w:p w14:paraId="0E8896CC"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Furthermore, member States are encouraged to draw on data from the regional assessments of the Intergovernmental Science-Policy Platform on Biodiversity and Ecosystem Services (IPBES), and also take into account preparations for the</w:t>
      </w:r>
      <w:hyperlink r:id="rId104" w:history="1">
        <w:r w:rsidRPr="003C10BC">
          <w:rPr>
            <w:rStyle w:val="Hyperlink"/>
            <w:rFonts w:asciiTheme="majorHAnsi" w:hAnsiTheme="majorHAnsi" w:cstheme="majorHAnsi"/>
            <w:snapToGrid w:val="0"/>
            <w:kern w:val="22"/>
            <w:sz w:val="22"/>
            <w:szCs w:val="22"/>
          </w:rPr>
          <w:t xml:space="preserve"> fifth edition of the </w:t>
        </w:r>
        <w:r w:rsidRPr="003C10BC">
          <w:rPr>
            <w:rStyle w:val="Hyperlink"/>
            <w:rFonts w:asciiTheme="majorHAnsi" w:hAnsiTheme="majorHAnsi" w:cstheme="majorHAnsi"/>
            <w:i/>
            <w:snapToGrid w:val="0"/>
            <w:kern w:val="22"/>
            <w:sz w:val="22"/>
            <w:szCs w:val="22"/>
          </w:rPr>
          <w:t>Global Biodiversity Outlook</w:t>
        </w:r>
      </w:hyperlink>
      <w:r w:rsidRPr="003C10BC">
        <w:rPr>
          <w:rFonts w:asciiTheme="majorHAnsi" w:hAnsiTheme="majorHAnsi" w:cstheme="majorHAnsi"/>
          <w:i/>
          <w:snapToGrid w:val="0"/>
          <w:kern w:val="22"/>
          <w:szCs w:val="22"/>
        </w:rPr>
        <w:t xml:space="preserve"> </w:t>
      </w:r>
      <w:r w:rsidRPr="003C10BC">
        <w:rPr>
          <w:rFonts w:asciiTheme="majorHAnsi" w:hAnsiTheme="majorHAnsi" w:cstheme="majorHAnsi"/>
          <w:snapToGrid w:val="0"/>
          <w:kern w:val="22"/>
          <w:szCs w:val="22"/>
        </w:rPr>
        <w:t xml:space="preserve">and other indicators shared through the </w:t>
      </w:r>
      <w:hyperlink r:id="rId105" w:history="1">
        <w:r w:rsidRPr="003C10BC">
          <w:rPr>
            <w:rStyle w:val="Hyperlink"/>
            <w:rFonts w:asciiTheme="majorHAnsi" w:hAnsiTheme="majorHAnsi" w:cstheme="majorHAnsi"/>
            <w:i/>
            <w:snapToGrid w:val="0"/>
            <w:kern w:val="22"/>
            <w:sz w:val="22"/>
            <w:szCs w:val="22"/>
          </w:rPr>
          <w:t>Biodiversity Indicators Partnership</w:t>
        </w:r>
      </w:hyperlink>
      <w:r w:rsidRPr="003C10BC">
        <w:rPr>
          <w:rFonts w:asciiTheme="majorHAnsi" w:hAnsiTheme="majorHAnsi" w:cstheme="majorHAnsi"/>
          <w:snapToGrid w:val="0"/>
          <w:kern w:val="22"/>
          <w:szCs w:val="22"/>
        </w:rPr>
        <w:t xml:space="preserve">. </w:t>
      </w:r>
    </w:p>
    <w:p w14:paraId="0E8896CD"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p>
    <w:p w14:paraId="0E8896CE"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r w:rsidRPr="003C10BC">
        <w:rPr>
          <w:rFonts w:asciiTheme="majorHAnsi" w:hAnsiTheme="majorHAnsi" w:cstheme="majorHAnsi"/>
          <w:snapToGrid w:val="0"/>
          <w:kern w:val="22"/>
          <w:szCs w:val="22"/>
        </w:rPr>
        <w:t>Useful Resources:</w:t>
      </w:r>
    </w:p>
    <w:p w14:paraId="0E8896CF" w14:textId="77777777" w:rsidR="006D3E36" w:rsidRPr="003C10BC" w:rsidRDefault="003C10BC" w:rsidP="006D3E36">
      <w:pPr>
        <w:pStyle w:val="ListParagraph"/>
        <w:numPr>
          <w:ilvl w:val="0"/>
          <w:numId w:val="22"/>
        </w:numPr>
        <w:shd w:val="clear" w:color="auto" w:fill="F2DBDB" w:themeFill="accent2" w:themeFillTint="33"/>
        <w:ind w:right="855"/>
        <w:jc w:val="left"/>
        <w:rPr>
          <w:rFonts w:asciiTheme="majorHAnsi" w:hAnsiTheme="majorHAnsi" w:cstheme="majorHAnsi"/>
          <w:snapToGrid w:val="0"/>
          <w:kern w:val="22"/>
          <w:szCs w:val="22"/>
        </w:rPr>
      </w:pPr>
      <w:hyperlink r:id="rId106" w:history="1">
        <w:r w:rsidR="006D3E36" w:rsidRPr="003C10BC">
          <w:rPr>
            <w:rStyle w:val="Hyperlink"/>
            <w:rFonts w:asciiTheme="majorHAnsi" w:hAnsiTheme="majorHAnsi" w:cstheme="majorHAnsi"/>
            <w:snapToGrid w:val="0"/>
            <w:kern w:val="22"/>
            <w:sz w:val="22"/>
            <w:szCs w:val="22"/>
          </w:rPr>
          <w:t>Sixth National Report Information Portal</w:t>
        </w:r>
      </w:hyperlink>
      <w:r w:rsidR="006D3E36" w:rsidRPr="003C10BC">
        <w:rPr>
          <w:rFonts w:asciiTheme="majorHAnsi" w:hAnsiTheme="majorHAnsi" w:cstheme="majorHAnsi"/>
          <w:snapToGrid w:val="0"/>
          <w:kern w:val="22"/>
          <w:szCs w:val="22"/>
        </w:rPr>
        <w:t>, CBD</w:t>
      </w:r>
    </w:p>
    <w:p w14:paraId="0E8896D0" w14:textId="77777777" w:rsidR="006D3E36" w:rsidRPr="003C10BC" w:rsidRDefault="003C10BC" w:rsidP="006D3E36">
      <w:pPr>
        <w:pStyle w:val="ListParagraph"/>
        <w:numPr>
          <w:ilvl w:val="0"/>
          <w:numId w:val="22"/>
        </w:numPr>
        <w:shd w:val="clear" w:color="auto" w:fill="F2DBDB" w:themeFill="accent2" w:themeFillTint="33"/>
        <w:ind w:right="855"/>
        <w:jc w:val="left"/>
        <w:rPr>
          <w:rFonts w:asciiTheme="majorHAnsi" w:hAnsiTheme="majorHAnsi" w:cstheme="majorHAnsi"/>
          <w:snapToGrid w:val="0"/>
          <w:kern w:val="22"/>
          <w:szCs w:val="22"/>
        </w:rPr>
      </w:pPr>
      <w:hyperlink r:id="rId107" w:history="1">
        <w:r w:rsidR="006D3E36" w:rsidRPr="003C10BC">
          <w:rPr>
            <w:rStyle w:val="Hyperlink"/>
            <w:rFonts w:asciiTheme="majorHAnsi" w:hAnsiTheme="majorHAnsi" w:cstheme="majorHAnsi"/>
            <w:snapToGrid w:val="0"/>
            <w:kern w:val="22"/>
            <w:sz w:val="22"/>
            <w:szCs w:val="22"/>
          </w:rPr>
          <w:t>Reporting Guidelines for the Sixth National Report</w:t>
        </w:r>
      </w:hyperlink>
      <w:r w:rsidR="006D3E36" w:rsidRPr="003C10BC">
        <w:rPr>
          <w:rFonts w:asciiTheme="majorHAnsi" w:hAnsiTheme="majorHAnsi" w:cstheme="majorHAnsi"/>
          <w:snapToGrid w:val="0"/>
          <w:kern w:val="22"/>
          <w:szCs w:val="22"/>
        </w:rPr>
        <w:t>, CBD</w:t>
      </w:r>
    </w:p>
    <w:p w14:paraId="0E8896D1" w14:textId="77777777" w:rsidR="006D3E36" w:rsidRPr="003C10BC" w:rsidRDefault="003C10BC" w:rsidP="006D3E36">
      <w:pPr>
        <w:pStyle w:val="ListParagraph"/>
        <w:numPr>
          <w:ilvl w:val="0"/>
          <w:numId w:val="22"/>
        </w:numPr>
        <w:shd w:val="clear" w:color="auto" w:fill="F2DBDB" w:themeFill="accent2" w:themeFillTint="33"/>
        <w:ind w:right="855"/>
        <w:jc w:val="left"/>
        <w:rPr>
          <w:rFonts w:asciiTheme="majorHAnsi" w:hAnsiTheme="majorHAnsi" w:cstheme="majorHAnsi"/>
          <w:snapToGrid w:val="0"/>
          <w:kern w:val="22"/>
          <w:szCs w:val="22"/>
        </w:rPr>
      </w:pPr>
      <w:hyperlink r:id="rId108" w:history="1">
        <w:r w:rsidR="006D3E36" w:rsidRPr="003C10BC">
          <w:rPr>
            <w:rStyle w:val="Hyperlink"/>
            <w:rFonts w:asciiTheme="majorHAnsi" w:hAnsiTheme="majorHAnsi" w:cstheme="majorHAnsi"/>
            <w:snapToGrid w:val="0"/>
            <w:kern w:val="22"/>
            <w:sz w:val="22"/>
            <w:szCs w:val="22"/>
          </w:rPr>
          <w:t>Resource Manual for the Sixth National Report</w:t>
        </w:r>
      </w:hyperlink>
      <w:r w:rsidR="006D3E36" w:rsidRPr="003C10BC">
        <w:rPr>
          <w:rFonts w:asciiTheme="majorHAnsi" w:hAnsiTheme="majorHAnsi" w:cstheme="majorHAnsi"/>
          <w:snapToGrid w:val="0"/>
          <w:kern w:val="22"/>
          <w:szCs w:val="22"/>
        </w:rPr>
        <w:t>, CBD</w:t>
      </w:r>
    </w:p>
    <w:p w14:paraId="0E8896D2" w14:textId="77777777" w:rsidR="006D3E36" w:rsidRPr="003C10BC" w:rsidRDefault="003C10BC" w:rsidP="006D3E36">
      <w:pPr>
        <w:pStyle w:val="ListParagraph"/>
        <w:numPr>
          <w:ilvl w:val="0"/>
          <w:numId w:val="22"/>
        </w:numPr>
        <w:shd w:val="clear" w:color="auto" w:fill="F2DBDB" w:themeFill="accent2" w:themeFillTint="33"/>
        <w:ind w:right="855"/>
        <w:jc w:val="left"/>
        <w:rPr>
          <w:rFonts w:asciiTheme="majorHAnsi" w:hAnsiTheme="majorHAnsi" w:cstheme="majorHAnsi"/>
          <w:snapToGrid w:val="0"/>
          <w:kern w:val="22"/>
          <w:szCs w:val="22"/>
        </w:rPr>
      </w:pPr>
      <w:hyperlink r:id="rId109" w:history="1">
        <w:r w:rsidR="006D3E36" w:rsidRPr="003C10BC">
          <w:rPr>
            <w:rStyle w:val="Hyperlink"/>
            <w:rFonts w:asciiTheme="majorHAnsi" w:hAnsiTheme="majorHAnsi" w:cstheme="majorHAnsi"/>
            <w:snapToGrid w:val="0"/>
            <w:kern w:val="22"/>
            <w:sz w:val="22"/>
            <w:szCs w:val="22"/>
          </w:rPr>
          <w:t>Technical Note: Biodiversity and the 2030 Agenda for Sustainable Development</w:t>
        </w:r>
      </w:hyperlink>
      <w:r w:rsidR="006D3E36" w:rsidRPr="003C10BC">
        <w:rPr>
          <w:rFonts w:asciiTheme="majorHAnsi" w:hAnsiTheme="majorHAnsi" w:cstheme="majorHAnsi"/>
          <w:snapToGrid w:val="0"/>
          <w:kern w:val="22"/>
          <w:szCs w:val="22"/>
        </w:rPr>
        <w:t>, CBD and Partners</w:t>
      </w:r>
    </w:p>
    <w:p w14:paraId="0E8896D3" w14:textId="77777777" w:rsidR="006D3E36" w:rsidRPr="003C10BC" w:rsidRDefault="003C10BC" w:rsidP="006D3E36">
      <w:pPr>
        <w:pStyle w:val="ListParagraph"/>
        <w:numPr>
          <w:ilvl w:val="0"/>
          <w:numId w:val="22"/>
        </w:numPr>
        <w:shd w:val="clear" w:color="auto" w:fill="F2DBDB" w:themeFill="accent2" w:themeFillTint="33"/>
        <w:ind w:right="855"/>
        <w:jc w:val="left"/>
        <w:rPr>
          <w:rFonts w:asciiTheme="majorHAnsi" w:hAnsiTheme="majorHAnsi" w:cstheme="majorHAnsi"/>
          <w:snapToGrid w:val="0"/>
          <w:kern w:val="22"/>
          <w:szCs w:val="22"/>
        </w:rPr>
      </w:pPr>
      <w:hyperlink r:id="rId110" w:history="1">
        <w:r w:rsidR="006D3E36" w:rsidRPr="003C10BC">
          <w:rPr>
            <w:rStyle w:val="Hyperlink"/>
            <w:rFonts w:asciiTheme="majorHAnsi" w:hAnsiTheme="majorHAnsi" w:cstheme="majorHAnsi"/>
            <w:snapToGrid w:val="0"/>
            <w:kern w:val="22"/>
            <w:sz w:val="22"/>
            <w:szCs w:val="22"/>
          </w:rPr>
          <w:t>The 2030 Agenda and Ecosystems</w:t>
        </w:r>
      </w:hyperlink>
      <w:r w:rsidR="006D3E36" w:rsidRPr="003C10BC">
        <w:rPr>
          <w:rFonts w:asciiTheme="majorHAnsi" w:hAnsiTheme="majorHAnsi" w:cstheme="majorHAnsi"/>
          <w:snapToGrid w:val="0"/>
          <w:kern w:val="22"/>
          <w:szCs w:val="22"/>
        </w:rPr>
        <w:t>: A discussion paper on the links between the Aichi Biodiversity Targets and the Sustainable Development Goals. Stockholm Resilience Centre and the Swedish Biodiversity Centre.</w:t>
      </w:r>
    </w:p>
    <w:p w14:paraId="0E8896D4" w14:textId="77777777" w:rsidR="006D3E36" w:rsidRPr="003C10BC" w:rsidRDefault="003C10BC" w:rsidP="006D3E36">
      <w:pPr>
        <w:pStyle w:val="ListParagraph"/>
        <w:numPr>
          <w:ilvl w:val="0"/>
          <w:numId w:val="22"/>
        </w:numPr>
        <w:shd w:val="clear" w:color="auto" w:fill="F2DBDB" w:themeFill="accent2" w:themeFillTint="33"/>
        <w:ind w:right="855"/>
        <w:jc w:val="left"/>
        <w:rPr>
          <w:rFonts w:asciiTheme="majorHAnsi" w:hAnsiTheme="majorHAnsi" w:cstheme="majorHAnsi"/>
          <w:snapToGrid w:val="0"/>
          <w:kern w:val="22"/>
          <w:szCs w:val="22"/>
        </w:rPr>
      </w:pPr>
      <w:hyperlink r:id="rId111" w:history="1">
        <w:r w:rsidR="006D3E36" w:rsidRPr="003C10BC">
          <w:rPr>
            <w:rStyle w:val="Hyperlink"/>
            <w:rFonts w:asciiTheme="majorHAnsi" w:hAnsiTheme="majorHAnsi" w:cstheme="majorHAnsi"/>
            <w:snapToGrid w:val="0"/>
            <w:kern w:val="22"/>
            <w:sz w:val="22"/>
            <w:szCs w:val="22"/>
          </w:rPr>
          <w:t>Global Biodiversity Outlook 4</w:t>
        </w:r>
      </w:hyperlink>
      <w:r w:rsidR="006D3E36" w:rsidRPr="003C10BC">
        <w:rPr>
          <w:rFonts w:asciiTheme="majorHAnsi" w:hAnsiTheme="majorHAnsi" w:cstheme="majorHAnsi"/>
          <w:snapToGrid w:val="0"/>
          <w:kern w:val="22"/>
          <w:szCs w:val="22"/>
        </w:rPr>
        <w:t>, CBD</w:t>
      </w:r>
    </w:p>
    <w:p w14:paraId="0E8896D5" w14:textId="77777777" w:rsidR="006D3E36" w:rsidRPr="003C10BC" w:rsidRDefault="003C10BC" w:rsidP="006D3E36">
      <w:pPr>
        <w:pStyle w:val="ListParagraph"/>
        <w:numPr>
          <w:ilvl w:val="0"/>
          <w:numId w:val="22"/>
        </w:numPr>
        <w:shd w:val="clear" w:color="auto" w:fill="F2DBDB" w:themeFill="accent2" w:themeFillTint="33"/>
        <w:ind w:right="855"/>
        <w:jc w:val="left"/>
        <w:rPr>
          <w:rFonts w:asciiTheme="majorHAnsi" w:hAnsiTheme="majorHAnsi" w:cstheme="majorHAnsi"/>
          <w:snapToGrid w:val="0"/>
          <w:kern w:val="22"/>
          <w:szCs w:val="22"/>
        </w:rPr>
      </w:pPr>
      <w:hyperlink r:id="rId112" w:history="1">
        <w:r w:rsidR="006D3E36" w:rsidRPr="003C10BC">
          <w:rPr>
            <w:rStyle w:val="Hyperlink"/>
            <w:rFonts w:asciiTheme="majorHAnsi" w:hAnsiTheme="majorHAnsi" w:cstheme="majorHAnsi"/>
            <w:snapToGrid w:val="0"/>
            <w:kern w:val="22"/>
            <w:sz w:val="22"/>
            <w:szCs w:val="22"/>
          </w:rPr>
          <w:t>CBD/COP/DEC/XIII/29</w:t>
        </w:r>
      </w:hyperlink>
      <w:r w:rsidR="006D3E36" w:rsidRPr="003C10BC">
        <w:rPr>
          <w:rFonts w:asciiTheme="majorHAnsi" w:hAnsiTheme="majorHAnsi" w:cstheme="majorHAnsi"/>
          <w:snapToGrid w:val="0"/>
          <w:kern w:val="22"/>
          <w:szCs w:val="22"/>
        </w:rPr>
        <w:t>, Global Biodiversity Outlook and Intergovernmental Science-Policy Platform on Biodiversity and Ecosystem Services</w:t>
      </w:r>
    </w:p>
    <w:p w14:paraId="0E8896D6" w14:textId="77777777" w:rsidR="006D3E36" w:rsidRPr="003C10BC" w:rsidRDefault="003C10BC" w:rsidP="006D3E36">
      <w:pPr>
        <w:pStyle w:val="ListParagraph"/>
        <w:numPr>
          <w:ilvl w:val="0"/>
          <w:numId w:val="22"/>
        </w:numPr>
        <w:shd w:val="clear" w:color="auto" w:fill="F2DBDB" w:themeFill="accent2" w:themeFillTint="33"/>
        <w:ind w:right="855"/>
        <w:jc w:val="left"/>
        <w:rPr>
          <w:rFonts w:asciiTheme="majorHAnsi" w:hAnsiTheme="majorHAnsi" w:cstheme="majorHAnsi"/>
          <w:snapToGrid w:val="0"/>
          <w:kern w:val="22"/>
          <w:szCs w:val="22"/>
        </w:rPr>
      </w:pPr>
      <w:hyperlink r:id="rId113" w:history="1">
        <w:r w:rsidR="006D3E36" w:rsidRPr="003C10BC">
          <w:rPr>
            <w:rStyle w:val="Hyperlink"/>
            <w:rFonts w:asciiTheme="majorHAnsi" w:hAnsiTheme="majorHAnsi" w:cstheme="majorHAnsi"/>
            <w:snapToGrid w:val="0"/>
            <w:kern w:val="22"/>
            <w:sz w:val="22"/>
            <w:szCs w:val="22"/>
          </w:rPr>
          <w:t>CBD/COP/DEC/XIII/28</w:t>
        </w:r>
      </w:hyperlink>
      <w:r w:rsidR="006D3E36" w:rsidRPr="003C10BC">
        <w:rPr>
          <w:rFonts w:asciiTheme="majorHAnsi" w:hAnsiTheme="majorHAnsi" w:cstheme="majorHAnsi"/>
          <w:snapToGrid w:val="0"/>
          <w:kern w:val="22"/>
          <w:szCs w:val="22"/>
        </w:rPr>
        <w:t>, Indicators for the Strategic Plan for Biodiversity 2011-2020 and the Aichi Biodiversity Targets</w:t>
      </w:r>
    </w:p>
    <w:p w14:paraId="0E8896D7" w14:textId="77777777" w:rsidR="006D3E36" w:rsidRPr="003C10BC" w:rsidRDefault="003C10BC" w:rsidP="006D3E36">
      <w:pPr>
        <w:pStyle w:val="ListParagraph"/>
        <w:numPr>
          <w:ilvl w:val="0"/>
          <w:numId w:val="22"/>
        </w:numPr>
        <w:shd w:val="clear" w:color="auto" w:fill="F2DBDB" w:themeFill="accent2" w:themeFillTint="33"/>
        <w:ind w:right="855"/>
        <w:jc w:val="left"/>
        <w:rPr>
          <w:rFonts w:asciiTheme="majorHAnsi" w:hAnsiTheme="majorHAnsi" w:cstheme="majorHAnsi"/>
          <w:snapToGrid w:val="0"/>
          <w:kern w:val="22"/>
          <w:szCs w:val="22"/>
        </w:rPr>
      </w:pPr>
      <w:hyperlink r:id="rId114" w:history="1">
        <w:r w:rsidR="006D3E36" w:rsidRPr="003C10BC">
          <w:rPr>
            <w:rStyle w:val="Hyperlink"/>
            <w:rFonts w:asciiTheme="majorHAnsi" w:hAnsiTheme="majorHAnsi" w:cstheme="majorHAnsi"/>
            <w:snapToGrid w:val="0"/>
            <w:kern w:val="22"/>
            <w:sz w:val="22"/>
            <w:szCs w:val="22"/>
          </w:rPr>
          <w:t>Biodiversity Indictors Partnership</w:t>
        </w:r>
      </w:hyperlink>
    </w:p>
    <w:p w14:paraId="0E8896D8" w14:textId="77777777" w:rsidR="006D3E36" w:rsidRPr="003C10BC" w:rsidRDefault="003C10BC" w:rsidP="006D3E36">
      <w:pPr>
        <w:pStyle w:val="ListParagraph"/>
        <w:numPr>
          <w:ilvl w:val="0"/>
          <w:numId w:val="22"/>
        </w:numPr>
        <w:shd w:val="clear" w:color="auto" w:fill="F2DBDB" w:themeFill="accent2" w:themeFillTint="33"/>
        <w:ind w:right="855"/>
        <w:jc w:val="left"/>
        <w:rPr>
          <w:rFonts w:asciiTheme="majorHAnsi" w:hAnsiTheme="majorHAnsi" w:cstheme="majorHAnsi"/>
          <w:snapToGrid w:val="0"/>
          <w:kern w:val="22"/>
          <w:szCs w:val="22"/>
        </w:rPr>
      </w:pPr>
      <w:hyperlink r:id="rId115" w:history="1">
        <w:r w:rsidR="006D3E36" w:rsidRPr="003C10BC">
          <w:rPr>
            <w:rStyle w:val="Hyperlink"/>
            <w:rFonts w:asciiTheme="majorHAnsi" w:hAnsiTheme="majorHAnsi" w:cstheme="majorHAnsi"/>
            <w:snapToGrid w:val="0"/>
            <w:kern w:val="22"/>
            <w:sz w:val="22"/>
            <w:szCs w:val="22"/>
          </w:rPr>
          <w:t>The Intergovernmental Science-Policy Platform on Biodiversity and Ecosystem Services (IPBES)</w:t>
        </w:r>
      </w:hyperlink>
    </w:p>
    <w:p w14:paraId="0E8896D9" w14:textId="77777777" w:rsidR="006D3E36" w:rsidRPr="003C10BC" w:rsidRDefault="003C10BC" w:rsidP="006D3E36">
      <w:pPr>
        <w:pStyle w:val="ListParagraph"/>
        <w:numPr>
          <w:ilvl w:val="0"/>
          <w:numId w:val="22"/>
        </w:numPr>
        <w:shd w:val="clear" w:color="auto" w:fill="F2DBDB" w:themeFill="accent2" w:themeFillTint="33"/>
        <w:ind w:right="855"/>
        <w:jc w:val="left"/>
        <w:rPr>
          <w:rFonts w:asciiTheme="majorHAnsi" w:hAnsiTheme="majorHAnsi" w:cstheme="majorHAnsi"/>
          <w:snapToGrid w:val="0"/>
          <w:kern w:val="22"/>
          <w:szCs w:val="22"/>
        </w:rPr>
      </w:pPr>
      <w:hyperlink r:id="rId116" w:history="1">
        <w:r w:rsidR="006D3E36" w:rsidRPr="003C10BC">
          <w:rPr>
            <w:rStyle w:val="Hyperlink"/>
            <w:rFonts w:asciiTheme="majorHAnsi" w:hAnsiTheme="majorHAnsi" w:cstheme="majorHAnsi"/>
            <w:snapToGrid w:val="0"/>
            <w:kern w:val="22"/>
            <w:sz w:val="22"/>
            <w:szCs w:val="22"/>
          </w:rPr>
          <w:t>SDG Indicators</w:t>
        </w:r>
      </w:hyperlink>
      <w:r w:rsidR="006D3E36" w:rsidRPr="003C10BC">
        <w:rPr>
          <w:rFonts w:asciiTheme="majorHAnsi" w:hAnsiTheme="majorHAnsi" w:cstheme="majorHAnsi"/>
          <w:snapToGrid w:val="0"/>
          <w:kern w:val="22"/>
          <w:szCs w:val="22"/>
        </w:rPr>
        <w:t xml:space="preserve">, Inter-agency and Expert Group on SDG Indicators (IAEG-SDGs) </w:t>
      </w:r>
    </w:p>
    <w:p w14:paraId="0E8896DA" w14:textId="77777777" w:rsidR="006D3E36" w:rsidRPr="003C10BC" w:rsidRDefault="006D3E36" w:rsidP="006D3E36">
      <w:pPr>
        <w:shd w:val="clear" w:color="auto" w:fill="F2DBDB" w:themeFill="accent2" w:themeFillTint="33"/>
        <w:ind w:left="567" w:right="855"/>
        <w:rPr>
          <w:rFonts w:asciiTheme="majorHAnsi" w:hAnsiTheme="majorHAnsi" w:cstheme="majorHAnsi"/>
          <w:snapToGrid w:val="0"/>
          <w:kern w:val="22"/>
          <w:szCs w:val="22"/>
        </w:rPr>
      </w:pPr>
    </w:p>
    <w:p w14:paraId="0E8896DB" w14:textId="77777777" w:rsidR="006D3E36" w:rsidRPr="003C10BC" w:rsidRDefault="006D3E36" w:rsidP="006D3E36">
      <w:pPr>
        <w:rPr>
          <w:rFonts w:asciiTheme="majorHAnsi" w:hAnsiTheme="majorHAnsi" w:cstheme="majorHAnsi"/>
          <w:snapToGrid w:val="0"/>
          <w:kern w:val="22"/>
          <w:szCs w:val="22"/>
        </w:rPr>
      </w:pPr>
    </w:p>
    <w:p w14:paraId="0E8896DC" w14:textId="77777777" w:rsidR="006D3E36" w:rsidRPr="003C10BC" w:rsidRDefault="006D3E36" w:rsidP="006D3E36">
      <w:pPr>
        <w:rPr>
          <w:rFonts w:asciiTheme="majorHAnsi" w:hAnsiTheme="majorHAnsi" w:cstheme="majorHAnsi"/>
          <w:snapToGrid w:val="0"/>
          <w:kern w:val="22"/>
          <w:szCs w:val="22"/>
          <w:highlight w:val="yellow"/>
        </w:rPr>
      </w:pPr>
    </w:p>
    <w:p w14:paraId="0E8896DD" w14:textId="77777777" w:rsidR="006D3E36" w:rsidRPr="003C10BC" w:rsidRDefault="006D3E36" w:rsidP="006D3E36">
      <w:pPr>
        <w:shd w:val="clear" w:color="auto" w:fill="FDE9D9" w:themeFill="accent6" w:themeFillTint="33"/>
        <w:jc w:val="center"/>
        <w:rPr>
          <w:rFonts w:asciiTheme="majorHAnsi" w:hAnsiTheme="majorHAnsi" w:cstheme="majorHAnsi"/>
          <w:b/>
          <w:snapToGrid w:val="0"/>
          <w:kern w:val="22"/>
          <w:szCs w:val="22"/>
        </w:rPr>
      </w:pPr>
      <w:r w:rsidRPr="003C10BC">
        <w:rPr>
          <w:rFonts w:asciiTheme="majorHAnsi" w:hAnsiTheme="majorHAnsi" w:cstheme="majorHAnsi"/>
          <w:b/>
          <w:snapToGrid w:val="0"/>
          <w:kern w:val="22"/>
          <w:szCs w:val="22"/>
        </w:rPr>
        <w:t>Good Practice Example – Cyprus 2017 VNR</w:t>
      </w:r>
    </w:p>
    <w:p w14:paraId="0E8896DE" w14:textId="77777777" w:rsidR="006D3E36" w:rsidRPr="003C10BC" w:rsidRDefault="006D3E36" w:rsidP="006D3E36">
      <w:pPr>
        <w:shd w:val="clear" w:color="auto" w:fill="FDE9D9" w:themeFill="accent6" w:themeFillTint="33"/>
        <w:rPr>
          <w:rFonts w:asciiTheme="majorHAnsi" w:hAnsiTheme="majorHAnsi" w:cstheme="majorHAnsi"/>
          <w:snapToGrid w:val="0"/>
          <w:kern w:val="22"/>
          <w:szCs w:val="22"/>
        </w:rPr>
      </w:pPr>
    </w:p>
    <w:p w14:paraId="0E8896DF" w14:textId="77777777" w:rsidR="006D3E36" w:rsidRPr="003C10BC" w:rsidRDefault="006D3E36" w:rsidP="006D3E36">
      <w:pPr>
        <w:shd w:val="clear" w:color="auto" w:fill="FDE9D9" w:themeFill="accent6" w:themeFillTint="33"/>
        <w:rPr>
          <w:rFonts w:asciiTheme="majorHAnsi" w:hAnsiTheme="majorHAnsi" w:cstheme="majorHAnsi"/>
          <w:snapToGrid w:val="0"/>
          <w:kern w:val="22"/>
          <w:szCs w:val="22"/>
        </w:rPr>
      </w:pPr>
      <w:r w:rsidRPr="003C10BC">
        <w:rPr>
          <w:rFonts w:asciiTheme="majorHAnsi" w:hAnsiTheme="majorHAnsi" w:cstheme="majorHAnsi"/>
          <w:snapToGrid w:val="0"/>
          <w:kern w:val="22"/>
          <w:szCs w:val="22"/>
        </w:rPr>
        <w:t xml:space="preserve">The </w:t>
      </w:r>
      <w:hyperlink r:id="rId117" w:history="1">
        <w:r w:rsidRPr="003C10BC">
          <w:rPr>
            <w:rStyle w:val="Hyperlink"/>
            <w:rFonts w:asciiTheme="majorHAnsi" w:hAnsiTheme="majorHAnsi" w:cstheme="majorHAnsi"/>
            <w:snapToGrid w:val="0"/>
            <w:kern w:val="22"/>
            <w:sz w:val="22"/>
            <w:szCs w:val="22"/>
          </w:rPr>
          <w:t>Cyprus 2017 VNR</w:t>
        </w:r>
      </w:hyperlink>
      <w:r w:rsidRPr="003C10BC">
        <w:rPr>
          <w:rFonts w:asciiTheme="majorHAnsi" w:hAnsiTheme="majorHAnsi" w:cstheme="majorHAnsi"/>
          <w:snapToGrid w:val="0"/>
          <w:kern w:val="22"/>
          <w:szCs w:val="22"/>
        </w:rPr>
        <w:t xml:space="preserve"> contains annexes with data using the SDG indicators. The annexes display data related to each SDG, and a range of indicators where data was available. Noteworthy is that most of the SDG indicators of the Cyprus 2017 VNR are biodiversity-related.  (Please refer to pages 63 through 69 of this VNR). </w:t>
      </w:r>
    </w:p>
    <w:p w14:paraId="0E8896E0" w14:textId="77777777" w:rsidR="006D3E36" w:rsidRPr="00C1145B" w:rsidRDefault="006D3E36" w:rsidP="006D3E36">
      <w:pPr>
        <w:pStyle w:val="Para1"/>
        <w:numPr>
          <w:ilvl w:val="0"/>
          <w:numId w:val="0"/>
        </w:numPr>
        <w:rPr>
          <w:rFonts w:asciiTheme="majorHAnsi" w:hAnsiTheme="majorHAnsi" w:cstheme="majorHAnsi"/>
          <w:snapToGrid w:val="0"/>
          <w:kern w:val="22"/>
        </w:rPr>
      </w:pPr>
    </w:p>
    <w:p w14:paraId="0E8896E1" w14:textId="77777777" w:rsidR="00B3369F" w:rsidRPr="003C10BC" w:rsidRDefault="00070D30" w:rsidP="007A46A4">
      <w:pPr>
        <w:pStyle w:val="Para1"/>
        <w:numPr>
          <w:ilvl w:val="0"/>
          <w:numId w:val="0"/>
        </w:numPr>
        <w:ind w:left="810"/>
        <w:jc w:val="center"/>
        <w:rPr>
          <w:rFonts w:asciiTheme="majorHAnsi" w:hAnsiTheme="majorHAnsi" w:cstheme="majorHAnsi"/>
          <w:snapToGrid w:val="0"/>
          <w:kern w:val="22"/>
        </w:rPr>
      </w:pPr>
      <w:r w:rsidRPr="002B2F82">
        <w:rPr>
          <w:rFonts w:asciiTheme="majorHAnsi" w:hAnsiTheme="majorHAnsi" w:cstheme="majorHAnsi"/>
          <w:snapToGrid w:val="0"/>
          <w:kern w:val="22"/>
        </w:rPr>
        <w:t>_____</w:t>
      </w:r>
      <w:r w:rsidR="00FD61AA" w:rsidRPr="003C10BC">
        <w:rPr>
          <w:rFonts w:asciiTheme="majorHAnsi" w:hAnsiTheme="majorHAnsi" w:cstheme="majorHAnsi"/>
          <w:snapToGrid w:val="0"/>
          <w:kern w:val="22"/>
        </w:rPr>
        <w:t>_____</w:t>
      </w:r>
    </w:p>
    <w:sectPr w:rsidR="00B3369F" w:rsidRPr="003C10BC" w:rsidSect="00060510">
      <w:headerReference w:type="even" r:id="rId118"/>
      <w:headerReference w:type="default" r:id="rId119"/>
      <w:footerReference w:type="even" r:id="rId120"/>
      <w:footerReference w:type="first" r:id="rId121"/>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01FD57" w14:textId="77777777" w:rsidR="006941ED" w:rsidRDefault="006941ED" w:rsidP="00CF1848">
      <w:r>
        <w:separator/>
      </w:r>
    </w:p>
  </w:endnote>
  <w:endnote w:type="continuationSeparator" w:id="0">
    <w:p w14:paraId="5D4DE60F" w14:textId="77777777" w:rsidR="006941ED" w:rsidRDefault="006941ED"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20002A87" w:usb1="00000000" w:usb2="00000000"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Univers">
    <w:panose1 w:val="00000000000000000000"/>
    <w:charset w:val="00"/>
    <w:family w:val="swiss"/>
    <w:notTrueType/>
    <w:pitch w:val="variable"/>
    <w:sig w:usb0="00000003" w:usb1="00000000" w:usb2="00000000" w:usb3="00000000" w:csb0="00000001" w:csb1="00000000"/>
  </w:font>
  <w:font w:name="Lucida Grande">
    <w:altName w:val="Segoe UI"/>
    <w:charset w:val="00"/>
    <w:family w:val="swiss"/>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Lucida Sans Unicode">
    <w:panose1 w:val="020B0602030504020204"/>
    <w:charset w:val="00"/>
    <w:family w:val="swiss"/>
    <w:pitch w:val="variable"/>
    <w:sig w:usb0="80000AFF" w:usb1="0000396B" w:usb2="00000000" w:usb3="00000000" w:csb0="000000B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8896F2" w14:textId="77777777" w:rsidR="00335F6F" w:rsidRDefault="00335F6F" w:rsidP="00060510">
    <w:pPr>
      <w:pStyle w:val="Footer"/>
      <w:tabs>
        <w:tab w:val="clear" w:pos="4320"/>
        <w:tab w:val="clear" w:pos="8640"/>
      </w:tabs>
      <w:kinsoku w:val="0"/>
      <w:overflowPunct w:val="0"/>
      <w:autoSpaceDE w:val="0"/>
      <w:autoSpaceDN w:val="0"/>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8896F3" w14:textId="77777777" w:rsidR="00335F6F" w:rsidRDefault="00335F6F" w:rsidP="00060510">
    <w:pPr>
      <w:pStyle w:val="Footer"/>
      <w:tabs>
        <w:tab w:val="clear" w:pos="4320"/>
        <w:tab w:val="clear" w:pos="8640"/>
      </w:tabs>
      <w:kinsoku w:val="0"/>
      <w:overflowPunct w:val="0"/>
      <w:autoSpaceDE w:val="0"/>
      <w:autoSpaceDN w:val="0"/>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BE5E14" w14:textId="77777777" w:rsidR="006941ED" w:rsidRDefault="006941ED" w:rsidP="00CF1848">
      <w:r>
        <w:separator/>
      </w:r>
    </w:p>
  </w:footnote>
  <w:footnote w:type="continuationSeparator" w:id="0">
    <w:p w14:paraId="4992CD36" w14:textId="77777777" w:rsidR="006941ED" w:rsidRDefault="006941ED" w:rsidP="00CF18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lang w:val="fr-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0E8896EC" w14:textId="196944F4" w:rsidR="00335F6F" w:rsidRPr="009A2442" w:rsidRDefault="00E17B81" w:rsidP="00060510">
        <w:pPr>
          <w:pStyle w:val="Header"/>
          <w:tabs>
            <w:tab w:val="clear" w:pos="4320"/>
            <w:tab w:val="clear" w:pos="8640"/>
          </w:tabs>
          <w:kinsoku w:val="0"/>
          <w:overflowPunct w:val="0"/>
          <w:autoSpaceDE w:val="0"/>
          <w:autoSpaceDN w:val="0"/>
          <w:adjustRightInd w:val="0"/>
          <w:snapToGrid w:val="0"/>
          <w:jc w:val="left"/>
          <w:rPr>
            <w:noProof/>
            <w:kern w:val="22"/>
            <w:lang w:val="fr-FR"/>
          </w:rPr>
        </w:pPr>
        <w:r>
          <w:rPr>
            <w:noProof/>
            <w:kern w:val="22"/>
            <w:lang w:val="en-US"/>
          </w:rPr>
          <w:t>CBD/SBI/2/INF/32</w:t>
        </w:r>
      </w:p>
    </w:sdtContent>
  </w:sdt>
  <w:p w14:paraId="0E8896ED" w14:textId="4B5B3C70" w:rsidR="00335F6F" w:rsidRPr="009A2442" w:rsidRDefault="00335F6F" w:rsidP="00060510">
    <w:pPr>
      <w:pStyle w:val="Header"/>
      <w:tabs>
        <w:tab w:val="clear" w:pos="4320"/>
        <w:tab w:val="clear" w:pos="8640"/>
      </w:tabs>
      <w:kinsoku w:val="0"/>
      <w:overflowPunct w:val="0"/>
      <w:autoSpaceDE w:val="0"/>
      <w:autoSpaceDN w:val="0"/>
      <w:adjustRightInd w:val="0"/>
      <w:snapToGrid w:val="0"/>
      <w:jc w:val="left"/>
      <w:rPr>
        <w:noProof/>
        <w:kern w:val="22"/>
        <w:lang w:val="fr-FR"/>
      </w:rPr>
    </w:pPr>
    <w:r w:rsidRPr="009A2442">
      <w:rPr>
        <w:noProof/>
        <w:kern w:val="22"/>
        <w:lang w:val="fr-FR"/>
      </w:rPr>
      <w:t xml:space="preserve">Page </w:t>
    </w:r>
    <w:r w:rsidRPr="00060510">
      <w:rPr>
        <w:noProof/>
        <w:kern w:val="22"/>
      </w:rPr>
      <w:fldChar w:fldCharType="begin"/>
    </w:r>
    <w:r w:rsidRPr="009A2442">
      <w:rPr>
        <w:noProof/>
        <w:kern w:val="22"/>
        <w:lang w:val="fr-FR"/>
      </w:rPr>
      <w:instrText xml:space="preserve"> PAGE   \* MERGEFORMAT </w:instrText>
    </w:r>
    <w:r w:rsidRPr="00060510">
      <w:rPr>
        <w:noProof/>
        <w:kern w:val="22"/>
      </w:rPr>
      <w:fldChar w:fldCharType="separate"/>
    </w:r>
    <w:r w:rsidR="003C10BC">
      <w:rPr>
        <w:noProof/>
        <w:kern w:val="22"/>
        <w:lang w:val="fr-FR"/>
      </w:rPr>
      <w:t>14</w:t>
    </w:r>
    <w:r w:rsidRPr="00060510">
      <w:rPr>
        <w:noProof/>
        <w:kern w:val="22"/>
      </w:rPr>
      <w:fldChar w:fldCharType="end"/>
    </w:r>
  </w:p>
  <w:p w14:paraId="0E8896EE" w14:textId="77777777" w:rsidR="00335F6F" w:rsidRPr="009A2442" w:rsidRDefault="00335F6F" w:rsidP="00060510">
    <w:pPr>
      <w:pStyle w:val="Header"/>
      <w:tabs>
        <w:tab w:val="clear" w:pos="4320"/>
        <w:tab w:val="clear" w:pos="8640"/>
      </w:tabs>
      <w:kinsoku w:val="0"/>
      <w:overflowPunct w:val="0"/>
      <w:autoSpaceDE w:val="0"/>
      <w:autoSpaceDN w:val="0"/>
      <w:adjustRightInd w:val="0"/>
      <w:snapToGrid w:val="0"/>
      <w:jc w:val="left"/>
      <w:rPr>
        <w:noProof/>
        <w:kern w:val="22"/>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kern w:val="22"/>
        <w:lang w:val="fr-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14:paraId="0E8896EF" w14:textId="2D65B22F" w:rsidR="00335F6F" w:rsidRPr="009A2442" w:rsidRDefault="00E17B81" w:rsidP="00060510">
        <w:pPr>
          <w:pStyle w:val="Header"/>
          <w:tabs>
            <w:tab w:val="clear" w:pos="4320"/>
            <w:tab w:val="clear" w:pos="8640"/>
          </w:tabs>
          <w:kinsoku w:val="0"/>
          <w:overflowPunct w:val="0"/>
          <w:autoSpaceDE w:val="0"/>
          <w:autoSpaceDN w:val="0"/>
          <w:jc w:val="right"/>
          <w:rPr>
            <w:kern w:val="22"/>
            <w:lang w:val="fr-FR"/>
          </w:rPr>
        </w:pPr>
        <w:r>
          <w:rPr>
            <w:kern w:val="22"/>
            <w:lang w:val="en-US"/>
          </w:rPr>
          <w:t>CBD/</w:t>
        </w:r>
        <w:proofErr w:type="spellStart"/>
        <w:r>
          <w:rPr>
            <w:kern w:val="22"/>
            <w:lang w:val="en-US"/>
          </w:rPr>
          <w:t>SBI</w:t>
        </w:r>
        <w:proofErr w:type="spellEnd"/>
        <w:r>
          <w:rPr>
            <w:kern w:val="22"/>
            <w:lang w:val="en-US"/>
          </w:rPr>
          <w:t>/2/INF/32</w:t>
        </w:r>
      </w:p>
    </w:sdtContent>
  </w:sdt>
  <w:p w14:paraId="0E8896F0" w14:textId="27D5E093" w:rsidR="00335F6F" w:rsidRPr="009A2442" w:rsidRDefault="00335F6F" w:rsidP="00060510">
    <w:pPr>
      <w:pStyle w:val="Header"/>
      <w:tabs>
        <w:tab w:val="clear" w:pos="4320"/>
        <w:tab w:val="clear" w:pos="8640"/>
      </w:tabs>
      <w:kinsoku w:val="0"/>
      <w:overflowPunct w:val="0"/>
      <w:autoSpaceDE w:val="0"/>
      <w:autoSpaceDN w:val="0"/>
      <w:jc w:val="right"/>
      <w:rPr>
        <w:kern w:val="22"/>
        <w:lang w:val="fr-FR"/>
      </w:rPr>
    </w:pPr>
    <w:r w:rsidRPr="009A2442">
      <w:rPr>
        <w:kern w:val="22"/>
        <w:lang w:val="fr-FR"/>
      </w:rPr>
      <w:t xml:space="preserve">Page </w:t>
    </w:r>
    <w:r w:rsidRPr="00060510">
      <w:rPr>
        <w:kern w:val="22"/>
      </w:rPr>
      <w:fldChar w:fldCharType="begin"/>
    </w:r>
    <w:r w:rsidRPr="009A2442">
      <w:rPr>
        <w:kern w:val="22"/>
        <w:lang w:val="fr-FR"/>
      </w:rPr>
      <w:instrText xml:space="preserve"> PAGE   \* MERGEFORMAT </w:instrText>
    </w:r>
    <w:r w:rsidRPr="00060510">
      <w:rPr>
        <w:kern w:val="22"/>
      </w:rPr>
      <w:fldChar w:fldCharType="separate"/>
    </w:r>
    <w:r w:rsidR="003C10BC">
      <w:rPr>
        <w:noProof/>
        <w:kern w:val="22"/>
        <w:lang w:val="fr-FR"/>
      </w:rPr>
      <w:t>15</w:t>
    </w:r>
    <w:r w:rsidRPr="00060510">
      <w:rPr>
        <w:noProof/>
        <w:kern w:val="22"/>
      </w:rPr>
      <w:fldChar w:fldCharType="end"/>
    </w:r>
  </w:p>
  <w:p w14:paraId="0E8896F1" w14:textId="77777777" w:rsidR="00335F6F" w:rsidRPr="009A2442" w:rsidRDefault="00335F6F" w:rsidP="00060510">
    <w:pPr>
      <w:pStyle w:val="Header"/>
      <w:tabs>
        <w:tab w:val="clear" w:pos="4320"/>
        <w:tab w:val="clear" w:pos="8640"/>
      </w:tabs>
      <w:kinsoku w:val="0"/>
      <w:overflowPunct w:val="0"/>
      <w:autoSpaceDE w:val="0"/>
      <w:autoSpaceDN w:val="0"/>
      <w:jc w:val="right"/>
      <w:rPr>
        <w:kern w:val="22"/>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616506"/>
    <w:multiLevelType w:val="hybridMultilevel"/>
    <w:tmpl w:val="A1129F9E"/>
    <w:lvl w:ilvl="0" w:tplc="10090001">
      <w:start w:val="1"/>
      <w:numFmt w:val="bullet"/>
      <w:lvlText w:val=""/>
      <w:lvlJc w:val="left"/>
      <w:pPr>
        <w:ind w:left="927" w:hanging="360"/>
      </w:pPr>
      <w:rPr>
        <w:rFonts w:ascii="Symbol" w:hAnsi="Symbol" w:hint="default"/>
      </w:rPr>
    </w:lvl>
    <w:lvl w:ilvl="1" w:tplc="10090003" w:tentative="1">
      <w:start w:val="1"/>
      <w:numFmt w:val="bullet"/>
      <w:lvlText w:val="o"/>
      <w:lvlJc w:val="left"/>
      <w:pPr>
        <w:ind w:left="1647" w:hanging="360"/>
      </w:pPr>
      <w:rPr>
        <w:rFonts w:ascii="Courier New" w:hAnsi="Courier New" w:cs="Courier New" w:hint="default"/>
      </w:rPr>
    </w:lvl>
    <w:lvl w:ilvl="2" w:tplc="10090005" w:tentative="1">
      <w:start w:val="1"/>
      <w:numFmt w:val="bullet"/>
      <w:lvlText w:val=""/>
      <w:lvlJc w:val="left"/>
      <w:pPr>
        <w:ind w:left="2367" w:hanging="360"/>
      </w:pPr>
      <w:rPr>
        <w:rFonts w:ascii="Wingdings" w:hAnsi="Wingdings" w:hint="default"/>
      </w:rPr>
    </w:lvl>
    <w:lvl w:ilvl="3" w:tplc="10090001" w:tentative="1">
      <w:start w:val="1"/>
      <w:numFmt w:val="bullet"/>
      <w:lvlText w:val=""/>
      <w:lvlJc w:val="left"/>
      <w:pPr>
        <w:ind w:left="3087" w:hanging="360"/>
      </w:pPr>
      <w:rPr>
        <w:rFonts w:ascii="Symbol" w:hAnsi="Symbol" w:hint="default"/>
      </w:rPr>
    </w:lvl>
    <w:lvl w:ilvl="4" w:tplc="10090003" w:tentative="1">
      <w:start w:val="1"/>
      <w:numFmt w:val="bullet"/>
      <w:lvlText w:val="o"/>
      <w:lvlJc w:val="left"/>
      <w:pPr>
        <w:ind w:left="3807" w:hanging="360"/>
      </w:pPr>
      <w:rPr>
        <w:rFonts w:ascii="Courier New" w:hAnsi="Courier New" w:cs="Courier New" w:hint="default"/>
      </w:rPr>
    </w:lvl>
    <w:lvl w:ilvl="5" w:tplc="10090005" w:tentative="1">
      <w:start w:val="1"/>
      <w:numFmt w:val="bullet"/>
      <w:lvlText w:val=""/>
      <w:lvlJc w:val="left"/>
      <w:pPr>
        <w:ind w:left="4527" w:hanging="360"/>
      </w:pPr>
      <w:rPr>
        <w:rFonts w:ascii="Wingdings" w:hAnsi="Wingdings" w:hint="default"/>
      </w:rPr>
    </w:lvl>
    <w:lvl w:ilvl="6" w:tplc="10090001" w:tentative="1">
      <w:start w:val="1"/>
      <w:numFmt w:val="bullet"/>
      <w:lvlText w:val=""/>
      <w:lvlJc w:val="left"/>
      <w:pPr>
        <w:ind w:left="5247" w:hanging="360"/>
      </w:pPr>
      <w:rPr>
        <w:rFonts w:ascii="Symbol" w:hAnsi="Symbol" w:hint="default"/>
      </w:rPr>
    </w:lvl>
    <w:lvl w:ilvl="7" w:tplc="10090003" w:tentative="1">
      <w:start w:val="1"/>
      <w:numFmt w:val="bullet"/>
      <w:lvlText w:val="o"/>
      <w:lvlJc w:val="left"/>
      <w:pPr>
        <w:ind w:left="5967" w:hanging="360"/>
      </w:pPr>
      <w:rPr>
        <w:rFonts w:ascii="Courier New" w:hAnsi="Courier New" w:cs="Courier New" w:hint="default"/>
      </w:rPr>
    </w:lvl>
    <w:lvl w:ilvl="8" w:tplc="10090005" w:tentative="1">
      <w:start w:val="1"/>
      <w:numFmt w:val="bullet"/>
      <w:lvlText w:val=""/>
      <w:lvlJc w:val="left"/>
      <w:pPr>
        <w:ind w:left="6687" w:hanging="360"/>
      </w:pPr>
      <w:rPr>
        <w:rFonts w:ascii="Wingdings" w:hAnsi="Wingdings" w:hint="default"/>
      </w:rPr>
    </w:lvl>
  </w:abstractNum>
  <w:abstractNum w:abstractNumId="1">
    <w:nsid w:val="1C58096E"/>
    <w:multiLevelType w:val="hybridMultilevel"/>
    <w:tmpl w:val="E190F5A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nsid w:val="1F604FF5"/>
    <w:multiLevelType w:val="hybridMultilevel"/>
    <w:tmpl w:val="7A44EF40"/>
    <w:lvl w:ilvl="0" w:tplc="10090001">
      <w:start w:val="1"/>
      <w:numFmt w:val="bullet"/>
      <w:lvlText w:val=""/>
      <w:lvlJc w:val="left"/>
      <w:pPr>
        <w:ind w:left="927" w:hanging="360"/>
      </w:pPr>
      <w:rPr>
        <w:rFonts w:ascii="Symbol" w:hAnsi="Symbol" w:hint="default"/>
      </w:rPr>
    </w:lvl>
    <w:lvl w:ilvl="1" w:tplc="10090003" w:tentative="1">
      <w:start w:val="1"/>
      <w:numFmt w:val="bullet"/>
      <w:lvlText w:val="o"/>
      <w:lvlJc w:val="left"/>
      <w:pPr>
        <w:ind w:left="1647" w:hanging="360"/>
      </w:pPr>
      <w:rPr>
        <w:rFonts w:ascii="Courier New" w:hAnsi="Courier New" w:cs="Courier New" w:hint="default"/>
      </w:rPr>
    </w:lvl>
    <w:lvl w:ilvl="2" w:tplc="10090005" w:tentative="1">
      <w:start w:val="1"/>
      <w:numFmt w:val="bullet"/>
      <w:lvlText w:val=""/>
      <w:lvlJc w:val="left"/>
      <w:pPr>
        <w:ind w:left="2367" w:hanging="360"/>
      </w:pPr>
      <w:rPr>
        <w:rFonts w:ascii="Wingdings" w:hAnsi="Wingdings" w:hint="default"/>
      </w:rPr>
    </w:lvl>
    <w:lvl w:ilvl="3" w:tplc="10090001" w:tentative="1">
      <w:start w:val="1"/>
      <w:numFmt w:val="bullet"/>
      <w:lvlText w:val=""/>
      <w:lvlJc w:val="left"/>
      <w:pPr>
        <w:ind w:left="3087" w:hanging="360"/>
      </w:pPr>
      <w:rPr>
        <w:rFonts w:ascii="Symbol" w:hAnsi="Symbol" w:hint="default"/>
      </w:rPr>
    </w:lvl>
    <w:lvl w:ilvl="4" w:tplc="10090003" w:tentative="1">
      <w:start w:val="1"/>
      <w:numFmt w:val="bullet"/>
      <w:lvlText w:val="o"/>
      <w:lvlJc w:val="left"/>
      <w:pPr>
        <w:ind w:left="3807" w:hanging="360"/>
      </w:pPr>
      <w:rPr>
        <w:rFonts w:ascii="Courier New" w:hAnsi="Courier New" w:cs="Courier New" w:hint="default"/>
      </w:rPr>
    </w:lvl>
    <w:lvl w:ilvl="5" w:tplc="10090005" w:tentative="1">
      <w:start w:val="1"/>
      <w:numFmt w:val="bullet"/>
      <w:lvlText w:val=""/>
      <w:lvlJc w:val="left"/>
      <w:pPr>
        <w:ind w:left="4527" w:hanging="360"/>
      </w:pPr>
      <w:rPr>
        <w:rFonts w:ascii="Wingdings" w:hAnsi="Wingdings" w:hint="default"/>
      </w:rPr>
    </w:lvl>
    <w:lvl w:ilvl="6" w:tplc="10090001" w:tentative="1">
      <w:start w:val="1"/>
      <w:numFmt w:val="bullet"/>
      <w:lvlText w:val=""/>
      <w:lvlJc w:val="left"/>
      <w:pPr>
        <w:ind w:left="5247" w:hanging="360"/>
      </w:pPr>
      <w:rPr>
        <w:rFonts w:ascii="Symbol" w:hAnsi="Symbol" w:hint="default"/>
      </w:rPr>
    </w:lvl>
    <w:lvl w:ilvl="7" w:tplc="10090003" w:tentative="1">
      <w:start w:val="1"/>
      <w:numFmt w:val="bullet"/>
      <w:lvlText w:val="o"/>
      <w:lvlJc w:val="left"/>
      <w:pPr>
        <w:ind w:left="5967" w:hanging="360"/>
      </w:pPr>
      <w:rPr>
        <w:rFonts w:ascii="Courier New" w:hAnsi="Courier New" w:cs="Courier New" w:hint="default"/>
      </w:rPr>
    </w:lvl>
    <w:lvl w:ilvl="8" w:tplc="10090005" w:tentative="1">
      <w:start w:val="1"/>
      <w:numFmt w:val="bullet"/>
      <w:lvlText w:val=""/>
      <w:lvlJc w:val="left"/>
      <w:pPr>
        <w:ind w:left="6687" w:hanging="360"/>
      </w:pPr>
      <w:rPr>
        <w:rFonts w:ascii="Wingdings" w:hAnsi="Wingdings" w:hint="default"/>
      </w:rPr>
    </w:lvl>
  </w:abstractNum>
  <w:abstractNum w:abstractNumId="3">
    <w:nsid w:val="22566DE0"/>
    <w:multiLevelType w:val="hybridMultilevel"/>
    <w:tmpl w:val="181EA19C"/>
    <w:lvl w:ilvl="0" w:tplc="10090001">
      <w:start w:val="1"/>
      <w:numFmt w:val="bullet"/>
      <w:lvlText w:val=""/>
      <w:lvlJc w:val="left"/>
      <w:pPr>
        <w:ind w:left="927" w:hanging="360"/>
      </w:pPr>
      <w:rPr>
        <w:rFonts w:ascii="Symbol" w:hAnsi="Symbol" w:hint="default"/>
      </w:rPr>
    </w:lvl>
    <w:lvl w:ilvl="1" w:tplc="10090003" w:tentative="1">
      <w:start w:val="1"/>
      <w:numFmt w:val="bullet"/>
      <w:lvlText w:val="o"/>
      <w:lvlJc w:val="left"/>
      <w:pPr>
        <w:ind w:left="1647" w:hanging="360"/>
      </w:pPr>
      <w:rPr>
        <w:rFonts w:ascii="Courier New" w:hAnsi="Courier New" w:cs="Courier New" w:hint="default"/>
      </w:rPr>
    </w:lvl>
    <w:lvl w:ilvl="2" w:tplc="10090005" w:tentative="1">
      <w:start w:val="1"/>
      <w:numFmt w:val="bullet"/>
      <w:lvlText w:val=""/>
      <w:lvlJc w:val="left"/>
      <w:pPr>
        <w:ind w:left="2367" w:hanging="360"/>
      </w:pPr>
      <w:rPr>
        <w:rFonts w:ascii="Wingdings" w:hAnsi="Wingdings" w:hint="default"/>
      </w:rPr>
    </w:lvl>
    <w:lvl w:ilvl="3" w:tplc="10090001" w:tentative="1">
      <w:start w:val="1"/>
      <w:numFmt w:val="bullet"/>
      <w:lvlText w:val=""/>
      <w:lvlJc w:val="left"/>
      <w:pPr>
        <w:ind w:left="3087" w:hanging="360"/>
      </w:pPr>
      <w:rPr>
        <w:rFonts w:ascii="Symbol" w:hAnsi="Symbol" w:hint="default"/>
      </w:rPr>
    </w:lvl>
    <w:lvl w:ilvl="4" w:tplc="10090003" w:tentative="1">
      <w:start w:val="1"/>
      <w:numFmt w:val="bullet"/>
      <w:lvlText w:val="o"/>
      <w:lvlJc w:val="left"/>
      <w:pPr>
        <w:ind w:left="3807" w:hanging="360"/>
      </w:pPr>
      <w:rPr>
        <w:rFonts w:ascii="Courier New" w:hAnsi="Courier New" w:cs="Courier New" w:hint="default"/>
      </w:rPr>
    </w:lvl>
    <w:lvl w:ilvl="5" w:tplc="10090005" w:tentative="1">
      <w:start w:val="1"/>
      <w:numFmt w:val="bullet"/>
      <w:lvlText w:val=""/>
      <w:lvlJc w:val="left"/>
      <w:pPr>
        <w:ind w:left="4527" w:hanging="360"/>
      </w:pPr>
      <w:rPr>
        <w:rFonts w:ascii="Wingdings" w:hAnsi="Wingdings" w:hint="default"/>
      </w:rPr>
    </w:lvl>
    <w:lvl w:ilvl="6" w:tplc="10090001" w:tentative="1">
      <w:start w:val="1"/>
      <w:numFmt w:val="bullet"/>
      <w:lvlText w:val=""/>
      <w:lvlJc w:val="left"/>
      <w:pPr>
        <w:ind w:left="5247" w:hanging="360"/>
      </w:pPr>
      <w:rPr>
        <w:rFonts w:ascii="Symbol" w:hAnsi="Symbol" w:hint="default"/>
      </w:rPr>
    </w:lvl>
    <w:lvl w:ilvl="7" w:tplc="10090003" w:tentative="1">
      <w:start w:val="1"/>
      <w:numFmt w:val="bullet"/>
      <w:lvlText w:val="o"/>
      <w:lvlJc w:val="left"/>
      <w:pPr>
        <w:ind w:left="5967" w:hanging="360"/>
      </w:pPr>
      <w:rPr>
        <w:rFonts w:ascii="Courier New" w:hAnsi="Courier New" w:cs="Courier New" w:hint="default"/>
      </w:rPr>
    </w:lvl>
    <w:lvl w:ilvl="8" w:tplc="10090005" w:tentative="1">
      <w:start w:val="1"/>
      <w:numFmt w:val="bullet"/>
      <w:lvlText w:val=""/>
      <w:lvlJc w:val="left"/>
      <w:pPr>
        <w:ind w:left="6687" w:hanging="360"/>
      </w:pPr>
      <w:rPr>
        <w:rFonts w:ascii="Wingdings" w:hAnsi="Wingdings" w:hint="default"/>
      </w:rPr>
    </w:lvl>
  </w:abstractNum>
  <w:abstractNum w:abstractNumId="4">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nsid w:val="39FE129B"/>
    <w:multiLevelType w:val="hybridMultilevel"/>
    <w:tmpl w:val="CC6854AE"/>
    <w:lvl w:ilvl="0" w:tplc="10090001">
      <w:start w:val="1"/>
      <w:numFmt w:val="bullet"/>
      <w:lvlText w:val=""/>
      <w:lvlJc w:val="left"/>
      <w:pPr>
        <w:ind w:left="927" w:hanging="360"/>
      </w:pPr>
      <w:rPr>
        <w:rFonts w:ascii="Symbol" w:hAnsi="Symbol" w:hint="default"/>
      </w:rPr>
    </w:lvl>
    <w:lvl w:ilvl="1" w:tplc="10090003" w:tentative="1">
      <w:start w:val="1"/>
      <w:numFmt w:val="bullet"/>
      <w:lvlText w:val="o"/>
      <w:lvlJc w:val="left"/>
      <w:pPr>
        <w:ind w:left="1647" w:hanging="360"/>
      </w:pPr>
      <w:rPr>
        <w:rFonts w:ascii="Courier New" w:hAnsi="Courier New" w:cs="Courier New" w:hint="default"/>
      </w:rPr>
    </w:lvl>
    <w:lvl w:ilvl="2" w:tplc="10090005" w:tentative="1">
      <w:start w:val="1"/>
      <w:numFmt w:val="bullet"/>
      <w:lvlText w:val=""/>
      <w:lvlJc w:val="left"/>
      <w:pPr>
        <w:ind w:left="2367" w:hanging="360"/>
      </w:pPr>
      <w:rPr>
        <w:rFonts w:ascii="Wingdings" w:hAnsi="Wingdings" w:hint="default"/>
      </w:rPr>
    </w:lvl>
    <w:lvl w:ilvl="3" w:tplc="10090001" w:tentative="1">
      <w:start w:val="1"/>
      <w:numFmt w:val="bullet"/>
      <w:lvlText w:val=""/>
      <w:lvlJc w:val="left"/>
      <w:pPr>
        <w:ind w:left="3087" w:hanging="360"/>
      </w:pPr>
      <w:rPr>
        <w:rFonts w:ascii="Symbol" w:hAnsi="Symbol" w:hint="default"/>
      </w:rPr>
    </w:lvl>
    <w:lvl w:ilvl="4" w:tplc="10090003" w:tentative="1">
      <w:start w:val="1"/>
      <w:numFmt w:val="bullet"/>
      <w:lvlText w:val="o"/>
      <w:lvlJc w:val="left"/>
      <w:pPr>
        <w:ind w:left="3807" w:hanging="360"/>
      </w:pPr>
      <w:rPr>
        <w:rFonts w:ascii="Courier New" w:hAnsi="Courier New" w:cs="Courier New" w:hint="default"/>
      </w:rPr>
    </w:lvl>
    <w:lvl w:ilvl="5" w:tplc="10090005" w:tentative="1">
      <w:start w:val="1"/>
      <w:numFmt w:val="bullet"/>
      <w:lvlText w:val=""/>
      <w:lvlJc w:val="left"/>
      <w:pPr>
        <w:ind w:left="4527" w:hanging="360"/>
      </w:pPr>
      <w:rPr>
        <w:rFonts w:ascii="Wingdings" w:hAnsi="Wingdings" w:hint="default"/>
      </w:rPr>
    </w:lvl>
    <w:lvl w:ilvl="6" w:tplc="10090001" w:tentative="1">
      <w:start w:val="1"/>
      <w:numFmt w:val="bullet"/>
      <w:lvlText w:val=""/>
      <w:lvlJc w:val="left"/>
      <w:pPr>
        <w:ind w:left="5247" w:hanging="360"/>
      </w:pPr>
      <w:rPr>
        <w:rFonts w:ascii="Symbol" w:hAnsi="Symbol" w:hint="default"/>
      </w:rPr>
    </w:lvl>
    <w:lvl w:ilvl="7" w:tplc="10090003" w:tentative="1">
      <w:start w:val="1"/>
      <w:numFmt w:val="bullet"/>
      <w:lvlText w:val="o"/>
      <w:lvlJc w:val="left"/>
      <w:pPr>
        <w:ind w:left="5967" w:hanging="360"/>
      </w:pPr>
      <w:rPr>
        <w:rFonts w:ascii="Courier New" w:hAnsi="Courier New" w:cs="Courier New" w:hint="default"/>
      </w:rPr>
    </w:lvl>
    <w:lvl w:ilvl="8" w:tplc="10090005" w:tentative="1">
      <w:start w:val="1"/>
      <w:numFmt w:val="bullet"/>
      <w:lvlText w:val=""/>
      <w:lvlJc w:val="left"/>
      <w:pPr>
        <w:ind w:left="6687" w:hanging="360"/>
      </w:pPr>
      <w:rPr>
        <w:rFonts w:ascii="Wingdings" w:hAnsi="Wingdings" w:hint="default"/>
      </w:rPr>
    </w:lvl>
  </w:abstractNum>
  <w:abstractNum w:abstractNumId="6">
    <w:nsid w:val="3CE43C91"/>
    <w:multiLevelType w:val="singleLevel"/>
    <w:tmpl w:val="B36A8C58"/>
    <w:lvl w:ilvl="0">
      <w:start w:val="1"/>
      <w:numFmt w:val="decimal"/>
      <w:pStyle w:val="Paranum"/>
      <w:lvlText w:val="%1."/>
      <w:lvlJc w:val="left"/>
      <w:pPr>
        <w:tabs>
          <w:tab w:val="num" w:pos="360"/>
        </w:tabs>
        <w:ind w:left="0" w:firstLine="0"/>
      </w:pPr>
    </w:lvl>
  </w:abstractNum>
  <w:abstractNum w:abstractNumId="7">
    <w:nsid w:val="3ED7041C"/>
    <w:multiLevelType w:val="hybridMultilevel"/>
    <w:tmpl w:val="B92666C2"/>
    <w:styleLink w:val="ImportedStyle2"/>
    <w:lvl w:ilvl="0" w:tplc="B8F29A38">
      <w:start w:val="1"/>
      <w:numFmt w:val="upperRoman"/>
      <w:lvlText w:val="%1."/>
      <w:lvlJc w:val="left"/>
      <w:pPr>
        <w:tabs>
          <w:tab w:val="num" w:pos="720"/>
        </w:tabs>
        <w:ind w:left="1080" w:hanging="720"/>
      </w:pPr>
      <w:rPr>
        <w:rFonts w:hAnsi="Arial Unicode MS"/>
        <w:b/>
        <w:bCs/>
        <w:caps w:val="0"/>
        <w:smallCaps w:val="0"/>
        <w:strike w:val="0"/>
        <w:dstrike w:val="0"/>
        <w:color w:val="000000"/>
        <w:spacing w:val="0"/>
        <w:w w:val="100"/>
        <w:kern w:val="0"/>
        <w:position w:val="0"/>
        <w:highlight w:val="none"/>
        <w:vertAlign w:val="baseline"/>
      </w:rPr>
    </w:lvl>
    <w:lvl w:ilvl="1" w:tplc="FE188A62">
      <w:start w:val="1"/>
      <w:numFmt w:val="lowerLetter"/>
      <w:lvlText w:val="%2."/>
      <w:lvlJc w:val="left"/>
      <w:pPr>
        <w:tabs>
          <w:tab w:val="num" w:pos="1440"/>
        </w:tabs>
        <w:ind w:left="1800" w:hanging="720"/>
      </w:pPr>
      <w:rPr>
        <w:rFonts w:hAnsi="Arial Unicode MS"/>
        <w:b/>
        <w:bCs/>
        <w:caps w:val="0"/>
        <w:smallCaps w:val="0"/>
        <w:strike w:val="0"/>
        <w:dstrike w:val="0"/>
        <w:color w:val="000000"/>
        <w:spacing w:val="0"/>
        <w:w w:val="100"/>
        <w:kern w:val="0"/>
        <w:position w:val="0"/>
        <w:highlight w:val="none"/>
        <w:vertAlign w:val="baseline"/>
      </w:rPr>
    </w:lvl>
    <w:lvl w:ilvl="2" w:tplc="61068F0E">
      <w:start w:val="1"/>
      <w:numFmt w:val="lowerRoman"/>
      <w:lvlText w:val="%3."/>
      <w:lvlJc w:val="left"/>
      <w:pPr>
        <w:tabs>
          <w:tab w:val="num" w:pos="2160"/>
        </w:tabs>
        <w:ind w:left="2520" w:hanging="634"/>
      </w:pPr>
      <w:rPr>
        <w:rFonts w:hAnsi="Arial Unicode MS"/>
        <w:b/>
        <w:bCs/>
        <w:caps w:val="0"/>
        <w:smallCaps w:val="0"/>
        <w:strike w:val="0"/>
        <w:dstrike w:val="0"/>
        <w:color w:val="000000"/>
        <w:spacing w:val="0"/>
        <w:w w:val="100"/>
        <w:kern w:val="0"/>
        <w:position w:val="0"/>
        <w:highlight w:val="none"/>
        <w:vertAlign w:val="baseline"/>
      </w:rPr>
    </w:lvl>
    <w:lvl w:ilvl="3" w:tplc="967814A8">
      <w:start w:val="1"/>
      <w:numFmt w:val="decimal"/>
      <w:lvlText w:val="%4."/>
      <w:lvlJc w:val="left"/>
      <w:pPr>
        <w:tabs>
          <w:tab w:val="num" w:pos="2880"/>
        </w:tabs>
        <w:ind w:left="3240" w:hanging="720"/>
      </w:pPr>
      <w:rPr>
        <w:rFonts w:hAnsi="Arial Unicode MS"/>
        <w:b/>
        <w:bCs/>
        <w:caps w:val="0"/>
        <w:smallCaps w:val="0"/>
        <w:strike w:val="0"/>
        <w:dstrike w:val="0"/>
        <w:color w:val="000000"/>
        <w:spacing w:val="0"/>
        <w:w w:val="100"/>
        <w:kern w:val="0"/>
        <w:position w:val="0"/>
        <w:highlight w:val="none"/>
        <w:vertAlign w:val="baseline"/>
      </w:rPr>
    </w:lvl>
    <w:lvl w:ilvl="4" w:tplc="F800A4E0">
      <w:start w:val="1"/>
      <w:numFmt w:val="lowerLetter"/>
      <w:lvlText w:val="%5."/>
      <w:lvlJc w:val="left"/>
      <w:pPr>
        <w:tabs>
          <w:tab w:val="num" w:pos="3600"/>
        </w:tabs>
        <w:ind w:left="3960" w:hanging="720"/>
      </w:pPr>
      <w:rPr>
        <w:rFonts w:hAnsi="Arial Unicode MS"/>
        <w:b/>
        <w:bCs/>
        <w:caps w:val="0"/>
        <w:smallCaps w:val="0"/>
        <w:strike w:val="0"/>
        <w:dstrike w:val="0"/>
        <w:color w:val="000000"/>
        <w:spacing w:val="0"/>
        <w:w w:val="100"/>
        <w:kern w:val="0"/>
        <w:position w:val="0"/>
        <w:highlight w:val="none"/>
        <w:vertAlign w:val="baseline"/>
      </w:rPr>
    </w:lvl>
    <w:lvl w:ilvl="5" w:tplc="C596C5A6">
      <w:start w:val="1"/>
      <w:numFmt w:val="lowerRoman"/>
      <w:lvlText w:val="%6."/>
      <w:lvlJc w:val="left"/>
      <w:pPr>
        <w:tabs>
          <w:tab w:val="num" w:pos="4320"/>
        </w:tabs>
        <w:ind w:left="4680" w:hanging="634"/>
      </w:pPr>
      <w:rPr>
        <w:rFonts w:hAnsi="Arial Unicode MS"/>
        <w:b/>
        <w:bCs/>
        <w:caps w:val="0"/>
        <w:smallCaps w:val="0"/>
        <w:strike w:val="0"/>
        <w:dstrike w:val="0"/>
        <w:color w:val="000000"/>
        <w:spacing w:val="0"/>
        <w:w w:val="100"/>
        <w:kern w:val="0"/>
        <w:position w:val="0"/>
        <w:highlight w:val="none"/>
        <w:vertAlign w:val="baseline"/>
      </w:rPr>
    </w:lvl>
    <w:lvl w:ilvl="6" w:tplc="01742BF8">
      <w:start w:val="1"/>
      <w:numFmt w:val="decimal"/>
      <w:lvlText w:val="%7."/>
      <w:lvlJc w:val="left"/>
      <w:pPr>
        <w:tabs>
          <w:tab w:val="num" w:pos="5040"/>
        </w:tabs>
        <w:ind w:left="5400" w:hanging="720"/>
      </w:pPr>
      <w:rPr>
        <w:rFonts w:hAnsi="Arial Unicode MS"/>
        <w:b/>
        <w:bCs/>
        <w:caps w:val="0"/>
        <w:smallCaps w:val="0"/>
        <w:strike w:val="0"/>
        <w:dstrike w:val="0"/>
        <w:color w:val="000000"/>
        <w:spacing w:val="0"/>
        <w:w w:val="100"/>
        <w:kern w:val="0"/>
        <w:position w:val="0"/>
        <w:highlight w:val="none"/>
        <w:vertAlign w:val="baseline"/>
      </w:rPr>
    </w:lvl>
    <w:lvl w:ilvl="7" w:tplc="16F4066C">
      <w:start w:val="1"/>
      <w:numFmt w:val="lowerLetter"/>
      <w:lvlText w:val="%8."/>
      <w:lvlJc w:val="left"/>
      <w:pPr>
        <w:tabs>
          <w:tab w:val="num" w:pos="5760"/>
        </w:tabs>
        <w:ind w:left="6120" w:hanging="720"/>
      </w:pPr>
      <w:rPr>
        <w:rFonts w:hAnsi="Arial Unicode MS"/>
        <w:b/>
        <w:bCs/>
        <w:caps w:val="0"/>
        <w:smallCaps w:val="0"/>
        <w:strike w:val="0"/>
        <w:dstrike w:val="0"/>
        <w:color w:val="000000"/>
        <w:spacing w:val="0"/>
        <w:w w:val="100"/>
        <w:kern w:val="0"/>
        <w:position w:val="0"/>
        <w:highlight w:val="none"/>
        <w:vertAlign w:val="baseline"/>
      </w:rPr>
    </w:lvl>
    <w:lvl w:ilvl="8" w:tplc="DA90498C">
      <w:start w:val="1"/>
      <w:numFmt w:val="lowerRoman"/>
      <w:lvlText w:val="%9."/>
      <w:lvlJc w:val="left"/>
      <w:pPr>
        <w:tabs>
          <w:tab w:val="num" w:pos="6480"/>
        </w:tabs>
        <w:ind w:left="6840" w:hanging="634"/>
      </w:pPr>
      <w:rPr>
        <w:rFonts w:hAnsi="Arial Unicode MS"/>
        <w:b/>
        <w:bCs/>
        <w:caps w:val="0"/>
        <w:smallCaps w:val="0"/>
        <w:strike w:val="0"/>
        <w:dstrike w:val="0"/>
        <w:color w:val="000000"/>
        <w:spacing w:val="0"/>
        <w:w w:val="100"/>
        <w:kern w:val="0"/>
        <w:position w:val="0"/>
        <w:highlight w:val="none"/>
        <w:vertAlign w:val="baseline"/>
      </w:rPr>
    </w:lvl>
  </w:abstractNum>
  <w:abstractNum w:abstractNumId="8">
    <w:nsid w:val="40165948"/>
    <w:multiLevelType w:val="hybridMultilevel"/>
    <w:tmpl w:val="F6861DCC"/>
    <w:lvl w:ilvl="0" w:tplc="9D1253A4">
      <w:start w:val="1"/>
      <w:numFmt w:val="decimal"/>
      <w:pStyle w:val="Para1"/>
      <w:lvlText w:val="%1."/>
      <w:lvlJc w:val="left"/>
      <w:pPr>
        <w:ind w:left="81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B0A000C"/>
    <w:multiLevelType w:val="hybridMultilevel"/>
    <w:tmpl w:val="3F88BA6E"/>
    <w:lvl w:ilvl="0" w:tplc="10090001">
      <w:start w:val="1"/>
      <w:numFmt w:val="bullet"/>
      <w:lvlText w:val=""/>
      <w:lvlJc w:val="left"/>
      <w:pPr>
        <w:ind w:left="927" w:hanging="360"/>
      </w:pPr>
      <w:rPr>
        <w:rFonts w:ascii="Symbol" w:hAnsi="Symbol" w:hint="default"/>
      </w:rPr>
    </w:lvl>
    <w:lvl w:ilvl="1" w:tplc="10090003" w:tentative="1">
      <w:start w:val="1"/>
      <w:numFmt w:val="bullet"/>
      <w:lvlText w:val="o"/>
      <w:lvlJc w:val="left"/>
      <w:pPr>
        <w:ind w:left="1647" w:hanging="360"/>
      </w:pPr>
      <w:rPr>
        <w:rFonts w:ascii="Courier New" w:hAnsi="Courier New" w:cs="Courier New" w:hint="default"/>
      </w:rPr>
    </w:lvl>
    <w:lvl w:ilvl="2" w:tplc="10090005" w:tentative="1">
      <w:start w:val="1"/>
      <w:numFmt w:val="bullet"/>
      <w:lvlText w:val=""/>
      <w:lvlJc w:val="left"/>
      <w:pPr>
        <w:ind w:left="2367" w:hanging="360"/>
      </w:pPr>
      <w:rPr>
        <w:rFonts w:ascii="Wingdings" w:hAnsi="Wingdings" w:hint="default"/>
      </w:rPr>
    </w:lvl>
    <w:lvl w:ilvl="3" w:tplc="10090001" w:tentative="1">
      <w:start w:val="1"/>
      <w:numFmt w:val="bullet"/>
      <w:lvlText w:val=""/>
      <w:lvlJc w:val="left"/>
      <w:pPr>
        <w:ind w:left="3087" w:hanging="360"/>
      </w:pPr>
      <w:rPr>
        <w:rFonts w:ascii="Symbol" w:hAnsi="Symbol" w:hint="default"/>
      </w:rPr>
    </w:lvl>
    <w:lvl w:ilvl="4" w:tplc="10090003" w:tentative="1">
      <w:start w:val="1"/>
      <w:numFmt w:val="bullet"/>
      <w:lvlText w:val="o"/>
      <w:lvlJc w:val="left"/>
      <w:pPr>
        <w:ind w:left="3807" w:hanging="360"/>
      </w:pPr>
      <w:rPr>
        <w:rFonts w:ascii="Courier New" w:hAnsi="Courier New" w:cs="Courier New" w:hint="default"/>
      </w:rPr>
    </w:lvl>
    <w:lvl w:ilvl="5" w:tplc="10090005" w:tentative="1">
      <w:start w:val="1"/>
      <w:numFmt w:val="bullet"/>
      <w:lvlText w:val=""/>
      <w:lvlJc w:val="left"/>
      <w:pPr>
        <w:ind w:left="4527" w:hanging="360"/>
      </w:pPr>
      <w:rPr>
        <w:rFonts w:ascii="Wingdings" w:hAnsi="Wingdings" w:hint="default"/>
      </w:rPr>
    </w:lvl>
    <w:lvl w:ilvl="6" w:tplc="10090001" w:tentative="1">
      <w:start w:val="1"/>
      <w:numFmt w:val="bullet"/>
      <w:lvlText w:val=""/>
      <w:lvlJc w:val="left"/>
      <w:pPr>
        <w:ind w:left="5247" w:hanging="360"/>
      </w:pPr>
      <w:rPr>
        <w:rFonts w:ascii="Symbol" w:hAnsi="Symbol" w:hint="default"/>
      </w:rPr>
    </w:lvl>
    <w:lvl w:ilvl="7" w:tplc="10090003" w:tentative="1">
      <w:start w:val="1"/>
      <w:numFmt w:val="bullet"/>
      <w:lvlText w:val="o"/>
      <w:lvlJc w:val="left"/>
      <w:pPr>
        <w:ind w:left="5967" w:hanging="360"/>
      </w:pPr>
      <w:rPr>
        <w:rFonts w:ascii="Courier New" w:hAnsi="Courier New" w:cs="Courier New" w:hint="default"/>
      </w:rPr>
    </w:lvl>
    <w:lvl w:ilvl="8" w:tplc="10090005" w:tentative="1">
      <w:start w:val="1"/>
      <w:numFmt w:val="bullet"/>
      <w:lvlText w:val=""/>
      <w:lvlJc w:val="left"/>
      <w:pPr>
        <w:ind w:left="6687" w:hanging="360"/>
      </w:pPr>
      <w:rPr>
        <w:rFonts w:ascii="Wingdings" w:hAnsi="Wingdings" w:hint="default"/>
      </w:rPr>
    </w:lvl>
  </w:abstractNum>
  <w:abstractNum w:abstractNumId="11">
    <w:nsid w:val="4D1158BC"/>
    <w:multiLevelType w:val="hybridMultilevel"/>
    <w:tmpl w:val="FCDABC0C"/>
    <w:lvl w:ilvl="0" w:tplc="10090001">
      <w:start w:val="1"/>
      <w:numFmt w:val="bullet"/>
      <w:lvlText w:val=""/>
      <w:lvlJc w:val="left"/>
      <w:pPr>
        <w:ind w:left="927" w:hanging="360"/>
      </w:pPr>
      <w:rPr>
        <w:rFonts w:ascii="Symbol" w:hAnsi="Symbol" w:hint="default"/>
      </w:rPr>
    </w:lvl>
    <w:lvl w:ilvl="1" w:tplc="10090003" w:tentative="1">
      <w:start w:val="1"/>
      <w:numFmt w:val="bullet"/>
      <w:lvlText w:val="o"/>
      <w:lvlJc w:val="left"/>
      <w:pPr>
        <w:ind w:left="1647" w:hanging="360"/>
      </w:pPr>
      <w:rPr>
        <w:rFonts w:ascii="Courier New" w:hAnsi="Courier New" w:cs="Courier New" w:hint="default"/>
      </w:rPr>
    </w:lvl>
    <w:lvl w:ilvl="2" w:tplc="10090005" w:tentative="1">
      <w:start w:val="1"/>
      <w:numFmt w:val="bullet"/>
      <w:lvlText w:val=""/>
      <w:lvlJc w:val="left"/>
      <w:pPr>
        <w:ind w:left="2367" w:hanging="360"/>
      </w:pPr>
      <w:rPr>
        <w:rFonts w:ascii="Wingdings" w:hAnsi="Wingdings" w:hint="default"/>
      </w:rPr>
    </w:lvl>
    <w:lvl w:ilvl="3" w:tplc="10090001" w:tentative="1">
      <w:start w:val="1"/>
      <w:numFmt w:val="bullet"/>
      <w:lvlText w:val=""/>
      <w:lvlJc w:val="left"/>
      <w:pPr>
        <w:ind w:left="3087" w:hanging="360"/>
      </w:pPr>
      <w:rPr>
        <w:rFonts w:ascii="Symbol" w:hAnsi="Symbol" w:hint="default"/>
      </w:rPr>
    </w:lvl>
    <w:lvl w:ilvl="4" w:tplc="10090003" w:tentative="1">
      <w:start w:val="1"/>
      <w:numFmt w:val="bullet"/>
      <w:lvlText w:val="o"/>
      <w:lvlJc w:val="left"/>
      <w:pPr>
        <w:ind w:left="3807" w:hanging="360"/>
      </w:pPr>
      <w:rPr>
        <w:rFonts w:ascii="Courier New" w:hAnsi="Courier New" w:cs="Courier New" w:hint="default"/>
      </w:rPr>
    </w:lvl>
    <w:lvl w:ilvl="5" w:tplc="10090005" w:tentative="1">
      <w:start w:val="1"/>
      <w:numFmt w:val="bullet"/>
      <w:lvlText w:val=""/>
      <w:lvlJc w:val="left"/>
      <w:pPr>
        <w:ind w:left="4527" w:hanging="360"/>
      </w:pPr>
      <w:rPr>
        <w:rFonts w:ascii="Wingdings" w:hAnsi="Wingdings" w:hint="default"/>
      </w:rPr>
    </w:lvl>
    <w:lvl w:ilvl="6" w:tplc="10090001" w:tentative="1">
      <w:start w:val="1"/>
      <w:numFmt w:val="bullet"/>
      <w:lvlText w:val=""/>
      <w:lvlJc w:val="left"/>
      <w:pPr>
        <w:ind w:left="5247" w:hanging="360"/>
      </w:pPr>
      <w:rPr>
        <w:rFonts w:ascii="Symbol" w:hAnsi="Symbol" w:hint="default"/>
      </w:rPr>
    </w:lvl>
    <w:lvl w:ilvl="7" w:tplc="10090003" w:tentative="1">
      <w:start w:val="1"/>
      <w:numFmt w:val="bullet"/>
      <w:lvlText w:val="o"/>
      <w:lvlJc w:val="left"/>
      <w:pPr>
        <w:ind w:left="5967" w:hanging="360"/>
      </w:pPr>
      <w:rPr>
        <w:rFonts w:ascii="Courier New" w:hAnsi="Courier New" w:cs="Courier New" w:hint="default"/>
      </w:rPr>
    </w:lvl>
    <w:lvl w:ilvl="8" w:tplc="10090005" w:tentative="1">
      <w:start w:val="1"/>
      <w:numFmt w:val="bullet"/>
      <w:lvlText w:val=""/>
      <w:lvlJc w:val="left"/>
      <w:pPr>
        <w:ind w:left="6687" w:hanging="360"/>
      </w:pPr>
      <w:rPr>
        <w:rFonts w:ascii="Wingdings" w:hAnsi="Wingdings" w:hint="default"/>
      </w:rPr>
    </w:lvl>
  </w:abstractNum>
  <w:abstractNum w:abstractNumId="12">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nsid w:val="51E050AC"/>
    <w:multiLevelType w:val="hybridMultilevel"/>
    <w:tmpl w:val="546C4DEC"/>
    <w:lvl w:ilvl="0" w:tplc="10090001">
      <w:start w:val="1"/>
      <w:numFmt w:val="bullet"/>
      <w:lvlText w:val=""/>
      <w:lvlJc w:val="left"/>
      <w:pPr>
        <w:ind w:left="927" w:hanging="360"/>
      </w:pPr>
      <w:rPr>
        <w:rFonts w:ascii="Symbol" w:hAnsi="Symbol" w:hint="default"/>
      </w:rPr>
    </w:lvl>
    <w:lvl w:ilvl="1" w:tplc="10090003" w:tentative="1">
      <w:start w:val="1"/>
      <w:numFmt w:val="bullet"/>
      <w:lvlText w:val="o"/>
      <w:lvlJc w:val="left"/>
      <w:pPr>
        <w:ind w:left="1647" w:hanging="360"/>
      </w:pPr>
      <w:rPr>
        <w:rFonts w:ascii="Courier New" w:hAnsi="Courier New" w:cs="Courier New" w:hint="default"/>
      </w:rPr>
    </w:lvl>
    <w:lvl w:ilvl="2" w:tplc="10090005" w:tentative="1">
      <w:start w:val="1"/>
      <w:numFmt w:val="bullet"/>
      <w:lvlText w:val=""/>
      <w:lvlJc w:val="left"/>
      <w:pPr>
        <w:ind w:left="2367" w:hanging="360"/>
      </w:pPr>
      <w:rPr>
        <w:rFonts w:ascii="Wingdings" w:hAnsi="Wingdings" w:hint="default"/>
      </w:rPr>
    </w:lvl>
    <w:lvl w:ilvl="3" w:tplc="10090001" w:tentative="1">
      <w:start w:val="1"/>
      <w:numFmt w:val="bullet"/>
      <w:lvlText w:val=""/>
      <w:lvlJc w:val="left"/>
      <w:pPr>
        <w:ind w:left="3087" w:hanging="360"/>
      </w:pPr>
      <w:rPr>
        <w:rFonts w:ascii="Symbol" w:hAnsi="Symbol" w:hint="default"/>
      </w:rPr>
    </w:lvl>
    <w:lvl w:ilvl="4" w:tplc="10090003" w:tentative="1">
      <w:start w:val="1"/>
      <w:numFmt w:val="bullet"/>
      <w:lvlText w:val="o"/>
      <w:lvlJc w:val="left"/>
      <w:pPr>
        <w:ind w:left="3807" w:hanging="360"/>
      </w:pPr>
      <w:rPr>
        <w:rFonts w:ascii="Courier New" w:hAnsi="Courier New" w:cs="Courier New" w:hint="default"/>
      </w:rPr>
    </w:lvl>
    <w:lvl w:ilvl="5" w:tplc="10090005" w:tentative="1">
      <w:start w:val="1"/>
      <w:numFmt w:val="bullet"/>
      <w:lvlText w:val=""/>
      <w:lvlJc w:val="left"/>
      <w:pPr>
        <w:ind w:left="4527" w:hanging="360"/>
      </w:pPr>
      <w:rPr>
        <w:rFonts w:ascii="Wingdings" w:hAnsi="Wingdings" w:hint="default"/>
      </w:rPr>
    </w:lvl>
    <w:lvl w:ilvl="6" w:tplc="10090001" w:tentative="1">
      <w:start w:val="1"/>
      <w:numFmt w:val="bullet"/>
      <w:lvlText w:val=""/>
      <w:lvlJc w:val="left"/>
      <w:pPr>
        <w:ind w:left="5247" w:hanging="360"/>
      </w:pPr>
      <w:rPr>
        <w:rFonts w:ascii="Symbol" w:hAnsi="Symbol" w:hint="default"/>
      </w:rPr>
    </w:lvl>
    <w:lvl w:ilvl="7" w:tplc="10090003" w:tentative="1">
      <w:start w:val="1"/>
      <w:numFmt w:val="bullet"/>
      <w:lvlText w:val="o"/>
      <w:lvlJc w:val="left"/>
      <w:pPr>
        <w:ind w:left="5967" w:hanging="360"/>
      </w:pPr>
      <w:rPr>
        <w:rFonts w:ascii="Courier New" w:hAnsi="Courier New" w:cs="Courier New" w:hint="default"/>
      </w:rPr>
    </w:lvl>
    <w:lvl w:ilvl="8" w:tplc="10090005" w:tentative="1">
      <w:start w:val="1"/>
      <w:numFmt w:val="bullet"/>
      <w:lvlText w:val=""/>
      <w:lvlJc w:val="left"/>
      <w:pPr>
        <w:ind w:left="6687" w:hanging="360"/>
      </w:pPr>
      <w:rPr>
        <w:rFonts w:ascii="Wingdings" w:hAnsi="Wingdings" w:hint="default"/>
      </w:rPr>
    </w:lvl>
  </w:abstractNum>
  <w:abstractNum w:abstractNumId="14">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nsid w:val="5C062C0C"/>
    <w:multiLevelType w:val="hybridMultilevel"/>
    <w:tmpl w:val="FC560954"/>
    <w:lvl w:ilvl="0" w:tplc="10090001">
      <w:start w:val="1"/>
      <w:numFmt w:val="bullet"/>
      <w:lvlText w:val=""/>
      <w:lvlJc w:val="left"/>
      <w:pPr>
        <w:ind w:left="927" w:hanging="360"/>
      </w:pPr>
      <w:rPr>
        <w:rFonts w:ascii="Symbol" w:hAnsi="Symbol" w:hint="default"/>
      </w:rPr>
    </w:lvl>
    <w:lvl w:ilvl="1" w:tplc="10090003" w:tentative="1">
      <w:start w:val="1"/>
      <w:numFmt w:val="bullet"/>
      <w:lvlText w:val="o"/>
      <w:lvlJc w:val="left"/>
      <w:pPr>
        <w:ind w:left="1647" w:hanging="360"/>
      </w:pPr>
      <w:rPr>
        <w:rFonts w:ascii="Courier New" w:hAnsi="Courier New" w:cs="Courier New" w:hint="default"/>
      </w:rPr>
    </w:lvl>
    <w:lvl w:ilvl="2" w:tplc="10090005" w:tentative="1">
      <w:start w:val="1"/>
      <w:numFmt w:val="bullet"/>
      <w:lvlText w:val=""/>
      <w:lvlJc w:val="left"/>
      <w:pPr>
        <w:ind w:left="2367" w:hanging="360"/>
      </w:pPr>
      <w:rPr>
        <w:rFonts w:ascii="Wingdings" w:hAnsi="Wingdings" w:hint="default"/>
      </w:rPr>
    </w:lvl>
    <w:lvl w:ilvl="3" w:tplc="10090001" w:tentative="1">
      <w:start w:val="1"/>
      <w:numFmt w:val="bullet"/>
      <w:lvlText w:val=""/>
      <w:lvlJc w:val="left"/>
      <w:pPr>
        <w:ind w:left="3087" w:hanging="360"/>
      </w:pPr>
      <w:rPr>
        <w:rFonts w:ascii="Symbol" w:hAnsi="Symbol" w:hint="default"/>
      </w:rPr>
    </w:lvl>
    <w:lvl w:ilvl="4" w:tplc="10090003" w:tentative="1">
      <w:start w:val="1"/>
      <w:numFmt w:val="bullet"/>
      <w:lvlText w:val="o"/>
      <w:lvlJc w:val="left"/>
      <w:pPr>
        <w:ind w:left="3807" w:hanging="360"/>
      </w:pPr>
      <w:rPr>
        <w:rFonts w:ascii="Courier New" w:hAnsi="Courier New" w:cs="Courier New" w:hint="default"/>
      </w:rPr>
    </w:lvl>
    <w:lvl w:ilvl="5" w:tplc="10090005" w:tentative="1">
      <w:start w:val="1"/>
      <w:numFmt w:val="bullet"/>
      <w:lvlText w:val=""/>
      <w:lvlJc w:val="left"/>
      <w:pPr>
        <w:ind w:left="4527" w:hanging="360"/>
      </w:pPr>
      <w:rPr>
        <w:rFonts w:ascii="Wingdings" w:hAnsi="Wingdings" w:hint="default"/>
      </w:rPr>
    </w:lvl>
    <w:lvl w:ilvl="6" w:tplc="10090001" w:tentative="1">
      <w:start w:val="1"/>
      <w:numFmt w:val="bullet"/>
      <w:lvlText w:val=""/>
      <w:lvlJc w:val="left"/>
      <w:pPr>
        <w:ind w:left="5247" w:hanging="360"/>
      </w:pPr>
      <w:rPr>
        <w:rFonts w:ascii="Symbol" w:hAnsi="Symbol" w:hint="default"/>
      </w:rPr>
    </w:lvl>
    <w:lvl w:ilvl="7" w:tplc="10090003" w:tentative="1">
      <w:start w:val="1"/>
      <w:numFmt w:val="bullet"/>
      <w:lvlText w:val="o"/>
      <w:lvlJc w:val="left"/>
      <w:pPr>
        <w:ind w:left="5967" w:hanging="360"/>
      </w:pPr>
      <w:rPr>
        <w:rFonts w:ascii="Courier New" w:hAnsi="Courier New" w:cs="Courier New" w:hint="default"/>
      </w:rPr>
    </w:lvl>
    <w:lvl w:ilvl="8" w:tplc="10090005" w:tentative="1">
      <w:start w:val="1"/>
      <w:numFmt w:val="bullet"/>
      <w:lvlText w:val=""/>
      <w:lvlJc w:val="left"/>
      <w:pPr>
        <w:ind w:left="6687" w:hanging="360"/>
      </w:pPr>
      <w:rPr>
        <w:rFonts w:ascii="Wingdings" w:hAnsi="Wingdings" w:hint="default"/>
      </w:rPr>
    </w:lvl>
  </w:abstractNum>
  <w:abstractNum w:abstractNumId="16">
    <w:nsid w:val="638C3635"/>
    <w:multiLevelType w:val="hybridMultilevel"/>
    <w:tmpl w:val="98FA4314"/>
    <w:lvl w:ilvl="0" w:tplc="10090001">
      <w:start w:val="1"/>
      <w:numFmt w:val="bullet"/>
      <w:lvlText w:val=""/>
      <w:lvlJc w:val="left"/>
      <w:pPr>
        <w:ind w:left="927" w:hanging="360"/>
      </w:pPr>
      <w:rPr>
        <w:rFonts w:ascii="Symbol" w:hAnsi="Symbol" w:hint="default"/>
      </w:rPr>
    </w:lvl>
    <w:lvl w:ilvl="1" w:tplc="10090003" w:tentative="1">
      <w:start w:val="1"/>
      <w:numFmt w:val="bullet"/>
      <w:lvlText w:val="o"/>
      <w:lvlJc w:val="left"/>
      <w:pPr>
        <w:ind w:left="1647" w:hanging="360"/>
      </w:pPr>
      <w:rPr>
        <w:rFonts w:ascii="Courier New" w:hAnsi="Courier New" w:cs="Courier New" w:hint="default"/>
      </w:rPr>
    </w:lvl>
    <w:lvl w:ilvl="2" w:tplc="10090005" w:tentative="1">
      <w:start w:val="1"/>
      <w:numFmt w:val="bullet"/>
      <w:lvlText w:val=""/>
      <w:lvlJc w:val="left"/>
      <w:pPr>
        <w:ind w:left="2367" w:hanging="360"/>
      </w:pPr>
      <w:rPr>
        <w:rFonts w:ascii="Wingdings" w:hAnsi="Wingdings" w:hint="default"/>
      </w:rPr>
    </w:lvl>
    <w:lvl w:ilvl="3" w:tplc="10090001" w:tentative="1">
      <w:start w:val="1"/>
      <w:numFmt w:val="bullet"/>
      <w:lvlText w:val=""/>
      <w:lvlJc w:val="left"/>
      <w:pPr>
        <w:ind w:left="3087" w:hanging="360"/>
      </w:pPr>
      <w:rPr>
        <w:rFonts w:ascii="Symbol" w:hAnsi="Symbol" w:hint="default"/>
      </w:rPr>
    </w:lvl>
    <w:lvl w:ilvl="4" w:tplc="10090003" w:tentative="1">
      <w:start w:val="1"/>
      <w:numFmt w:val="bullet"/>
      <w:lvlText w:val="o"/>
      <w:lvlJc w:val="left"/>
      <w:pPr>
        <w:ind w:left="3807" w:hanging="360"/>
      </w:pPr>
      <w:rPr>
        <w:rFonts w:ascii="Courier New" w:hAnsi="Courier New" w:cs="Courier New" w:hint="default"/>
      </w:rPr>
    </w:lvl>
    <w:lvl w:ilvl="5" w:tplc="10090005" w:tentative="1">
      <w:start w:val="1"/>
      <w:numFmt w:val="bullet"/>
      <w:lvlText w:val=""/>
      <w:lvlJc w:val="left"/>
      <w:pPr>
        <w:ind w:left="4527" w:hanging="360"/>
      </w:pPr>
      <w:rPr>
        <w:rFonts w:ascii="Wingdings" w:hAnsi="Wingdings" w:hint="default"/>
      </w:rPr>
    </w:lvl>
    <w:lvl w:ilvl="6" w:tplc="10090001" w:tentative="1">
      <w:start w:val="1"/>
      <w:numFmt w:val="bullet"/>
      <w:lvlText w:val=""/>
      <w:lvlJc w:val="left"/>
      <w:pPr>
        <w:ind w:left="5247" w:hanging="360"/>
      </w:pPr>
      <w:rPr>
        <w:rFonts w:ascii="Symbol" w:hAnsi="Symbol" w:hint="default"/>
      </w:rPr>
    </w:lvl>
    <w:lvl w:ilvl="7" w:tplc="10090003" w:tentative="1">
      <w:start w:val="1"/>
      <w:numFmt w:val="bullet"/>
      <w:lvlText w:val="o"/>
      <w:lvlJc w:val="left"/>
      <w:pPr>
        <w:ind w:left="5967" w:hanging="360"/>
      </w:pPr>
      <w:rPr>
        <w:rFonts w:ascii="Courier New" w:hAnsi="Courier New" w:cs="Courier New" w:hint="default"/>
      </w:rPr>
    </w:lvl>
    <w:lvl w:ilvl="8" w:tplc="10090005" w:tentative="1">
      <w:start w:val="1"/>
      <w:numFmt w:val="bullet"/>
      <w:lvlText w:val=""/>
      <w:lvlJc w:val="left"/>
      <w:pPr>
        <w:ind w:left="6687" w:hanging="360"/>
      </w:pPr>
      <w:rPr>
        <w:rFonts w:ascii="Wingdings" w:hAnsi="Wingdings" w:hint="default"/>
      </w:rPr>
    </w:lvl>
  </w:abstractNum>
  <w:abstractNum w:abstractNumId="17">
    <w:nsid w:val="650249D1"/>
    <w:multiLevelType w:val="hybridMultilevel"/>
    <w:tmpl w:val="A4E43EC0"/>
    <w:lvl w:ilvl="0" w:tplc="10090001">
      <w:start w:val="1"/>
      <w:numFmt w:val="bullet"/>
      <w:lvlText w:val=""/>
      <w:lvlJc w:val="left"/>
      <w:pPr>
        <w:ind w:left="927" w:hanging="360"/>
      </w:pPr>
      <w:rPr>
        <w:rFonts w:ascii="Symbol" w:hAnsi="Symbol" w:hint="default"/>
      </w:rPr>
    </w:lvl>
    <w:lvl w:ilvl="1" w:tplc="10090003" w:tentative="1">
      <w:start w:val="1"/>
      <w:numFmt w:val="bullet"/>
      <w:lvlText w:val="o"/>
      <w:lvlJc w:val="left"/>
      <w:pPr>
        <w:ind w:left="1647" w:hanging="360"/>
      </w:pPr>
      <w:rPr>
        <w:rFonts w:ascii="Courier New" w:hAnsi="Courier New" w:cs="Courier New" w:hint="default"/>
      </w:rPr>
    </w:lvl>
    <w:lvl w:ilvl="2" w:tplc="10090005" w:tentative="1">
      <w:start w:val="1"/>
      <w:numFmt w:val="bullet"/>
      <w:lvlText w:val=""/>
      <w:lvlJc w:val="left"/>
      <w:pPr>
        <w:ind w:left="2367" w:hanging="360"/>
      </w:pPr>
      <w:rPr>
        <w:rFonts w:ascii="Wingdings" w:hAnsi="Wingdings" w:hint="default"/>
      </w:rPr>
    </w:lvl>
    <w:lvl w:ilvl="3" w:tplc="10090001" w:tentative="1">
      <w:start w:val="1"/>
      <w:numFmt w:val="bullet"/>
      <w:lvlText w:val=""/>
      <w:lvlJc w:val="left"/>
      <w:pPr>
        <w:ind w:left="3087" w:hanging="360"/>
      </w:pPr>
      <w:rPr>
        <w:rFonts w:ascii="Symbol" w:hAnsi="Symbol" w:hint="default"/>
      </w:rPr>
    </w:lvl>
    <w:lvl w:ilvl="4" w:tplc="10090003" w:tentative="1">
      <w:start w:val="1"/>
      <w:numFmt w:val="bullet"/>
      <w:lvlText w:val="o"/>
      <w:lvlJc w:val="left"/>
      <w:pPr>
        <w:ind w:left="3807" w:hanging="360"/>
      </w:pPr>
      <w:rPr>
        <w:rFonts w:ascii="Courier New" w:hAnsi="Courier New" w:cs="Courier New" w:hint="default"/>
      </w:rPr>
    </w:lvl>
    <w:lvl w:ilvl="5" w:tplc="10090005" w:tentative="1">
      <w:start w:val="1"/>
      <w:numFmt w:val="bullet"/>
      <w:lvlText w:val=""/>
      <w:lvlJc w:val="left"/>
      <w:pPr>
        <w:ind w:left="4527" w:hanging="360"/>
      </w:pPr>
      <w:rPr>
        <w:rFonts w:ascii="Wingdings" w:hAnsi="Wingdings" w:hint="default"/>
      </w:rPr>
    </w:lvl>
    <w:lvl w:ilvl="6" w:tplc="10090001" w:tentative="1">
      <w:start w:val="1"/>
      <w:numFmt w:val="bullet"/>
      <w:lvlText w:val=""/>
      <w:lvlJc w:val="left"/>
      <w:pPr>
        <w:ind w:left="5247" w:hanging="360"/>
      </w:pPr>
      <w:rPr>
        <w:rFonts w:ascii="Symbol" w:hAnsi="Symbol" w:hint="default"/>
      </w:rPr>
    </w:lvl>
    <w:lvl w:ilvl="7" w:tplc="10090003" w:tentative="1">
      <w:start w:val="1"/>
      <w:numFmt w:val="bullet"/>
      <w:lvlText w:val="o"/>
      <w:lvlJc w:val="left"/>
      <w:pPr>
        <w:ind w:left="5967" w:hanging="360"/>
      </w:pPr>
      <w:rPr>
        <w:rFonts w:ascii="Courier New" w:hAnsi="Courier New" w:cs="Courier New" w:hint="default"/>
      </w:rPr>
    </w:lvl>
    <w:lvl w:ilvl="8" w:tplc="10090005" w:tentative="1">
      <w:start w:val="1"/>
      <w:numFmt w:val="bullet"/>
      <w:lvlText w:val=""/>
      <w:lvlJc w:val="left"/>
      <w:pPr>
        <w:ind w:left="6687" w:hanging="360"/>
      </w:pPr>
      <w:rPr>
        <w:rFonts w:ascii="Wingdings" w:hAnsi="Wingdings" w:hint="default"/>
      </w:rPr>
    </w:lvl>
  </w:abstractNum>
  <w:abstractNum w:abstractNumId="18">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9">
    <w:nsid w:val="66896C82"/>
    <w:multiLevelType w:val="hybridMultilevel"/>
    <w:tmpl w:val="93B28CFE"/>
    <w:lvl w:ilvl="0" w:tplc="10090001">
      <w:start w:val="1"/>
      <w:numFmt w:val="bullet"/>
      <w:lvlText w:val=""/>
      <w:lvlJc w:val="left"/>
      <w:pPr>
        <w:ind w:left="930" w:hanging="360"/>
      </w:pPr>
      <w:rPr>
        <w:rFonts w:ascii="Symbol" w:hAnsi="Symbol" w:hint="default"/>
      </w:rPr>
    </w:lvl>
    <w:lvl w:ilvl="1" w:tplc="10090003" w:tentative="1">
      <w:start w:val="1"/>
      <w:numFmt w:val="bullet"/>
      <w:lvlText w:val="o"/>
      <w:lvlJc w:val="left"/>
      <w:pPr>
        <w:ind w:left="1650" w:hanging="360"/>
      </w:pPr>
      <w:rPr>
        <w:rFonts w:ascii="Courier New" w:hAnsi="Courier New" w:cs="Courier New" w:hint="default"/>
      </w:rPr>
    </w:lvl>
    <w:lvl w:ilvl="2" w:tplc="10090005" w:tentative="1">
      <w:start w:val="1"/>
      <w:numFmt w:val="bullet"/>
      <w:lvlText w:val=""/>
      <w:lvlJc w:val="left"/>
      <w:pPr>
        <w:ind w:left="2370" w:hanging="360"/>
      </w:pPr>
      <w:rPr>
        <w:rFonts w:ascii="Wingdings" w:hAnsi="Wingdings" w:hint="default"/>
      </w:rPr>
    </w:lvl>
    <w:lvl w:ilvl="3" w:tplc="10090001" w:tentative="1">
      <w:start w:val="1"/>
      <w:numFmt w:val="bullet"/>
      <w:lvlText w:val=""/>
      <w:lvlJc w:val="left"/>
      <w:pPr>
        <w:ind w:left="3090" w:hanging="360"/>
      </w:pPr>
      <w:rPr>
        <w:rFonts w:ascii="Symbol" w:hAnsi="Symbol" w:hint="default"/>
      </w:rPr>
    </w:lvl>
    <w:lvl w:ilvl="4" w:tplc="10090003" w:tentative="1">
      <w:start w:val="1"/>
      <w:numFmt w:val="bullet"/>
      <w:lvlText w:val="o"/>
      <w:lvlJc w:val="left"/>
      <w:pPr>
        <w:ind w:left="3810" w:hanging="360"/>
      </w:pPr>
      <w:rPr>
        <w:rFonts w:ascii="Courier New" w:hAnsi="Courier New" w:cs="Courier New" w:hint="default"/>
      </w:rPr>
    </w:lvl>
    <w:lvl w:ilvl="5" w:tplc="10090005" w:tentative="1">
      <w:start w:val="1"/>
      <w:numFmt w:val="bullet"/>
      <w:lvlText w:val=""/>
      <w:lvlJc w:val="left"/>
      <w:pPr>
        <w:ind w:left="4530" w:hanging="360"/>
      </w:pPr>
      <w:rPr>
        <w:rFonts w:ascii="Wingdings" w:hAnsi="Wingdings" w:hint="default"/>
      </w:rPr>
    </w:lvl>
    <w:lvl w:ilvl="6" w:tplc="10090001" w:tentative="1">
      <w:start w:val="1"/>
      <w:numFmt w:val="bullet"/>
      <w:lvlText w:val=""/>
      <w:lvlJc w:val="left"/>
      <w:pPr>
        <w:ind w:left="5250" w:hanging="360"/>
      </w:pPr>
      <w:rPr>
        <w:rFonts w:ascii="Symbol" w:hAnsi="Symbol" w:hint="default"/>
      </w:rPr>
    </w:lvl>
    <w:lvl w:ilvl="7" w:tplc="10090003" w:tentative="1">
      <w:start w:val="1"/>
      <w:numFmt w:val="bullet"/>
      <w:lvlText w:val="o"/>
      <w:lvlJc w:val="left"/>
      <w:pPr>
        <w:ind w:left="5970" w:hanging="360"/>
      </w:pPr>
      <w:rPr>
        <w:rFonts w:ascii="Courier New" w:hAnsi="Courier New" w:cs="Courier New" w:hint="default"/>
      </w:rPr>
    </w:lvl>
    <w:lvl w:ilvl="8" w:tplc="10090005" w:tentative="1">
      <w:start w:val="1"/>
      <w:numFmt w:val="bullet"/>
      <w:lvlText w:val=""/>
      <w:lvlJc w:val="left"/>
      <w:pPr>
        <w:ind w:left="6690" w:hanging="360"/>
      </w:pPr>
      <w:rPr>
        <w:rFonts w:ascii="Wingdings" w:hAnsi="Wingdings" w:hint="default"/>
      </w:rPr>
    </w:lvl>
  </w:abstractNum>
  <w:abstractNum w:abstractNumId="20">
    <w:nsid w:val="6C886393"/>
    <w:multiLevelType w:val="hybridMultilevel"/>
    <w:tmpl w:val="A3741F68"/>
    <w:lvl w:ilvl="0" w:tplc="10090001">
      <w:start w:val="1"/>
      <w:numFmt w:val="bullet"/>
      <w:lvlText w:val=""/>
      <w:lvlJc w:val="left"/>
      <w:pPr>
        <w:ind w:left="927" w:hanging="360"/>
      </w:pPr>
      <w:rPr>
        <w:rFonts w:ascii="Symbol" w:hAnsi="Symbol" w:hint="default"/>
      </w:rPr>
    </w:lvl>
    <w:lvl w:ilvl="1" w:tplc="10090003" w:tentative="1">
      <w:start w:val="1"/>
      <w:numFmt w:val="bullet"/>
      <w:lvlText w:val="o"/>
      <w:lvlJc w:val="left"/>
      <w:pPr>
        <w:ind w:left="1647" w:hanging="360"/>
      </w:pPr>
      <w:rPr>
        <w:rFonts w:ascii="Courier New" w:hAnsi="Courier New" w:cs="Courier New" w:hint="default"/>
      </w:rPr>
    </w:lvl>
    <w:lvl w:ilvl="2" w:tplc="10090005" w:tentative="1">
      <w:start w:val="1"/>
      <w:numFmt w:val="bullet"/>
      <w:lvlText w:val=""/>
      <w:lvlJc w:val="left"/>
      <w:pPr>
        <w:ind w:left="2367" w:hanging="360"/>
      </w:pPr>
      <w:rPr>
        <w:rFonts w:ascii="Wingdings" w:hAnsi="Wingdings" w:hint="default"/>
      </w:rPr>
    </w:lvl>
    <w:lvl w:ilvl="3" w:tplc="10090001" w:tentative="1">
      <w:start w:val="1"/>
      <w:numFmt w:val="bullet"/>
      <w:lvlText w:val=""/>
      <w:lvlJc w:val="left"/>
      <w:pPr>
        <w:ind w:left="3087" w:hanging="360"/>
      </w:pPr>
      <w:rPr>
        <w:rFonts w:ascii="Symbol" w:hAnsi="Symbol" w:hint="default"/>
      </w:rPr>
    </w:lvl>
    <w:lvl w:ilvl="4" w:tplc="10090003" w:tentative="1">
      <w:start w:val="1"/>
      <w:numFmt w:val="bullet"/>
      <w:lvlText w:val="o"/>
      <w:lvlJc w:val="left"/>
      <w:pPr>
        <w:ind w:left="3807" w:hanging="360"/>
      </w:pPr>
      <w:rPr>
        <w:rFonts w:ascii="Courier New" w:hAnsi="Courier New" w:cs="Courier New" w:hint="default"/>
      </w:rPr>
    </w:lvl>
    <w:lvl w:ilvl="5" w:tplc="10090005" w:tentative="1">
      <w:start w:val="1"/>
      <w:numFmt w:val="bullet"/>
      <w:lvlText w:val=""/>
      <w:lvlJc w:val="left"/>
      <w:pPr>
        <w:ind w:left="4527" w:hanging="360"/>
      </w:pPr>
      <w:rPr>
        <w:rFonts w:ascii="Wingdings" w:hAnsi="Wingdings" w:hint="default"/>
      </w:rPr>
    </w:lvl>
    <w:lvl w:ilvl="6" w:tplc="10090001" w:tentative="1">
      <w:start w:val="1"/>
      <w:numFmt w:val="bullet"/>
      <w:lvlText w:val=""/>
      <w:lvlJc w:val="left"/>
      <w:pPr>
        <w:ind w:left="5247" w:hanging="360"/>
      </w:pPr>
      <w:rPr>
        <w:rFonts w:ascii="Symbol" w:hAnsi="Symbol" w:hint="default"/>
      </w:rPr>
    </w:lvl>
    <w:lvl w:ilvl="7" w:tplc="10090003" w:tentative="1">
      <w:start w:val="1"/>
      <w:numFmt w:val="bullet"/>
      <w:lvlText w:val="o"/>
      <w:lvlJc w:val="left"/>
      <w:pPr>
        <w:ind w:left="5967" w:hanging="360"/>
      </w:pPr>
      <w:rPr>
        <w:rFonts w:ascii="Courier New" w:hAnsi="Courier New" w:cs="Courier New" w:hint="default"/>
      </w:rPr>
    </w:lvl>
    <w:lvl w:ilvl="8" w:tplc="10090005" w:tentative="1">
      <w:start w:val="1"/>
      <w:numFmt w:val="bullet"/>
      <w:lvlText w:val=""/>
      <w:lvlJc w:val="left"/>
      <w:pPr>
        <w:ind w:left="6687" w:hanging="360"/>
      </w:pPr>
      <w:rPr>
        <w:rFonts w:ascii="Wingdings" w:hAnsi="Wingdings" w:hint="default"/>
      </w:rPr>
    </w:lvl>
  </w:abstractNum>
  <w:abstractNum w:abstractNumId="21">
    <w:nsid w:val="6E6A2F66"/>
    <w:multiLevelType w:val="hybridMultilevel"/>
    <w:tmpl w:val="CB062600"/>
    <w:lvl w:ilvl="0" w:tplc="10090001">
      <w:start w:val="1"/>
      <w:numFmt w:val="bullet"/>
      <w:lvlText w:val=""/>
      <w:lvlJc w:val="left"/>
      <w:pPr>
        <w:ind w:left="930" w:hanging="360"/>
      </w:pPr>
      <w:rPr>
        <w:rFonts w:ascii="Symbol" w:hAnsi="Symbol" w:hint="default"/>
      </w:rPr>
    </w:lvl>
    <w:lvl w:ilvl="1" w:tplc="10090003" w:tentative="1">
      <w:start w:val="1"/>
      <w:numFmt w:val="bullet"/>
      <w:lvlText w:val="o"/>
      <w:lvlJc w:val="left"/>
      <w:pPr>
        <w:ind w:left="1650" w:hanging="360"/>
      </w:pPr>
      <w:rPr>
        <w:rFonts w:ascii="Courier New" w:hAnsi="Courier New" w:cs="Courier New" w:hint="default"/>
      </w:rPr>
    </w:lvl>
    <w:lvl w:ilvl="2" w:tplc="10090005" w:tentative="1">
      <w:start w:val="1"/>
      <w:numFmt w:val="bullet"/>
      <w:lvlText w:val=""/>
      <w:lvlJc w:val="left"/>
      <w:pPr>
        <w:ind w:left="2370" w:hanging="360"/>
      </w:pPr>
      <w:rPr>
        <w:rFonts w:ascii="Wingdings" w:hAnsi="Wingdings" w:hint="default"/>
      </w:rPr>
    </w:lvl>
    <w:lvl w:ilvl="3" w:tplc="10090001" w:tentative="1">
      <w:start w:val="1"/>
      <w:numFmt w:val="bullet"/>
      <w:lvlText w:val=""/>
      <w:lvlJc w:val="left"/>
      <w:pPr>
        <w:ind w:left="3090" w:hanging="360"/>
      </w:pPr>
      <w:rPr>
        <w:rFonts w:ascii="Symbol" w:hAnsi="Symbol" w:hint="default"/>
      </w:rPr>
    </w:lvl>
    <w:lvl w:ilvl="4" w:tplc="10090003" w:tentative="1">
      <w:start w:val="1"/>
      <w:numFmt w:val="bullet"/>
      <w:lvlText w:val="o"/>
      <w:lvlJc w:val="left"/>
      <w:pPr>
        <w:ind w:left="3810" w:hanging="360"/>
      </w:pPr>
      <w:rPr>
        <w:rFonts w:ascii="Courier New" w:hAnsi="Courier New" w:cs="Courier New" w:hint="default"/>
      </w:rPr>
    </w:lvl>
    <w:lvl w:ilvl="5" w:tplc="10090005" w:tentative="1">
      <w:start w:val="1"/>
      <w:numFmt w:val="bullet"/>
      <w:lvlText w:val=""/>
      <w:lvlJc w:val="left"/>
      <w:pPr>
        <w:ind w:left="4530" w:hanging="360"/>
      </w:pPr>
      <w:rPr>
        <w:rFonts w:ascii="Wingdings" w:hAnsi="Wingdings" w:hint="default"/>
      </w:rPr>
    </w:lvl>
    <w:lvl w:ilvl="6" w:tplc="10090001" w:tentative="1">
      <w:start w:val="1"/>
      <w:numFmt w:val="bullet"/>
      <w:lvlText w:val=""/>
      <w:lvlJc w:val="left"/>
      <w:pPr>
        <w:ind w:left="5250" w:hanging="360"/>
      </w:pPr>
      <w:rPr>
        <w:rFonts w:ascii="Symbol" w:hAnsi="Symbol" w:hint="default"/>
      </w:rPr>
    </w:lvl>
    <w:lvl w:ilvl="7" w:tplc="10090003" w:tentative="1">
      <w:start w:val="1"/>
      <w:numFmt w:val="bullet"/>
      <w:lvlText w:val="o"/>
      <w:lvlJc w:val="left"/>
      <w:pPr>
        <w:ind w:left="5970" w:hanging="360"/>
      </w:pPr>
      <w:rPr>
        <w:rFonts w:ascii="Courier New" w:hAnsi="Courier New" w:cs="Courier New" w:hint="default"/>
      </w:rPr>
    </w:lvl>
    <w:lvl w:ilvl="8" w:tplc="10090005" w:tentative="1">
      <w:start w:val="1"/>
      <w:numFmt w:val="bullet"/>
      <w:lvlText w:val=""/>
      <w:lvlJc w:val="left"/>
      <w:pPr>
        <w:ind w:left="6690" w:hanging="360"/>
      </w:pPr>
      <w:rPr>
        <w:rFonts w:ascii="Wingdings" w:hAnsi="Wingdings" w:hint="default"/>
      </w:rPr>
    </w:lvl>
  </w:abstractNum>
  <w:abstractNum w:abstractNumId="22">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nsid w:val="746108AE"/>
    <w:multiLevelType w:val="hybridMultilevel"/>
    <w:tmpl w:val="75EA33EC"/>
    <w:lvl w:ilvl="0" w:tplc="10090001">
      <w:start w:val="1"/>
      <w:numFmt w:val="bullet"/>
      <w:lvlText w:val=""/>
      <w:lvlJc w:val="left"/>
      <w:pPr>
        <w:ind w:left="927" w:hanging="360"/>
      </w:pPr>
      <w:rPr>
        <w:rFonts w:ascii="Symbol" w:hAnsi="Symbol" w:hint="default"/>
      </w:rPr>
    </w:lvl>
    <w:lvl w:ilvl="1" w:tplc="10090003" w:tentative="1">
      <w:start w:val="1"/>
      <w:numFmt w:val="bullet"/>
      <w:lvlText w:val="o"/>
      <w:lvlJc w:val="left"/>
      <w:pPr>
        <w:ind w:left="1647" w:hanging="360"/>
      </w:pPr>
      <w:rPr>
        <w:rFonts w:ascii="Courier New" w:hAnsi="Courier New" w:cs="Courier New" w:hint="default"/>
      </w:rPr>
    </w:lvl>
    <w:lvl w:ilvl="2" w:tplc="10090005" w:tentative="1">
      <w:start w:val="1"/>
      <w:numFmt w:val="bullet"/>
      <w:lvlText w:val=""/>
      <w:lvlJc w:val="left"/>
      <w:pPr>
        <w:ind w:left="2367" w:hanging="360"/>
      </w:pPr>
      <w:rPr>
        <w:rFonts w:ascii="Wingdings" w:hAnsi="Wingdings" w:hint="default"/>
      </w:rPr>
    </w:lvl>
    <w:lvl w:ilvl="3" w:tplc="10090001" w:tentative="1">
      <w:start w:val="1"/>
      <w:numFmt w:val="bullet"/>
      <w:lvlText w:val=""/>
      <w:lvlJc w:val="left"/>
      <w:pPr>
        <w:ind w:left="3087" w:hanging="360"/>
      </w:pPr>
      <w:rPr>
        <w:rFonts w:ascii="Symbol" w:hAnsi="Symbol" w:hint="default"/>
      </w:rPr>
    </w:lvl>
    <w:lvl w:ilvl="4" w:tplc="10090003" w:tentative="1">
      <w:start w:val="1"/>
      <w:numFmt w:val="bullet"/>
      <w:lvlText w:val="o"/>
      <w:lvlJc w:val="left"/>
      <w:pPr>
        <w:ind w:left="3807" w:hanging="360"/>
      </w:pPr>
      <w:rPr>
        <w:rFonts w:ascii="Courier New" w:hAnsi="Courier New" w:cs="Courier New" w:hint="default"/>
      </w:rPr>
    </w:lvl>
    <w:lvl w:ilvl="5" w:tplc="10090005" w:tentative="1">
      <w:start w:val="1"/>
      <w:numFmt w:val="bullet"/>
      <w:lvlText w:val=""/>
      <w:lvlJc w:val="left"/>
      <w:pPr>
        <w:ind w:left="4527" w:hanging="360"/>
      </w:pPr>
      <w:rPr>
        <w:rFonts w:ascii="Wingdings" w:hAnsi="Wingdings" w:hint="default"/>
      </w:rPr>
    </w:lvl>
    <w:lvl w:ilvl="6" w:tplc="10090001" w:tentative="1">
      <w:start w:val="1"/>
      <w:numFmt w:val="bullet"/>
      <w:lvlText w:val=""/>
      <w:lvlJc w:val="left"/>
      <w:pPr>
        <w:ind w:left="5247" w:hanging="360"/>
      </w:pPr>
      <w:rPr>
        <w:rFonts w:ascii="Symbol" w:hAnsi="Symbol" w:hint="default"/>
      </w:rPr>
    </w:lvl>
    <w:lvl w:ilvl="7" w:tplc="10090003" w:tentative="1">
      <w:start w:val="1"/>
      <w:numFmt w:val="bullet"/>
      <w:lvlText w:val="o"/>
      <w:lvlJc w:val="left"/>
      <w:pPr>
        <w:ind w:left="5967" w:hanging="360"/>
      </w:pPr>
      <w:rPr>
        <w:rFonts w:ascii="Courier New" w:hAnsi="Courier New" w:cs="Courier New" w:hint="default"/>
      </w:rPr>
    </w:lvl>
    <w:lvl w:ilvl="8" w:tplc="10090005" w:tentative="1">
      <w:start w:val="1"/>
      <w:numFmt w:val="bullet"/>
      <w:lvlText w:val=""/>
      <w:lvlJc w:val="left"/>
      <w:pPr>
        <w:ind w:left="6687" w:hanging="360"/>
      </w:pPr>
      <w:rPr>
        <w:rFonts w:ascii="Wingdings" w:hAnsi="Wingdings" w:hint="default"/>
      </w:rPr>
    </w:lvl>
  </w:abstractNum>
  <w:num w:numId="1">
    <w:abstractNumId w:val="4"/>
  </w:num>
  <w:num w:numId="2">
    <w:abstractNumId w:val="12"/>
  </w:num>
  <w:num w:numId="3">
    <w:abstractNumId w:val="9"/>
  </w:num>
  <w:num w:numId="4">
    <w:abstractNumId w:val="22"/>
  </w:num>
  <w:num w:numId="5">
    <w:abstractNumId w:val="18"/>
  </w:num>
  <w:num w:numId="6">
    <w:abstractNumId w:val="14"/>
  </w:num>
  <w:num w:numId="7">
    <w:abstractNumId w:val="6"/>
  </w:num>
  <w:num w:numId="8">
    <w:abstractNumId w:val="7"/>
  </w:num>
  <w:num w:numId="9">
    <w:abstractNumId w:val="8"/>
  </w:num>
  <w:num w:numId="10">
    <w:abstractNumId w:val="1"/>
  </w:num>
  <w:num w:numId="11">
    <w:abstractNumId w:val="19"/>
  </w:num>
  <w:num w:numId="12">
    <w:abstractNumId w:val="17"/>
  </w:num>
  <w:num w:numId="13">
    <w:abstractNumId w:val="11"/>
  </w:num>
  <w:num w:numId="14">
    <w:abstractNumId w:val="2"/>
  </w:num>
  <w:num w:numId="15">
    <w:abstractNumId w:val="0"/>
  </w:num>
  <w:num w:numId="16">
    <w:abstractNumId w:val="15"/>
  </w:num>
  <w:num w:numId="17">
    <w:abstractNumId w:val="10"/>
  </w:num>
  <w:num w:numId="18">
    <w:abstractNumId w:val="3"/>
  </w:num>
  <w:num w:numId="19">
    <w:abstractNumId w:val="13"/>
  </w:num>
  <w:num w:numId="20">
    <w:abstractNumId w:val="21"/>
  </w:num>
  <w:num w:numId="21">
    <w:abstractNumId w:val="5"/>
  </w:num>
  <w:num w:numId="22">
    <w:abstractNumId w:val="16"/>
  </w:num>
  <w:num w:numId="23">
    <w:abstractNumId w:val="23"/>
  </w:num>
  <w:num w:numId="24">
    <w:abstractNumId w:val="2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9"/>
  <w:proofState w:spelling="clean" w:grammar="clean"/>
  <w:revisionView w:markup="0"/>
  <w:defaultTabStop w:val="720"/>
  <w:evenAndOddHeaders/>
  <w:characterSpacingControl w:val="doNotCompress"/>
  <w:hdrShapeDefaults>
    <o:shapedefaults v:ext="edit" spidmax="6145"/>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01857"/>
    <w:rsid w:val="00004346"/>
    <w:rsid w:val="0003516D"/>
    <w:rsid w:val="0003635E"/>
    <w:rsid w:val="00054F4D"/>
    <w:rsid w:val="0005668A"/>
    <w:rsid w:val="00060510"/>
    <w:rsid w:val="00070D30"/>
    <w:rsid w:val="000710DE"/>
    <w:rsid w:val="00072A6D"/>
    <w:rsid w:val="00076549"/>
    <w:rsid w:val="00076EFB"/>
    <w:rsid w:val="00077006"/>
    <w:rsid w:val="00080CF1"/>
    <w:rsid w:val="0009201C"/>
    <w:rsid w:val="000C2AD6"/>
    <w:rsid w:val="000C4ADC"/>
    <w:rsid w:val="000D074E"/>
    <w:rsid w:val="000D1078"/>
    <w:rsid w:val="000D4D91"/>
    <w:rsid w:val="000D5074"/>
    <w:rsid w:val="000D7F40"/>
    <w:rsid w:val="000E0879"/>
    <w:rsid w:val="000E5227"/>
    <w:rsid w:val="000E673A"/>
    <w:rsid w:val="000F07B2"/>
    <w:rsid w:val="000F4D33"/>
    <w:rsid w:val="000F7193"/>
    <w:rsid w:val="000F74F5"/>
    <w:rsid w:val="0010028E"/>
    <w:rsid w:val="001043B8"/>
    <w:rsid w:val="00105372"/>
    <w:rsid w:val="00105759"/>
    <w:rsid w:val="00116500"/>
    <w:rsid w:val="00121B6F"/>
    <w:rsid w:val="00123118"/>
    <w:rsid w:val="00131E7A"/>
    <w:rsid w:val="00151A43"/>
    <w:rsid w:val="00152A22"/>
    <w:rsid w:val="00160693"/>
    <w:rsid w:val="00162409"/>
    <w:rsid w:val="00163B8F"/>
    <w:rsid w:val="00171F21"/>
    <w:rsid w:val="00172AF6"/>
    <w:rsid w:val="00176CEE"/>
    <w:rsid w:val="00183389"/>
    <w:rsid w:val="00185119"/>
    <w:rsid w:val="00186DD8"/>
    <w:rsid w:val="00190893"/>
    <w:rsid w:val="00191EF6"/>
    <w:rsid w:val="001B136A"/>
    <w:rsid w:val="001C251A"/>
    <w:rsid w:val="001C4633"/>
    <w:rsid w:val="001E095B"/>
    <w:rsid w:val="001E325B"/>
    <w:rsid w:val="001E52C1"/>
    <w:rsid w:val="001F756E"/>
    <w:rsid w:val="00200328"/>
    <w:rsid w:val="00217DEE"/>
    <w:rsid w:val="002261E6"/>
    <w:rsid w:val="00232EA6"/>
    <w:rsid w:val="00240140"/>
    <w:rsid w:val="0024682C"/>
    <w:rsid w:val="002653E4"/>
    <w:rsid w:val="00271971"/>
    <w:rsid w:val="00276B34"/>
    <w:rsid w:val="00280A7E"/>
    <w:rsid w:val="00281B6E"/>
    <w:rsid w:val="002A2C4E"/>
    <w:rsid w:val="002A3114"/>
    <w:rsid w:val="002A732D"/>
    <w:rsid w:val="002B2F82"/>
    <w:rsid w:val="002C6C1D"/>
    <w:rsid w:val="002E2945"/>
    <w:rsid w:val="002E2B02"/>
    <w:rsid w:val="002E2E65"/>
    <w:rsid w:val="002F0C08"/>
    <w:rsid w:val="002F36FF"/>
    <w:rsid w:val="002F4C5E"/>
    <w:rsid w:val="00301618"/>
    <w:rsid w:val="00301D05"/>
    <w:rsid w:val="003049F3"/>
    <w:rsid w:val="00311D97"/>
    <w:rsid w:val="00335F6F"/>
    <w:rsid w:val="00336C46"/>
    <w:rsid w:val="0033791A"/>
    <w:rsid w:val="00347C9B"/>
    <w:rsid w:val="00357F5D"/>
    <w:rsid w:val="003727BE"/>
    <w:rsid w:val="00372F74"/>
    <w:rsid w:val="003805C2"/>
    <w:rsid w:val="00380A82"/>
    <w:rsid w:val="003819B2"/>
    <w:rsid w:val="003819F7"/>
    <w:rsid w:val="00381D9C"/>
    <w:rsid w:val="00391801"/>
    <w:rsid w:val="00395FE5"/>
    <w:rsid w:val="003961C8"/>
    <w:rsid w:val="003C10BC"/>
    <w:rsid w:val="003D08AE"/>
    <w:rsid w:val="003D32BB"/>
    <w:rsid w:val="003D4A65"/>
    <w:rsid w:val="003F0A08"/>
    <w:rsid w:val="003F2853"/>
    <w:rsid w:val="003F2F59"/>
    <w:rsid w:val="003F7224"/>
    <w:rsid w:val="00422D5C"/>
    <w:rsid w:val="00427D21"/>
    <w:rsid w:val="0044240C"/>
    <w:rsid w:val="00444195"/>
    <w:rsid w:val="004500B8"/>
    <w:rsid w:val="0045179F"/>
    <w:rsid w:val="00456383"/>
    <w:rsid w:val="004644C2"/>
    <w:rsid w:val="00467F9C"/>
    <w:rsid w:val="004703B2"/>
    <w:rsid w:val="0047361E"/>
    <w:rsid w:val="00474575"/>
    <w:rsid w:val="004745FE"/>
    <w:rsid w:val="004A2E8E"/>
    <w:rsid w:val="004C04D2"/>
    <w:rsid w:val="004C10F4"/>
    <w:rsid w:val="004E2A30"/>
    <w:rsid w:val="004F41FB"/>
    <w:rsid w:val="00510A83"/>
    <w:rsid w:val="00516E78"/>
    <w:rsid w:val="00525B49"/>
    <w:rsid w:val="005342BB"/>
    <w:rsid w:val="00534681"/>
    <w:rsid w:val="00534705"/>
    <w:rsid w:val="0053629A"/>
    <w:rsid w:val="005367F1"/>
    <w:rsid w:val="00536DE1"/>
    <w:rsid w:val="00537ED9"/>
    <w:rsid w:val="00557E1B"/>
    <w:rsid w:val="00562340"/>
    <w:rsid w:val="005625D1"/>
    <w:rsid w:val="00563A3B"/>
    <w:rsid w:val="00590353"/>
    <w:rsid w:val="00592D59"/>
    <w:rsid w:val="005A023B"/>
    <w:rsid w:val="005A0CE2"/>
    <w:rsid w:val="005A272F"/>
    <w:rsid w:val="005A71E1"/>
    <w:rsid w:val="005B0F85"/>
    <w:rsid w:val="005B7A98"/>
    <w:rsid w:val="005D1C4A"/>
    <w:rsid w:val="005D524A"/>
    <w:rsid w:val="005E68C4"/>
    <w:rsid w:val="00605EC4"/>
    <w:rsid w:val="0060669D"/>
    <w:rsid w:val="00606ED1"/>
    <w:rsid w:val="00610610"/>
    <w:rsid w:val="006122BA"/>
    <w:rsid w:val="0061280D"/>
    <w:rsid w:val="00617546"/>
    <w:rsid w:val="006304A3"/>
    <w:rsid w:val="0063514B"/>
    <w:rsid w:val="00641DB8"/>
    <w:rsid w:val="00652947"/>
    <w:rsid w:val="006532BE"/>
    <w:rsid w:val="00657EE3"/>
    <w:rsid w:val="00663432"/>
    <w:rsid w:val="00676853"/>
    <w:rsid w:val="00680FAC"/>
    <w:rsid w:val="00683331"/>
    <w:rsid w:val="00683FE4"/>
    <w:rsid w:val="0069072F"/>
    <w:rsid w:val="006941D7"/>
    <w:rsid w:val="006941ED"/>
    <w:rsid w:val="006A1E03"/>
    <w:rsid w:val="006A2210"/>
    <w:rsid w:val="006B2290"/>
    <w:rsid w:val="006B4586"/>
    <w:rsid w:val="006C2825"/>
    <w:rsid w:val="006D3E36"/>
    <w:rsid w:val="006D40B3"/>
    <w:rsid w:val="006E2403"/>
    <w:rsid w:val="006F5573"/>
    <w:rsid w:val="00704B84"/>
    <w:rsid w:val="0070664F"/>
    <w:rsid w:val="00717D88"/>
    <w:rsid w:val="00720882"/>
    <w:rsid w:val="00725ABA"/>
    <w:rsid w:val="007316F8"/>
    <w:rsid w:val="00733869"/>
    <w:rsid w:val="00753208"/>
    <w:rsid w:val="00757746"/>
    <w:rsid w:val="0076536C"/>
    <w:rsid w:val="00767266"/>
    <w:rsid w:val="00777C99"/>
    <w:rsid w:val="007942D3"/>
    <w:rsid w:val="007A0861"/>
    <w:rsid w:val="007A46A4"/>
    <w:rsid w:val="007A4E56"/>
    <w:rsid w:val="007A6A72"/>
    <w:rsid w:val="007B6C09"/>
    <w:rsid w:val="007C09F7"/>
    <w:rsid w:val="007C1501"/>
    <w:rsid w:val="007D0BB5"/>
    <w:rsid w:val="007D512F"/>
    <w:rsid w:val="007D513C"/>
    <w:rsid w:val="007E09DA"/>
    <w:rsid w:val="007E7BB4"/>
    <w:rsid w:val="007F5E54"/>
    <w:rsid w:val="00800D7D"/>
    <w:rsid w:val="008041A9"/>
    <w:rsid w:val="008178B6"/>
    <w:rsid w:val="00817AE1"/>
    <w:rsid w:val="00826469"/>
    <w:rsid w:val="00827F87"/>
    <w:rsid w:val="00833E1A"/>
    <w:rsid w:val="00834C6A"/>
    <w:rsid w:val="008368FF"/>
    <w:rsid w:val="008417E6"/>
    <w:rsid w:val="008429A5"/>
    <w:rsid w:val="00852220"/>
    <w:rsid w:val="00853A1F"/>
    <w:rsid w:val="00865B74"/>
    <w:rsid w:val="008670BB"/>
    <w:rsid w:val="00891766"/>
    <w:rsid w:val="008962DE"/>
    <w:rsid w:val="008A07D9"/>
    <w:rsid w:val="008B2B5E"/>
    <w:rsid w:val="008B3C9C"/>
    <w:rsid w:val="008B5B03"/>
    <w:rsid w:val="008B722E"/>
    <w:rsid w:val="008C45CD"/>
    <w:rsid w:val="008D5AA2"/>
    <w:rsid w:val="008E10C9"/>
    <w:rsid w:val="008E511B"/>
    <w:rsid w:val="008F0FA2"/>
    <w:rsid w:val="008F7B10"/>
    <w:rsid w:val="0090169B"/>
    <w:rsid w:val="00903291"/>
    <w:rsid w:val="0091022C"/>
    <w:rsid w:val="00913A4E"/>
    <w:rsid w:val="00927317"/>
    <w:rsid w:val="00930BA1"/>
    <w:rsid w:val="00930BA8"/>
    <w:rsid w:val="0093169E"/>
    <w:rsid w:val="009321BA"/>
    <w:rsid w:val="00934722"/>
    <w:rsid w:val="00940B69"/>
    <w:rsid w:val="009505C9"/>
    <w:rsid w:val="0095167A"/>
    <w:rsid w:val="009530BC"/>
    <w:rsid w:val="00961A32"/>
    <w:rsid w:val="00970936"/>
    <w:rsid w:val="00972083"/>
    <w:rsid w:val="00981EDF"/>
    <w:rsid w:val="00986510"/>
    <w:rsid w:val="00995D90"/>
    <w:rsid w:val="009A2442"/>
    <w:rsid w:val="009A6E87"/>
    <w:rsid w:val="009A768E"/>
    <w:rsid w:val="009B595E"/>
    <w:rsid w:val="009B659B"/>
    <w:rsid w:val="009B6BDE"/>
    <w:rsid w:val="009C1EA6"/>
    <w:rsid w:val="009C3E11"/>
    <w:rsid w:val="00A0070A"/>
    <w:rsid w:val="00A07FBB"/>
    <w:rsid w:val="00A2184C"/>
    <w:rsid w:val="00A26D8C"/>
    <w:rsid w:val="00A32CCF"/>
    <w:rsid w:val="00A3389C"/>
    <w:rsid w:val="00A47DD9"/>
    <w:rsid w:val="00A55EB3"/>
    <w:rsid w:val="00A64BD9"/>
    <w:rsid w:val="00A705EA"/>
    <w:rsid w:val="00A711A5"/>
    <w:rsid w:val="00A71C6D"/>
    <w:rsid w:val="00A73F4F"/>
    <w:rsid w:val="00A7570F"/>
    <w:rsid w:val="00A822CD"/>
    <w:rsid w:val="00A9356C"/>
    <w:rsid w:val="00A93801"/>
    <w:rsid w:val="00A945FA"/>
    <w:rsid w:val="00AC48D5"/>
    <w:rsid w:val="00AC71A6"/>
    <w:rsid w:val="00AD1A69"/>
    <w:rsid w:val="00AD491A"/>
    <w:rsid w:val="00AE2615"/>
    <w:rsid w:val="00AE3075"/>
    <w:rsid w:val="00AE52F4"/>
    <w:rsid w:val="00AF1F1D"/>
    <w:rsid w:val="00B11EC1"/>
    <w:rsid w:val="00B14636"/>
    <w:rsid w:val="00B3369F"/>
    <w:rsid w:val="00B36EF9"/>
    <w:rsid w:val="00B3722D"/>
    <w:rsid w:val="00B42CD0"/>
    <w:rsid w:val="00B567C9"/>
    <w:rsid w:val="00B679A2"/>
    <w:rsid w:val="00B70948"/>
    <w:rsid w:val="00B7269C"/>
    <w:rsid w:val="00B7346D"/>
    <w:rsid w:val="00B7401F"/>
    <w:rsid w:val="00B75E8C"/>
    <w:rsid w:val="00B77E04"/>
    <w:rsid w:val="00B81277"/>
    <w:rsid w:val="00B926CC"/>
    <w:rsid w:val="00BA43E6"/>
    <w:rsid w:val="00BB2D2D"/>
    <w:rsid w:val="00BB30F9"/>
    <w:rsid w:val="00BB3DA1"/>
    <w:rsid w:val="00BB515D"/>
    <w:rsid w:val="00BD721B"/>
    <w:rsid w:val="00BE3AF4"/>
    <w:rsid w:val="00BE676B"/>
    <w:rsid w:val="00BE79A6"/>
    <w:rsid w:val="00BF1328"/>
    <w:rsid w:val="00BF5265"/>
    <w:rsid w:val="00BF5828"/>
    <w:rsid w:val="00BF6AF7"/>
    <w:rsid w:val="00C05106"/>
    <w:rsid w:val="00C10793"/>
    <w:rsid w:val="00C1145B"/>
    <w:rsid w:val="00C1715C"/>
    <w:rsid w:val="00C22787"/>
    <w:rsid w:val="00C2297D"/>
    <w:rsid w:val="00C300C5"/>
    <w:rsid w:val="00C32D32"/>
    <w:rsid w:val="00C42FA7"/>
    <w:rsid w:val="00C43128"/>
    <w:rsid w:val="00C443BD"/>
    <w:rsid w:val="00C461F7"/>
    <w:rsid w:val="00C46F0B"/>
    <w:rsid w:val="00C518C8"/>
    <w:rsid w:val="00C547EF"/>
    <w:rsid w:val="00C73A43"/>
    <w:rsid w:val="00C85AC8"/>
    <w:rsid w:val="00C9161D"/>
    <w:rsid w:val="00C91DF4"/>
    <w:rsid w:val="00C95434"/>
    <w:rsid w:val="00C96C15"/>
    <w:rsid w:val="00CA37EE"/>
    <w:rsid w:val="00CB0BEA"/>
    <w:rsid w:val="00CB3524"/>
    <w:rsid w:val="00CC1ED9"/>
    <w:rsid w:val="00CD676D"/>
    <w:rsid w:val="00CE2857"/>
    <w:rsid w:val="00CE491F"/>
    <w:rsid w:val="00CF02B2"/>
    <w:rsid w:val="00CF1848"/>
    <w:rsid w:val="00CF24DF"/>
    <w:rsid w:val="00D10719"/>
    <w:rsid w:val="00D10778"/>
    <w:rsid w:val="00D12044"/>
    <w:rsid w:val="00D21034"/>
    <w:rsid w:val="00D2150E"/>
    <w:rsid w:val="00D22ACA"/>
    <w:rsid w:val="00D25E06"/>
    <w:rsid w:val="00D35000"/>
    <w:rsid w:val="00D44255"/>
    <w:rsid w:val="00D46106"/>
    <w:rsid w:val="00D5227D"/>
    <w:rsid w:val="00D606FA"/>
    <w:rsid w:val="00D64696"/>
    <w:rsid w:val="00D71DB6"/>
    <w:rsid w:val="00D74E58"/>
    <w:rsid w:val="00D76A18"/>
    <w:rsid w:val="00D772EB"/>
    <w:rsid w:val="00D81F02"/>
    <w:rsid w:val="00D8636C"/>
    <w:rsid w:val="00D93A8D"/>
    <w:rsid w:val="00D95F7A"/>
    <w:rsid w:val="00DA7B2F"/>
    <w:rsid w:val="00DB65C6"/>
    <w:rsid w:val="00DC2843"/>
    <w:rsid w:val="00DD118C"/>
    <w:rsid w:val="00DD3E1A"/>
    <w:rsid w:val="00DE3C05"/>
    <w:rsid w:val="00DE5673"/>
    <w:rsid w:val="00DF0F56"/>
    <w:rsid w:val="00DF1E43"/>
    <w:rsid w:val="00DF4C93"/>
    <w:rsid w:val="00DF608A"/>
    <w:rsid w:val="00E07399"/>
    <w:rsid w:val="00E13C07"/>
    <w:rsid w:val="00E16D2F"/>
    <w:rsid w:val="00E17B81"/>
    <w:rsid w:val="00E23487"/>
    <w:rsid w:val="00E32BFC"/>
    <w:rsid w:val="00E35692"/>
    <w:rsid w:val="00E377F4"/>
    <w:rsid w:val="00E44486"/>
    <w:rsid w:val="00E533AE"/>
    <w:rsid w:val="00E543F9"/>
    <w:rsid w:val="00E5745E"/>
    <w:rsid w:val="00E60FDF"/>
    <w:rsid w:val="00E66235"/>
    <w:rsid w:val="00E67620"/>
    <w:rsid w:val="00E732DF"/>
    <w:rsid w:val="00E7683A"/>
    <w:rsid w:val="00E76F1D"/>
    <w:rsid w:val="00E80E2C"/>
    <w:rsid w:val="00E81ED6"/>
    <w:rsid w:val="00E830F0"/>
    <w:rsid w:val="00E83C24"/>
    <w:rsid w:val="00E84B31"/>
    <w:rsid w:val="00E90419"/>
    <w:rsid w:val="00E9318D"/>
    <w:rsid w:val="00EA6D40"/>
    <w:rsid w:val="00EB0A54"/>
    <w:rsid w:val="00EB50CF"/>
    <w:rsid w:val="00ED0967"/>
    <w:rsid w:val="00ED7BD5"/>
    <w:rsid w:val="00EE4E9E"/>
    <w:rsid w:val="00EF09FA"/>
    <w:rsid w:val="00EF2626"/>
    <w:rsid w:val="00F00218"/>
    <w:rsid w:val="00F01382"/>
    <w:rsid w:val="00F0458D"/>
    <w:rsid w:val="00F16D8F"/>
    <w:rsid w:val="00F46257"/>
    <w:rsid w:val="00F56B84"/>
    <w:rsid w:val="00F656A9"/>
    <w:rsid w:val="00F70BE6"/>
    <w:rsid w:val="00F77AF8"/>
    <w:rsid w:val="00F841C8"/>
    <w:rsid w:val="00F9092F"/>
    <w:rsid w:val="00F94774"/>
    <w:rsid w:val="00FB37EA"/>
    <w:rsid w:val="00FC53DB"/>
    <w:rsid w:val="00FC7413"/>
    <w:rsid w:val="00FC7F5C"/>
    <w:rsid w:val="00FD61AA"/>
    <w:rsid w:val="00FE35B0"/>
    <w:rsid w:val="00FE4589"/>
    <w:rsid w:val="00FE641E"/>
    <w:rsid w:val="00FF19D2"/>
    <w:rsid w:val="00FF35A1"/>
    <w:rsid w:val="00FF362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0E889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qFormat="1"/>
    <w:lsdException w:name="page number" w:uiPriority="0"/>
    <w:lsdException w:name="endnote reference" w:uiPriority="0"/>
    <w:lsdException w:name="endnote text" w:uiPriority="0"/>
    <w:lsdException w:name="toa heading"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Document Map"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uiPriority w:val="9"/>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uiPriority w:val="9"/>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rsid w:val="00427D21"/>
    <w:pPr>
      <w:numPr>
        <w:numId w:val="2"/>
      </w:numPr>
      <w:tabs>
        <w:tab w:val="clear" w:pos="360"/>
      </w:tabs>
      <w:spacing w:before="120" w:after="120"/>
    </w:pPr>
    <w:rPr>
      <w:snapToGrid w:val="0"/>
      <w:szCs w:val="18"/>
    </w:rPr>
  </w:style>
  <w:style w:type="paragraph" w:customStyle="1" w:styleId="Para2">
    <w:name w:val="Para2"/>
    <w:basedOn w:val="Para10"/>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0"/>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2">
    <w:name w:val="Style2"/>
    <w:basedOn w:val="Normal"/>
    <w:autoRedefine/>
    <w:rsid w:val="00070D30"/>
    <w:rPr>
      <w:rFonts w:ascii="Lucida Sans Unicode" w:hAnsi="Lucida Sans Unicode" w:cs="Angsana New"/>
      <w:noProof/>
      <w:color w:val="0000FF"/>
      <w:lang w:val="en-US"/>
    </w:rPr>
  </w:style>
  <w:style w:type="paragraph" w:styleId="CommentSubject">
    <w:name w:val="annotation subject"/>
    <w:basedOn w:val="CommentText"/>
    <w:next w:val="CommentText"/>
    <w:link w:val="CommentSubjectChar"/>
    <w:uiPriority w:val="99"/>
    <w:rsid w:val="00070D30"/>
    <w:pPr>
      <w:spacing w:after="0" w:line="240" w:lineRule="auto"/>
    </w:pPr>
    <w:rPr>
      <w:b/>
      <w:bCs/>
      <w:sz w:val="20"/>
      <w:szCs w:val="20"/>
      <w:lang w:eastAsia="x-none"/>
    </w:rPr>
  </w:style>
  <w:style w:type="character" w:customStyle="1" w:styleId="CommentSubjectChar">
    <w:name w:val="Comment Subject Char"/>
    <w:basedOn w:val="CommentTextChar"/>
    <w:link w:val="CommentSubject"/>
    <w:uiPriority w:val="99"/>
    <w:rsid w:val="00070D30"/>
    <w:rPr>
      <w:rFonts w:ascii="Times New Roman" w:eastAsia="Times New Roman" w:hAnsi="Times New Roman" w:cs="Times New Roman"/>
      <w:b/>
      <w:bCs/>
      <w:sz w:val="20"/>
      <w:szCs w:val="20"/>
      <w:lang w:val="en-GB" w:eastAsia="x-none"/>
    </w:rPr>
  </w:style>
  <w:style w:type="paragraph" w:customStyle="1" w:styleId="bodytextnoindent">
    <w:name w:val="body text (no indent)"/>
    <w:basedOn w:val="Normal"/>
    <w:rsid w:val="00070D30"/>
    <w:pPr>
      <w:widowControl w:val="0"/>
      <w:overflowPunct w:val="0"/>
      <w:autoSpaceDE w:val="0"/>
      <w:autoSpaceDN w:val="0"/>
      <w:adjustRightInd w:val="0"/>
      <w:spacing w:before="120" w:after="120"/>
      <w:textAlignment w:val="baseline"/>
    </w:pPr>
    <w:rPr>
      <w:rFonts w:cs="Angsana New"/>
      <w:szCs w:val="20"/>
      <w:lang w:eastAsia="de-DE"/>
    </w:rPr>
  </w:style>
  <w:style w:type="paragraph" w:styleId="BodyText2">
    <w:name w:val="Body Text 2"/>
    <w:basedOn w:val="Normal"/>
    <w:link w:val="BodyText2Char"/>
    <w:rsid w:val="00070D30"/>
    <w:rPr>
      <w:rFonts w:cs="Angsana New"/>
      <w:i/>
      <w:iCs/>
    </w:rPr>
  </w:style>
  <w:style w:type="character" w:customStyle="1" w:styleId="BodyText2Char">
    <w:name w:val="Body Text 2 Char"/>
    <w:basedOn w:val="DefaultParagraphFont"/>
    <w:link w:val="BodyText2"/>
    <w:rsid w:val="00070D30"/>
    <w:rPr>
      <w:rFonts w:ascii="Times New Roman" w:eastAsia="Times New Roman" w:hAnsi="Times New Roman" w:cs="Angsana New"/>
      <w:i/>
      <w:iCs/>
      <w:sz w:val="22"/>
      <w:lang w:val="en-GB"/>
    </w:rPr>
  </w:style>
  <w:style w:type="paragraph" w:styleId="BodyText3">
    <w:name w:val="Body Text 3"/>
    <w:basedOn w:val="Normal"/>
    <w:link w:val="BodyText3Char"/>
    <w:rsid w:val="00070D30"/>
    <w:pPr>
      <w:jc w:val="center"/>
    </w:pPr>
    <w:rPr>
      <w:rFonts w:cs="Angsana New"/>
      <w:sz w:val="28"/>
    </w:rPr>
  </w:style>
  <w:style w:type="character" w:customStyle="1" w:styleId="BodyText3Char">
    <w:name w:val="Body Text 3 Char"/>
    <w:basedOn w:val="DefaultParagraphFont"/>
    <w:link w:val="BodyText3"/>
    <w:rsid w:val="00070D30"/>
    <w:rPr>
      <w:rFonts w:ascii="Times New Roman" w:eastAsia="Times New Roman" w:hAnsi="Times New Roman" w:cs="Angsana New"/>
      <w:sz w:val="28"/>
      <w:lang w:val="en-GB"/>
    </w:rPr>
  </w:style>
  <w:style w:type="paragraph" w:styleId="BodyTextIndent2">
    <w:name w:val="Body Text Indent 2"/>
    <w:basedOn w:val="Normal"/>
    <w:link w:val="BodyTextIndent2Char"/>
    <w:rsid w:val="00070D30"/>
    <w:pPr>
      <w:ind w:firstLine="720"/>
    </w:pPr>
    <w:rPr>
      <w:rFonts w:cs="Angsana New"/>
    </w:rPr>
  </w:style>
  <w:style w:type="character" w:customStyle="1" w:styleId="BodyTextIndent2Char">
    <w:name w:val="Body Text Indent 2 Char"/>
    <w:basedOn w:val="DefaultParagraphFont"/>
    <w:link w:val="BodyTextIndent2"/>
    <w:rsid w:val="00070D30"/>
    <w:rPr>
      <w:rFonts w:ascii="Times New Roman" w:eastAsia="Times New Roman" w:hAnsi="Times New Roman" w:cs="Angsana New"/>
      <w:sz w:val="22"/>
      <w:lang w:val="en-GB"/>
    </w:rPr>
  </w:style>
  <w:style w:type="paragraph" w:customStyle="1" w:styleId="Bodytextitalic">
    <w:name w:val="Body text italic"/>
    <w:basedOn w:val="BodyText"/>
    <w:rsid w:val="00070D30"/>
    <w:rPr>
      <w:rFonts w:cs="Angsana New"/>
      <w:i/>
      <w:iCs w:val="0"/>
    </w:rPr>
  </w:style>
  <w:style w:type="paragraph" w:customStyle="1" w:styleId="boxbody">
    <w:name w:val="boxbody"/>
    <w:basedOn w:val="Normal"/>
    <w:rsid w:val="00070D30"/>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070D30"/>
    <w:pPr>
      <w:tabs>
        <w:tab w:val="clear" w:pos="720"/>
        <w:tab w:val="left" w:pos="900"/>
      </w:tabs>
    </w:pPr>
    <w:rPr>
      <w:rFonts w:eastAsia="Batang"/>
      <w:b w:val="0"/>
      <w:bCs w:val="0"/>
      <w:szCs w:val="20"/>
    </w:rPr>
  </w:style>
  <w:style w:type="paragraph" w:customStyle="1" w:styleId="Heading2noletter">
    <w:name w:val="Heading 2 (no letter)"/>
    <w:basedOn w:val="Heading2"/>
    <w:rsid w:val="00070D30"/>
    <w:pPr>
      <w:tabs>
        <w:tab w:val="clear" w:pos="720"/>
      </w:tabs>
    </w:pPr>
  </w:style>
  <w:style w:type="character" w:customStyle="1" w:styleId="Heading2CharChar">
    <w:name w:val="Heading 2 Char Char"/>
    <w:rsid w:val="00070D30"/>
    <w:rPr>
      <w:rFonts w:ascii="Arial" w:hAnsi="Arial" w:cs="Arial"/>
      <w:b/>
      <w:bCs/>
      <w:i/>
      <w:iCs/>
      <w:noProof w:val="0"/>
      <w:sz w:val="28"/>
      <w:szCs w:val="28"/>
      <w:lang w:val="en-US" w:eastAsia="en-US" w:bidi="ar-SA"/>
    </w:rPr>
  </w:style>
  <w:style w:type="paragraph" w:customStyle="1" w:styleId="Heading-plain0">
    <w:name w:val="Heading-plain"/>
    <w:basedOn w:val="Normal"/>
    <w:rsid w:val="00070D30"/>
    <w:pPr>
      <w:spacing w:before="120" w:after="120"/>
      <w:jc w:val="center"/>
      <w:outlineLvl w:val="0"/>
    </w:pPr>
    <w:rPr>
      <w:rFonts w:cs="Angsana New"/>
      <w:i/>
      <w:szCs w:val="20"/>
    </w:rPr>
  </w:style>
  <w:style w:type="paragraph" w:customStyle="1" w:styleId="Heading-plainbold">
    <w:name w:val="Heading-plain bold"/>
    <w:basedOn w:val="BodyText"/>
    <w:rsid w:val="00070D30"/>
    <w:pPr>
      <w:ind w:firstLine="0"/>
      <w:jc w:val="center"/>
    </w:pPr>
    <w:rPr>
      <w:rFonts w:cs="Angsana New"/>
      <w:b/>
      <w:bCs/>
      <w:i/>
      <w:iCs w:val="0"/>
    </w:rPr>
  </w:style>
  <w:style w:type="paragraph" w:customStyle="1" w:styleId="Heading-plainitalic">
    <w:name w:val="Heading-plain italic"/>
    <w:basedOn w:val="Heading-plainbold"/>
    <w:rsid w:val="00070D30"/>
    <w:rPr>
      <w:b w:val="0"/>
      <w:bCs w:val="0"/>
    </w:rPr>
  </w:style>
  <w:style w:type="paragraph" w:styleId="NormalWeb">
    <w:name w:val="Normal (Web)"/>
    <w:basedOn w:val="Normal"/>
    <w:uiPriority w:val="99"/>
    <w:rsid w:val="00070D30"/>
    <w:pPr>
      <w:spacing w:before="100" w:beforeAutospacing="1" w:after="100" w:afterAutospacing="1"/>
      <w:jc w:val="left"/>
    </w:pPr>
    <w:rPr>
      <w:rFonts w:ascii="Verdana" w:hAnsi="Verdana" w:cs="Angsana New"/>
      <w:color w:val="000000"/>
      <w:sz w:val="18"/>
      <w:szCs w:val="18"/>
      <w:lang w:val="en-US"/>
    </w:rPr>
  </w:style>
  <w:style w:type="paragraph" w:customStyle="1" w:styleId="Para1">
    <w:name w:val="Para 1"/>
    <w:basedOn w:val="BodyText"/>
    <w:rsid w:val="00070D30"/>
    <w:pPr>
      <w:numPr>
        <w:numId w:val="9"/>
      </w:numPr>
    </w:pPr>
    <w:rPr>
      <w:rFonts w:eastAsia="MS Mincho" w:cs="Angsana New"/>
      <w:bCs/>
      <w:iCs w:val="0"/>
      <w:szCs w:val="22"/>
    </w:rPr>
  </w:style>
  <w:style w:type="character" w:customStyle="1" w:styleId="Para1Char0">
    <w:name w:val="Para 1 Char"/>
    <w:rsid w:val="00070D30"/>
    <w:rPr>
      <w:rFonts w:eastAsia="MS Mincho"/>
      <w:bCs/>
      <w:iCs/>
      <w:sz w:val="22"/>
      <w:szCs w:val="22"/>
      <w:lang w:val="en-GB" w:eastAsia="en-US" w:bidi="ar-SA"/>
    </w:rPr>
  </w:style>
  <w:style w:type="paragraph" w:customStyle="1" w:styleId="Paraofficial">
    <w:name w:val="Para official"/>
    <w:basedOn w:val="Normal"/>
    <w:rsid w:val="00070D30"/>
    <w:pPr>
      <w:framePr w:hSpace="187" w:vSpace="187" w:wrap="notBeside" w:vAnchor="text" w:hAnchor="text" w:y="1"/>
      <w:numPr>
        <w:numId w:val="5"/>
      </w:numPr>
      <w:spacing w:before="240" w:after="240"/>
      <w:jc w:val="left"/>
    </w:pPr>
    <w:rPr>
      <w:rFonts w:cs="Angsana New"/>
      <w:szCs w:val="20"/>
    </w:rPr>
  </w:style>
  <w:style w:type="paragraph" w:customStyle="1" w:styleId="ColorfulShading-Accent11">
    <w:name w:val="Colorful Shading - Accent 11"/>
    <w:hidden/>
    <w:uiPriority w:val="99"/>
    <w:semiHidden/>
    <w:rsid w:val="00070D30"/>
    <w:rPr>
      <w:rFonts w:ascii="Times New Roman" w:eastAsia="Times New Roman" w:hAnsi="Times New Roman" w:cs="Angsana New"/>
      <w:sz w:val="22"/>
      <w:lang w:val="en-GB"/>
    </w:rPr>
  </w:style>
  <w:style w:type="paragraph" w:customStyle="1" w:styleId="Para1-Annex">
    <w:name w:val="Para1-Annex"/>
    <w:basedOn w:val="Normal"/>
    <w:rsid w:val="00070D30"/>
    <w:pPr>
      <w:numPr>
        <w:numId w:val="6"/>
      </w:numPr>
      <w:spacing w:after="120"/>
    </w:pPr>
    <w:rPr>
      <w:szCs w:val="22"/>
      <w:lang w:val="en-US"/>
    </w:rPr>
  </w:style>
  <w:style w:type="paragraph" w:customStyle="1" w:styleId="para20">
    <w:name w:val="para2"/>
    <w:basedOn w:val="para2a"/>
    <w:rsid w:val="00070D30"/>
  </w:style>
  <w:style w:type="paragraph" w:customStyle="1" w:styleId="Para40">
    <w:name w:val="Para4"/>
    <w:basedOn w:val="Para3"/>
    <w:rsid w:val="00070D30"/>
    <w:pPr>
      <w:numPr>
        <w:ilvl w:val="0"/>
        <w:numId w:val="0"/>
      </w:numPr>
      <w:tabs>
        <w:tab w:val="clear" w:pos="1980"/>
        <w:tab w:val="left" w:pos="2552"/>
        <w:tab w:val="num" w:pos="3540"/>
      </w:tabs>
      <w:ind w:left="2552" w:hanging="567"/>
    </w:pPr>
    <w:rPr>
      <w:rFonts w:cs="Angsana New"/>
      <w:lang w:val="en-US"/>
    </w:rPr>
  </w:style>
  <w:style w:type="paragraph" w:customStyle="1" w:styleId="Paranum">
    <w:name w:val="Paranum"/>
    <w:basedOn w:val="Normal"/>
    <w:rsid w:val="00070D30"/>
    <w:pPr>
      <w:numPr>
        <w:numId w:val="7"/>
      </w:numPr>
      <w:spacing w:after="120" w:line="240" w:lineRule="exact"/>
    </w:pPr>
    <w:rPr>
      <w:rFonts w:cs="Angsana New"/>
      <w:szCs w:val="20"/>
      <w:lang w:val="en-US"/>
    </w:rPr>
  </w:style>
  <w:style w:type="character" w:styleId="Strong">
    <w:name w:val="Strong"/>
    <w:uiPriority w:val="22"/>
    <w:qFormat/>
    <w:rsid w:val="00070D30"/>
    <w:rPr>
      <w:b/>
      <w:bCs/>
    </w:rPr>
  </w:style>
  <w:style w:type="paragraph" w:customStyle="1" w:styleId="StyleBodyTextTimesNewRoman11ptCharChar">
    <w:name w:val="Style Body Text + Times New Roman 11 pt Char Char"/>
    <w:basedOn w:val="BodyText"/>
    <w:rsid w:val="00070D30"/>
    <w:rPr>
      <w:rFonts w:cs="Angsana New"/>
      <w:iCs w:val="0"/>
      <w:snapToGrid w:val="0"/>
      <w:color w:val="000000"/>
      <w:szCs w:val="22"/>
      <w:lang w:val="en-US"/>
    </w:rPr>
  </w:style>
  <w:style w:type="character" w:customStyle="1" w:styleId="StyleBodyTextTimesNewRoman11ptCharCharChar">
    <w:name w:val="Style Body Text + Times New Roman 11 pt Char Char Char"/>
    <w:rsid w:val="00070D30"/>
    <w:rPr>
      <w:rFonts w:cs="Angsana New"/>
      <w:iCs/>
      <w:snapToGrid w:val="0"/>
      <w:color w:val="000000"/>
      <w:sz w:val="22"/>
      <w:szCs w:val="22"/>
      <w:lang w:val="en-US" w:eastAsia="en-US" w:bidi="ar-SA"/>
    </w:rPr>
  </w:style>
  <w:style w:type="paragraph" w:customStyle="1" w:styleId="StylePara1Firstline127cm">
    <w:name w:val="Style Para1 + First line:  1.27 cm"/>
    <w:basedOn w:val="Normal"/>
    <w:rsid w:val="00070D30"/>
    <w:pPr>
      <w:tabs>
        <w:tab w:val="num" w:pos="360"/>
      </w:tabs>
      <w:spacing w:after="120"/>
    </w:pPr>
    <w:rPr>
      <w:rFonts w:cs="Angsana New"/>
      <w:snapToGrid w:val="0"/>
      <w:szCs w:val="20"/>
    </w:rPr>
  </w:style>
  <w:style w:type="paragraph" w:customStyle="1" w:styleId="StylePara1Italic">
    <w:name w:val="Style Para1 + Italic"/>
    <w:basedOn w:val="Normal"/>
    <w:rsid w:val="00070D30"/>
    <w:pPr>
      <w:spacing w:before="120" w:after="120"/>
    </w:pPr>
    <w:rPr>
      <w:i/>
      <w:iCs/>
      <w:snapToGrid w:val="0"/>
      <w:szCs w:val="18"/>
    </w:rPr>
  </w:style>
  <w:style w:type="paragraph" w:customStyle="1" w:styleId="ColorfulShading-Accent31">
    <w:name w:val="Colorful Shading - Accent 31"/>
    <w:basedOn w:val="Normal"/>
    <w:uiPriority w:val="34"/>
    <w:qFormat/>
    <w:rsid w:val="00070D30"/>
    <w:pPr>
      <w:ind w:left="720"/>
      <w:contextualSpacing/>
    </w:pPr>
    <w:rPr>
      <w:rFonts w:cs="Angsana New"/>
    </w:rPr>
  </w:style>
  <w:style w:type="paragraph" w:customStyle="1" w:styleId="para2a">
    <w:name w:val="para 2 (a)"/>
    <w:basedOn w:val="Normal"/>
    <w:qFormat/>
    <w:rsid w:val="00070D30"/>
    <w:pPr>
      <w:spacing w:after="120"/>
    </w:pPr>
    <w:rPr>
      <w:rFonts w:eastAsia="MS Mincho" w:cs="Angsana New"/>
      <w:snapToGrid w:val="0"/>
      <w:szCs w:val="18"/>
    </w:rPr>
  </w:style>
  <w:style w:type="paragraph" w:customStyle="1" w:styleId="SubtleEmphasis1">
    <w:name w:val="Subtle Emphasis1"/>
    <w:basedOn w:val="Normal"/>
    <w:uiPriority w:val="34"/>
    <w:qFormat/>
    <w:rsid w:val="00070D30"/>
    <w:pPr>
      <w:ind w:left="720"/>
      <w:contextualSpacing/>
    </w:pPr>
    <w:rPr>
      <w:rFonts w:cs="Angsana New"/>
    </w:rPr>
  </w:style>
  <w:style w:type="paragraph" w:customStyle="1" w:styleId="Body">
    <w:name w:val="Body"/>
    <w:rsid w:val="00070D30"/>
    <w:pPr>
      <w:pBdr>
        <w:top w:val="nil"/>
        <w:left w:val="nil"/>
        <w:bottom w:val="nil"/>
        <w:right w:val="nil"/>
        <w:between w:val="nil"/>
        <w:bar w:val="nil"/>
      </w:pBdr>
      <w:spacing w:after="160" w:line="259" w:lineRule="auto"/>
    </w:pPr>
    <w:rPr>
      <w:rFonts w:ascii="Calibri" w:eastAsia="Calibri" w:hAnsi="Calibri" w:cs="Calibri"/>
      <w:color w:val="000000"/>
      <w:sz w:val="22"/>
      <w:szCs w:val="22"/>
      <w:u w:color="000000"/>
      <w:bdr w:val="nil"/>
      <w:lang w:val="en-US" w:eastAsia="en-SG"/>
    </w:rPr>
  </w:style>
  <w:style w:type="paragraph" w:customStyle="1" w:styleId="recommendation">
    <w:name w:val="recommendation"/>
    <w:basedOn w:val="Heading2"/>
    <w:qFormat/>
    <w:rsid w:val="00070D30"/>
    <w:pPr>
      <w:tabs>
        <w:tab w:val="clear" w:pos="720"/>
      </w:tabs>
      <w:spacing w:before="240" w:after="60" w:line="276" w:lineRule="auto"/>
      <w:jc w:val="left"/>
    </w:pPr>
    <w:rPr>
      <w:i/>
      <w:snapToGrid w:val="0"/>
      <w:kern w:val="2"/>
      <w:szCs w:val="22"/>
      <w:lang w:val="en-US"/>
    </w:rPr>
  </w:style>
  <w:style w:type="paragraph" w:customStyle="1" w:styleId="SubtleEmphasis2">
    <w:name w:val="Subtle Emphasis2"/>
    <w:basedOn w:val="Normal"/>
    <w:uiPriority w:val="34"/>
    <w:qFormat/>
    <w:rsid w:val="00070D30"/>
    <w:pPr>
      <w:spacing w:after="240"/>
      <w:ind w:left="720"/>
      <w:contextualSpacing/>
      <w:jc w:val="left"/>
    </w:pPr>
    <w:rPr>
      <w:rFonts w:ascii="Calibri" w:eastAsia="Calibri" w:hAnsi="Calibri"/>
      <w:sz w:val="24"/>
    </w:rPr>
  </w:style>
  <w:style w:type="paragraph" w:customStyle="1" w:styleId="Default">
    <w:name w:val="Default"/>
    <w:rsid w:val="00070D30"/>
    <w:pPr>
      <w:autoSpaceDE w:val="0"/>
      <w:autoSpaceDN w:val="0"/>
      <w:adjustRightInd w:val="0"/>
    </w:pPr>
    <w:rPr>
      <w:rFonts w:ascii="Calibri" w:eastAsia="Calibri" w:hAnsi="Calibri" w:cs="Calibri"/>
      <w:color w:val="000000"/>
      <w:lang w:val="en-US"/>
    </w:rPr>
  </w:style>
  <w:style w:type="paragraph" w:customStyle="1" w:styleId="ColorfulGrid-Accent61">
    <w:name w:val="Colorful Grid - Accent 61"/>
    <w:hidden/>
    <w:uiPriority w:val="66"/>
    <w:rsid w:val="00070D30"/>
    <w:rPr>
      <w:rFonts w:ascii="Times New Roman" w:eastAsia="Times New Roman" w:hAnsi="Times New Roman" w:cs="Angsana New"/>
      <w:sz w:val="22"/>
      <w:lang w:val="en-GB"/>
    </w:rPr>
  </w:style>
  <w:style w:type="paragraph" w:customStyle="1" w:styleId="SubtleEmphasis3">
    <w:name w:val="Subtle Emphasis3"/>
    <w:basedOn w:val="Normal"/>
    <w:uiPriority w:val="34"/>
    <w:qFormat/>
    <w:rsid w:val="00070D30"/>
    <w:pPr>
      <w:ind w:left="720"/>
      <w:contextualSpacing/>
    </w:pPr>
    <w:rPr>
      <w:rFonts w:cs="Angsana New"/>
    </w:rPr>
  </w:style>
  <w:style w:type="paragraph" w:customStyle="1" w:styleId="SubtleEmphasis4">
    <w:name w:val="Subtle Emphasis4"/>
    <w:basedOn w:val="Normal"/>
    <w:uiPriority w:val="34"/>
    <w:qFormat/>
    <w:rsid w:val="00070D30"/>
    <w:pPr>
      <w:ind w:left="720"/>
    </w:pPr>
    <w:rPr>
      <w:rFonts w:cs="Angsana New"/>
    </w:rPr>
  </w:style>
  <w:style w:type="paragraph" w:customStyle="1" w:styleId="SubtleEmphasis5">
    <w:name w:val="Subtle Emphasis5"/>
    <w:basedOn w:val="Normal"/>
    <w:uiPriority w:val="72"/>
    <w:qFormat/>
    <w:rsid w:val="00070D30"/>
    <w:pPr>
      <w:ind w:left="720"/>
    </w:pPr>
    <w:rPr>
      <w:rFonts w:cs="Angsana New"/>
    </w:rPr>
  </w:style>
  <w:style w:type="numbering" w:customStyle="1" w:styleId="ImportedStyle2">
    <w:name w:val="Imported Style 2"/>
    <w:rsid w:val="00070D30"/>
    <w:pPr>
      <w:numPr>
        <w:numId w:val="8"/>
      </w:numPr>
    </w:pPr>
  </w:style>
  <w:style w:type="character" w:customStyle="1" w:styleId="apple-converted-space">
    <w:name w:val="apple-converted-space"/>
    <w:rsid w:val="00070D30"/>
    <w:rPr>
      <w:lang w:val="fr-FR"/>
    </w:rPr>
  </w:style>
  <w:style w:type="table" w:customStyle="1" w:styleId="TableGrid1">
    <w:name w:val="Table Grid1"/>
    <w:basedOn w:val="TableNormal"/>
    <w:next w:val="TableGrid"/>
    <w:uiPriority w:val="59"/>
    <w:rsid w:val="00070D30"/>
    <w:rPr>
      <w:rFonts w:ascii="Calibri" w:eastAsia="Calibri" w:hAnsi="Calibri" w:cs="Times New Roma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070D30"/>
    <w:rPr>
      <w:rFonts w:ascii="Calibri" w:eastAsia="Calibri" w:hAnsi="Calibri" w:cs="Times New Roma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070D30"/>
    <w:rPr>
      <w:sz w:val="24"/>
      <w:lang w:eastAsia="x-none"/>
    </w:rPr>
  </w:style>
  <w:style w:type="character" w:customStyle="1" w:styleId="DocumentMapChar">
    <w:name w:val="Document Map Char"/>
    <w:basedOn w:val="DefaultParagraphFont"/>
    <w:link w:val="DocumentMap"/>
    <w:rsid w:val="00070D30"/>
    <w:rPr>
      <w:rFonts w:ascii="Times New Roman" w:eastAsia="Times New Roman" w:hAnsi="Times New Roman" w:cs="Times New Roman"/>
      <w:lang w:val="en-GB" w:eastAsia="x-none"/>
    </w:rPr>
  </w:style>
  <w:style w:type="paragraph" w:styleId="Revision">
    <w:name w:val="Revision"/>
    <w:hidden/>
    <w:uiPriority w:val="99"/>
    <w:unhideWhenUsed/>
    <w:rsid w:val="00070D30"/>
    <w:rPr>
      <w:rFonts w:ascii="Times New Roman" w:eastAsia="Times New Roman" w:hAnsi="Times New Roman" w:cs="Angsana New"/>
      <w:sz w:val="22"/>
      <w:lang w:val="en-GB"/>
    </w:rPr>
  </w:style>
  <w:style w:type="character" w:customStyle="1" w:styleId="UnresolvedMention1">
    <w:name w:val="Unresolved Mention1"/>
    <w:basedOn w:val="DefaultParagraphFont"/>
    <w:uiPriority w:val="99"/>
    <w:semiHidden/>
    <w:unhideWhenUsed/>
    <w:rsid w:val="00422D5C"/>
    <w:rPr>
      <w:color w:val="808080"/>
      <w:shd w:val="clear" w:color="auto" w:fill="E6E6E6"/>
    </w:rPr>
  </w:style>
  <w:style w:type="character" w:customStyle="1" w:styleId="UnresolvedMention10">
    <w:name w:val="Unresolved Mention1"/>
    <w:basedOn w:val="DefaultParagraphFont"/>
    <w:uiPriority w:val="99"/>
    <w:semiHidden/>
    <w:unhideWhenUsed/>
    <w:rsid w:val="006D3E36"/>
    <w:rPr>
      <w:color w:val="808080"/>
      <w:shd w:val="clear" w:color="auto" w:fill="E6E6E6"/>
    </w:rPr>
  </w:style>
  <w:style w:type="character" w:customStyle="1" w:styleId="UnresolvedMention2">
    <w:name w:val="Unresolved Mention2"/>
    <w:basedOn w:val="DefaultParagraphFont"/>
    <w:uiPriority w:val="99"/>
    <w:semiHidden/>
    <w:unhideWhenUsed/>
    <w:rsid w:val="006D3E36"/>
    <w:rPr>
      <w:color w:val="808080"/>
      <w:shd w:val="clear" w:color="auto" w:fill="E6E6E6"/>
    </w:rPr>
  </w:style>
  <w:style w:type="character" w:customStyle="1" w:styleId="A8">
    <w:name w:val="A8"/>
    <w:uiPriority w:val="99"/>
    <w:rsid w:val="006D3E36"/>
    <w:rPr>
      <w:rFonts w:cs="Georgia"/>
      <w:i/>
      <w:iCs/>
      <w:color w:val="000000"/>
      <w:sz w:val="20"/>
      <w:szCs w:val="20"/>
    </w:rPr>
  </w:style>
  <w:style w:type="character" w:customStyle="1" w:styleId="A4">
    <w:name w:val="A4"/>
    <w:uiPriority w:val="99"/>
    <w:rsid w:val="006D3E36"/>
    <w:rPr>
      <w:rFonts w:cs="Georgia"/>
      <w:color w:val="000000"/>
      <w:sz w:val="22"/>
      <w:szCs w:val="22"/>
    </w:rPr>
  </w:style>
  <w:style w:type="paragraph" w:styleId="HTMLPreformatted">
    <w:name w:val="HTML Preformatted"/>
    <w:basedOn w:val="Normal"/>
    <w:link w:val="HTMLPreformattedChar"/>
    <w:uiPriority w:val="99"/>
    <w:semiHidden/>
    <w:unhideWhenUsed/>
    <w:rsid w:val="006D3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6D3E36"/>
    <w:rPr>
      <w:rFonts w:ascii="Courier New" w:eastAsia="Times New Roman" w:hAnsi="Courier New" w:cs="Courier New"/>
      <w:sz w:val="20"/>
      <w:szCs w:val="20"/>
      <w:lang w:val="en-US"/>
    </w:rPr>
  </w:style>
  <w:style w:type="character" w:customStyle="1" w:styleId="UnresolvedMention3">
    <w:name w:val="Unresolved Mention3"/>
    <w:basedOn w:val="DefaultParagraphFont"/>
    <w:uiPriority w:val="99"/>
    <w:semiHidden/>
    <w:unhideWhenUsed/>
    <w:rsid w:val="006D3E36"/>
    <w:rPr>
      <w:color w:val="808080"/>
      <w:shd w:val="clear" w:color="auto" w:fill="E6E6E6"/>
    </w:rPr>
  </w:style>
  <w:style w:type="character" w:customStyle="1" w:styleId="UnresolvedMention4">
    <w:name w:val="Unresolved Mention4"/>
    <w:basedOn w:val="DefaultParagraphFont"/>
    <w:uiPriority w:val="99"/>
    <w:semiHidden/>
    <w:unhideWhenUsed/>
    <w:rsid w:val="006D3E36"/>
    <w:rPr>
      <w:color w:val="605E5C"/>
      <w:shd w:val="clear" w:color="auto" w:fill="E1DFDD"/>
    </w:rPr>
  </w:style>
  <w:style w:type="character" w:customStyle="1" w:styleId="UnresolvedMention5">
    <w:name w:val="Unresolved Mention5"/>
    <w:basedOn w:val="DefaultParagraphFont"/>
    <w:uiPriority w:val="99"/>
    <w:semiHidden/>
    <w:unhideWhenUsed/>
    <w:rsid w:val="006D3E36"/>
    <w:rPr>
      <w:color w:val="605E5C"/>
      <w:shd w:val="clear" w:color="auto" w:fill="E1DFDD"/>
    </w:rPr>
  </w:style>
  <w:style w:type="character" w:customStyle="1" w:styleId="UnresolvedMention6">
    <w:name w:val="Unresolved Mention6"/>
    <w:basedOn w:val="DefaultParagraphFont"/>
    <w:uiPriority w:val="99"/>
    <w:semiHidden/>
    <w:unhideWhenUsed/>
    <w:rsid w:val="006D3E3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qFormat="1"/>
    <w:lsdException w:name="page number" w:uiPriority="0"/>
    <w:lsdException w:name="endnote reference" w:uiPriority="0"/>
    <w:lsdException w:name="endnote text" w:uiPriority="0"/>
    <w:lsdException w:name="toa heading"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Document Map"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uiPriority w:val="9"/>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uiPriority w:val="9"/>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rsid w:val="00427D21"/>
    <w:pPr>
      <w:numPr>
        <w:numId w:val="2"/>
      </w:numPr>
      <w:tabs>
        <w:tab w:val="clear" w:pos="360"/>
      </w:tabs>
      <w:spacing w:before="120" w:after="120"/>
    </w:pPr>
    <w:rPr>
      <w:snapToGrid w:val="0"/>
      <w:szCs w:val="18"/>
    </w:rPr>
  </w:style>
  <w:style w:type="paragraph" w:customStyle="1" w:styleId="Para2">
    <w:name w:val="Para2"/>
    <w:basedOn w:val="Para10"/>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0"/>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2">
    <w:name w:val="Style2"/>
    <w:basedOn w:val="Normal"/>
    <w:autoRedefine/>
    <w:rsid w:val="00070D30"/>
    <w:rPr>
      <w:rFonts w:ascii="Lucida Sans Unicode" w:hAnsi="Lucida Sans Unicode" w:cs="Angsana New"/>
      <w:noProof/>
      <w:color w:val="0000FF"/>
      <w:lang w:val="en-US"/>
    </w:rPr>
  </w:style>
  <w:style w:type="paragraph" w:styleId="CommentSubject">
    <w:name w:val="annotation subject"/>
    <w:basedOn w:val="CommentText"/>
    <w:next w:val="CommentText"/>
    <w:link w:val="CommentSubjectChar"/>
    <w:uiPriority w:val="99"/>
    <w:rsid w:val="00070D30"/>
    <w:pPr>
      <w:spacing w:after="0" w:line="240" w:lineRule="auto"/>
    </w:pPr>
    <w:rPr>
      <w:b/>
      <w:bCs/>
      <w:sz w:val="20"/>
      <w:szCs w:val="20"/>
      <w:lang w:eastAsia="x-none"/>
    </w:rPr>
  </w:style>
  <w:style w:type="character" w:customStyle="1" w:styleId="CommentSubjectChar">
    <w:name w:val="Comment Subject Char"/>
    <w:basedOn w:val="CommentTextChar"/>
    <w:link w:val="CommentSubject"/>
    <w:uiPriority w:val="99"/>
    <w:rsid w:val="00070D30"/>
    <w:rPr>
      <w:rFonts w:ascii="Times New Roman" w:eastAsia="Times New Roman" w:hAnsi="Times New Roman" w:cs="Times New Roman"/>
      <w:b/>
      <w:bCs/>
      <w:sz w:val="20"/>
      <w:szCs w:val="20"/>
      <w:lang w:val="en-GB" w:eastAsia="x-none"/>
    </w:rPr>
  </w:style>
  <w:style w:type="paragraph" w:customStyle="1" w:styleId="bodytextnoindent">
    <w:name w:val="body text (no indent)"/>
    <w:basedOn w:val="Normal"/>
    <w:rsid w:val="00070D30"/>
    <w:pPr>
      <w:widowControl w:val="0"/>
      <w:overflowPunct w:val="0"/>
      <w:autoSpaceDE w:val="0"/>
      <w:autoSpaceDN w:val="0"/>
      <w:adjustRightInd w:val="0"/>
      <w:spacing w:before="120" w:after="120"/>
      <w:textAlignment w:val="baseline"/>
    </w:pPr>
    <w:rPr>
      <w:rFonts w:cs="Angsana New"/>
      <w:szCs w:val="20"/>
      <w:lang w:eastAsia="de-DE"/>
    </w:rPr>
  </w:style>
  <w:style w:type="paragraph" w:styleId="BodyText2">
    <w:name w:val="Body Text 2"/>
    <w:basedOn w:val="Normal"/>
    <w:link w:val="BodyText2Char"/>
    <w:rsid w:val="00070D30"/>
    <w:rPr>
      <w:rFonts w:cs="Angsana New"/>
      <w:i/>
      <w:iCs/>
    </w:rPr>
  </w:style>
  <w:style w:type="character" w:customStyle="1" w:styleId="BodyText2Char">
    <w:name w:val="Body Text 2 Char"/>
    <w:basedOn w:val="DefaultParagraphFont"/>
    <w:link w:val="BodyText2"/>
    <w:rsid w:val="00070D30"/>
    <w:rPr>
      <w:rFonts w:ascii="Times New Roman" w:eastAsia="Times New Roman" w:hAnsi="Times New Roman" w:cs="Angsana New"/>
      <w:i/>
      <w:iCs/>
      <w:sz w:val="22"/>
      <w:lang w:val="en-GB"/>
    </w:rPr>
  </w:style>
  <w:style w:type="paragraph" w:styleId="BodyText3">
    <w:name w:val="Body Text 3"/>
    <w:basedOn w:val="Normal"/>
    <w:link w:val="BodyText3Char"/>
    <w:rsid w:val="00070D30"/>
    <w:pPr>
      <w:jc w:val="center"/>
    </w:pPr>
    <w:rPr>
      <w:rFonts w:cs="Angsana New"/>
      <w:sz w:val="28"/>
    </w:rPr>
  </w:style>
  <w:style w:type="character" w:customStyle="1" w:styleId="BodyText3Char">
    <w:name w:val="Body Text 3 Char"/>
    <w:basedOn w:val="DefaultParagraphFont"/>
    <w:link w:val="BodyText3"/>
    <w:rsid w:val="00070D30"/>
    <w:rPr>
      <w:rFonts w:ascii="Times New Roman" w:eastAsia="Times New Roman" w:hAnsi="Times New Roman" w:cs="Angsana New"/>
      <w:sz w:val="28"/>
      <w:lang w:val="en-GB"/>
    </w:rPr>
  </w:style>
  <w:style w:type="paragraph" w:styleId="BodyTextIndent2">
    <w:name w:val="Body Text Indent 2"/>
    <w:basedOn w:val="Normal"/>
    <w:link w:val="BodyTextIndent2Char"/>
    <w:rsid w:val="00070D30"/>
    <w:pPr>
      <w:ind w:firstLine="720"/>
    </w:pPr>
    <w:rPr>
      <w:rFonts w:cs="Angsana New"/>
    </w:rPr>
  </w:style>
  <w:style w:type="character" w:customStyle="1" w:styleId="BodyTextIndent2Char">
    <w:name w:val="Body Text Indent 2 Char"/>
    <w:basedOn w:val="DefaultParagraphFont"/>
    <w:link w:val="BodyTextIndent2"/>
    <w:rsid w:val="00070D30"/>
    <w:rPr>
      <w:rFonts w:ascii="Times New Roman" w:eastAsia="Times New Roman" w:hAnsi="Times New Roman" w:cs="Angsana New"/>
      <w:sz w:val="22"/>
      <w:lang w:val="en-GB"/>
    </w:rPr>
  </w:style>
  <w:style w:type="paragraph" w:customStyle="1" w:styleId="Bodytextitalic">
    <w:name w:val="Body text italic"/>
    <w:basedOn w:val="BodyText"/>
    <w:rsid w:val="00070D30"/>
    <w:rPr>
      <w:rFonts w:cs="Angsana New"/>
      <w:i/>
      <w:iCs w:val="0"/>
    </w:rPr>
  </w:style>
  <w:style w:type="paragraph" w:customStyle="1" w:styleId="boxbody">
    <w:name w:val="boxbody"/>
    <w:basedOn w:val="Normal"/>
    <w:rsid w:val="00070D30"/>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070D30"/>
    <w:pPr>
      <w:tabs>
        <w:tab w:val="clear" w:pos="720"/>
        <w:tab w:val="left" w:pos="900"/>
      </w:tabs>
    </w:pPr>
    <w:rPr>
      <w:rFonts w:eastAsia="Batang"/>
      <w:b w:val="0"/>
      <w:bCs w:val="0"/>
      <w:szCs w:val="20"/>
    </w:rPr>
  </w:style>
  <w:style w:type="paragraph" w:customStyle="1" w:styleId="Heading2noletter">
    <w:name w:val="Heading 2 (no letter)"/>
    <w:basedOn w:val="Heading2"/>
    <w:rsid w:val="00070D30"/>
    <w:pPr>
      <w:tabs>
        <w:tab w:val="clear" w:pos="720"/>
      </w:tabs>
    </w:pPr>
  </w:style>
  <w:style w:type="character" w:customStyle="1" w:styleId="Heading2CharChar">
    <w:name w:val="Heading 2 Char Char"/>
    <w:rsid w:val="00070D30"/>
    <w:rPr>
      <w:rFonts w:ascii="Arial" w:hAnsi="Arial" w:cs="Arial"/>
      <w:b/>
      <w:bCs/>
      <w:i/>
      <w:iCs/>
      <w:noProof w:val="0"/>
      <w:sz w:val="28"/>
      <w:szCs w:val="28"/>
      <w:lang w:val="en-US" w:eastAsia="en-US" w:bidi="ar-SA"/>
    </w:rPr>
  </w:style>
  <w:style w:type="paragraph" w:customStyle="1" w:styleId="Heading-plain0">
    <w:name w:val="Heading-plain"/>
    <w:basedOn w:val="Normal"/>
    <w:rsid w:val="00070D30"/>
    <w:pPr>
      <w:spacing w:before="120" w:after="120"/>
      <w:jc w:val="center"/>
      <w:outlineLvl w:val="0"/>
    </w:pPr>
    <w:rPr>
      <w:rFonts w:cs="Angsana New"/>
      <w:i/>
      <w:szCs w:val="20"/>
    </w:rPr>
  </w:style>
  <w:style w:type="paragraph" w:customStyle="1" w:styleId="Heading-plainbold">
    <w:name w:val="Heading-plain bold"/>
    <w:basedOn w:val="BodyText"/>
    <w:rsid w:val="00070D30"/>
    <w:pPr>
      <w:ind w:firstLine="0"/>
      <w:jc w:val="center"/>
    </w:pPr>
    <w:rPr>
      <w:rFonts w:cs="Angsana New"/>
      <w:b/>
      <w:bCs/>
      <w:i/>
      <w:iCs w:val="0"/>
    </w:rPr>
  </w:style>
  <w:style w:type="paragraph" w:customStyle="1" w:styleId="Heading-plainitalic">
    <w:name w:val="Heading-plain italic"/>
    <w:basedOn w:val="Heading-plainbold"/>
    <w:rsid w:val="00070D30"/>
    <w:rPr>
      <w:b w:val="0"/>
      <w:bCs w:val="0"/>
    </w:rPr>
  </w:style>
  <w:style w:type="paragraph" w:styleId="NormalWeb">
    <w:name w:val="Normal (Web)"/>
    <w:basedOn w:val="Normal"/>
    <w:uiPriority w:val="99"/>
    <w:rsid w:val="00070D30"/>
    <w:pPr>
      <w:spacing w:before="100" w:beforeAutospacing="1" w:after="100" w:afterAutospacing="1"/>
      <w:jc w:val="left"/>
    </w:pPr>
    <w:rPr>
      <w:rFonts w:ascii="Verdana" w:hAnsi="Verdana" w:cs="Angsana New"/>
      <w:color w:val="000000"/>
      <w:sz w:val="18"/>
      <w:szCs w:val="18"/>
      <w:lang w:val="en-US"/>
    </w:rPr>
  </w:style>
  <w:style w:type="paragraph" w:customStyle="1" w:styleId="Para1">
    <w:name w:val="Para 1"/>
    <w:basedOn w:val="BodyText"/>
    <w:rsid w:val="00070D30"/>
    <w:pPr>
      <w:numPr>
        <w:numId w:val="9"/>
      </w:numPr>
    </w:pPr>
    <w:rPr>
      <w:rFonts w:eastAsia="MS Mincho" w:cs="Angsana New"/>
      <w:bCs/>
      <w:iCs w:val="0"/>
      <w:szCs w:val="22"/>
    </w:rPr>
  </w:style>
  <w:style w:type="character" w:customStyle="1" w:styleId="Para1Char0">
    <w:name w:val="Para 1 Char"/>
    <w:rsid w:val="00070D30"/>
    <w:rPr>
      <w:rFonts w:eastAsia="MS Mincho"/>
      <w:bCs/>
      <w:iCs/>
      <w:sz w:val="22"/>
      <w:szCs w:val="22"/>
      <w:lang w:val="en-GB" w:eastAsia="en-US" w:bidi="ar-SA"/>
    </w:rPr>
  </w:style>
  <w:style w:type="paragraph" w:customStyle="1" w:styleId="Paraofficial">
    <w:name w:val="Para official"/>
    <w:basedOn w:val="Normal"/>
    <w:rsid w:val="00070D30"/>
    <w:pPr>
      <w:framePr w:hSpace="187" w:vSpace="187" w:wrap="notBeside" w:vAnchor="text" w:hAnchor="text" w:y="1"/>
      <w:numPr>
        <w:numId w:val="5"/>
      </w:numPr>
      <w:spacing w:before="240" w:after="240"/>
      <w:jc w:val="left"/>
    </w:pPr>
    <w:rPr>
      <w:rFonts w:cs="Angsana New"/>
      <w:szCs w:val="20"/>
    </w:rPr>
  </w:style>
  <w:style w:type="paragraph" w:customStyle="1" w:styleId="ColorfulShading-Accent11">
    <w:name w:val="Colorful Shading - Accent 11"/>
    <w:hidden/>
    <w:uiPriority w:val="99"/>
    <w:semiHidden/>
    <w:rsid w:val="00070D30"/>
    <w:rPr>
      <w:rFonts w:ascii="Times New Roman" w:eastAsia="Times New Roman" w:hAnsi="Times New Roman" w:cs="Angsana New"/>
      <w:sz w:val="22"/>
      <w:lang w:val="en-GB"/>
    </w:rPr>
  </w:style>
  <w:style w:type="paragraph" w:customStyle="1" w:styleId="Para1-Annex">
    <w:name w:val="Para1-Annex"/>
    <w:basedOn w:val="Normal"/>
    <w:rsid w:val="00070D30"/>
    <w:pPr>
      <w:numPr>
        <w:numId w:val="6"/>
      </w:numPr>
      <w:spacing w:after="120"/>
    </w:pPr>
    <w:rPr>
      <w:szCs w:val="22"/>
      <w:lang w:val="en-US"/>
    </w:rPr>
  </w:style>
  <w:style w:type="paragraph" w:customStyle="1" w:styleId="para20">
    <w:name w:val="para2"/>
    <w:basedOn w:val="para2a"/>
    <w:rsid w:val="00070D30"/>
  </w:style>
  <w:style w:type="paragraph" w:customStyle="1" w:styleId="Para40">
    <w:name w:val="Para4"/>
    <w:basedOn w:val="Para3"/>
    <w:rsid w:val="00070D30"/>
    <w:pPr>
      <w:numPr>
        <w:ilvl w:val="0"/>
        <w:numId w:val="0"/>
      </w:numPr>
      <w:tabs>
        <w:tab w:val="clear" w:pos="1980"/>
        <w:tab w:val="left" w:pos="2552"/>
        <w:tab w:val="num" w:pos="3540"/>
      </w:tabs>
      <w:ind w:left="2552" w:hanging="567"/>
    </w:pPr>
    <w:rPr>
      <w:rFonts w:cs="Angsana New"/>
      <w:lang w:val="en-US"/>
    </w:rPr>
  </w:style>
  <w:style w:type="paragraph" w:customStyle="1" w:styleId="Paranum">
    <w:name w:val="Paranum"/>
    <w:basedOn w:val="Normal"/>
    <w:rsid w:val="00070D30"/>
    <w:pPr>
      <w:numPr>
        <w:numId w:val="7"/>
      </w:numPr>
      <w:spacing w:after="120" w:line="240" w:lineRule="exact"/>
    </w:pPr>
    <w:rPr>
      <w:rFonts w:cs="Angsana New"/>
      <w:szCs w:val="20"/>
      <w:lang w:val="en-US"/>
    </w:rPr>
  </w:style>
  <w:style w:type="character" w:styleId="Strong">
    <w:name w:val="Strong"/>
    <w:uiPriority w:val="22"/>
    <w:qFormat/>
    <w:rsid w:val="00070D30"/>
    <w:rPr>
      <w:b/>
      <w:bCs/>
    </w:rPr>
  </w:style>
  <w:style w:type="paragraph" w:customStyle="1" w:styleId="StyleBodyTextTimesNewRoman11ptCharChar">
    <w:name w:val="Style Body Text + Times New Roman 11 pt Char Char"/>
    <w:basedOn w:val="BodyText"/>
    <w:rsid w:val="00070D30"/>
    <w:rPr>
      <w:rFonts w:cs="Angsana New"/>
      <w:iCs w:val="0"/>
      <w:snapToGrid w:val="0"/>
      <w:color w:val="000000"/>
      <w:szCs w:val="22"/>
      <w:lang w:val="en-US"/>
    </w:rPr>
  </w:style>
  <w:style w:type="character" w:customStyle="1" w:styleId="StyleBodyTextTimesNewRoman11ptCharCharChar">
    <w:name w:val="Style Body Text + Times New Roman 11 pt Char Char Char"/>
    <w:rsid w:val="00070D30"/>
    <w:rPr>
      <w:rFonts w:cs="Angsana New"/>
      <w:iCs/>
      <w:snapToGrid w:val="0"/>
      <w:color w:val="000000"/>
      <w:sz w:val="22"/>
      <w:szCs w:val="22"/>
      <w:lang w:val="en-US" w:eastAsia="en-US" w:bidi="ar-SA"/>
    </w:rPr>
  </w:style>
  <w:style w:type="paragraph" w:customStyle="1" w:styleId="StylePara1Firstline127cm">
    <w:name w:val="Style Para1 + First line:  1.27 cm"/>
    <w:basedOn w:val="Normal"/>
    <w:rsid w:val="00070D30"/>
    <w:pPr>
      <w:tabs>
        <w:tab w:val="num" w:pos="360"/>
      </w:tabs>
      <w:spacing w:after="120"/>
    </w:pPr>
    <w:rPr>
      <w:rFonts w:cs="Angsana New"/>
      <w:snapToGrid w:val="0"/>
      <w:szCs w:val="20"/>
    </w:rPr>
  </w:style>
  <w:style w:type="paragraph" w:customStyle="1" w:styleId="StylePara1Italic">
    <w:name w:val="Style Para1 + Italic"/>
    <w:basedOn w:val="Normal"/>
    <w:rsid w:val="00070D30"/>
    <w:pPr>
      <w:spacing w:before="120" w:after="120"/>
    </w:pPr>
    <w:rPr>
      <w:i/>
      <w:iCs/>
      <w:snapToGrid w:val="0"/>
      <w:szCs w:val="18"/>
    </w:rPr>
  </w:style>
  <w:style w:type="paragraph" w:customStyle="1" w:styleId="ColorfulShading-Accent31">
    <w:name w:val="Colorful Shading - Accent 31"/>
    <w:basedOn w:val="Normal"/>
    <w:uiPriority w:val="34"/>
    <w:qFormat/>
    <w:rsid w:val="00070D30"/>
    <w:pPr>
      <w:ind w:left="720"/>
      <w:contextualSpacing/>
    </w:pPr>
    <w:rPr>
      <w:rFonts w:cs="Angsana New"/>
    </w:rPr>
  </w:style>
  <w:style w:type="paragraph" w:customStyle="1" w:styleId="para2a">
    <w:name w:val="para 2 (a)"/>
    <w:basedOn w:val="Normal"/>
    <w:qFormat/>
    <w:rsid w:val="00070D30"/>
    <w:pPr>
      <w:spacing w:after="120"/>
    </w:pPr>
    <w:rPr>
      <w:rFonts w:eastAsia="MS Mincho" w:cs="Angsana New"/>
      <w:snapToGrid w:val="0"/>
      <w:szCs w:val="18"/>
    </w:rPr>
  </w:style>
  <w:style w:type="paragraph" w:customStyle="1" w:styleId="SubtleEmphasis1">
    <w:name w:val="Subtle Emphasis1"/>
    <w:basedOn w:val="Normal"/>
    <w:uiPriority w:val="34"/>
    <w:qFormat/>
    <w:rsid w:val="00070D30"/>
    <w:pPr>
      <w:ind w:left="720"/>
      <w:contextualSpacing/>
    </w:pPr>
    <w:rPr>
      <w:rFonts w:cs="Angsana New"/>
    </w:rPr>
  </w:style>
  <w:style w:type="paragraph" w:customStyle="1" w:styleId="Body">
    <w:name w:val="Body"/>
    <w:rsid w:val="00070D30"/>
    <w:pPr>
      <w:pBdr>
        <w:top w:val="nil"/>
        <w:left w:val="nil"/>
        <w:bottom w:val="nil"/>
        <w:right w:val="nil"/>
        <w:between w:val="nil"/>
        <w:bar w:val="nil"/>
      </w:pBdr>
      <w:spacing w:after="160" w:line="259" w:lineRule="auto"/>
    </w:pPr>
    <w:rPr>
      <w:rFonts w:ascii="Calibri" w:eastAsia="Calibri" w:hAnsi="Calibri" w:cs="Calibri"/>
      <w:color w:val="000000"/>
      <w:sz w:val="22"/>
      <w:szCs w:val="22"/>
      <w:u w:color="000000"/>
      <w:bdr w:val="nil"/>
      <w:lang w:val="en-US" w:eastAsia="en-SG"/>
    </w:rPr>
  </w:style>
  <w:style w:type="paragraph" w:customStyle="1" w:styleId="recommendation">
    <w:name w:val="recommendation"/>
    <w:basedOn w:val="Heading2"/>
    <w:qFormat/>
    <w:rsid w:val="00070D30"/>
    <w:pPr>
      <w:tabs>
        <w:tab w:val="clear" w:pos="720"/>
      </w:tabs>
      <w:spacing w:before="240" w:after="60" w:line="276" w:lineRule="auto"/>
      <w:jc w:val="left"/>
    </w:pPr>
    <w:rPr>
      <w:i/>
      <w:snapToGrid w:val="0"/>
      <w:kern w:val="2"/>
      <w:szCs w:val="22"/>
      <w:lang w:val="en-US"/>
    </w:rPr>
  </w:style>
  <w:style w:type="paragraph" w:customStyle="1" w:styleId="SubtleEmphasis2">
    <w:name w:val="Subtle Emphasis2"/>
    <w:basedOn w:val="Normal"/>
    <w:uiPriority w:val="34"/>
    <w:qFormat/>
    <w:rsid w:val="00070D30"/>
    <w:pPr>
      <w:spacing w:after="240"/>
      <w:ind w:left="720"/>
      <w:contextualSpacing/>
      <w:jc w:val="left"/>
    </w:pPr>
    <w:rPr>
      <w:rFonts w:ascii="Calibri" w:eastAsia="Calibri" w:hAnsi="Calibri"/>
      <w:sz w:val="24"/>
    </w:rPr>
  </w:style>
  <w:style w:type="paragraph" w:customStyle="1" w:styleId="Default">
    <w:name w:val="Default"/>
    <w:rsid w:val="00070D30"/>
    <w:pPr>
      <w:autoSpaceDE w:val="0"/>
      <w:autoSpaceDN w:val="0"/>
      <w:adjustRightInd w:val="0"/>
    </w:pPr>
    <w:rPr>
      <w:rFonts w:ascii="Calibri" w:eastAsia="Calibri" w:hAnsi="Calibri" w:cs="Calibri"/>
      <w:color w:val="000000"/>
      <w:lang w:val="en-US"/>
    </w:rPr>
  </w:style>
  <w:style w:type="paragraph" w:customStyle="1" w:styleId="ColorfulGrid-Accent61">
    <w:name w:val="Colorful Grid - Accent 61"/>
    <w:hidden/>
    <w:uiPriority w:val="66"/>
    <w:rsid w:val="00070D30"/>
    <w:rPr>
      <w:rFonts w:ascii="Times New Roman" w:eastAsia="Times New Roman" w:hAnsi="Times New Roman" w:cs="Angsana New"/>
      <w:sz w:val="22"/>
      <w:lang w:val="en-GB"/>
    </w:rPr>
  </w:style>
  <w:style w:type="paragraph" w:customStyle="1" w:styleId="SubtleEmphasis3">
    <w:name w:val="Subtle Emphasis3"/>
    <w:basedOn w:val="Normal"/>
    <w:uiPriority w:val="34"/>
    <w:qFormat/>
    <w:rsid w:val="00070D30"/>
    <w:pPr>
      <w:ind w:left="720"/>
      <w:contextualSpacing/>
    </w:pPr>
    <w:rPr>
      <w:rFonts w:cs="Angsana New"/>
    </w:rPr>
  </w:style>
  <w:style w:type="paragraph" w:customStyle="1" w:styleId="SubtleEmphasis4">
    <w:name w:val="Subtle Emphasis4"/>
    <w:basedOn w:val="Normal"/>
    <w:uiPriority w:val="34"/>
    <w:qFormat/>
    <w:rsid w:val="00070D30"/>
    <w:pPr>
      <w:ind w:left="720"/>
    </w:pPr>
    <w:rPr>
      <w:rFonts w:cs="Angsana New"/>
    </w:rPr>
  </w:style>
  <w:style w:type="paragraph" w:customStyle="1" w:styleId="SubtleEmphasis5">
    <w:name w:val="Subtle Emphasis5"/>
    <w:basedOn w:val="Normal"/>
    <w:uiPriority w:val="72"/>
    <w:qFormat/>
    <w:rsid w:val="00070D30"/>
    <w:pPr>
      <w:ind w:left="720"/>
    </w:pPr>
    <w:rPr>
      <w:rFonts w:cs="Angsana New"/>
    </w:rPr>
  </w:style>
  <w:style w:type="numbering" w:customStyle="1" w:styleId="ImportedStyle2">
    <w:name w:val="Imported Style 2"/>
    <w:rsid w:val="00070D30"/>
    <w:pPr>
      <w:numPr>
        <w:numId w:val="8"/>
      </w:numPr>
    </w:pPr>
  </w:style>
  <w:style w:type="character" w:customStyle="1" w:styleId="apple-converted-space">
    <w:name w:val="apple-converted-space"/>
    <w:rsid w:val="00070D30"/>
    <w:rPr>
      <w:lang w:val="fr-FR"/>
    </w:rPr>
  </w:style>
  <w:style w:type="table" w:customStyle="1" w:styleId="TableGrid1">
    <w:name w:val="Table Grid1"/>
    <w:basedOn w:val="TableNormal"/>
    <w:next w:val="TableGrid"/>
    <w:uiPriority w:val="59"/>
    <w:rsid w:val="00070D30"/>
    <w:rPr>
      <w:rFonts w:ascii="Calibri" w:eastAsia="Calibri" w:hAnsi="Calibri" w:cs="Times New Roma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070D30"/>
    <w:rPr>
      <w:rFonts w:ascii="Calibri" w:eastAsia="Calibri" w:hAnsi="Calibri" w:cs="Times New Roma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070D30"/>
    <w:rPr>
      <w:sz w:val="24"/>
      <w:lang w:eastAsia="x-none"/>
    </w:rPr>
  </w:style>
  <w:style w:type="character" w:customStyle="1" w:styleId="DocumentMapChar">
    <w:name w:val="Document Map Char"/>
    <w:basedOn w:val="DefaultParagraphFont"/>
    <w:link w:val="DocumentMap"/>
    <w:rsid w:val="00070D30"/>
    <w:rPr>
      <w:rFonts w:ascii="Times New Roman" w:eastAsia="Times New Roman" w:hAnsi="Times New Roman" w:cs="Times New Roman"/>
      <w:lang w:val="en-GB" w:eastAsia="x-none"/>
    </w:rPr>
  </w:style>
  <w:style w:type="paragraph" w:styleId="Revision">
    <w:name w:val="Revision"/>
    <w:hidden/>
    <w:uiPriority w:val="99"/>
    <w:unhideWhenUsed/>
    <w:rsid w:val="00070D30"/>
    <w:rPr>
      <w:rFonts w:ascii="Times New Roman" w:eastAsia="Times New Roman" w:hAnsi="Times New Roman" w:cs="Angsana New"/>
      <w:sz w:val="22"/>
      <w:lang w:val="en-GB"/>
    </w:rPr>
  </w:style>
  <w:style w:type="character" w:customStyle="1" w:styleId="UnresolvedMention1">
    <w:name w:val="Unresolved Mention1"/>
    <w:basedOn w:val="DefaultParagraphFont"/>
    <w:uiPriority w:val="99"/>
    <w:semiHidden/>
    <w:unhideWhenUsed/>
    <w:rsid w:val="00422D5C"/>
    <w:rPr>
      <w:color w:val="808080"/>
      <w:shd w:val="clear" w:color="auto" w:fill="E6E6E6"/>
    </w:rPr>
  </w:style>
  <w:style w:type="character" w:customStyle="1" w:styleId="UnresolvedMention10">
    <w:name w:val="Unresolved Mention1"/>
    <w:basedOn w:val="DefaultParagraphFont"/>
    <w:uiPriority w:val="99"/>
    <w:semiHidden/>
    <w:unhideWhenUsed/>
    <w:rsid w:val="006D3E36"/>
    <w:rPr>
      <w:color w:val="808080"/>
      <w:shd w:val="clear" w:color="auto" w:fill="E6E6E6"/>
    </w:rPr>
  </w:style>
  <w:style w:type="character" w:customStyle="1" w:styleId="UnresolvedMention2">
    <w:name w:val="Unresolved Mention2"/>
    <w:basedOn w:val="DefaultParagraphFont"/>
    <w:uiPriority w:val="99"/>
    <w:semiHidden/>
    <w:unhideWhenUsed/>
    <w:rsid w:val="006D3E36"/>
    <w:rPr>
      <w:color w:val="808080"/>
      <w:shd w:val="clear" w:color="auto" w:fill="E6E6E6"/>
    </w:rPr>
  </w:style>
  <w:style w:type="character" w:customStyle="1" w:styleId="A8">
    <w:name w:val="A8"/>
    <w:uiPriority w:val="99"/>
    <w:rsid w:val="006D3E36"/>
    <w:rPr>
      <w:rFonts w:cs="Georgia"/>
      <w:i/>
      <w:iCs/>
      <w:color w:val="000000"/>
      <w:sz w:val="20"/>
      <w:szCs w:val="20"/>
    </w:rPr>
  </w:style>
  <w:style w:type="character" w:customStyle="1" w:styleId="A4">
    <w:name w:val="A4"/>
    <w:uiPriority w:val="99"/>
    <w:rsid w:val="006D3E36"/>
    <w:rPr>
      <w:rFonts w:cs="Georgia"/>
      <w:color w:val="000000"/>
      <w:sz w:val="22"/>
      <w:szCs w:val="22"/>
    </w:rPr>
  </w:style>
  <w:style w:type="paragraph" w:styleId="HTMLPreformatted">
    <w:name w:val="HTML Preformatted"/>
    <w:basedOn w:val="Normal"/>
    <w:link w:val="HTMLPreformattedChar"/>
    <w:uiPriority w:val="99"/>
    <w:semiHidden/>
    <w:unhideWhenUsed/>
    <w:rsid w:val="006D3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6D3E36"/>
    <w:rPr>
      <w:rFonts w:ascii="Courier New" w:eastAsia="Times New Roman" w:hAnsi="Courier New" w:cs="Courier New"/>
      <w:sz w:val="20"/>
      <w:szCs w:val="20"/>
      <w:lang w:val="en-US"/>
    </w:rPr>
  </w:style>
  <w:style w:type="character" w:customStyle="1" w:styleId="UnresolvedMention3">
    <w:name w:val="Unresolved Mention3"/>
    <w:basedOn w:val="DefaultParagraphFont"/>
    <w:uiPriority w:val="99"/>
    <w:semiHidden/>
    <w:unhideWhenUsed/>
    <w:rsid w:val="006D3E36"/>
    <w:rPr>
      <w:color w:val="808080"/>
      <w:shd w:val="clear" w:color="auto" w:fill="E6E6E6"/>
    </w:rPr>
  </w:style>
  <w:style w:type="character" w:customStyle="1" w:styleId="UnresolvedMention4">
    <w:name w:val="Unresolved Mention4"/>
    <w:basedOn w:val="DefaultParagraphFont"/>
    <w:uiPriority w:val="99"/>
    <w:semiHidden/>
    <w:unhideWhenUsed/>
    <w:rsid w:val="006D3E36"/>
    <w:rPr>
      <w:color w:val="605E5C"/>
      <w:shd w:val="clear" w:color="auto" w:fill="E1DFDD"/>
    </w:rPr>
  </w:style>
  <w:style w:type="character" w:customStyle="1" w:styleId="UnresolvedMention5">
    <w:name w:val="Unresolved Mention5"/>
    <w:basedOn w:val="DefaultParagraphFont"/>
    <w:uiPriority w:val="99"/>
    <w:semiHidden/>
    <w:unhideWhenUsed/>
    <w:rsid w:val="006D3E36"/>
    <w:rPr>
      <w:color w:val="605E5C"/>
      <w:shd w:val="clear" w:color="auto" w:fill="E1DFDD"/>
    </w:rPr>
  </w:style>
  <w:style w:type="character" w:customStyle="1" w:styleId="UnresolvedMention6">
    <w:name w:val="Unresolved Mention6"/>
    <w:basedOn w:val="DefaultParagraphFont"/>
    <w:uiPriority w:val="99"/>
    <w:semiHidden/>
    <w:unhideWhenUsed/>
    <w:rsid w:val="006D3E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688158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evelopment/" TargetMode="External"/><Relationship Id="rId117" Type="http://schemas.openxmlformats.org/officeDocument/2006/relationships/hyperlink" Target="https://sustainabledevelopment.un.org/content/documents/15886Cyprus.pdf" TargetMode="External"/><Relationship Id="rId21" Type="http://schemas.openxmlformats.org/officeDocument/2006/relationships/hyperlink" Target="https://sustainabledevelopment.un.org/content/documents/18501SDG15_EGM_background_noteFinal.pdf" TargetMode="External"/><Relationship Id="rId42" Type="http://schemas.openxmlformats.org/officeDocument/2006/relationships/hyperlink" Target="https://www.cbd.int/decision/cop/default.shtml?id=13372" TargetMode="External"/><Relationship Id="rId47" Type="http://schemas.openxmlformats.org/officeDocument/2006/relationships/hyperlink" Target="https://www.cbd.int/doc/decisions/cop-13/cop-13-dec-18-en.pdf" TargetMode="External"/><Relationship Id="rId63" Type="http://schemas.openxmlformats.org/officeDocument/2006/relationships/hyperlink" Target="https://www.cbd.int/nbsap/" TargetMode="External"/><Relationship Id="rId68" Type="http://schemas.openxmlformats.org/officeDocument/2006/relationships/hyperlink" Target="http://www.unrisd.org/UNRISD/website/document.nsf/(httpPublications)/92AF5072673F924DC125804C0044F396?OpenDocument" TargetMode="External"/><Relationship Id="rId84" Type="http://schemas.openxmlformats.org/officeDocument/2006/relationships/hyperlink" Target="https://www.cbd.int/financial/" TargetMode="External"/><Relationship Id="rId89" Type="http://schemas.openxmlformats.org/officeDocument/2006/relationships/hyperlink" Target="https://www.cbd.int/financial/nf-west.shtml" TargetMode="External"/><Relationship Id="rId112" Type="http://schemas.openxmlformats.org/officeDocument/2006/relationships/hyperlink" Target="https://www.cbd.int/doc/decisions/cop-13/cop-13-dec-29-en.pdf" TargetMode="External"/><Relationship Id="rId16" Type="http://schemas.openxmlformats.org/officeDocument/2006/relationships/hyperlink" Target="https://www.cbd.int/nr6/default.shtml" TargetMode="External"/><Relationship Id="rId107" Type="http://schemas.openxmlformats.org/officeDocument/2006/relationships/hyperlink" Target="https://www.cbd.int/doc/decisions/cop-13/cop-13-dec-27-en.pdf" TargetMode="External"/><Relationship Id="rId11" Type="http://schemas.openxmlformats.org/officeDocument/2006/relationships/image" Target="media/image2.emf"/><Relationship Id="rId32" Type="http://schemas.openxmlformats.org/officeDocument/2006/relationships/hyperlink" Target="https://www.cbd.int/decision/cop/default.shtml?id=13368" TargetMode="External"/><Relationship Id="rId37" Type="http://schemas.openxmlformats.org/officeDocument/2006/relationships/hyperlink" Target="https://sustainabledevelopment.un.org/content/documents/15776Chile.pdf" TargetMode="External"/><Relationship Id="rId53" Type="http://schemas.openxmlformats.org/officeDocument/2006/relationships/hyperlink" Target="https://www.cbd.int/nbsap/" TargetMode="External"/><Relationship Id="rId58" Type="http://schemas.openxmlformats.org/officeDocument/2006/relationships/hyperlink" Target="https://sustainabledevelopment.un.org/content/documents/16147Thailand.pdf" TargetMode="External"/><Relationship Id="rId74" Type="http://schemas.openxmlformats.org/officeDocument/2006/relationships/hyperlink" Target="https://www.cbd.int/development/" TargetMode="External"/><Relationship Id="rId79" Type="http://schemas.openxmlformats.org/officeDocument/2006/relationships/hyperlink" Target="https://www.cbd.int/nr6/default.shtml" TargetMode="External"/><Relationship Id="rId102" Type="http://schemas.openxmlformats.org/officeDocument/2006/relationships/hyperlink" Target="https://www.cbd.int/doc/c/4a22/3eba/a499b54091a1c1e22bb7b54e/sbstta-21-02-en.pdf" TargetMode="External"/><Relationship Id="rId123" Type="http://schemas.openxmlformats.org/officeDocument/2006/relationships/glossaryDocument" Target="glossary/document.xml"/><Relationship Id="rId5" Type="http://schemas.microsoft.com/office/2007/relationships/stylesWithEffects" Target="stylesWithEffects.xml"/><Relationship Id="rId61" Type="http://schemas.openxmlformats.org/officeDocument/2006/relationships/hyperlink" Target="http://www.ohchr.org/EN/HRBodies/HRC/RegularSessions/Session31/Documents/A%20HRC%2031%2052_E.docx" TargetMode="External"/><Relationship Id="rId82" Type="http://schemas.openxmlformats.org/officeDocument/2006/relationships/hyperlink" Target="https://www.cbd.int/doc/decisions/cop-13/cop-13-dec-29-en.pdf" TargetMode="External"/><Relationship Id="rId90" Type="http://schemas.openxmlformats.org/officeDocument/2006/relationships/hyperlink" Target="https://www.cbd.int/doc/decisions/cop-12/cop-12-dec-03-en.pdf" TargetMode="External"/><Relationship Id="rId95" Type="http://schemas.openxmlformats.org/officeDocument/2006/relationships/hyperlink" Target="https://www.cbd.int/sp/elements/default.shtml" TargetMode="External"/><Relationship Id="rId19" Type="http://schemas.openxmlformats.org/officeDocument/2006/relationships/hyperlink" Target="https://www.cbd.int/development/doc/biodiversity-2030-agenda-policy-brief-en.pdf" TargetMode="External"/><Relationship Id="rId14" Type="http://schemas.openxmlformats.org/officeDocument/2006/relationships/hyperlink" Target="https://sustainabledevelopment.un.org/content/documents/17354VNR_handbook_2018.pdf" TargetMode="External"/><Relationship Id="rId22" Type="http://schemas.openxmlformats.org/officeDocument/2006/relationships/hyperlink" Target="https://www.cbd.int/nbsap/" TargetMode="External"/><Relationship Id="rId27" Type="http://schemas.openxmlformats.org/officeDocument/2006/relationships/hyperlink" Target="https://www.cbd.int/development/doc/biodiversity-2030-agenda-technical-note-en.pdf" TargetMode="External"/><Relationship Id="rId30" Type="http://schemas.openxmlformats.org/officeDocument/2006/relationships/hyperlink" Target="http://swed.bio/wp-content/uploads/2016/11/The-2030-Agenda-and-Ecosystems_spread.pdf" TargetMode="External"/><Relationship Id="rId35" Type="http://schemas.openxmlformats.org/officeDocument/2006/relationships/hyperlink" Target="http://www.undp.org/content/undp/en/home/blog/2017/valuing-biodiversity-and-achieving-national-sdg-targets.html" TargetMode="External"/><Relationship Id="rId43" Type="http://schemas.openxmlformats.org/officeDocument/2006/relationships/hyperlink" Target="https://www.cbd.int/decision/cop/default.shtml?id=13373" TargetMode="External"/><Relationship Id="rId48" Type="http://schemas.openxmlformats.org/officeDocument/2006/relationships/hyperlink" Target="https://www.cbd.int/doc/decisions/cop-13/cop-13-dec-19-en.pdf" TargetMode="External"/><Relationship Id="rId56" Type="http://schemas.openxmlformats.org/officeDocument/2006/relationships/hyperlink" Target="https://www.cbd.int/nbsap/related-info/sbsap/default.shtml" TargetMode="External"/><Relationship Id="rId64" Type="http://schemas.openxmlformats.org/officeDocument/2006/relationships/hyperlink" Target="https://www.cbd.int/doc/c/c1aa/6d45/7613631b56727121526e439b/sbi-02-04-add1-en.pdf" TargetMode="External"/><Relationship Id="rId69" Type="http://schemas.openxmlformats.org/officeDocument/2006/relationships/hyperlink" Target="https://www.cbd.int/development/doc/biodiversity-2030-agenda-technical-note-en.pdf" TargetMode="External"/><Relationship Id="rId77" Type="http://schemas.openxmlformats.org/officeDocument/2006/relationships/hyperlink" Target="https://www.cbd.int/doc/meetings/sbstta/sbstta-21/official/sbstta-21-02-add1-en.pdf" TargetMode="External"/><Relationship Id="rId100" Type="http://schemas.openxmlformats.org/officeDocument/2006/relationships/hyperlink" Target="https://www.cbd.int/sp" TargetMode="External"/><Relationship Id="rId105" Type="http://schemas.openxmlformats.org/officeDocument/2006/relationships/hyperlink" Target="https://www.bipindicators.net/about" TargetMode="External"/><Relationship Id="rId113" Type="http://schemas.openxmlformats.org/officeDocument/2006/relationships/hyperlink" Target="https://www.cbd.int/doc/decisions/cop-13/cop-13-dec-28-en.pdf" TargetMode="External"/><Relationship Id="rId118" Type="http://schemas.openxmlformats.org/officeDocument/2006/relationships/header" Target="header1.xml"/><Relationship Id="rId8" Type="http://schemas.openxmlformats.org/officeDocument/2006/relationships/footnotes" Target="footnotes.xml"/><Relationship Id="rId51" Type="http://schemas.openxmlformats.org/officeDocument/2006/relationships/hyperlink" Target="https://www.cbd.int/doc/recommendations/sbstta-21/sbstta-21-rec-04-en.pdf" TargetMode="External"/><Relationship Id="rId72" Type="http://schemas.openxmlformats.org/officeDocument/2006/relationships/hyperlink" Target="https://www.cbd.int/doc/decisions/cop-13/cop-13-dec-29-en.pdf" TargetMode="External"/><Relationship Id="rId80" Type="http://schemas.openxmlformats.org/officeDocument/2006/relationships/hyperlink" Target="https://www.cbd.int/doc/decisions/cop-13/cop-13-dec-28-en.pdf" TargetMode="External"/><Relationship Id="rId85" Type="http://schemas.openxmlformats.org/officeDocument/2006/relationships/hyperlink" Target="https://www.cbd.int/financial/nf-af.shtml" TargetMode="External"/><Relationship Id="rId93" Type="http://schemas.openxmlformats.org/officeDocument/2006/relationships/hyperlink" Target="https://www.cbd.int/nbsap/" TargetMode="External"/><Relationship Id="rId98" Type="http://schemas.openxmlformats.org/officeDocument/2006/relationships/hyperlink" Target="https://www.cbd.int/doc/c/4a22/3eba/a499b54091a1c1e22bb7b54e/sbstta-21-02-en.pdf" TargetMode="External"/><Relationship Id="rId121" Type="http://schemas.openxmlformats.org/officeDocument/2006/relationships/footer" Target="footer2.xml"/><Relationship Id="rId3" Type="http://schemas.openxmlformats.org/officeDocument/2006/relationships/numbering" Target="numbering.xml"/><Relationship Id="rId12" Type="http://schemas.openxmlformats.org/officeDocument/2006/relationships/image" Target="media/image3.emf"/><Relationship Id="rId17" Type="http://schemas.openxmlformats.org/officeDocument/2006/relationships/hyperlink" Target="https://sustainabledevelopment.un.org/content/documents/17109Synthesis_Report_VNRs_2017.pdf" TargetMode="External"/><Relationship Id="rId25" Type="http://schemas.openxmlformats.org/officeDocument/2006/relationships/hyperlink" Target="https://sustainabledevelopment.un.org/content/documents/16341Italy.pdf" TargetMode="External"/><Relationship Id="rId33" Type="http://schemas.openxmlformats.org/officeDocument/2006/relationships/hyperlink" Target="https://www.cbd.int/doc/bioday/2010/idb-2010-booklet-en.pdf" TargetMode="External"/><Relationship Id="rId38" Type="http://schemas.openxmlformats.org/officeDocument/2006/relationships/hyperlink" Target="https://sustainabledevelopment.un.org/content/documents/16147Thailand.pdf" TargetMode="External"/><Relationship Id="rId46" Type="http://schemas.openxmlformats.org/officeDocument/2006/relationships/hyperlink" Target="https://www.cbd.int/recommendations/wg8j/?m=wg8j-10" TargetMode="External"/><Relationship Id="rId59" Type="http://schemas.openxmlformats.org/officeDocument/2006/relationships/hyperlink" Target="https://www.cbd.int/decision/cop/default.shtml?id=11042" TargetMode="External"/><Relationship Id="rId67" Type="http://schemas.openxmlformats.org/officeDocument/2006/relationships/hyperlink" Target="https://www.cbd.int/doc/recommendations/sbstta-21/sbstta-21-rec-01-en.pdf" TargetMode="External"/><Relationship Id="rId103" Type="http://schemas.openxmlformats.org/officeDocument/2006/relationships/hyperlink" Target="https://unstats.un.org/sdgs/iaeg-sdgs/" TargetMode="External"/><Relationship Id="rId108" Type="http://schemas.openxmlformats.org/officeDocument/2006/relationships/hyperlink" Target="https://www.cbd.int/doc/nr/nr-06/cop-13-21-en-rev.pdf" TargetMode="External"/><Relationship Id="rId116" Type="http://schemas.openxmlformats.org/officeDocument/2006/relationships/hyperlink" Target="https://unstats.un.org/sdgs/indicators/indicators-list/" TargetMode="External"/><Relationship Id="rId124" Type="http://schemas.openxmlformats.org/officeDocument/2006/relationships/theme" Target="theme/theme1.xml"/><Relationship Id="rId20" Type="http://schemas.openxmlformats.org/officeDocument/2006/relationships/hyperlink" Target="https://www.cbd.int/doc/meetings/sbstta/sbstta-21/official/sbstta-21-02-add1-en.pdf" TargetMode="External"/><Relationship Id="rId41" Type="http://schemas.openxmlformats.org/officeDocument/2006/relationships/hyperlink" Target="https://www.cbd.int/decision/cop/default.shtml?id=13371" TargetMode="External"/><Relationship Id="rId54" Type="http://schemas.openxmlformats.org/officeDocument/2006/relationships/hyperlink" Target="https://www.cbd.int/doc/nbsap/NBSAP-requests-COP13-decisions.pdf" TargetMode="External"/><Relationship Id="rId62" Type="http://schemas.openxmlformats.org/officeDocument/2006/relationships/hyperlink" Target="http://workspace.unpan.org/sites/Internet/Documents/UNPAN97468.pdf" TargetMode="External"/><Relationship Id="rId70" Type="http://schemas.openxmlformats.org/officeDocument/2006/relationships/hyperlink" Target="https://unstats.un.org/sdgs/iaeg-sdgs/" TargetMode="External"/><Relationship Id="rId75" Type="http://schemas.openxmlformats.org/officeDocument/2006/relationships/hyperlink" Target="https://www.cbd.int/development/doc/biodiversity-2030-agenda-technical-note-en.pdf" TargetMode="External"/><Relationship Id="rId83" Type="http://schemas.openxmlformats.org/officeDocument/2006/relationships/hyperlink" Target="https://www.ipbes.net/" TargetMode="External"/><Relationship Id="rId88" Type="http://schemas.openxmlformats.org/officeDocument/2006/relationships/hyperlink" Target="https://www.cbd.int/financial/nf-east.shtml" TargetMode="External"/><Relationship Id="rId91" Type="http://schemas.openxmlformats.org/officeDocument/2006/relationships/hyperlink" Target="https://www.cbd.int/doc/decisions/cop-13/cop-13-dec-20-en.pdf" TargetMode="External"/><Relationship Id="rId96" Type="http://schemas.openxmlformats.org/officeDocument/2006/relationships/hyperlink" Target="https://www.cbd.int/sp/" TargetMode="External"/><Relationship Id="rId111" Type="http://schemas.openxmlformats.org/officeDocument/2006/relationships/hyperlink" Target="https://www.cbd.int/gbo4/"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sustainabledevelopment.un.org/content/documents/17346Updated_Voluntary_Guidelines.pdf" TargetMode="External"/><Relationship Id="rId23" Type="http://schemas.openxmlformats.org/officeDocument/2006/relationships/hyperlink" Target="https://www.cbd.int/doc/nbsap/NBSAP-requests-COP13-decisions.pdf" TargetMode="External"/><Relationship Id="rId28" Type="http://schemas.openxmlformats.org/officeDocument/2006/relationships/hyperlink" Target="https://www.cbd.int/development/doc/biodiversity-2030-agenda-policy-brief-en.pdf" TargetMode="External"/><Relationship Id="rId36" Type="http://schemas.openxmlformats.org/officeDocument/2006/relationships/hyperlink" Target="https://www.unsceb.org/CEBPublicFiles/CEB%20equality%20framework-A4-web-rev3.pdf" TargetMode="External"/><Relationship Id="rId49" Type="http://schemas.openxmlformats.org/officeDocument/2006/relationships/hyperlink" Target="https://www.cbd.int/doc/decisions/cop-13/cop-13-dec-04-en.pdf" TargetMode="External"/><Relationship Id="rId57" Type="http://schemas.openxmlformats.org/officeDocument/2006/relationships/hyperlink" Target="https://www.cbd.int/nbsap/related-info/region-bsap/default.shtml" TargetMode="External"/><Relationship Id="rId106" Type="http://schemas.openxmlformats.org/officeDocument/2006/relationships/hyperlink" Target="https://www.cbd.int/nr6/default.shtml" TargetMode="External"/><Relationship Id="rId114" Type="http://schemas.openxmlformats.org/officeDocument/2006/relationships/hyperlink" Target="https://www.bipindicators.net/about" TargetMode="External"/><Relationship Id="rId119" Type="http://schemas.openxmlformats.org/officeDocument/2006/relationships/header" Target="header2.xml"/><Relationship Id="rId10" Type="http://schemas.openxmlformats.org/officeDocument/2006/relationships/image" Target="media/image1.emf"/><Relationship Id="rId31" Type="http://schemas.openxmlformats.org/officeDocument/2006/relationships/hyperlink" Target="http://www.ohchr.org/EN/HRBodies/HRC/RegularSessions/Session31/Documents/A%20HRC%2031%2052_E.docx" TargetMode="External"/><Relationship Id="rId44" Type="http://schemas.openxmlformats.org/officeDocument/2006/relationships/hyperlink" Target="https://www.cbd.int/traditional/" TargetMode="External"/><Relationship Id="rId52" Type="http://schemas.openxmlformats.org/officeDocument/2006/relationships/hyperlink" Target="https://www.cbd.int/doc/decisions/cop-12/cop-12-dec-05-en.pdf" TargetMode="External"/><Relationship Id="rId60" Type="http://schemas.openxmlformats.org/officeDocument/2006/relationships/hyperlink" Target="https://www.cbd.int/doc/publications/imp-bio-eia-and-sea.pdf" TargetMode="External"/><Relationship Id="rId65" Type="http://schemas.openxmlformats.org/officeDocument/2006/relationships/hyperlink" Target="https://www.cbd.int/doc/c/c1aa/6d45/7613631b56727121526e439b/sbi-02-04-add1-en.pdf" TargetMode="External"/><Relationship Id="rId73" Type="http://schemas.openxmlformats.org/officeDocument/2006/relationships/hyperlink" Target="https://www.bipindicators.net/about" TargetMode="External"/><Relationship Id="rId78" Type="http://schemas.openxmlformats.org/officeDocument/2006/relationships/hyperlink" Target="http://swed.bio/wp-content/uploads/2016/11/The-2030-Agenda-and-Ecosystems_spread.pdf" TargetMode="External"/><Relationship Id="rId81" Type="http://schemas.openxmlformats.org/officeDocument/2006/relationships/hyperlink" Target="https://www.bipindicators.net/about" TargetMode="External"/><Relationship Id="rId86" Type="http://schemas.openxmlformats.org/officeDocument/2006/relationships/hyperlink" Target="https://www.cbd.int/financial/nf-asia.shtml" TargetMode="External"/><Relationship Id="rId94" Type="http://schemas.openxmlformats.org/officeDocument/2006/relationships/hyperlink" Target="https://www.cbd.int/nr6/default.shtml" TargetMode="External"/><Relationship Id="rId99" Type="http://schemas.openxmlformats.org/officeDocument/2006/relationships/hyperlink" Target="https://www.cbd.int/post2020/" TargetMode="External"/><Relationship Id="rId101" Type="http://schemas.openxmlformats.org/officeDocument/2006/relationships/hyperlink" Target="https://www.cbd.int/doc/c/4a22/3eba/a499b54091a1c1e22bb7b54e/sbstta-21-02-en.pdf" TargetMode="External"/><Relationship Id="rId122"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3" Type="http://schemas.openxmlformats.org/officeDocument/2006/relationships/hyperlink" Target="https://sustainabledevelopment.un.org/vnrs/" TargetMode="External"/><Relationship Id="rId18" Type="http://schemas.openxmlformats.org/officeDocument/2006/relationships/hyperlink" Target="https://www.cbd.int/development/doc/biodiversity-2030-agenda-technical-note-en.pdf" TargetMode="External"/><Relationship Id="rId39" Type="http://schemas.openxmlformats.org/officeDocument/2006/relationships/hyperlink" Target="https://www.cbd.int/convention/text" TargetMode="External"/><Relationship Id="rId109" Type="http://schemas.openxmlformats.org/officeDocument/2006/relationships/hyperlink" Target="https://www.cbd.int/development/doc/biodiversity-2030-agenda-technical-note-en.pdf" TargetMode="External"/><Relationship Id="rId34" Type="http://schemas.openxmlformats.org/officeDocument/2006/relationships/hyperlink" Target="https://www.cbd.int/gender/" TargetMode="External"/><Relationship Id="rId50" Type="http://schemas.openxmlformats.org/officeDocument/2006/relationships/hyperlink" Target="https://www.cbd.int/doc/decisions/cop-13/cop-13-dec-03-en.pdf" TargetMode="External"/><Relationship Id="rId55" Type="http://schemas.openxmlformats.org/officeDocument/2006/relationships/hyperlink" Target="https://www.cbd.int/doc/nbsap/NBSAPs-catalysts-SDGs.pdf" TargetMode="External"/><Relationship Id="rId76" Type="http://schemas.openxmlformats.org/officeDocument/2006/relationships/hyperlink" Target="https://www.cbd.int/development/doc/biodiversity-2030-agenda-policy-brief-en.pdf" TargetMode="External"/><Relationship Id="rId97" Type="http://schemas.openxmlformats.org/officeDocument/2006/relationships/hyperlink" Target="https://www.cbd.int/sp/targets/default.shtml" TargetMode="External"/><Relationship Id="rId104" Type="http://schemas.openxmlformats.org/officeDocument/2006/relationships/hyperlink" Target="https://www.cbd.int/doc/decisions/cop-13/cop-13-dec-29-en.pdf" TargetMode="External"/><Relationship Id="rId120" Type="http://schemas.openxmlformats.org/officeDocument/2006/relationships/footer" Target="footer1.xml"/><Relationship Id="rId7" Type="http://schemas.openxmlformats.org/officeDocument/2006/relationships/webSettings" Target="webSettings.xml"/><Relationship Id="rId71" Type="http://schemas.openxmlformats.org/officeDocument/2006/relationships/hyperlink" Target="https://www.cbd.int/nr6/default.shtml" TargetMode="External"/><Relationship Id="rId92" Type="http://schemas.openxmlformats.org/officeDocument/2006/relationships/hyperlink" Target="https://sustainabledevelopment.un.org/content/documents/15881Malaysia.pdf" TargetMode="External"/><Relationship Id="rId2" Type="http://schemas.openxmlformats.org/officeDocument/2006/relationships/customXml" Target="../customXml/item2.xml"/><Relationship Id="rId29" Type="http://schemas.openxmlformats.org/officeDocument/2006/relationships/hyperlink" Target="https://www.cbd.int/doc/meetings/sbstta/sbstta-21/official/sbstta-21-02-add1-en.pdf" TargetMode="External"/><Relationship Id="rId24" Type="http://schemas.openxmlformats.org/officeDocument/2006/relationships/hyperlink" Target="https://www.cbd.int/doc/nbsap/NBSAPs-catalysts-SDGs.pdf" TargetMode="External"/><Relationship Id="rId40" Type="http://schemas.openxmlformats.org/officeDocument/2006/relationships/hyperlink" Target="https://www.cbd.int/information/parties.shtml" TargetMode="External"/><Relationship Id="rId45" Type="http://schemas.openxmlformats.org/officeDocument/2006/relationships/hyperlink" Target="https://www.cbd.int/tk/default.shtml" TargetMode="External"/><Relationship Id="rId66" Type="http://schemas.openxmlformats.org/officeDocument/2006/relationships/hyperlink" Target="https://www.cbd.int/bogis-bossey-2017/" TargetMode="External"/><Relationship Id="rId87" Type="http://schemas.openxmlformats.org/officeDocument/2006/relationships/hyperlink" Target="https://www.cbd.int/financial/nf-lac.shtml" TargetMode="External"/><Relationship Id="rId110" Type="http://schemas.openxmlformats.org/officeDocument/2006/relationships/hyperlink" Target="http://swed.bio/wp-content/uploads/2016/11/The-2030-Agenda-and-Ecosystems_spread.pdf" TargetMode="External"/><Relationship Id="rId115" Type="http://schemas.openxmlformats.org/officeDocument/2006/relationships/hyperlink" Target="https://www.ipbes.ne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DB65CDC0D5374851A56F3ABE1532F202"/>
        <w:category>
          <w:name w:val="General"/>
          <w:gallery w:val="placeholder"/>
        </w:category>
        <w:types>
          <w:type w:val="bbPlcHdr"/>
        </w:types>
        <w:behaviors>
          <w:behavior w:val="content"/>
        </w:behaviors>
        <w:guid w:val="{79589EE2-1427-4F44-B686-F470C25FCB3E}"/>
      </w:docPartPr>
      <w:docPartBody>
        <w:p w:rsidR="00B5342A" w:rsidRDefault="00DD5BDF">
          <w:r w:rsidRPr="007935A7">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20002A87" w:usb1="00000000" w:usb2="00000000"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Univers">
    <w:panose1 w:val="00000000000000000000"/>
    <w:charset w:val="00"/>
    <w:family w:val="swiss"/>
    <w:notTrueType/>
    <w:pitch w:val="variable"/>
    <w:sig w:usb0="00000003" w:usb1="00000000" w:usb2="00000000" w:usb3="00000000" w:csb0="00000001" w:csb1="00000000"/>
  </w:font>
  <w:font w:name="Lucida Grande">
    <w:altName w:val="Segoe UI"/>
    <w:charset w:val="00"/>
    <w:family w:val="swiss"/>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Lucida Sans Unicode">
    <w:panose1 w:val="020B0602030504020204"/>
    <w:charset w:val="00"/>
    <w:family w:val="swiss"/>
    <w:pitch w:val="variable"/>
    <w:sig w:usb0="80000AFF" w:usb1="0000396B" w:usb2="00000000" w:usb3="00000000" w:csb0="000000B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0E3BD1"/>
    <w:rsid w:val="00160F28"/>
    <w:rsid w:val="002F6287"/>
    <w:rsid w:val="00500A2B"/>
    <w:rsid w:val="0058288D"/>
    <w:rsid w:val="006801B3"/>
    <w:rsid w:val="007C158F"/>
    <w:rsid w:val="007F0EE4"/>
    <w:rsid w:val="00810A55"/>
    <w:rsid w:val="008C6619"/>
    <w:rsid w:val="008D420E"/>
    <w:rsid w:val="0098146B"/>
    <w:rsid w:val="0098642F"/>
    <w:rsid w:val="00B5342A"/>
    <w:rsid w:val="00D33752"/>
    <w:rsid w:val="00DC40A6"/>
    <w:rsid w:val="00DD5BDF"/>
    <w:rsid w:val="00E46E7F"/>
    <w:rsid w:val="00F12060"/>
    <w:rsid w:val="00F539C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5BDF"/>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5BD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2018-06-20T00:00:00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9393D2F-2D2D-4EFC-91A0-5DCDA16A4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7034</Words>
  <Characters>40095</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Draft guidance for reporting progress on biodiversity to the High-level Political Forum through voluntary national reviews</vt:lpstr>
    </vt:vector>
  </TitlesOfParts>
  <Company>SCBD</Company>
  <LinksUpToDate>false</LinksUpToDate>
  <CharactersWithSpaces>47035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guidance for reporting progress on biodiversity to the High-level Political Forum through voluntary national reviews</dc:title>
  <dc:subject>CBD/SBI/2/INF/32</dc:subject>
  <dc:creator>SCBD</dc:creator>
  <cp:lastModifiedBy>Orestes Plasencia</cp:lastModifiedBy>
  <cp:revision>2</cp:revision>
  <dcterms:created xsi:type="dcterms:W3CDTF">2018-06-29T18:17:00Z</dcterms:created>
  <dcterms:modified xsi:type="dcterms:W3CDTF">2018-06-29T18:17:00Z</dcterms:modified>
  <cp:contentStatus>GENERAL</cp:contentStatus>
</cp:coreProperties>
</file>