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6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3"/>
        <w:gridCol w:w="3911"/>
        <w:gridCol w:w="5184"/>
      </w:tblGrid>
      <w:tr w:rsidR="000610B5" w:rsidRPr="00EA442C" w14:paraId="44D63938" w14:textId="77777777" w:rsidTr="006242DD">
        <w:trPr>
          <w:trHeight w:val="851"/>
        </w:trPr>
        <w:tc>
          <w:tcPr>
            <w:tcW w:w="470" w:type="pct"/>
            <w:tcBorders>
              <w:bottom w:val="single" w:sz="8" w:space="0" w:color="auto"/>
            </w:tcBorders>
            <w:vAlign w:val="bottom"/>
          </w:tcPr>
          <w:p w14:paraId="75BD82F0" w14:textId="77777777" w:rsidR="000610B5" w:rsidRPr="00550DCE" w:rsidRDefault="000610B5" w:rsidP="00810C97">
            <w:pPr>
              <w:spacing w:after="120"/>
            </w:pPr>
            <w:r w:rsidRPr="00550DCE">
              <w:rPr>
                <w:noProof/>
                <w:lang w:val="es-MX" w:eastAsia="es-MX"/>
              </w:rPr>
              <w:drawing>
                <wp:inline distT="0" distB="0" distL="0" distR="0" wp14:anchorId="64B320A5" wp14:editId="46F8498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48" w:type="pct"/>
            <w:tcBorders>
              <w:bottom w:val="single" w:sz="8" w:space="0" w:color="auto"/>
            </w:tcBorders>
            <w:shd w:val="clear" w:color="auto" w:fill="auto"/>
            <w:tcFitText/>
            <w:vAlign w:val="bottom"/>
          </w:tcPr>
          <w:p w14:paraId="02551811" w14:textId="77777777" w:rsidR="000610B5" w:rsidRPr="00550DCE" w:rsidRDefault="000610B5" w:rsidP="00810C97">
            <w:pPr>
              <w:spacing w:after="120"/>
            </w:pPr>
            <w:r w:rsidRPr="006242DD">
              <w:rPr>
                <w:noProof/>
                <w:lang w:val="es-MX" w:eastAsia="es-MX"/>
              </w:rPr>
              <w:drawing>
                <wp:inline distT="0" distB="0" distL="0" distR="0" wp14:anchorId="3E28EBD3" wp14:editId="42EBD13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83" w:type="pct"/>
            <w:tcBorders>
              <w:bottom w:val="single" w:sz="8" w:space="0" w:color="auto"/>
            </w:tcBorders>
            <w:vAlign w:val="bottom"/>
          </w:tcPr>
          <w:p w14:paraId="158906CA" w14:textId="317E343A" w:rsidR="000610B5" w:rsidRPr="006242DD" w:rsidRDefault="000610B5" w:rsidP="00810C97">
            <w:pPr>
              <w:spacing w:after="120"/>
              <w:ind w:left="2021"/>
              <w:jc w:val="right"/>
              <w:rPr>
                <w:rFonts w:ascii="Times New Roman" w:hAnsi="Times New Roman" w:cs="Times New Roman"/>
                <w:szCs w:val="22"/>
              </w:rPr>
            </w:pPr>
            <w:r w:rsidRPr="006242DD">
              <w:rPr>
                <w:rFonts w:ascii="Times New Roman" w:hAnsi="Times New Roman" w:cs="Times New Roman"/>
                <w:sz w:val="40"/>
                <w:szCs w:val="40"/>
              </w:rPr>
              <w:t>CBD</w:t>
            </w:r>
            <w:r w:rsidRPr="006242DD">
              <w:rPr>
                <w:rFonts w:ascii="Times New Roman" w:hAnsi="Times New Roman" w:cs="Times New Roman"/>
                <w:szCs w:val="22"/>
              </w:rPr>
              <w:t>/</w:t>
            </w:r>
            <w:r w:rsidR="00C35543">
              <w:rPr>
                <w:rFonts w:ascii="Times New Roman" w:hAnsi="Times New Roman" w:cs="Times New Roman"/>
                <w:szCs w:val="22"/>
              </w:rPr>
              <w:t>COP/16/</w:t>
            </w:r>
            <w:r w:rsidR="00D15348">
              <w:rPr>
                <w:rFonts w:ascii="Times New Roman" w:hAnsi="Times New Roman" w:cs="Times New Roman"/>
                <w:szCs w:val="22"/>
              </w:rPr>
              <w:t>INF/</w:t>
            </w:r>
            <w:r w:rsidR="00B73683">
              <w:rPr>
                <w:rFonts w:ascii="Times New Roman" w:hAnsi="Times New Roman" w:cs="Times New Roman"/>
                <w:szCs w:val="22"/>
              </w:rPr>
              <w:t>31</w:t>
            </w:r>
          </w:p>
        </w:tc>
      </w:tr>
      <w:tr w:rsidR="000610B5" w:rsidRPr="00EA442C" w14:paraId="2F622F08" w14:textId="77777777" w:rsidTr="006242DD">
        <w:tc>
          <w:tcPr>
            <w:tcW w:w="2417" w:type="pct"/>
            <w:gridSpan w:val="2"/>
            <w:tcBorders>
              <w:top w:val="single" w:sz="8" w:space="0" w:color="auto"/>
              <w:bottom w:val="single" w:sz="12" w:space="0" w:color="auto"/>
            </w:tcBorders>
          </w:tcPr>
          <w:p w14:paraId="695DEEE9" w14:textId="77777777" w:rsidR="000610B5" w:rsidRPr="00550DCE" w:rsidRDefault="000610B5" w:rsidP="00810C97">
            <w:pPr>
              <w:pStyle w:val="Cornernotation"/>
              <w:suppressLineNumbers/>
              <w:suppressAutoHyphens/>
              <w:spacing w:before="120" w:after="120"/>
              <w:ind w:left="0" w:right="0" w:firstLine="0"/>
            </w:pPr>
            <w:r w:rsidRPr="00550DCE">
              <w:rPr>
                <w:b w:val="0"/>
                <w:bCs/>
                <w:noProof/>
                <w:lang w:val="es-MX" w:eastAsia="es-MX"/>
              </w:rPr>
              <w:drawing>
                <wp:inline distT="0" distB="0" distL="0" distR="0" wp14:anchorId="6BC5594E" wp14:editId="0D0005F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83" w:type="pct"/>
            <w:tcBorders>
              <w:top w:val="single" w:sz="8" w:space="0" w:color="auto"/>
              <w:bottom w:val="single" w:sz="12" w:space="0" w:color="auto"/>
            </w:tcBorders>
          </w:tcPr>
          <w:p w14:paraId="53A34B1E" w14:textId="77777777" w:rsidR="000610B5" w:rsidRPr="003C6F10" w:rsidRDefault="000610B5" w:rsidP="003616F3">
            <w:pPr>
              <w:pStyle w:val="Para1"/>
              <w:tabs>
                <w:tab w:val="left" w:pos="1134"/>
              </w:tabs>
              <w:spacing w:before="0" w:after="0"/>
              <w:ind w:left="2552"/>
              <w:rPr>
                <w:szCs w:val="22"/>
              </w:rPr>
            </w:pPr>
            <w:r w:rsidRPr="003C6F10">
              <w:rPr>
                <w:szCs w:val="22"/>
              </w:rPr>
              <w:t>Distr.: General</w:t>
            </w:r>
          </w:p>
          <w:p w14:paraId="3A859C02" w14:textId="7ED629CF" w:rsidR="000610B5" w:rsidRPr="003C6F10" w:rsidRDefault="006242DD" w:rsidP="003616F3">
            <w:pPr>
              <w:pStyle w:val="Para1"/>
              <w:tabs>
                <w:tab w:val="left" w:pos="1134"/>
              </w:tabs>
              <w:spacing w:before="0" w:after="0"/>
              <w:ind w:left="2552"/>
              <w:rPr>
                <w:szCs w:val="22"/>
              </w:rPr>
            </w:pPr>
            <w:r>
              <w:rPr>
                <w:szCs w:val="22"/>
              </w:rPr>
              <w:t>5 August</w:t>
            </w:r>
            <w:r w:rsidR="000610B5">
              <w:rPr>
                <w:szCs w:val="22"/>
              </w:rPr>
              <w:t xml:space="preserve"> 2024</w:t>
            </w:r>
          </w:p>
          <w:p w14:paraId="32BED7F6" w14:textId="77777777" w:rsidR="000610B5" w:rsidRPr="003C6F10" w:rsidRDefault="000610B5" w:rsidP="003616F3">
            <w:pPr>
              <w:pStyle w:val="Para1"/>
              <w:tabs>
                <w:tab w:val="left" w:pos="1134"/>
              </w:tabs>
              <w:spacing w:before="0" w:after="0"/>
              <w:ind w:left="2552"/>
              <w:rPr>
                <w:szCs w:val="22"/>
              </w:rPr>
            </w:pPr>
          </w:p>
          <w:p w14:paraId="5E6FCD09" w14:textId="77777777" w:rsidR="000610B5" w:rsidRPr="003C6F10" w:rsidRDefault="000610B5" w:rsidP="003616F3">
            <w:pPr>
              <w:pStyle w:val="Para1"/>
              <w:tabs>
                <w:tab w:val="left" w:pos="1134"/>
              </w:tabs>
              <w:spacing w:before="0" w:after="0"/>
              <w:ind w:left="2552"/>
              <w:rPr>
                <w:szCs w:val="22"/>
              </w:rPr>
            </w:pPr>
            <w:r w:rsidRPr="003C6F10">
              <w:rPr>
                <w:szCs w:val="22"/>
              </w:rPr>
              <w:t>English</w:t>
            </w:r>
            <w:r>
              <w:rPr>
                <w:szCs w:val="22"/>
              </w:rPr>
              <w:t xml:space="preserve"> only</w:t>
            </w:r>
          </w:p>
          <w:p w14:paraId="0219B5DA" w14:textId="77777777" w:rsidR="000610B5" w:rsidRPr="00550DCE" w:rsidRDefault="000610B5" w:rsidP="00810C97"/>
        </w:tc>
      </w:tr>
    </w:tbl>
    <w:p w14:paraId="217B5798" w14:textId="77777777" w:rsidR="00F71728" w:rsidRPr="00F71728" w:rsidRDefault="00F71728" w:rsidP="00F71728">
      <w:pPr>
        <w:tabs>
          <w:tab w:val="left" w:pos="567"/>
          <w:tab w:val="left" w:pos="1134"/>
          <w:tab w:val="left" w:pos="1701"/>
          <w:tab w:val="left" w:pos="2268"/>
        </w:tabs>
        <w:ind w:right="5249"/>
        <w:rPr>
          <w:rFonts w:ascii="Times New Roman" w:eastAsia="SimSun" w:hAnsi="Times New Roman" w:cs="Times New Roman"/>
          <w:b/>
          <w:bCs/>
          <w:szCs w:val="22"/>
        </w:rPr>
      </w:pPr>
      <w:r w:rsidRPr="00F71728">
        <w:rPr>
          <w:rFonts w:ascii="Times New Roman" w:eastAsia="SimSun" w:hAnsi="Times New Roman" w:cs="Times New Roman"/>
          <w:b/>
          <w:bCs/>
          <w:szCs w:val="22"/>
        </w:rPr>
        <w:t>Conference of the Parties to the Convention on Biological Diversity</w:t>
      </w:r>
    </w:p>
    <w:p w14:paraId="13DC1F37" w14:textId="77777777" w:rsidR="00F71728" w:rsidRPr="00F71728" w:rsidRDefault="00F71728" w:rsidP="00F71728">
      <w:pPr>
        <w:tabs>
          <w:tab w:val="left" w:pos="567"/>
          <w:tab w:val="left" w:pos="1134"/>
          <w:tab w:val="left" w:pos="1701"/>
          <w:tab w:val="left" w:pos="2268"/>
        </w:tabs>
        <w:ind w:left="170" w:right="3119" w:hanging="170"/>
        <w:rPr>
          <w:rFonts w:ascii="Times New Roman" w:eastAsia="SimSun" w:hAnsi="Times New Roman" w:cs="Times New Roman"/>
          <w:b/>
          <w:bCs/>
          <w:sz w:val="22"/>
          <w:szCs w:val="22"/>
        </w:rPr>
      </w:pPr>
      <w:r w:rsidRPr="00F71728">
        <w:rPr>
          <w:rFonts w:ascii="Times New Roman" w:eastAsia="SimSun" w:hAnsi="Times New Roman" w:cs="Times New Roman"/>
          <w:b/>
          <w:bCs/>
          <w:sz w:val="22"/>
          <w:szCs w:val="22"/>
        </w:rPr>
        <w:t>Sixteenth meeting</w:t>
      </w:r>
    </w:p>
    <w:p w14:paraId="7EA62EE8" w14:textId="77777777" w:rsidR="00F71728" w:rsidRDefault="00F71728" w:rsidP="00F71728">
      <w:pPr>
        <w:tabs>
          <w:tab w:val="left" w:pos="567"/>
          <w:tab w:val="left" w:pos="1134"/>
          <w:tab w:val="left" w:pos="1701"/>
          <w:tab w:val="left" w:pos="2268"/>
        </w:tabs>
        <w:ind w:left="170" w:right="3119" w:hanging="170"/>
        <w:rPr>
          <w:rFonts w:ascii="Times New Roman" w:eastAsia="SimSun" w:hAnsi="Times New Roman" w:cs="Times New Roman"/>
          <w:bCs/>
          <w:sz w:val="22"/>
          <w:szCs w:val="22"/>
          <w:lang w:val="en-CA"/>
        </w:rPr>
      </w:pPr>
      <w:r w:rsidRPr="00F71728">
        <w:rPr>
          <w:rFonts w:ascii="Times New Roman" w:eastAsia="SimSun" w:hAnsi="Times New Roman" w:cs="Times New Roman"/>
          <w:bCs/>
          <w:sz w:val="22"/>
          <w:szCs w:val="22"/>
          <w:lang w:val="en-CA"/>
        </w:rPr>
        <w:t>Cali, Colombia, 21 October–1 November 2024</w:t>
      </w:r>
    </w:p>
    <w:p w14:paraId="0567FB23" w14:textId="2357070C" w:rsidR="003616F3" w:rsidRDefault="0095599F" w:rsidP="00F71728">
      <w:pPr>
        <w:tabs>
          <w:tab w:val="left" w:pos="567"/>
          <w:tab w:val="left" w:pos="1134"/>
          <w:tab w:val="left" w:pos="1701"/>
          <w:tab w:val="left" w:pos="2268"/>
        </w:tabs>
        <w:ind w:left="170" w:right="3119" w:hanging="170"/>
        <w:rPr>
          <w:rFonts w:ascii="Times New Roman" w:eastAsia="SimSun" w:hAnsi="Times New Roman" w:cs="Times New Roman"/>
          <w:bCs/>
          <w:sz w:val="22"/>
          <w:szCs w:val="22"/>
        </w:rPr>
      </w:pPr>
      <w:r>
        <w:rPr>
          <w:rFonts w:ascii="Times New Roman" w:eastAsia="SimSun" w:hAnsi="Times New Roman" w:cs="Times New Roman"/>
          <w:bCs/>
          <w:sz w:val="22"/>
          <w:szCs w:val="22"/>
        </w:rPr>
        <w:t>Item 1</w:t>
      </w:r>
      <w:r w:rsidR="002050C3">
        <w:rPr>
          <w:rFonts w:ascii="Times New Roman" w:eastAsia="SimSun" w:hAnsi="Times New Roman" w:cs="Times New Roman"/>
          <w:bCs/>
          <w:sz w:val="22"/>
          <w:szCs w:val="22"/>
        </w:rPr>
        <w:t>0</w:t>
      </w:r>
      <w:r>
        <w:rPr>
          <w:rFonts w:ascii="Times New Roman" w:eastAsia="SimSun" w:hAnsi="Times New Roman" w:cs="Times New Roman"/>
          <w:bCs/>
          <w:sz w:val="22"/>
          <w:szCs w:val="22"/>
        </w:rPr>
        <w:t xml:space="preserve"> of the provisional agenda</w:t>
      </w:r>
      <w:r>
        <w:rPr>
          <w:rStyle w:val="FootnoteReference"/>
          <w:rFonts w:ascii="Times New Roman" w:eastAsia="SimSun" w:hAnsi="Times New Roman" w:cs="Times New Roman"/>
          <w:bCs/>
          <w:sz w:val="22"/>
          <w:szCs w:val="22"/>
        </w:rPr>
        <w:footnoteReference w:customMarkFollows="1" w:id="2"/>
        <w:t>*</w:t>
      </w:r>
    </w:p>
    <w:p w14:paraId="46F0CCF8" w14:textId="41D11077" w:rsidR="00F71728" w:rsidRPr="00DF56DE" w:rsidRDefault="00FA36D3" w:rsidP="00DF56DE">
      <w:pPr>
        <w:tabs>
          <w:tab w:val="left" w:pos="567"/>
          <w:tab w:val="left" w:pos="1134"/>
          <w:tab w:val="left" w:pos="1701"/>
          <w:tab w:val="left" w:pos="2268"/>
        </w:tabs>
        <w:ind w:left="170" w:right="3119" w:hanging="170"/>
        <w:rPr>
          <w:rFonts w:ascii="Times New Roman" w:eastAsia="SimSun" w:hAnsi="Times New Roman" w:cs="Times New Roman"/>
          <w:b/>
          <w:sz w:val="22"/>
          <w:szCs w:val="22"/>
        </w:rPr>
      </w:pPr>
      <w:r>
        <w:rPr>
          <w:rFonts w:ascii="Times New Roman" w:eastAsia="SimSun" w:hAnsi="Times New Roman" w:cs="Times New Roman"/>
          <w:b/>
          <w:sz w:val="22"/>
          <w:szCs w:val="22"/>
        </w:rPr>
        <w:t>M</w:t>
      </w:r>
      <w:r w:rsidRPr="00FA36D3">
        <w:rPr>
          <w:rFonts w:ascii="Times New Roman" w:eastAsia="SimSun" w:hAnsi="Times New Roman" w:cs="Times New Roman"/>
          <w:b/>
          <w:sz w:val="22"/>
          <w:szCs w:val="22"/>
        </w:rPr>
        <w:t>echanisms for planning, monitoring, reporting and review</w:t>
      </w:r>
    </w:p>
    <w:p w14:paraId="4B1290DF" w14:textId="63F9C4B4" w:rsidR="006242DD" w:rsidRPr="00232FF2" w:rsidRDefault="00F45C6C" w:rsidP="002077B4">
      <w:pPr>
        <w:pStyle w:val="Para1"/>
        <w:tabs>
          <w:tab w:val="left" w:pos="1134"/>
        </w:tabs>
        <w:ind w:left="567"/>
        <w:jc w:val="left"/>
        <w:rPr>
          <w:b/>
          <w:bCs/>
          <w:sz w:val="28"/>
          <w:szCs w:val="28"/>
        </w:rPr>
      </w:pPr>
      <w:r w:rsidRPr="00232FF2">
        <w:rPr>
          <w:b/>
          <w:bCs/>
          <w:sz w:val="28"/>
          <w:szCs w:val="28"/>
        </w:rPr>
        <w:t>Background note</w:t>
      </w:r>
      <w:r w:rsidR="002077B4">
        <w:rPr>
          <w:b/>
          <w:bCs/>
          <w:sz w:val="28"/>
          <w:szCs w:val="28"/>
        </w:rPr>
        <w:t xml:space="preserve"> on</w:t>
      </w:r>
      <w:r w:rsidRPr="00232FF2">
        <w:rPr>
          <w:b/>
          <w:bCs/>
          <w:sz w:val="28"/>
          <w:szCs w:val="28"/>
        </w:rPr>
        <w:t xml:space="preserve"> </w:t>
      </w:r>
      <w:r w:rsidR="007F692C">
        <w:rPr>
          <w:b/>
          <w:bCs/>
          <w:sz w:val="28"/>
          <w:szCs w:val="28"/>
        </w:rPr>
        <w:t>i</w:t>
      </w:r>
      <w:r w:rsidRPr="00232FF2">
        <w:rPr>
          <w:b/>
          <w:bCs/>
          <w:sz w:val="28"/>
          <w:szCs w:val="28"/>
        </w:rPr>
        <w:t>ndicator D3 on private funding</w:t>
      </w:r>
      <w:r w:rsidR="002077B4">
        <w:rPr>
          <w:b/>
          <w:bCs/>
          <w:sz w:val="28"/>
          <w:szCs w:val="28"/>
        </w:rPr>
        <w:t>:</w:t>
      </w:r>
      <w:r w:rsidRPr="00232FF2">
        <w:rPr>
          <w:b/>
          <w:bCs/>
          <w:sz w:val="28"/>
          <w:szCs w:val="28"/>
        </w:rPr>
        <w:t xml:space="preserve"> </w:t>
      </w:r>
      <w:r w:rsidR="002077B4">
        <w:rPr>
          <w:b/>
          <w:bCs/>
          <w:sz w:val="28"/>
          <w:szCs w:val="28"/>
        </w:rPr>
        <w:t>a</w:t>
      </w:r>
      <w:r w:rsidR="006242DD" w:rsidRPr="00232FF2">
        <w:rPr>
          <w:b/>
          <w:bCs/>
          <w:sz w:val="28"/>
          <w:szCs w:val="28"/>
        </w:rPr>
        <w:t xml:space="preserve"> report for the </w:t>
      </w:r>
      <w:r w:rsidR="00D141DC">
        <w:rPr>
          <w:b/>
          <w:bCs/>
          <w:sz w:val="28"/>
          <w:szCs w:val="28"/>
        </w:rPr>
        <w:t>T</w:t>
      </w:r>
      <w:r w:rsidR="006242DD" w:rsidRPr="00232FF2">
        <w:rPr>
          <w:b/>
          <w:bCs/>
          <w:sz w:val="28"/>
          <w:szCs w:val="28"/>
        </w:rPr>
        <w:t xml:space="preserve">echnical </w:t>
      </w:r>
      <w:r w:rsidR="00D141DC">
        <w:rPr>
          <w:b/>
          <w:bCs/>
          <w:sz w:val="28"/>
          <w:szCs w:val="28"/>
        </w:rPr>
        <w:t>E</w:t>
      </w:r>
      <w:r w:rsidR="006242DD" w:rsidRPr="00232FF2">
        <w:rPr>
          <w:b/>
          <w:bCs/>
          <w:sz w:val="28"/>
          <w:szCs w:val="28"/>
        </w:rPr>
        <w:t xml:space="preserve">xpert </w:t>
      </w:r>
      <w:r w:rsidR="00D141DC">
        <w:rPr>
          <w:b/>
          <w:bCs/>
          <w:sz w:val="28"/>
          <w:szCs w:val="28"/>
        </w:rPr>
        <w:t>G</w:t>
      </w:r>
      <w:r w:rsidR="006242DD" w:rsidRPr="00232FF2">
        <w:rPr>
          <w:b/>
          <w:bCs/>
          <w:sz w:val="28"/>
          <w:szCs w:val="28"/>
        </w:rPr>
        <w:t xml:space="preserve">roup on </w:t>
      </w:r>
      <w:r w:rsidR="00D141DC">
        <w:rPr>
          <w:b/>
          <w:bCs/>
          <w:sz w:val="28"/>
          <w:szCs w:val="28"/>
        </w:rPr>
        <w:t>F</w:t>
      </w:r>
      <w:r w:rsidR="006242DD" w:rsidRPr="00232FF2">
        <w:rPr>
          <w:b/>
          <w:bCs/>
          <w:sz w:val="28"/>
          <w:szCs w:val="28"/>
        </w:rPr>
        <w:t xml:space="preserve">inancial </w:t>
      </w:r>
      <w:r w:rsidR="00D141DC">
        <w:rPr>
          <w:b/>
          <w:bCs/>
          <w:sz w:val="28"/>
          <w:szCs w:val="28"/>
        </w:rPr>
        <w:t>R</w:t>
      </w:r>
      <w:r w:rsidR="006242DD" w:rsidRPr="00232FF2">
        <w:rPr>
          <w:b/>
          <w:bCs/>
          <w:sz w:val="28"/>
          <w:szCs w:val="28"/>
        </w:rPr>
        <w:t>eporting</w:t>
      </w:r>
      <w:r w:rsidR="00D769F1">
        <w:rPr>
          <w:rStyle w:val="FootnoteReference"/>
          <w:b/>
          <w:bCs/>
          <w:sz w:val="28"/>
          <w:szCs w:val="28"/>
        </w:rPr>
        <w:footnoteReference w:customMarkFollows="1" w:id="3"/>
        <w:t>**</w:t>
      </w:r>
    </w:p>
    <w:p w14:paraId="32392739" w14:textId="160D8F9B" w:rsidR="00E04A01" w:rsidRPr="00976A98" w:rsidRDefault="006242DD" w:rsidP="00E04A01">
      <w:pPr>
        <w:pStyle w:val="Para1"/>
        <w:tabs>
          <w:tab w:val="left" w:pos="1134"/>
        </w:tabs>
        <w:ind w:left="567"/>
        <w:rPr>
          <w:b/>
          <w:bCs/>
          <w:szCs w:val="22"/>
        </w:rPr>
      </w:pPr>
      <w:r w:rsidRPr="00976A98">
        <w:rPr>
          <w:b/>
          <w:bCs/>
          <w:szCs w:val="22"/>
          <w:lang w:val="en-US"/>
        </w:rPr>
        <w:t>Note by the Secretariat</w:t>
      </w:r>
    </w:p>
    <w:p w14:paraId="0AFF2FE2" w14:textId="2B9785D9" w:rsidR="00B949D8" w:rsidRDefault="00B949D8" w:rsidP="008047B0">
      <w:pPr>
        <w:pStyle w:val="Para1"/>
        <w:numPr>
          <w:ilvl w:val="0"/>
          <w:numId w:val="38"/>
        </w:numPr>
        <w:tabs>
          <w:tab w:val="clear" w:pos="927"/>
          <w:tab w:val="left" w:pos="1134"/>
        </w:tabs>
        <w:rPr>
          <w:szCs w:val="22"/>
        </w:rPr>
      </w:pPr>
      <w:r w:rsidRPr="00B949D8">
        <w:rPr>
          <w:szCs w:val="22"/>
        </w:rPr>
        <w:t>In its decision 15/7 on resource mobilization, the Conference of the Parties to the Convention on Biological Diversity requested the Executive Secretary to establish a Technical Expert Group on the financial reporting elements in the monitoring framework of the Kunming-Montreal Global Biodiversity Framework. In line with its terms of reference</w:t>
      </w:r>
      <w:r w:rsidR="00142F2C">
        <w:rPr>
          <w:szCs w:val="22"/>
        </w:rPr>
        <w:t>,</w:t>
      </w:r>
      <w:r w:rsidRPr="00B949D8">
        <w:rPr>
          <w:szCs w:val="22"/>
        </w:rPr>
        <w:t xml:space="preserve"> provided in annex III to the decision, the Technical Expert Group considered the headline indicators for </w:t>
      </w:r>
      <w:r w:rsidR="00540BA6">
        <w:rPr>
          <w:szCs w:val="22"/>
        </w:rPr>
        <w:t>T</w:t>
      </w:r>
      <w:r w:rsidRPr="00B949D8">
        <w:rPr>
          <w:szCs w:val="22"/>
        </w:rPr>
        <w:t>argets 18 and 19 of the Framework</w:t>
      </w:r>
      <w:r w:rsidR="00906FAF">
        <w:rPr>
          <w:szCs w:val="22"/>
        </w:rPr>
        <w:t>,</w:t>
      </w:r>
      <w:r w:rsidRPr="00B949D8">
        <w:rPr>
          <w:szCs w:val="22"/>
        </w:rPr>
        <w:t xml:space="preserve"> that is, headline indicators 18.1, 18.2 D.1, D.2 and D</w:t>
      </w:r>
      <w:r w:rsidR="00555605">
        <w:rPr>
          <w:szCs w:val="22"/>
        </w:rPr>
        <w:t>.</w:t>
      </w:r>
      <w:r w:rsidRPr="00B949D8">
        <w:rPr>
          <w:szCs w:val="22"/>
        </w:rPr>
        <w:t xml:space="preserve">3 as contained in table </w:t>
      </w:r>
      <w:r w:rsidR="00457099">
        <w:rPr>
          <w:szCs w:val="22"/>
        </w:rPr>
        <w:t>1</w:t>
      </w:r>
      <w:r w:rsidR="00FE53D3">
        <w:rPr>
          <w:szCs w:val="22"/>
        </w:rPr>
        <w:t xml:space="preserve"> of annex I to</w:t>
      </w:r>
      <w:r w:rsidRPr="00B949D8">
        <w:rPr>
          <w:szCs w:val="22"/>
        </w:rPr>
        <w:t xml:space="preserve"> decision 15/5, on the monitoring framework, and developed (a) metadata fact sheets for these headline indicators; (b) proposals for complementary and binary indicators, if any; (c) suggestions for possible disaggregation in the reporting template; (d) gaps and of associated capacity-building needs; and (e) suggestions for future work, as needed. </w:t>
      </w:r>
    </w:p>
    <w:p w14:paraId="42B1435B" w14:textId="74C025D2" w:rsidR="00B949D8" w:rsidRPr="00B949D8" w:rsidRDefault="00B949D8" w:rsidP="008047B0">
      <w:pPr>
        <w:pStyle w:val="Para1"/>
        <w:numPr>
          <w:ilvl w:val="0"/>
          <w:numId w:val="38"/>
        </w:numPr>
        <w:tabs>
          <w:tab w:val="clear" w:pos="927"/>
          <w:tab w:val="left" w:pos="1134"/>
        </w:tabs>
        <w:rPr>
          <w:szCs w:val="22"/>
        </w:rPr>
      </w:pPr>
      <w:r w:rsidRPr="00B949D8">
        <w:rPr>
          <w:szCs w:val="22"/>
        </w:rPr>
        <w:t xml:space="preserve">The results of the work of the Technical Expert Group </w:t>
      </w:r>
      <w:r w:rsidR="00017B7C">
        <w:rPr>
          <w:szCs w:val="22"/>
        </w:rPr>
        <w:t xml:space="preserve">on Financial Reporting </w:t>
      </w:r>
      <w:r w:rsidRPr="00B949D8">
        <w:rPr>
          <w:szCs w:val="22"/>
        </w:rPr>
        <w:t>were forwarded to the sixth meeting of the Ad Hoc Technical Expert Group on Indicators for the Kunming-Montreal Global Biodiversity Framework, which was held in Cambridge, United Kingdom of Great Britain and Northern Ireland, from 12 to 15 March 2024, for further consideration and integration into the broader work on the monitoring framework. This integration was facilitated by the Co-Chairs of the Technical Expert Group on Financial Reporting, Lucretia Landmann (Switzerland) and Juan Pinto (Colombia), who attended the meeting in Cambridge. Th</w:t>
      </w:r>
      <w:r w:rsidR="00EE7AF5">
        <w:rPr>
          <w:szCs w:val="22"/>
        </w:rPr>
        <w:t>is</w:t>
      </w:r>
      <w:r w:rsidRPr="00B949D8">
        <w:rPr>
          <w:szCs w:val="22"/>
        </w:rPr>
        <w:t xml:space="preserve"> consolidated work </w:t>
      </w:r>
      <w:r w:rsidR="007B5449">
        <w:rPr>
          <w:szCs w:val="22"/>
        </w:rPr>
        <w:t>was</w:t>
      </w:r>
      <w:r w:rsidR="0049622C">
        <w:rPr>
          <w:szCs w:val="22"/>
        </w:rPr>
        <w:t xml:space="preserve"> submitted </w:t>
      </w:r>
      <w:r w:rsidR="00A77483">
        <w:t xml:space="preserve">for consideration </w:t>
      </w:r>
      <w:r w:rsidR="00A77483">
        <w:t>by</w:t>
      </w:r>
      <w:r w:rsidR="0049622C">
        <w:t xml:space="preserve"> the </w:t>
      </w:r>
      <w:r w:rsidR="0049622C" w:rsidRPr="00D702D2">
        <w:t xml:space="preserve">Subsidiary Body on Scientific, Technical and Technological Advice </w:t>
      </w:r>
      <w:r w:rsidR="00F0228B">
        <w:t xml:space="preserve">at its </w:t>
      </w:r>
      <w:r w:rsidR="00F0228B">
        <w:t>twenty-sixth meeting</w:t>
      </w:r>
      <w:r w:rsidR="0049622C">
        <w:t>, held in Nairobi from 13</w:t>
      </w:r>
      <w:r w:rsidR="00A77483">
        <w:t xml:space="preserve"> to </w:t>
      </w:r>
      <w:r w:rsidR="0049622C">
        <w:t>18 May 2024 (</w:t>
      </w:r>
      <w:r w:rsidRPr="00B949D8">
        <w:rPr>
          <w:szCs w:val="22"/>
        </w:rPr>
        <w:t>documents</w:t>
      </w:r>
      <w:r>
        <w:rPr>
          <w:szCs w:val="22"/>
        </w:rPr>
        <w:t xml:space="preserve"> </w:t>
      </w:r>
      <w:r w:rsidRPr="00B949D8">
        <w:rPr>
          <w:szCs w:val="22"/>
        </w:rPr>
        <w:t>CBD/SBSTTA/26/2 and CBD/SBSTTA/26/INF/14</w:t>
      </w:r>
      <w:r w:rsidR="0049622C">
        <w:rPr>
          <w:szCs w:val="22"/>
        </w:rPr>
        <w:t>)</w:t>
      </w:r>
      <w:r w:rsidRPr="00B949D8">
        <w:rPr>
          <w:szCs w:val="22"/>
        </w:rPr>
        <w:t>.</w:t>
      </w:r>
    </w:p>
    <w:p w14:paraId="1E071294" w14:textId="705CD641" w:rsidR="00B949D8" w:rsidRPr="00B949D8" w:rsidRDefault="00B949D8" w:rsidP="00F97357">
      <w:pPr>
        <w:pStyle w:val="Para1"/>
        <w:numPr>
          <w:ilvl w:val="0"/>
          <w:numId w:val="38"/>
        </w:numPr>
        <w:tabs>
          <w:tab w:val="clear" w:pos="927"/>
          <w:tab w:val="left" w:pos="1134"/>
        </w:tabs>
        <w:rPr>
          <w:b/>
          <w:sz w:val="32"/>
          <w:szCs w:val="32"/>
        </w:rPr>
      </w:pPr>
      <w:r w:rsidRPr="00B949D8">
        <w:rPr>
          <w:szCs w:val="22"/>
        </w:rPr>
        <w:t>In decision 15/5 on the monitoring framework, headline indicator D.3 on private funding had</w:t>
      </w:r>
      <w:r w:rsidR="0040783F">
        <w:rPr>
          <w:szCs w:val="22"/>
        </w:rPr>
        <w:t xml:space="preserve"> </w:t>
      </w:r>
      <w:r w:rsidRPr="00B949D8">
        <w:rPr>
          <w:szCs w:val="22"/>
        </w:rPr>
        <w:t xml:space="preserve">been identified as one of the indicators for which an agreed up-to-date methodology did not exist. </w:t>
      </w:r>
      <w:proofErr w:type="gramStart"/>
      <w:r w:rsidRPr="00B949D8">
        <w:rPr>
          <w:szCs w:val="22"/>
        </w:rPr>
        <w:t>In</w:t>
      </w:r>
      <w:r w:rsidR="0040783F">
        <w:rPr>
          <w:szCs w:val="22"/>
        </w:rPr>
        <w:t xml:space="preserve"> </w:t>
      </w:r>
      <w:r w:rsidRPr="00B949D8">
        <w:rPr>
          <w:szCs w:val="22"/>
        </w:rPr>
        <w:t>order to</w:t>
      </w:r>
      <w:proofErr w:type="gramEnd"/>
      <w:r w:rsidRPr="00B949D8">
        <w:rPr>
          <w:szCs w:val="22"/>
        </w:rPr>
        <w:t xml:space="preserve"> further support and facilitate the development of this indicator by the Technical Expert Group, the Secretariat commissioned a technical report on the possible methodological approaches and available data sources. The financial support of the United Kingdom for the preparation of this</w:t>
      </w:r>
      <w:r>
        <w:rPr>
          <w:szCs w:val="22"/>
        </w:rPr>
        <w:t xml:space="preserve"> </w:t>
      </w:r>
      <w:r w:rsidRPr="00B949D8">
        <w:rPr>
          <w:szCs w:val="22"/>
        </w:rPr>
        <w:t>report is gratefully acknowledged.</w:t>
      </w:r>
    </w:p>
    <w:p w14:paraId="6CDE7FDF" w14:textId="19C8444E" w:rsidR="00B949D8" w:rsidRDefault="00B949D8" w:rsidP="00B24C7B">
      <w:pPr>
        <w:pStyle w:val="Para1"/>
        <w:numPr>
          <w:ilvl w:val="0"/>
          <w:numId w:val="38"/>
        </w:numPr>
        <w:tabs>
          <w:tab w:val="clear" w:pos="927"/>
          <w:tab w:val="left" w:pos="1134"/>
        </w:tabs>
      </w:pPr>
      <w:r>
        <w:lastRenderedPageBreak/>
        <w:t xml:space="preserve">The present report was developed in close interaction with the Technical Expert Group on Financial Reporting and its sub-group on indicator D.3, in form of several iterative steps. At its first meeting, held in Montreal, Canada, from 27 November to 1 December 2023, the Technical Expert Group had a first exchange of views on headline indicator D.3 and the information, and views provided were reflected in a scoping paper. This scoping paper was considered by the sub-group on indicator D.3 that had been established by the Technical Expert Group during its first meeting, during in online meeting in January 2024. The comments on the scoping paper were reflected in the first draft of the present report that was presented to the Technical Expert Group during its second and final in-person meeting of the Technical Expert Group, held in Istanbul, Türkiye, from 26 February to 1 March 2024. This first draft of the present report served as the basis for the work of the Technical Expert Group on headline indicator D.3 as </w:t>
      </w:r>
      <w:r w:rsidR="00697A47">
        <w:t xml:space="preserve">it was </w:t>
      </w:r>
      <w:r>
        <w:t xml:space="preserve">reflected in document CBD/SBSTTA/26/2 and CBD/SBSTTA/26/INF/14. At the same time, the comments made during the second meeting of the TEG provided the basis for a revised version of the report, which </w:t>
      </w:r>
      <w:r w:rsidR="0040783F">
        <w:t xml:space="preserve">was </w:t>
      </w:r>
      <w:r w:rsidR="0049622C">
        <w:t xml:space="preserve">also </w:t>
      </w:r>
      <w:r w:rsidR="0040783F">
        <w:t>pr</w:t>
      </w:r>
      <w:r w:rsidR="00997FE7">
        <w:t xml:space="preserve">ovided </w:t>
      </w:r>
      <w:r w:rsidR="00C46C84">
        <w:t xml:space="preserve">to SBSTTA-26 for information </w:t>
      </w:r>
      <w:r w:rsidR="00241027">
        <w:t>(document CBD/SBSTTA/26/INF/20)</w:t>
      </w:r>
      <w:r>
        <w:t>.</w:t>
      </w:r>
    </w:p>
    <w:p w14:paraId="6FEAEB0B" w14:textId="2A1D9C6B" w:rsidR="000E5917" w:rsidRDefault="00B40AAA" w:rsidP="008A3A9A">
      <w:pPr>
        <w:pStyle w:val="Para1"/>
        <w:numPr>
          <w:ilvl w:val="0"/>
          <w:numId w:val="38"/>
        </w:numPr>
        <w:tabs>
          <w:tab w:val="clear" w:pos="927"/>
          <w:tab w:val="left" w:pos="1134"/>
        </w:tabs>
      </w:pPr>
      <w:r>
        <w:t>Parties and relevant organizations and initiatives were invited, by notification</w:t>
      </w:r>
      <w:r w:rsidR="00665C7F">
        <w:t xml:space="preserve"> 2024</w:t>
      </w:r>
      <w:r w:rsidR="00321AD4">
        <w:t>/043</w:t>
      </w:r>
      <w:r w:rsidR="007859C6">
        <w:t xml:space="preserve"> of </w:t>
      </w:r>
      <w:r w:rsidR="00514510">
        <w:br/>
      </w:r>
      <w:r w:rsidR="007859C6">
        <w:t>6 May 2024</w:t>
      </w:r>
      <w:r w:rsidR="004A4644">
        <w:t xml:space="preserve">, </w:t>
      </w:r>
      <w:r w:rsidR="002777AE">
        <w:t>to submit comments or reviews of document CBD/SBSTTA/26/INF/20.</w:t>
      </w:r>
      <w:r w:rsidR="00AF6A40">
        <w:t xml:space="preserve"> Further to the request </w:t>
      </w:r>
      <w:r w:rsidR="00C92E9A">
        <w:t>by</w:t>
      </w:r>
      <w:r w:rsidR="00AF6A40">
        <w:t xml:space="preserve"> </w:t>
      </w:r>
      <w:r w:rsidR="00D4510E">
        <w:t xml:space="preserve">the </w:t>
      </w:r>
      <w:r w:rsidR="00D4510E" w:rsidRPr="00D702D2">
        <w:t xml:space="preserve">Subsidiary Body on Scientific, Technical and Technological Advice </w:t>
      </w:r>
      <w:r w:rsidR="00D4510E">
        <w:t>at its twenty-sixth meeting</w:t>
      </w:r>
      <w:r w:rsidR="00BF0403">
        <w:t xml:space="preserve">, </w:t>
      </w:r>
      <w:r w:rsidR="0084135C">
        <w:t xml:space="preserve">expressed in paragraph </w:t>
      </w:r>
      <w:r w:rsidR="00372E4E">
        <w:t>5 (a)</w:t>
      </w:r>
      <w:r w:rsidR="00E63895">
        <w:t xml:space="preserve"> of </w:t>
      </w:r>
      <w:r w:rsidR="00C92E9A">
        <w:t xml:space="preserve">its </w:t>
      </w:r>
      <w:r w:rsidR="00E63895">
        <w:t>recommendation 26/1</w:t>
      </w:r>
      <w:r w:rsidR="000C2955">
        <w:t>,</w:t>
      </w:r>
      <w:r w:rsidR="00E63895">
        <w:t xml:space="preserve"> </w:t>
      </w:r>
      <w:r w:rsidR="00BF0403">
        <w:t>the deadline for the submission of comments or reviews was extended by notification 2024/052</w:t>
      </w:r>
      <w:r w:rsidR="007859C6">
        <w:t xml:space="preserve"> of 31 May 2024</w:t>
      </w:r>
      <w:r w:rsidR="00BF0403">
        <w:t>. Submissions were subsequently recei</w:t>
      </w:r>
      <w:r w:rsidR="0084135C">
        <w:t xml:space="preserve">ved from </w:t>
      </w:r>
      <w:r w:rsidR="00FE5CE7">
        <w:t>Australia, Brazil, Germany,</w:t>
      </w:r>
      <w:r w:rsidR="00FE5CE7" w:rsidRPr="00FE5CE7">
        <w:rPr>
          <w:lang w:val="en-US"/>
        </w:rPr>
        <w:t xml:space="preserve"> Japan</w:t>
      </w:r>
      <w:r w:rsidR="00FE5CE7">
        <w:rPr>
          <w:lang w:val="en-US"/>
        </w:rPr>
        <w:t>,</w:t>
      </w:r>
      <w:r w:rsidR="00FE5CE7">
        <w:t xml:space="preserve"> </w:t>
      </w:r>
      <w:r w:rsidR="00FE5CE7" w:rsidRPr="00FE5CE7">
        <w:rPr>
          <w:lang w:val="en-US"/>
        </w:rPr>
        <w:t>Mexico</w:t>
      </w:r>
      <w:r w:rsidR="00FE5CE7">
        <w:rPr>
          <w:lang w:val="en-US"/>
        </w:rPr>
        <w:t>,</w:t>
      </w:r>
      <w:r w:rsidR="00FE5CE7">
        <w:t xml:space="preserve"> Switzerland, </w:t>
      </w:r>
      <w:r w:rsidR="001E1921">
        <w:t xml:space="preserve">the </w:t>
      </w:r>
      <w:r w:rsidR="004F721D">
        <w:t xml:space="preserve">Netherlands, </w:t>
      </w:r>
      <w:r w:rsidR="001E1921">
        <w:t xml:space="preserve">and the </w:t>
      </w:r>
      <w:r w:rsidR="00BD52C6">
        <w:t>United Kingdom of Great Britain and Northern Ireland</w:t>
      </w:r>
      <w:r w:rsidR="001E1921">
        <w:t xml:space="preserve">. </w:t>
      </w:r>
      <w:r w:rsidR="00090DCB">
        <w:t xml:space="preserve">Submissions were also received from </w:t>
      </w:r>
      <w:r w:rsidR="00AD581F" w:rsidRPr="00AD581F">
        <w:rPr>
          <w:lang w:val="en-US"/>
        </w:rPr>
        <w:t xml:space="preserve">Andes </w:t>
      </w:r>
      <w:proofErr w:type="spellStart"/>
      <w:r w:rsidR="00AD581F" w:rsidRPr="00AD581F">
        <w:rPr>
          <w:lang w:val="en-US"/>
        </w:rPr>
        <w:t>Chinchasuyo</w:t>
      </w:r>
      <w:proofErr w:type="spellEnd"/>
      <w:r w:rsidR="00AD581F" w:rsidRPr="00AD581F">
        <w:rPr>
          <w:lang w:val="en-US"/>
        </w:rPr>
        <w:t xml:space="preserve"> (ANDES CHIN), </w:t>
      </w:r>
      <w:r w:rsidR="008A3A9A">
        <w:t xml:space="preserve">Association Generation </w:t>
      </w:r>
      <w:proofErr w:type="spellStart"/>
      <w:r w:rsidR="008A3A9A">
        <w:t>Ecologie</w:t>
      </w:r>
      <w:proofErr w:type="spellEnd"/>
      <w:r w:rsidR="008A3A9A">
        <w:t xml:space="preserve"> (AGE), </w:t>
      </w:r>
      <w:r w:rsidR="00095152">
        <w:t xml:space="preserve">the </w:t>
      </w:r>
      <w:r w:rsidR="00095152" w:rsidRPr="00095152">
        <w:t>CBD Women Caucus</w:t>
      </w:r>
      <w:r w:rsidR="00095152">
        <w:t>,</w:t>
      </w:r>
      <w:r w:rsidR="00095152" w:rsidRPr="00095152">
        <w:t xml:space="preserve"> </w:t>
      </w:r>
      <w:proofErr w:type="spellStart"/>
      <w:r w:rsidR="008A3A9A">
        <w:t>Chemichemi</w:t>
      </w:r>
      <w:proofErr w:type="spellEnd"/>
      <w:r w:rsidR="008A3A9A">
        <w:t xml:space="preserve"> Foundation (CF),</w:t>
      </w:r>
      <w:r w:rsidR="008A3A9A" w:rsidRPr="008A3A9A">
        <w:t xml:space="preserve"> </w:t>
      </w:r>
      <w:r w:rsidR="008A3A9A">
        <w:t>China Biodiversity Conservation of Green Development Foundation (CBCGDF),</w:t>
      </w:r>
      <w:r w:rsidR="00AD581F" w:rsidRPr="00AD581F">
        <w:t xml:space="preserve"> </w:t>
      </w:r>
      <w:proofErr w:type="spellStart"/>
      <w:r w:rsidR="00AD581F">
        <w:t>EcoNexus</w:t>
      </w:r>
      <w:proofErr w:type="spellEnd"/>
      <w:r w:rsidR="00AD581F">
        <w:t>,</w:t>
      </w:r>
      <w:r w:rsidR="008A3A9A" w:rsidRPr="008A3A9A">
        <w:t xml:space="preserve"> </w:t>
      </w:r>
      <w:r w:rsidR="00A743EA">
        <w:t xml:space="preserve">the Secretariat of the Glasgow Financial Alliance for Net Zero (GFANZ), </w:t>
      </w:r>
      <w:r w:rsidR="00AD581F">
        <w:t xml:space="preserve">the Office of the High Commissioner for Human Rights (OHCHR), </w:t>
      </w:r>
      <w:r w:rsidR="008A3A9A">
        <w:t xml:space="preserve">Planet Tracker (PT), </w:t>
      </w:r>
      <w:r w:rsidR="007062F9">
        <w:t xml:space="preserve">the Third World Network (TWN), the UNEP Finance Initiative (UNEP FI), </w:t>
      </w:r>
      <w:r w:rsidR="00095152">
        <w:t>and Women4Biodiversity (WOM4).</w:t>
      </w:r>
      <w:r w:rsidR="006168CF">
        <w:rPr>
          <w:rStyle w:val="FootnoteReference"/>
        </w:rPr>
        <w:footnoteReference w:id="4"/>
      </w:r>
    </w:p>
    <w:p w14:paraId="4DD9EF99" w14:textId="45FD6513" w:rsidR="000E5917" w:rsidRPr="00D812FE" w:rsidRDefault="00D812FE" w:rsidP="00F96E84">
      <w:pPr>
        <w:pStyle w:val="Para1"/>
        <w:numPr>
          <w:ilvl w:val="0"/>
          <w:numId w:val="38"/>
        </w:numPr>
        <w:tabs>
          <w:tab w:val="clear" w:pos="927"/>
          <w:tab w:val="left" w:pos="1134"/>
        </w:tabs>
        <w:rPr>
          <w:lang w:val="en-US"/>
        </w:rPr>
      </w:pPr>
      <w:r>
        <w:t xml:space="preserve">The comments and reviews received were duly taken into consideration in preparing the present final version of the report. </w:t>
      </w:r>
      <w:r w:rsidR="000E7798">
        <w:t>C</w:t>
      </w:r>
      <w:proofErr w:type="spellStart"/>
      <w:r w:rsidR="000E5917" w:rsidRPr="00D812FE">
        <w:rPr>
          <w:lang w:val="en-US"/>
        </w:rPr>
        <w:t>omments</w:t>
      </w:r>
      <w:proofErr w:type="spellEnd"/>
      <w:r w:rsidR="000E5917" w:rsidRPr="00D812FE">
        <w:rPr>
          <w:lang w:val="en-US"/>
        </w:rPr>
        <w:t xml:space="preserve"> </w:t>
      </w:r>
      <w:r w:rsidR="009113A4">
        <w:rPr>
          <w:lang w:val="en-US"/>
        </w:rPr>
        <w:t xml:space="preserve">and reviews </w:t>
      </w:r>
      <w:r w:rsidR="00537A08">
        <w:rPr>
          <w:lang w:val="en-US"/>
        </w:rPr>
        <w:t xml:space="preserve">primarily </w:t>
      </w:r>
      <w:r w:rsidR="000E5917" w:rsidRPr="00D812FE">
        <w:rPr>
          <w:lang w:val="en-US"/>
        </w:rPr>
        <w:t xml:space="preserve">centered on improving the methodology and data collection for tracking private finance in biodiversity conservation. </w:t>
      </w:r>
      <w:r w:rsidR="002E24D4" w:rsidRPr="00D812FE">
        <w:rPr>
          <w:lang w:val="en-US"/>
        </w:rPr>
        <w:t>The submissions</w:t>
      </w:r>
      <w:r w:rsidR="000E5917" w:rsidRPr="00D812FE">
        <w:rPr>
          <w:lang w:val="en-US"/>
        </w:rPr>
        <w:t xml:space="preserve"> emphasized the need for clear definitions, standardized approaches, and accessible data to accurately measure financial flows. Additionally, there was a strong call for greater inclusivity, particularly for </w:t>
      </w:r>
      <w:r w:rsidR="00352015">
        <w:rPr>
          <w:lang w:val="en-US"/>
        </w:rPr>
        <w:t>i</w:t>
      </w:r>
      <w:r w:rsidR="000E5917" w:rsidRPr="00D812FE">
        <w:rPr>
          <w:lang w:val="en-US"/>
        </w:rPr>
        <w:t xml:space="preserve">ndigenous </w:t>
      </w:r>
      <w:r w:rsidR="00352015">
        <w:rPr>
          <w:lang w:val="en-US"/>
        </w:rPr>
        <w:t>p</w:t>
      </w:r>
      <w:r w:rsidR="000E5917" w:rsidRPr="00D812FE">
        <w:rPr>
          <w:lang w:val="en-US"/>
        </w:rPr>
        <w:t>eoples and local communities, in the design and implementation of tracking mechanisms. The report addressed these points by providing more detail</w:t>
      </w:r>
      <w:r w:rsidR="00B93638">
        <w:rPr>
          <w:lang w:val="en-US"/>
        </w:rPr>
        <w:t xml:space="preserve"> on the </w:t>
      </w:r>
      <w:r w:rsidR="000E5917" w:rsidRPr="00D812FE">
        <w:rPr>
          <w:lang w:val="en-US"/>
        </w:rPr>
        <w:t xml:space="preserve">methodologies, </w:t>
      </w:r>
      <w:r w:rsidR="00B93638">
        <w:rPr>
          <w:lang w:val="en-US"/>
        </w:rPr>
        <w:t xml:space="preserve">by </w:t>
      </w:r>
      <w:r w:rsidR="000E5917" w:rsidRPr="00D812FE">
        <w:rPr>
          <w:lang w:val="en-US"/>
        </w:rPr>
        <w:t xml:space="preserve">emphasizing the importance of stakeholder engagement, and </w:t>
      </w:r>
      <w:r w:rsidR="00B93638">
        <w:rPr>
          <w:lang w:val="en-US"/>
        </w:rPr>
        <w:t xml:space="preserve">by </w:t>
      </w:r>
      <w:r w:rsidR="000E5917" w:rsidRPr="00D812FE">
        <w:rPr>
          <w:lang w:val="en-US"/>
        </w:rPr>
        <w:t>acknowledging the challenges associated with data availability.</w:t>
      </w:r>
    </w:p>
    <w:p w14:paraId="212B7EA6" w14:textId="661A9C64" w:rsidR="0040783F" w:rsidRPr="00B949D8" w:rsidRDefault="0040783F" w:rsidP="00072BEC">
      <w:pPr>
        <w:pStyle w:val="Para1"/>
        <w:numPr>
          <w:ilvl w:val="0"/>
          <w:numId w:val="38"/>
        </w:numPr>
        <w:tabs>
          <w:tab w:val="clear" w:pos="927"/>
          <w:tab w:val="left" w:pos="1134"/>
        </w:tabs>
        <w:rPr>
          <w:b/>
          <w:sz w:val="32"/>
          <w:szCs w:val="32"/>
        </w:rPr>
      </w:pPr>
      <w:r>
        <w:t>The document is issued in the format received.</w:t>
      </w:r>
    </w:p>
    <w:p w14:paraId="3FC85E30" w14:textId="6B7322F0" w:rsidR="007B5F24" w:rsidRPr="00B949D8" w:rsidRDefault="00485490" w:rsidP="00B949D8">
      <w:pPr>
        <w:pStyle w:val="Para1"/>
        <w:numPr>
          <w:ilvl w:val="0"/>
          <w:numId w:val="38"/>
        </w:numPr>
        <w:tabs>
          <w:tab w:val="clear" w:pos="927"/>
          <w:tab w:val="left" w:pos="1134"/>
        </w:tabs>
        <w:rPr>
          <w:b/>
          <w:sz w:val="32"/>
          <w:szCs w:val="32"/>
        </w:rPr>
      </w:pPr>
      <w:r w:rsidRPr="00B949D8">
        <w:rPr>
          <w:b/>
          <w:sz w:val="32"/>
          <w:szCs w:val="32"/>
        </w:rPr>
        <w:br w:type="page"/>
      </w:r>
    </w:p>
    <w:sdt>
      <w:sdtPr>
        <w:rPr>
          <w:rFonts w:asciiTheme="minorHAnsi" w:eastAsiaTheme="minorHAnsi" w:hAnsiTheme="minorHAnsi" w:cstheme="minorBidi"/>
          <w:b w:val="0"/>
          <w:bCs w:val="0"/>
          <w:color w:val="auto"/>
          <w:sz w:val="24"/>
          <w:szCs w:val="24"/>
        </w:rPr>
        <w:id w:val="1290390483"/>
        <w:docPartObj>
          <w:docPartGallery w:val="Table of Contents"/>
          <w:docPartUnique/>
        </w:docPartObj>
      </w:sdtPr>
      <w:sdtEndPr>
        <w:rPr>
          <w:noProof/>
        </w:rPr>
      </w:sdtEndPr>
      <w:sdtContent>
        <w:p w14:paraId="7AD96D82" w14:textId="18066B26" w:rsidR="007B5F24" w:rsidRDefault="007B5F24" w:rsidP="00D816EA">
          <w:pPr>
            <w:pStyle w:val="TOCHeading"/>
            <w:jc w:val="both"/>
          </w:pPr>
          <w:r>
            <w:t>Table of Contents</w:t>
          </w:r>
        </w:p>
        <w:p w14:paraId="06374DB9" w14:textId="6A0EC309" w:rsidR="00B86E70" w:rsidRDefault="009D4595">
          <w:pPr>
            <w:pStyle w:val="TOC1"/>
            <w:rPr>
              <w:rFonts w:eastAsiaTheme="minorEastAsia"/>
              <w:b w:val="0"/>
              <w:bCs w:val="0"/>
              <w:i w:val="0"/>
              <w:iCs w:val="0"/>
              <w:noProof/>
              <w:kern w:val="2"/>
              <w14:ligatures w14:val="standardContextual"/>
            </w:rPr>
          </w:pPr>
          <w:r>
            <w:fldChar w:fldCharType="begin"/>
          </w:r>
          <w:r>
            <w:instrText xml:space="preserve"> TOC \o "1-1" \h \z \u </w:instrText>
          </w:r>
          <w:r>
            <w:fldChar w:fldCharType="separate"/>
          </w:r>
          <w:hyperlink w:anchor="_Toc172018350" w:history="1">
            <w:r w:rsidR="00B86E70" w:rsidRPr="003F612F">
              <w:rPr>
                <w:rStyle w:val="Hyperlink"/>
                <w:noProof/>
              </w:rPr>
              <w:t>Section One: Introduction</w:t>
            </w:r>
            <w:r w:rsidR="00B86E70">
              <w:rPr>
                <w:noProof/>
                <w:webHidden/>
              </w:rPr>
              <w:tab/>
            </w:r>
            <w:r w:rsidR="00B86E70">
              <w:rPr>
                <w:noProof/>
                <w:webHidden/>
              </w:rPr>
              <w:fldChar w:fldCharType="begin"/>
            </w:r>
            <w:r w:rsidR="00B86E70">
              <w:rPr>
                <w:noProof/>
                <w:webHidden/>
              </w:rPr>
              <w:instrText xml:space="preserve"> PAGEREF _Toc172018350 \h </w:instrText>
            </w:r>
            <w:r w:rsidR="00B86E70">
              <w:rPr>
                <w:noProof/>
                <w:webHidden/>
              </w:rPr>
            </w:r>
            <w:r w:rsidR="00B86E70">
              <w:rPr>
                <w:noProof/>
                <w:webHidden/>
              </w:rPr>
              <w:fldChar w:fldCharType="separate"/>
            </w:r>
            <w:r w:rsidR="00B86E70">
              <w:rPr>
                <w:noProof/>
                <w:webHidden/>
              </w:rPr>
              <w:t>3</w:t>
            </w:r>
            <w:r w:rsidR="00B86E70">
              <w:rPr>
                <w:noProof/>
                <w:webHidden/>
              </w:rPr>
              <w:fldChar w:fldCharType="end"/>
            </w:r>
          </w:hyperlink>
        </w:p>
        <w:p w14:paraId="12AD7678" w14:textId="5B92F21A" w:rsidR="00B86E70" w:rsidRDefault="00B86E70">
          <w:pPr>
            <w:pStyle w:val="TOC1"/>
            <w:rPr>
              <w:rFonts w:eastAsiaTheme="minorEastAsia"/>
              <w:b w:val="0"/>
              <w:bCs w:val="0"/>
              <w:i w:val="0"/>
              <w:iCs w:val="0"/>
              <w:noProof/>
              <w:kern w:val="2"/>
              <w14:ligatures w14:val="standardContextual"/>
            </w:rPr>
          </w:pPr>
          <w:hyperlink w:anchor="_Toc172018351" w:history="1">
            <w:r w:rsidRPr="003F612F">
              <w:rPr>
                <w:rStyle w:val="Hyperlink"/>
                <w:noProof/>
              </w:rPr>
              <w:t>Section Two: Background on the Global Biodiversity Framework</w:t>
            </w:r>
            <w:r>
              <w:rPr>
                <w:noProof/>
                <w:webHidden/>
              </w:rPr>
              <w:tab/>
            </w:r>
            <w:r>
              <w:rPr>
                <w:noProof/>
                <w:webHidden/>
              </w:rPr>
              <w:fldChar w:fldCharType="begin"/>
            </w:r>
            <w:r>
              <w:rPr>
                <w:noProof/>
                <w:webHidden/>
              </w:rPr>
              <w:instrText xml:space="preserve"> PAGEREF _Toc172018351 \h </w:instrText>
            </w:r>
            <w:r>
              <w:rPr>
                <w:noProof/>
                <w:webHidden/>
              </w:rPr>
            </w:r>
            <w:r>
              <w:rPr>
                <w:noProof/>
                <w:webHidden/>
              </w:rPr>
              <w:fldChar w:fldCharType="separate"/>
            </w:r>
            <w:r>
              <w:rPr>
                <w:noProof/>
                <w:webHidden/>
              </w:rPr>
              <w:t>5</w:t>
            </w:r>
            <w:r>
              <w:rPr>
                <w:noProof/>
                <w:webHidden/>
              </w:rPr>
              <w:fldChar w:fldCharType="end"/>
            </w:r>
          </w:hyperlink>
        </w:p>
        <w:p w14:paraId="23A69F47" w14:textId="3A019D52" w:rsidR="00B86E70" w:rsidRDefault="00B86E70">
          <w:pPr>
            <w:pStyle w:val="TOC1"/>
            <w:rPr>
              <w:rFonts w:eastAsiaTheme="minorEastAsia"/>
              <w:b w:val="0"/>
              <w:bCs w:val="0"/>
              <w:i w:val="0"/>
              <w:iCs w:val="0"/>
              <w:noProof/>
              <w:kern w:val="2"/>
              <w14:ligatures w14:val="standardContextual"/>
            </w:rPr>
          </w:pPr>
          <w:hyperlink w:anchor="_Toc172018352" w:history="1">
            <w:r w:rsidRPr="003F612F">
              <w:rPr>
                <w:rStyle w:val="Hyperlink"/>
                <w:noProof/>
              </w:rPr>
              <w:t>Section Three: Methodology</w:t>
            </w:r>
            <w:r>
              <w:rPr>
                <w:noProof/>
                <w:webHidden/>
              </w:rPr>
              <w:tab/>
            </w:r>
            <w:r>
              <w:rPr>
                <w:noProof/>
                <w:webHidden/>
              </w:rPr>
              <w:fldChar w:fldCharType="begin"/>
            </w:r>
            <w:r>
              <w:rPr>
                <w:noProof/>
                <w:webHidden/>
              </w:rPr>
              <w:instrText xml:space="preserve"> PAGEREF _Toc172018352 \h </w:instrText>
            </w:r>
            <w:r>
              <w:rPr>
                <w:noProof/>
                <w:webHidden/>
              </w:rPr>
            </w:r>
            <w:r>
              <w:rPr>
                <w:noProof/>
                <w:webHidden/>
              </w:rPr>
              <w:fldChar w:fldCharType="separate"/>
            </w:r>
            <w:r>
              <w:rPr>
                <w:noProof/>
                <w:webHidden/>
              </w:rPr>
              <w:t>7</w:t>
            </w:r>
            <w:r>
              <w:rPr>
                <w:noProof/>
                <w:webHidden/>
              </w:rPr>
              <w:fldChar w:fldCharType="end"/>
            </w:r>
          </w:hyperlink>
        </w:p>
        <w:p w14:paraId="4A393DC9" w14:textId="4B41D4F0" w:rsidR="00B86E70" w:rsidRDefault="00B86E70">
          <w:pPr>
            <w:pStyle w:val="TOC1"/>
            <w:rPr>
              <w:rFonts w:eastAsiaTheme="minorEastAsia"/>
              <w:b w:val="0"/>
              <w:bCs w:val="0"/>
              <w:i w:val="0"/>
              <w:iCs w:val="0"/>
              <w:noProof/>
              <w:kern w:val="2"/>
              <w14:ligatures w14:val="standardContextual"/>
            </w:rPr>
          </w:pPr>
          <w:hyperlink w:anchor="_Toc172018353" w:history="1">
            <w:r w:rsidRPr="003F612F">
              <w:rPr>
                <w:rStyle w:val="Hyperlink"/>
                <w:noProof/>
              </w:rPr>
              <w:t>Section Four: Financial and Policy Mechanisms for Biodiversity</w:t>
            </w:r>
            <w:r>
              <w:rPr>
                <w:noProof/>
                <w:webHidden/>
              </w:rPr>
              <w:tab/>
            </w:r>
            <w:r>
              <w:rPr>
                <w:noProof/>
                <w:webHidden/>
              </w:rPr>
              <w:fldChar w:fldCharType="begin"/>
            </w:r>
            <w:r>
              <w:rPr>
                <w:noProof/>
                <w:webHidden/>
              </w:rPr>
              <w:instrText xml:space="preserve"> PAGEREF _Toc172018353 \h </w:instrText>
            </w:r>
            <w:r>
              <w:rPr>
                <w:noProof/>
                <w:webHidden/>
              </w:rPr>
            </w:r>
            <w:r>
              <w:rPr>
                <w:noProof/>
                <w:webHidden/>
              </w:rPr>
              <w:fldChar w:fldCharType="separate"/>
            </w:r>
            <w:r>
              <w:rPr>
                <w:noProof/>
                <w:webHidden/>
              </w:rPr>
              <w:t>8</w:t>
            </w:r>
            <w:r>
              <w:rPr>
                <w:noProof/>
                <w:webHidden/>
              </w:rPr>
              <w:fldChar w:fldCharType="end"/>
            </w:r>
          </w:hyperlink>
        </w:p>
        <w:p w14:paraId="11041D71" w14:textId="3D70380B" w:rsidR="00B86E70" w:rsidRDefault="00B86E70">
          <w:pPr>
            <w:pStyle w:val="TOC1"/>
            <w:rPr>
              <w:rFonts w:eastAsiaTheme="minorEastAsia"/>
              <w:b w:val="0"/>
              <w:bCs w:val="0"/>
              <w:i w:val="0"/>
              <w:iCs w:val="0"/>
              <w:noProof/>
              <w:kern w:val="2"/>
              <w14:ligatures w14:val="standardContextual"/>
            </w:rPr>
          </w:pPr>
          <w:hyperlink w:anchor="_Toc172018354" w:history="1">
            <w:r w:rsidRPr="003F612F">
              <w:rPr>
                <w:rStyle w:val="Hyperlink"/>
                <w:noProof/>
              </w:rPr>
              <w:t>Section Five: Critical Gaps in Tracking Private Finance</w:t>
            </w:r>
            <w:r>
              <w:rPr>
                <w:noProof/>
                <w:webHidden/>
              </w:rPr>
              <w:tab/>
            </w:r>
            <w:r>
              <w:rPr>
                <w:noProof/>
                <w:webHidden/>
              </w:rPr>
              <w:fldChar w:fldCharType="begin"/>
            </w:r>
            <w:r>
              <w:rPr>
                <w:noProof/>
                <w:webHidden/>
              </w:rPr>
              <w:instrText xml:space="preserve"> PAGEREF _Toc172018354 \h </w:instrText>
            </w:r>
            <w:r>
              <w:rPr>
                <w:noProof/>
                <w:webHidden/>
              </w:rPr>
            </w:r>
            <w:r>
              <w:rPr>
                <w:noProof/>
                <w:webHidden/>
              </w:rPr>
              <w:fldChar w:fldCharType="separate"/>
            </w:r>
            <w:r>
              <w:rPr>
                <w:noProof/>
                <w:webHidden/>
              </w:rPr>
              <w:t>14</w:t>
            </w:r>
            <w:r>
              <w:rPr>
                <w:noProof/>
                <w:webHidden/>
              </w:rPr>
              <w:fldChar w:fldCharType="end"/>
            </w:r>
          </w:hyperlink>
        </w:p>
        <w:p w14:paraId="65EA2E39" w14:textId="0FB11935" w:rsidR="00B86E70" w:rsidRDefault="00B86E70">
          <w:pPr>
            <w:pStyle w:val="TOC1"/>
            <w:rPr>
              <w:rFonts w:eastAsiaTheme="minorEastAsia"/>
              <w:b w:val="0"/>
              <w:bCs w:val="0"/>
              <w:i w:val="0"/>
              <w:iCs w:val="0"/>
              <w:noProof/>
              <w:kern w:val="2"/>
              <w14:ligatures w14:val="standardContextual"/>
            </w:rPr>
          </w:pPr>
          <w:hyperlink w:anchor="_Toc172018355" w:history="1">
            <w:r w:rsidRPr="003F612F">
              <w:rPr>
                <w:rStyle w:val="Hyperlink"/>
                <w:noProof/>
              </w:rPr>
              <w:t>Section Six: Current Estimates of Private Finance for Biodiversity</w:t>
            </w:r>
            <w:r>
              <w:rPr>
                <w:noProof/>
                <w:webHidden/>
              </w:rPr>
              <w:tab/>
            </w:r>
            <w:r>
              <w:rPr>
                <w:noProof/>
                <w:webHidden/>
              </w:rPr>
              <w:fldChar w:fldCharType="begin"/>
            </w:r>
            <w:r>
              <w:rPr>
                <w:noProof/>
                <w:webHidden/>
              </w:rPr>
              <w:instrText xml:space="preserve"> PAGEREF _Toc172018355 \h </w:instrText>
            </w:r>
            <w:r>
              <w:rPr>
                <w:noProof/>
                <w:webHidden/>
              </w:rPr>
            </w:r>
            <w:r>
              <w:rPr>
                <w:noProof/>
                <w:webHidden/>
              </w:rPr>
              <w:fldChar w:fldCharType="separate"/>
            </w:r>
            <w:r>
              <w:rPr>
                <w:noProof/>
                <w:webHidden/>
              </w:rPr>
              <w:t>20</w:t>
            </w:r>
            <w:r>
              <w:rPr>
                <w:noProof/>
                <w:webHidden/>
              </w:rPr>
              <w:fldChar w:fldCharType="end"/>
            </w:r>
          </w:hyperlink>
        </w:p>
        <w:p w14:paraId="63FC270F" w14:textId="64ECC11C" w:rsidR="00B86E70" w:rsidRDefault="00B86E70">
          <w:pPr>
            <w:pStyle w:val="TOC1"/>
            <w:rPr>
              <w:rFonts w:eastAsiaTheme="minorEastAsia"/>
              <w:b w:val="0"/>
              <w:bCs w:val="0"/>
              <w:i w:val="0"/>
              <w:iCs w:val="0"/>
              <w:noProof/>
              <w:kern w:val="2"/>
              <w14:ligatures w14:val="standardContextual"/>
            </w:rPr>
          </w:pPr>
          <w:hyperlink w:anchor="_Toc172018356" w:history="1">
            <w:r w:rsidRPr="003F612F">
              <w:rPr>
                <w:rStyle w:val="Hyperlink"/>
                <w:noProof/>
              </w:rPr>
              <w:t>Section Seven: Assessment Criteria for Existing Measurement Approaches</w:t>
            </w:r>
            <w:r>
              <w:rPr>
                <w:noProof/>
                <w:webHidden/>
              </w:rPr>
              <w:tab/>
            </w:r>
            <w:r>
              <w:rPr>
                <w:noProof/>
                <w:webHidden/>
              </w:rPr>
              <w:fldChar w:fldCharType="begin"/>
            </w:r>
            <w:r>
              <w:rPr>
                <w:noProof/>
                <w:webHidden/>
              </w:rPr>
              <w:instrText xml:space="preserve"> PAGEREF _Toc172018356 \h </w:instrText>
            </w:r>
            <w:r>
              <w:rPr>
                <w:noProof/>
                <w:webHidden/>
              </w:rPr>
            </w:r>
            <w:r>
              <w:rPr>
                <w:noProof/>
                <w:webHidden/>
              </w:rPr>
              <w:fldChar w:fldCharType="separate"/>
            </w:r>
            <w:r>
              <w:rPr>
                <w:noProof/>
                <w:webHidden/>
              </w:rPr>
              <w:t>27</w:t>
            </w:r>
            <w:r>
              <w:rPr>
                <w:noProof/>
                <w:webHidden/>
              </w:rPr>
              <w:fldChar w:fldCharType="end"/>
            </w:r>
          </w:hyperlink>
        </w:p>
        <w:p w14:paraId="5B7348EF" w14:textId="080FA939" w:rsidR="00B86E70" w:rsidRDefault="00B86E70">
          <w:pPr>
            <w:pStyle w:val="TOC1"/>
            <w:rPr>
              <w:rFonts w:eastAsiaTheme="minorEastAsia"/>
              <w:b w:val="0"/>
              <w:bCs w:val="0"/>
              <w:i w:val="0"/>
              <w:iCs w:val="0"/>
              <w:noProof/>
              <w:kern w:val="2"/>
              <w14:ligatures w14:val="standardContextual"/>
            </w:rPr>
          </w:pPr>
          <w:hyperlink w:anchor="_Toc172018357" w:history="1">
            <w:r w:rsidRPr="003F612F">
              <w:rPr>
                <w:rStyle w:val="Hyperlink"/>
                <w:noProof/>
              </w:rPr>
              <w:t>Section Eight: Feasibility of Existing Approaches to Measure Private Finance</w:t>
            </w:r>
            <w:r>
              <w:rPr>
                <w:noProof/>
                <w:webHidden/>
              </w:rPr>
              <w:tab/>
            </w:r>
            <w:r>
              <w:rPr>
                <w:noProof/>
                <w:webHidden/>
              </w:rPr>
              <w:fldChar w:fldCharType="begin"/>
            </w:r>
            <w:r>
              <w:rPr>
                <w:noProof/>
                <w:webHidden/>
              </w:rPr>
              <w:instrText xml:space="preserve"> PAGEREF _Toc172018357 \h </w:instrText>
            </w:r>
            <w:r>
              <w:rPr>
                <w:noProof/>
                <w:webHidden/>
              </w:rPr>
            </w:r>
            <w:r>
              <w:rPr>
                <w:noProof/>
                <w:webHidden/>
              </w:rPr>
              <w:fldChar w:fldCharType="separate"/>
            </w:r>
            <w:r>
              <w:rPr>
                <w:noProof/>
                <w:webHidden/>
              </w:rPr>
              <w:t>29</w:t>
            </w:r>
            <w:r>
              <w:rPr>
                <w:noProof/>
                <w:webHidden/>
              </w:rPr>
              <w:fldChar w:fldCharType="end"/>
            </w:r>
          </w:hyperlink>
        </w:p>
        <w:p w14:paraId="70C1D489" w14:textId="1DC230C6" w:rsidR="00B86E70" w:rsidRDefault="00B86E70">
          <w:pPr>
            <w:pStyle w:val="TOC1"/>
            <w:rPr>
              <w:rFonts w:eastAsiaTheme="minorEastAsia"/>
              <w:b w:val="0"/>
              <w:bCs w:val="0"/>
              <w:i w:val="0"/>
              <w:iCs w:val="0"/>
              <w:noProof/>
              <w:kern w:val="2"/>
              <w14:ligatures w14:val="standardContextual"/>
            </w:rPr>
          </w:pPr>
          <w:hyperlink w:anchor="_Toc172018358" w:history="1">
            <w:r w:rsidRPr="003F612F">
              <w:rPr>
                <w:rStyle w:val="Hyperlink"/>
                <w:noProof/>
              </w:rPr>
              <w:t>Section Nine: Other Measurement Approaches for Private Funding</w:t>
            </w:r>
            <w:r>
              <w:rPr>
                <w:noProof/>
                <w:webHidden/>
              </w:rPr>
              <w:tab/>
            </w:r>
            <w:r>
              <w:rPr>
                <w:noProof/>
                <w:webHidden/>
              </w:rPr>
              <w:fldChar w:fldCharType="begin"/>
            </w:r>
            <w:r>
              <w:rPr>
                <w:noProof/>
                <w:webHidden/>
              </w:rPr>
              <w:instrText xml:space="preserve"> PAGEREF _Toc172018358 \h </w:instrText>
            </w:r>
            <w:r>
              <w:rPr>
                <w:noProof/>
                <w:webHidden/>
              </w:rPr>
            </w:r>
            <w:r>
              <w:rPr>
                <w:noProof/>
                <w:webHidden/>
              </w:rPr>
              <w:fldChar w:fldCharType="separate"/>
            </w:r>
            <w:r>
              <w:rPr>
                <w:noProof/>
                <w:webHidden/>
              </w:rPr>
              <w:t>42</w:t>
            </w:r>
            <w:r>
              <w:rPr>
                <w:noProof/>
                <w:webHidden/>
              </w:rPr>
              <w:fldChar w:fldCharType="end"/>
            </w:r>
          </w:hyperlink>
        </w:p>
        <w:p w14:paraId="57037232" w14:textId="6756575A" w:rsidR="00B86E70" w:rsidRDefault="00B86E70">
          <w:pPr>
            <w:pStyle w:val="TOC1"/>
            <w:rPr>
              <w:rFonts w:eastAsiaTheme="minorEastAsia"/>
              <w:b w:val="0"/>
              <w:bCs w:val="0"/>
              <w:i w:val="0"/>
              <w:iCs w:val="0"/>
              <w:noProof/>
              <w:kern w:val="2"/>
              <w14:ligatures w14:val="standardContextual"/>
            </w:rPr>
          </w:pPr>
          <w:hyperlink w:anchor="_Toc172018359" w:history="1">
            <w:r w:rsidRPr="003F612F">
              <w:rPr>
                <w:rStyle w:val="Hyperlink"/>
                <w:noProof/>
              </w:rPr>
              <w:t>Section Ten: Possible Work Programmes to Enhance National Reporting</w:t>
            </w:r>
            <w:r>
              <w:rPr>
                <w:noProof/>
                <w:webHidden/>
              </w:rPr>
              <w:tab/>
            </w:r>
            <w:r>
              <w:rPr>
                <w:noProof/>
                <w:webHidden/>
              </w:rPr>
              <w:fldChar w:fldCharType="begin"/>
            </w:r>
            <w:r>
              <w:rPr>
                <w:noProof/>
                <w:webHidden/>
              </w:rPr>
              <w:instrText xml:space="preserve"> PAGEREF _Toc172018359 \h </w:instrText>
            </w:r>
            <w:r>
              <w:rPr>
                <w:noProof/>
                <w:webHidden/>
              </w:rPr>
            </w:r>
            <w:r>
              <w:rPr>
                <w:noProof/>
                <w:webHidden/>
              </w:rPr>
              <w:fldChar w:fldCharType="separate"/>
            </w:r>
            <w:r>
              <w:rPr>
                <w:noProof/>
                <w:webHidden/>
              </w:rPr>
              <w:t>50</w:t>
            </w:r>
            <w:r>
              <w:rPr>
                <w:noProof/>
                <w:webHidden/>
              </w:rPr>
              <w:fldChar w:fldCharType="end"/>
            </w:r>
          </w:hyperlink>
        </w:p>
        <w:p w14:paraId="3A40CDB1" w14:textId="0F8D7A8B" w:rsidR="00B86E70" w:rsidRDefault="00B86E70">
          <w:pPr>
            <w:pStyle w:val="TOC1"/>
            <w:rPr>
              <w:rFonts w:eastAsiaTheme="minorEastAsia"/>
              <w:b w:val="0"/>
              <w:bCs w:val="0"/>
              <w:i w:val="0"/>
              <w:iCs w:val="0"/>
              <w:noProof/>
              <w:kern w:val="2"/>
              <w14:ligatures w14:val="standardContextual"/>
            </w:rPr>
          </w:pPr>
          <w:hyperlink w:anchor="_Toc172018360" w:history="1">
            <w:r w:rsidRPr="003F612F">
              <w:rPr>
                <w:rStyle w:val="Hyperlink"/>
                <w:noProof/>
              </w:rPr>
              <w:t>Section Eleven: Recommendations and Conclusions</w:t>
            </w:r>
            <w:r>
              <w:rPr>
                <w:noProof/>
                <w:webHidden/>
              </w:rPr>
              <w:tab/>
            </w:r>
            <w:r>
              <w:rPr>
                <w:noProof/>
                <w:webHidden/>
              </w:rPr>
              <w:fldChar w:fldCharType="begin"/>
            </w:r>
            <w:r>
              <w:rPr>
                <w:noProof/>
                <w:webHidden/>
              </w:rPr>
              <w:instrText xml:space="preserve"> PAGEREF _Toc172018360 \h </w:instrText>
            </w:r>
            <w:r>
              <w:rPr>
                <w:noProof/>
                <w:webHidden/>
              </w:rPr>
            </w:r>
            <w:r>
              <w:rPr>
                <w:noProof/>
                <w:webHidden/>
              </w:rPr>
              <w:fldChar w:fldCharType="separate"/>
            </w:r>
            <w:r>
              <w:rPr>
                <w:noProof/>
                <w:webHidden/>
              </w:rPr>
              <w:t>61</w:t>
            </w:r>
            <w:r>
              <w:rPr>
                <w:noProof/>
                <w:webHidden/>
              </w:rPr>
              <w:fldChar w:fldCharType="end"/>
            </w:r>
          </w:hyperlink>
        </w:p>
        <w:p w14:paraId="631FDDDC" w14:textId="331E053C" w:rsidR="00B86E70" w:rsidRDefault="00B86E70">
          <w:pPr>
            <w:pStyle w:val="TOC1"/>
            <w:rPr>
              <w:rFonts w:eastAsiaTheme="minorEastAsia"/>
              <w:b w:val="0"/>
              <w:bCs w:val="0"/>
              <w:i w:val="0"/>
              <w:iCs w:val="0"/>
              <w:noProof/>
              <w:kern w:val="2"/>
              <w14:ligatures w14:val="standardContextual"/>
            </w:rPr>
          </w:pPr>
          <w:hyperlink w:anchor="_Toc172018361" w:history="1">
            <w:r w:rsidRPr="003F612F">
              <w:rPr>
                <w:rStyle w:val="Hyperlink"/>
                <w:noProof/>
              </w:rPr>
              <w:t>Acknowledgements</w:t>
            </w:r>
            <w:r>
              <w:rPr>
                <w:noProof/>
                <w:webHidden/>
              </w:rPr>
              <w:tab/>
            </w:r>
            <w:r>
              <w:rPr>
                <w:noProof/>
                <w:webHidden/>
              </w:rPr>
              <w:fldChar w:fldCharType="begin"/>
            </w:r>
            <w:r>
              <w:rPr>
                <w:noProof/>
                <w:webHidden/>
              </w:rPr>
              <w:instrText xml:space="preserve"> PAGEREF _Toc172018361 \h </w:instrText>
            </w:r>
            <w:r>
              <w:rPr>
                <w:noProof/>
                <w:webHidden/>
              </w:rPr>
            </w:r>
            <w:r>
              <w:rPr>
                <w:noProof/>
                <w:webHidden/>
              </w:rPr>
              <w:fldChar w:fldCharType="separate"/>
            </w:r>
            <w:r>
              <w:rPr>
                <w:noProof/>
                <w:webHidden/>
              </w:rPr>
              <w:t>65</w:t>
            </w:r>
            <w:r>
              <w:rPr>
                <w:noProof/>
                <w:webHidden/>
              </w:rPr>
              <w:fldChar w:fldCharType="end"/>
            </w:r>
          </w:hyperlink>
        </w:p>
        <w:p w14:paraId="588F239A" w14:textId="3115711B" w:rsidR="00B86E70" w:rsidRDefault="00B86E70">
          <w:pPr>
            <w:pStyle w:val="TOC1"/>
            <w:rPr>
              <w:rFonts w:eastAsiaTheme="minorEastAsia"/>
              <w:b w:val="0"/>
              <w:bCs w:val="0"/>
              <w:i w:val="0"/>
              <w:iCs w:val="0"/>
              <w:noProof/>
              <w:kern w:val="2"/>
              <w14:ligatures w14:val="standardContextual"/>
            </w:rPr>
          </w:pPr>
          <w:hyperlink w:anchor="_Toc172018362" w:history="1">
            <w:r w:rsidRPr="003F612F">
              <w:rPr>
                <w:rStyle w:val="Hyperlink"/>
                <w:noProof/>
              </w:rPr>
              <w:t>References</w:t>
            </w:r>
            <w:r>
              <w:rPr>
                <w:noProof/>
                <w:webHidden/>
              </w:rPr>
              <w:tab/>
            </w:r>
            <w:r>
              <w:rPr>
                <w:noProof/>
                <w:webHidden/>
              </w:rPr>
              <w:fldChar w:fldCharType="begin"/>
            </w:r>
            <w:r>
              <w:rPr>
                <w:noProof/>
                <w:webHidden/>
              </w:rPr>
              <w:instrText xml:space="preserve"> PAGEREF _Toc172018362 \h </w:instrText>
            </w:r>
            <w:r>
              <w:rPr>
                <w:noProof/>
                <w:webHidden/>
              </w:rPr>
            </w:r>
            <w:r>
              <w:rPr>
                <w:noProof/>
                <w:webHidden/>
              </w:rPr>
              <w:fldChar w:fldCharType="separate"/>
            </w:r>
            <w:r>
              <w:rPr>
                <w:noProof/>
                <w:webHidden/>
              </w:rPr>
              <w:t>67</w:t>
            </w:r>
            <w:r>
              <w:rPr>
                <w:noProof/>
                <w:webHidden/>
              </w:rPr>
              <w:fldChar w:fldCharType="end"/>
            </w:r>
          </w:hyperlink>
        </w:p>
        <w:p w14:paraId="0655AD41" w14:textId="568C3C66" w:rsidR="00B86E70" w:rsidRDefault="00B86E70">
          <w:pPr>
            <w:pStyle w:val="TOC1"/>
            <w:rPr>
              <w:rFonts w:eastAsiaTheme="minorEastAsia"/>
              <w:b w:val="0"/>
              <w:bCs w:val="0"/>
              <w:i w:val="0"/>
              <w:iCs w:val="0"/>
              <w:noProof/>
              <w:kern w:val="2"/>
              <w14:ligatures w14:val="standardContextual"/>
            </w:rPr>
          </w:pPr>
          <w:hyperlink w:anchor="_Toc172018363" w:history="1">
            <w:r w:rsidRPr="003F612F">
              <w:rPr>
                <w:rStyle w:val="Hyperlink"/>
                <w:noProof/>
              </w:rPr>
              <w:t>Appendix 1.  Members of the TEG on Financial Reporting: Sub-group on D3</w:t>
            </w:r>
            <w:r>
              <w:rPr>
                <w:noProof/>
                <w:webHidden/>
              </w:rPr>
              <w:tab/>
            </w:r>
            <w:r>
              <w:rPr>
                <w:noProof/>
                <w:webHidden/>
              </w:rPr>
              <w:fldChar w:fldCharType="begin"/>
            </w:r>
            <w:r>
              <w:rPr>
                <w:noProof/>
                <w:webHidden/>
              </w:rPr>
              <w:instrText xml:space="preserve"> PAGEREF _Toc172018363 \h </w:instrText>
            </w:r>
            <w:r>
              <w:rPr>
                <w:noProof/>
                <w:webHidden/>
              </w:rPr>
            </w:r>
            <w:r>
              <w:rPr>
                <w:noProof/>
                <w:webHidden/>
              </w:rPr>
              <w:fldChar w:fldCharType="separate"/>
            </w:r>
            <w:r>
              <w:rPr>
                <w:noProof/>
                <w:webHidden/>
              </w:rPr>
              <w:t>69</w:t>
            </w:r>
            <w:r>
              <w:rPr>
                <w:noProof/>
                <w:webHidden/>
              </w:rPr>
              <w:fldChar w:fldCharType="end"/>
            </w:r>
          </w:hyperlink>
        </w:p>
        <w:p w14:paraId="1FE45614" w14:textId="479944A4" w:rsidR="00B86E70" w:rsidRDefault="00B86E70">
          <w:pPr>
            <w:pStyle w:val="TOC1"/>
            <w:rPr>
              <w:rFonts w:eastAsiaTheme="minorEastAsia"/>
              <w:b w:val="0"/>
              <w:bCs w:val="0"/>
              <w:i w:val="0"/>
              <w:iCs w:val="0"/>
              <w:noProof/>
              <w:kern w:val="2"/>
              <w14:ligatures w14:val="standardContextual"/>
            </w:rPr>
          </w:pPr>
          <w:hyperlink w:anchor="_Toc172018364" w:history="1">
            <w:r w:rsidRPr="003F612F">
              <w:rPr>
                <w:rStyle w:val="Hyperlink"/>
                <w:rFonts w:eastAsia="Times New Roman"/>
                <w:noProof/>
              </w:rPr>
              <w:t>Appendix 2. Monitoring Framework and Indicators for the KMGBF</w:t>
            </w:r>
            <w:r>
              <w:rPr>
                <w:noProof/>
                <w:webHidden/>
              </w:rPr>
              <w:tab/>
            </w:r>
            <w:r>
              <w:rPr>
                <w:noProof/>
                <w:webHidden/>
              </w:rPr>
              <w:fldChar w:fldCharType="begin"/>
            </w:r>
            <w:r>
              <w:rPr>
                <w:noProof/>
                <w:webHidden/>
              </w:rPr>
              <w:instrText xml:space="preserve"> PAGEREF _Toc172018364 \h </w:instrText>
            </w:r>
            <w:r>
              <w:rPr>
                <w:noProof/>
                <w:webHidden/>
              </w:rPr>
            </w:r>
            <w:r>
              <w:rPr>
                <w:noProof/>
                <w:webHidden/>
              </w:rPr>
              <w:fldChar w:fldCharType="separate"/>
            </w:r>
            <w:r>
              <w:rPr>
                <w:noProof/>
                <w:webHidden/>
              </w:rPr>
              <w:t>70</w:t>
            </w:r>
            <w:r>
              <w:rPr>
                <w:noProof/>
                <w:webHidden/>
              </w:rPr>
              <w:fldChar w:fldCharType="end"/>
            </w:r>
          </w:hyperlink>
        </w:p>
        <w:p w14:paraId="15C71157" w14:textId="5C5EDCAE" w:rsidR="00B86E70" w:rsidRDefault="00B86E70">
          <w:pPr>
            <w:pStyle w:val="TOC1"/>
            <w:rPr>
              <w:rFonts w:eastAsiaTheme="minorEastAsia"/>
              <w:b w:val="0"/>
              <w:bCs w:val="0"/>
              <w:i w:val="0"/>
              <w:iCs w:val="0"/>
              <w:noProof/>
              <w:kern w:val="2"/>
              <w14:ligatures w14:val="standardContextual"/>
            </w:rPr>
          </w:pPr>
          <w:hyperlink w:anchor="_Toc172018365" w:history="1">
            <w:r w:rsidRPr="003F612F">
              <w:rPr>
                <w:rStyle w:val="Hyperlink"/>
                <w:noProof/>
              </w:rPr>
              <w:t>Appendix 3. List of Parties/Organizations that Provided Written Comments and/or Consultation</w:t>
            </w:r>
            <w:r>
              <w:rPr>
                <w:noProof/>
                <w:webHidden/>
              </w:rPr>
              <w:tab/>
            </w:r>
            <w:r>
              <w:rPr>
                <w:noProof/>
                <w:webHidden/>
              </w:rPr>
              <w:fldChar w:fldCharType="begin"/>
            </w:r>
            <w:r>
              <w:rPr>
                <w:noProof/>
                <w:webHidden/>
              </w:rPr>
              <w:instrText xml:space="preserve"> PAGEREF _Toc172018365 \h </w:instrText>
            </w:r>
            <w:r>
              <w:rPr>
                <w:noProof/>
                <w:webHidden/>
              </w:rPr>
            </w:r>
            <w:r>
              <w:rPr>
                <w:noProof/>
                <w:webHidden/>
              </w:rPr>
              <w:fldChar w:fldCharType="separate"/>
            </w:r>
            <w:r>
              <w:rPr>
                <w:noProof/>
                <w:webHidden/>
              </w:rPr>
              <w:t>71</w:t>
            </w:r>
            <w:r>
              <w:rPr>
                <w:noProof/>
                <w:webHidden/>
              </w:rPr>
              <w:fldChar w:fldCharType="end"/>
            </w:r>
          </w:hyperlink>
        </w:p>
        <w:p w14:paraId="5B142C2C" w14:textId="10F0E271" w:rsidR="00795FBF" w:rsidRDefault="009D4595" w:rsidP="00795FBF">
          <w:pPr>
            <w:jc w:val="both"/>
          </w:pPr>
          <w:r>
            <w:fldChar w:fldCharType="end"/>
          </w:r>
        </w:p>
      </w:sdtContent>
    </w:sdt>
    <w:p w14:paraId="108B8971" w14:textId="77777777" w:rsidR="009D4595" w:rsidRDefault="009D4595">
      <w:pPr>
        <w:rPr>
          <w:rFonts w:asciiTheme="majorHAnsi" w:eastAsiaTheme="majorEastAsia" w:hAnsiTheme="majorHAnsi" w:cstheme="majorBidi"/>
          <w:color w:val="2F5496" w:themeColor="accent1" w:themeShade="BF"/>
          <w:sz w:val="32"/>
          <w:szCs w:val="32"/>
        </w:rPr>
      </w:pPr>
      <w:r>
        <w:br w:type="page"/>
      </w:r>
    </w:p>
    <w:p w14:paraId="0923017A" w14:textId="201CA07B" w:rsidR="00C238F2" w:rsidRDefault="00D31050" w:rsidP="00D816EA">
      <w:pPr>
        <w:pStyle w:val="Heading1"/>
        <w:jc w:val="both"/>
      </w:pPr>
      <w:bookmarkStart w:id="0" w:name="_Toc172018350"/>
      <w:r>
        <w:lastRenderedPageBreak/>
        <w:t xml:space="preserve">Section </w:t>
      </w:r>
      <w:r w:rsidR="00D674EB">
        <w:t>One:</w:t>
      </w:r>
      <w:r>
        <w:t xml:space="preserve"> </w:t>
      </w:r>
      <w:r w:rsidR="00EE4663">
        <w:t>Introduction</w:t>
      </w:r>
      <w:bookmarkEnd w:id="0"/>
      <w:r w:rsidR="00EE4663">
        <w:t xml:space="preserve"> </w:t>
      </w:r>
    </w:p>
    <w:p w14:paraId="542EE187" w14:textId="77777777" w:rsidR="00C238F2" w:rsidRDefault="00C238F2" w:rsidP="00D816EA">
      <w:pPr>
        <w:jc w:val="both"/>
      </w:pPr>
    </w:p>
    <w:p w14:paraId="66222EEA" w14:textId="131271C7" w:rsidR="009220DF" w:rsidRDefault="0038476C" w:rsidP="00D816EA">
      <w:pPr>
        <w:jc w:val="both"/>
      </w:pPr>
      <w:r>
        <w:t>The objective of this work is to identify approaches to measure private f</w:t>
      </w:r>
      <w:r w:rsidR="00874B40">
        <w:t>unding</w:t>
      </w:r>
      <w:r>
        <w:t xml:space="preserve"> for biodiversity, including linkages with other headline indicators, options for national and global monitoring of private funding, disaggregation needs, and an assessment of the feasibility of each approach</w:t>
      </w:r>
      <w:r w:rsidR="001D0348">
        <w:t xml:space="preserve"> </w:t>
      </w:r>
      <w:r w:rsidR="006113C2">
        <w:t xml:space="preserve">to operationalize the headline indicator for private funding under the </w:t>
      </w:r>
      <w:r w:rsidR="001D0348">
        <w:t>Kunming-Montreal Global Biodiversity Framework (</w:t>
      </w:r>
      <w:r w:rsidR="00B902F8">
        <w:t>KM</w:t>
      </w:r>
      <w:r w:rsidR="001D0348">
        <w:t>GBF)</w:t>
      </w:r>
      <w:r>
        <w:t>.</w:t>
      </w:r>
      <w:r w:rsidR="001A34C0">
        <w:t xml:space="preserve">  </w:t>
      </w:r>
      <w:r w:rsidR="00991316">
        <w:t>Target 19</w:t>
      </w:r>
      <w:r w:rsidR="006113C2">
        <w:t xml:space="preserve"> of the KMGBF</w:t>
      </w:r>
      <w:r w:rsidR="00991316">
        <w:t xml:space="preserve"> generally calls upon countries to substantially increase the level of financial resources from all sources, including public and private sources, to mobilize at least USD 200 billion per year by 2030.</w:t>
      </w:r>
      <w:r w:rsidR="006113C2">
        <w:t xml:space="preserve"> </w:t>
      </w:r>
    </w:p>
    <w:p w14:paraId="24D936AF" w14:textId="77777777" w:rsidR="009220DF" w:rsidRDefault="009220DF" w:rsidP="00D816EA">
      <w:pPr>
        <w:jc w:val="both"/>
      </w:pPr>
    </w:p>
    <w:p w14:paraId="5B3A6A2D" w14:textId="1BB93AF3" w:rsidR="0038476C" w:rsidRDefault="00821C65" w:rsidP="00D816EA">
      <w:pPr>
        <w:jc w:val="both"/>
      </w:pPr>
      <w:r>
        <w:t>Through Decision 15/5</w:t>
      </w:r>
      <w:r w:rsidR="00274591">
        <w:t>, the</w:t>
      </w:r>
      <w:r w:rsidR="0019257F">
        <w:t xml:space="preserve"> </w:t>
      </w:r>
      <w:r>
        <w:t xml:space="preserve">Conference of Parties to the </w:t>
      </w:r>
      <w:r w:rsidR="00274591">
        <w:t xml:space="preserve">CBD adopted a </w:t>
      </w:r>
      <w:r>
        <w:t xml:space="preserve">monitoring framework composed of a suite of indicators </w:t>
      </w:r>
      <w:r w:rsidR="00274591">
        <w:t xml:space="preserve">to track progress towards </w:t>
      </w:r>
      <w:proofErr w:type="gramStart"/>
      <w:r w:rsidR="00274591">
        <w:t>the GBF</w:t>
      </w:r>
      <w:proofErr w:type="gramEnd"/>
      <w:r w:rsidR="00274591">
        <w:t xml:space="preserve"> goals and targets</w:t>
      </w:r>
      <w:r>
        <w:t xml:space="preserve">.  </w:t>
      </w:r>
      <w:r w:rsidR="00CC4730">
        <w:t xml:space="preserve">The monitoring framework adopted </w:t>
      </w:r>
      <w:r>
        <w:t xml:space="preserve">one headline indicator </w:t>
      </w:r>
      <w:r w:rsidR="00991316">
        <w:t xml:space="preserve">(D.3) </w:t>
      </w:r>
      <w:r w:rsidR="00CC4730">
        <w:t xml:space="preserve">under Target 19 </w:t>
      </w:r>
      <w:r w:rsidR="00991316">
        <w:t>to monitor private funding on conservation and sustainable use of biodiversity and ecosystems</w:t>
      </w:r>
      <w:r w:rsidR="00CC4730">
        <w:t xml:space="preserve">, acknowledging </w:t>
      </w:r>
      <w:r w:rsidR="00274591">
        <w:t xml:space="preserve">that to-date, an agreed up-to-date methodology for this indicator does not exist. To develop </w:t>
      </w:r>
      <w:r w:rsidR="0019257F">
        <w:t>this and other resource mobilization indicators</w:t>
      </w:r>
      <w:r w:rsidR="00274591">
        <w:t>,</w:t>
      </w:r>
      <w:r w:rsidR="00991316">
        <w:t xml:space="preserve"> </w:t>
      </w:r>
      <w:r w:rsidR="00DC667D">
        <w:t xml:space="preserve">CBD Parties established a technical expert group on the financial reporting elements in the monitoring framework.  The expert group was tasked </w:t>
      </w:r>
      <w:r w:rsidR="0019257F" w:rsidRPr="008968C5">
        <w:t>with</w:t>
      </w:r>
      <w:r w:rsidR="0019257F">
        <w:t xml:space="preserve"> further developing indicators to track resource mobilization in both public </w:t>
      </w:r>
      <w:proofErr w:type="gramStart"/>
      <w:r w:rsidR="0019257F">
        <w:t>expenditures</w:t>
      </w:r>
      <w:proofErr w:type="gramEnd"/>
      <w:r w:rsidR="0019257F">
        <w:t xml:space="preserve"> and private investments, identifying capacity-building needs, and developing guidance for national reporting</w:t>
      </w:r>
      <w:r w:rsidR="00CC4730">
        <w:t xml:space="preserve">.  </w:t>
      </w:r>
      <w:r w:rsidR="0019257F">
        <w:t>The guidance for national reporting will be outlined in a metadata factsheet</w:t>
      </w:r>
      <w:r w:rsidR="009220DF">
        <w:t xml:space="preserve"> to ensure clear, consistent, and comparable reporting</w:t>
      </w:r>
      <w:r w:rsidR="0019257F">
        <w:t xml:space="preserve">, </w:t>
      </w:r>
      <w:proofErr w:type="gramStart"/>
      <w:r w:rsidR="00FF0100">
        <w:t xml:space="preserve">including </w:t>
      </w:r>
      <w:r w:rsidR="009220DF">
        <w:t>on</w:t>
      </w:r>
      <w:proofErr w:type="gramEnd"/>
      <w:r w:rsidR="009220DF">
        <w:t xml:space="preserve"> </w:t>
      </w:r>
      <w:r w:rsidR="00FF0100">
        <w:t xml:space="preserve">the use of </w:t>
      </w:r>
      <w:r w:rsidR="009220DF">
        <w:t>publicly available</w:t>
      </w:r>
      <w:r w:rsidR="00FF0100">
        <w:t xml:space="preserve"> data and </w:t>
      </w:r>
      <w:r w:rsidR="009220DF">
        <w:t xml:space="preserve">options for computing indicators from national datasets and </w:t>
      </w:r>
      <w:r w:rsidR="00CC4730">
        <w:t xml:space="preserve">other sources of </w:t>
      </w:r>
      <w:r w:rsidR="009220DF">
        <w:t>information.</w:t>
      </w:r>
      <w:r w:rsidR="0019257F">
        <w:t xml:space="preserve">    </w:t>
      </w:r>
    </w:p>
    <w:p w14:paraId="52EC7750" w14:textId="77777777" w:rsidR="00C238F2" w:rsidRDefault="00C238F2" w:rsidP="00D816EA">
      <w:pPr>
        <w:jc w:val="both"/>
      </w:pPr>
    </w:p>
    <w:p w14:paraId="4AC1403D" w14:textId="155579D3" w:rsidR="009220DF" w:rsidRDefault="001D0348" w:rsidP="00D816EA">
      <w:pPr>
        <w:jc w:val="both"/>
      </w:pPr>
      <w:r>
        <w:t xml:space="preserve">This work </w:t>
      </w:r>
      <w:r w:rsidR="009220DF">
        <w:t xml:space="preserve">supports the technical expert group on financial reporting by identifying </w:t>
      </w:r>
      <w:r w:rsidR="0038476C">
        <w:t xml:space="preserve">available sources of data and methodologies to </w:t>
      </w:r>
      <w:r w:rsidR="00874B40">
        <w:t>track and report on</w:t>
      </w:r>
      <w:r w:rsidR="0038476C">
        <w:t xml:space="preserve"> </w:t>
      </w:r>
      <w:r>
        <w:t xml:space="preserve">private funding for </w:t>
      </w:r>
      <w:r w:rsidR="00874B40">
        <w:t xml:space="preserve">the </w:t>
      </w:r>
      <w:r>
        <w:t>conservation and sustainable use of biodiversity and ecosystems</w:t>
      </w:r>
      <w:r w:rsidR="00F814FF">
        <w:t xml:space="preserve"> at the national level</w:t>
      </w:r>
      <w:r>
        <w:t>.</w:t>
      </w:r>
      <w:r w:rsidR="009220DF">
        <w:t xml:space="preserve"> To the extent that national level data is unavailable, global datasets</w:t>
      </w:r>
      <w:r w:rsidR="00CC4730">
        <w:t xml:space="preserve"> are</w:t>
      </w:r>
      <w:r w:rsidR="009220DF">
        <w:t xml:space="preserve"> assessed for their feasibility for tracking financial flows at the global level by the CBD Secretariat</w:t>
      </w:r>
      <w:r w:rsidR="00345F47">
        <w:t>, and possible work programmes are explored to enhance tracking and reporting of private financial flows in the future</w:t>
      </w:r>
      <w:r w:rsidR="009220DF">
        <w:t xml:space="preserve">. </w:t>
      </w:r>
      <w:r>
        <w:t xml:space="preserve"> </w:t>
      </w:r>
    </w:p>
    <w:p w14:paraId="5CD79FD0" w14:textId="77777777" w:rsidR="009220DF" w:rsidRDefault="009220DF" w:rsidP="00D816EA">
      <w:pPr>
        <w:jc w:val="both"/>
      </w:pPr>
    </w:p>
    <w:p w14:paraId="108758FB" w14:textId="31B4188C" w:rsidR="002248EF" w:rsidRDefault="009220DF" w:rsidP="00CC4730">
      <w:pPr>
        <w:jc w:val="both"/>
      </w:pPr>
      <w:r>
        <w:t>T</w:t>
      </w:r>
      <w:r w:rsidR="00991316">
        <w:t>his work explores possible approaches to adequately</w:t>
      </w:r>
      <w:r w:rsidR="00345F47">
        <w:t xml:space="preserve"> identify and</w:t>
      </w:r>
      <w:r w:rsidR="00991316">
        <w:t xml:space="preserve"> define private funding such that it captures </w:t>
      </w:r>
      <w:r w:rsidR="00CC4730">
        <w:t>all</w:t>
      </w:r>
      <w:r w:rsidR="00991316">
        <w:t xml:space="preserve"> channels and sources of </w:t>
      </w:r>
      <w:r>
        <w:t xml:space="preserve">private </w:t>
      </w:r>
      <w:r w:rsidR="00991316">
        <w:t>funding aimed at conserving and sustainably utilizing biological resources.</w:t>
      </w:r>
      <w:r w:rsidR="00146571">
        <w:t xml:space="preserve"> </w:t>
      </w:r>
      <w:r w:rsidR="001B0416">
        <w:t xml:space="preserve">While public funding for biodiversity </w:t>
      </w:r>
      <w:r w:rsidR="007C29F3">
        <w:t>originates</w:t>
      </w:r>
      <w:r w:rsidR="001B0416">
        <w:t xml:space="preserve"> from government budgets, private funding can include </w:t>
      </w:r>
      <w:r w:rsidR="002248EF">
        <w:t xml:space="preserve">expenditures and </w:t>
      </w:r>
      <w:r w:rsidR="001B0416">
        <w:t>investments</w:t>
      </w:r>
      <w:r w:rsidR="000547C1">
        <w:t xml:space="preserve"> in biodiversity</w:t>
      </w:r>
      <w:r w:rsidR="001B0416">
        <w:t xml:space="preserve"> from individuals or households, philanthropic foundations, </w:t>
      </w:r>
      <w:r w:rsidR="00A04CB5">
        <w:t xml:space="preserve">non-profit organizations, </w:t>
      </w:r>
      <w:r w:rsidR="001B0416">
        <w:t>corporations, a</w:t>
      </w:r>
      <w:r w:rsidR="00333FBD">
        <w:t xml:space="preserve">s well as financial institutions </w:t>
      </w:r>
      <w:r w:rsidR="001B0416">
        <w:t>seeking environmental benefits alongside financial returns</w:t>
      </w:r>
      <w:r w:rsidR="00345F47">
        <w:t xml:space="preserve"> on investments</w:t>
      </w:r>
      <w:r w:rsidR="001B0416">
        <w:t xml:space="preserve">. </w:t>
      </w:r>
      <w:r w:rsidR="000547C1">
        <w:t>P</w:t>
      </w:r>
      <w:r w:rsidR="002248EF">
        <w:t xml:space="preserve">rivate funding </w:t>
      </w:r>
      <w:r w:rsidR="000547C1">
        <w:t xml:space="preserve">in this context </w:t>
      </w:r>
      <w:r w:rsidR="002248EF">
        <w:t>does not include</w:t>
      </w:r>
      <w:r w:rsidR="00333FBD">
        <w:t xml:space="preserve"> private</w:t>
      </w:r>
      <w:r w:rsidR="002248EF">
        <w:t xml:space="preserve"> expenditures </w:t>
      </w:r>
      <w:proofErr w:type="gramStart"/>
      <w:r w:rsidR="00DE756D">
        <w:t>for</w:t>
      </w:r>
      <w:proofErr w:type="gramEnd"/>
      <w:r w:rsidR="002248EF">
        <w:t xml:space="preserve"> environment-related taxes, fees and charges, or </w:t>
      </w:r>
      <w:r w:rsidR="00333FBD">
        <w:t>other forms of compliance payments to governments</w:t>
      </w:r>
      <w:r w:rsidR="002248EF">
        <w:t xml:space="preserve">.  Those funds, once received by government entities, </w:t>
      </w:r>
      <w:r w:rsidR="00A04CB5">
        <w:t>should</w:t>
      </w:r>
      <w:r w:rsidR="002248EF">
        <w:t xml:space="preserve"> be tracked for biodiversity-</w:t>
      </w:r>
      <w:r w:rsidR="00DE756D">
        <w:t>relevant</w:t>
      </w:r>
      <w:r w:rsidR="002248EF">
        <w:t xml:space="preserve"> public funding through </w:t>
      </w:r>
      <w:r w:rsidR="00333FBD">
        <w:t xml:space="preserve">Headline Indicator D.2 on public expenditures for biodiversity. </w:t>
      </w:r>
    </w:p>
    <w:p w14:paraId="1780635F" w14:textId="77777777" w:rsidR="002248EF" w:rsidRDefault="002248EF" w:rsidP="00CC4730">
      <w:pPr>
        <w:jc w:val="both"/>
      </w:pPr>
    </w:p>
    <w:p w14:paraId="22F2E22F" w14:textId="603DA041" w:rsidR="00146571" w:rsidRDefault="001B0416" w:rsidP="00CC4730">
      <w:pPr>
        <w:jc w:val="both"/>
      </w:pPr>
      <w:r>
        <w:t xml:space="preserve">Private funding can flow through </w:t>
      </w:r>
      <w:r w:rsidR="00DE756D">
        <w:t>multiple</w:t>
      </w:r>
      <w:r>
        <w:t xml:space="preserve"> channels with various intermediaries and implementers, creating a complex landscape of private investment in biodiversity.  </w:t>
      </w:r>
      <w:r w:rsidR="00DE756D">
        <w:t xml:space="preserve">Without a common framework to define and identify these actors and instruments, tracking private </w:t>
      </w:r>
      <w:r w:rsidR="00DE756D">
        <w:lastRenderedPageBreak/>
        <w:t xml:space="preserve">expenditures and investments in biodiversity will remain a challenge. </w:t>
      </w:r>
      <w:r w:rsidR="000547C1">
        <w:t>Therefore</w:t>
      </w:r>
      <w:r>
        <w:t xml:space="preserve">, this work will also explore possible work programmes to build capacity and fill the gaps in existing national reporting and data collection to enable more </w:t>
      </w:r>
      <w:r w:rsidR="002248EF">
        <w:t>comprehensive, consistent, and comparable</w:t>
      </w:r>
      <w:r>
        <w:t xml:space="preserve"> tracking of private funding in the future.   </w:t>
      </w:r>
      <w:r w:rsidR="00821C65">
        <w:t xml:space="preserve"> </w:t>
      </w:r>
    </w:p>
    <w:p w14:paraId="1321A6AE" w14:textId="77777777" w:rsidR="006113C2" w:rsidRDefault="006113C2" w:rsidP="00CC4730">
      <w:pPr>
        <w:jc w:val="both"/>
      </w:pPr>
    </w:p>
    <w:p w14:paraId="117FACE8" w14:textId="41CC02EF" w:rsidR="002A36E0" w:rsidRDefault="006113C2" w:rsidP="00CC4730">
      <w:pPr>
        <w:jc w:val="both"/>
      </w:pPr>
      <w:r>
        <w:t xml:space="preserve">This report </w:t>
      </w:r>
      <w:r w:rsidR="002A36E0">
        <w:t xml:space="preserve">specifically </w:t>
      </w:r>
      <w:r>
        <w:t>explores possible approaches to measure private investments in biodiversity. This report does not address private investments that result in adverse biodiversity outcomes</w:t>
      </w:r>
      <w:r w:rsidR="00C007EF">
        <w:t>, falling outside the scope of the indicator as adopted by the Parties</w:t>
      </w:r>
      <w:r>
        <w:t>.</w:t>
      </w:r>
      <w:r w:rsidR="00907429">
        <w:t xml:space="preserve">  </w:t>
      </w:r>
      <w:r w:rsidR="00F7782A">
        <w:t xml:space="preserve">Aligning financial flows with the KMGBF will require both phasing out investments in biodiversity-harmful activities and transitioning to investments with positive biodiversity outcomes.  </w:t>
      </w:r>
      <w:r w:rsidR="00907429">
        <w:t>This report</w:t>
      </w:r>
      <w:r w:rsidR="001F1042">
        <w:t xml:space="preserve"> </w:t>
      </w:r>
      <w:r w:rsidR="00907429">
        <w:t xml:space="preserve">also </w:t>
      </w:r>
      <w:r w:rsidR="001F1042">
        <w:t xml:space="preserve">does </w:t>
      </w:r>
      <w:r w:rsidR="00907429">
        <w:t xml:space="preserve">not comment on the credibility of private investments in biodiversity or draw conclusions </w:t>
      </w:r>
      <w:r w:rsidR="00C02E80">
        <w:t>as to</w:t>
      </w:r>
      <w:r w:rsidR="00907429">
        <w:t xml:space="preserve"> whether investments in biodiversity through the various </w:t>
      </w:r>
      <w:r w:rsidR="002A36E0">
        <w:t xml:space="preserve">policy and </w:t>
      </w:r>
      <w:r w:rsidR="00907429">
        <w:t xml:space="preserve">finance mechanisms identified here result in </w:t>
      </w:r>
      <w:r w:rsidR="00C02E80">
        <w:t>real</w:t>
      </w:r>
      <w:r w:rsidR="002A36E0">
        <w:t>, positive</w:t>
      </w:r>
      <w:r w:rsidR="00907429">
        <w:t xml:space="preserve"> biodiversity outcomes.</w:t>
      </w:r>
      <w:r w:rsidR="001F1042">
        <w:t xml:space="preserve">  </w:t>
      </w:r>
      <w:r w:rsidR="00360591">
        <w:t>For example, the report does not comment on whether offset</w:t>
      </w:r>
      <w:r w:rsidR="002D53C5">
        <w:t>/mitigation</w:t>
      </w:r>
      <w:r w:rsidR="00360591">
        <w:t xml:space="preserve"> markets have succeeded or failed at achieving real biodiversity outcomes. </w:t>
      </w:r>
      <w:r w:rsidR="001F1042">
        <w:t>It specifically looks at measurement and reporting approaches, acknowledging that a prerequisite to</w:t>
      </w:r>
      <w:r w:rsidR="006556E8">
        <w:t xml:space="preserve"> measuring</w:t>
      </w:r>
      <w:r w:rsidR="001F1042">
        <w:t xml:space="preserve"> </w:t>
      </w:r>
      <w:r w:rsidR="006556E8">
        <w:t>effective biodiversity finance</w:t>
      </w:r>
      <w:r w:rsidR="001F1042">
        <w:t xml:space="preserve"> is having strong policies, standards, definitions, and verification requirements in place to ensure the credibility of</w:t>
      </w:r>
      <w:r w:rsidR="0031588B">
        <w:t xml:space="preserve"> programs</w:t>
      </w:r>
      <w:r w:rsidR="00276DD2">
        <w:t>, instruments,</w:t>
      </w:r>
      <w:r w:rsidR="0031588B">
        <w:t xml:space="preserve"> and</w:t>
      </w:r>
      <w:r w:rsidR="001F1042">
        <w:t xml:space="preserve"> investments </w:t>
      </w:r>
      <w:r w:rsidR="0031588B">
        <w:t>in biodiversity.</w:t>
      </w:r>
      <w:r w:rsidR="00C709E7">
        <w:t xml:space="preserve"> Specifically, policies should promote transparency, accountability, and alignment with biodiversity goals, ensuring that private funding is effective and sustainable.</w:t>
      </w:r>
      <w:r w:rsidR="001F1042">
        <w:t xml:space="preserve"> </w:t>
      </w:r>
    </w:p>
    <w:p w14:paraId="1E8EE99A" w14:textId="77777777" w:rsidR="002A36E0" w:rsidRDefault="002A36E0" w:rsidP="00CC4730">
      <w:pPr>
        <w:jc w:val="both"/>
      </w:pPr>
    </w:p>
    <w:p w14:paraId="0C16B159" w14:textId="0619BB90" w:rsidR="006113C2" w:rsidRDefault="004E489A" w:rsidP="00CC4730">
      <w:pPr>
        <w:jc w:val="both"/>
      </w:pPr>
      <w:r>
        <w:t xml:space="preserve">In addition, this report is not intended to endorse or promote private sector solutions to biodiversity over </w:t>
      </w:r>
      <w:r w:rsidR="006556E8">
        <w:t>public sector</w:t>
      </w:r>
      <w:r>
        <w:t xml:space="preserve"> solutions.  </w:t>
      </w:r>
      <w:proofErr w:type="gramStart"/>
      <w:r>
        <w:t>In order to</w:t>
      </w:r>
      <w:proofErr w:type="gramEnd"/>
      <w:r>
        <w:t xml:space="preserve"> achieve the 2050 vision and 2030 mission of the KMGBF, and close the biodiversity funding gap, the public sector and the private sector </w:t>
      </w:r>
      <w:r w:rsidR="007F5172">
        <w:t xml:space="preserve">will arguably have to </w:t>
      </w:r>
      <w:r>
        <w:t xml:space="preserve">come together </w:t>
      </w:r>
      <w:r w:rsidR="007F5172">
        <w:t xml:space="preserve">in order </w:t>
      </w:r>
      <w:r>
        <w:t xml:space="preserve">to take </w:t>
      </w:r>
      <w:r w:rsidR="007F5172">
        <w:t>effective</w:t>
      </w:r>
      <w:r>
        <w:t xml:space="preserve"> action to halt and reverse biodiversity loss. This report is intended specifically to support the operationalization of the headline indicator for private funding for biodiversity under Target 19 of the KMGBF.</w:t>
      </w:r>
      <w:r w:rsidR="002E550C">
        <w:t xml:space="preserve">  Reporting on private funding for biodiversity will not be perfect at the onset, and caution should be exercised at inferring biodiversity outcomes from private investments.  But </w:t>
      </w:r>
      <w:proofErr w:type="gramStart"/>
      <w:r w:rsidR="002E550C">
        <w:t xml:space="preserve">in </w:t>
      </w:r>
      <w:r w:rsidR="007F5172">
        <w:t>particular in</w:t>
      </w:r>
      <w:proofErr w:type="gramEnd"/>
      <w:r w:rsidR="007F5172">
        <w:t xml:space="preserve"> </w:t>
      </w:r>
      <w:r w:rsidR="002E550C">
        <w:t xml:space="preserve">these early stages of development, collaborating with the private sector </w:t>
      </w:r>
      <w:r w:rsidR="007F5172">
        <w:t xml:space="preserve">will be important </w:t>
      </w:r>
      <w:r w:rsidR="002E550C">
        <w:t xml:space="preserve">to help identify, track, and report on investments that align with biodiversity objectives.  </w:t>
      </w:r>
      <w:proofErr w:type="gramStart"/>
      <w:r w:rsidR="007F5172">
        <w:t>Along</w:t>
      </w:r>
      <w:proofErr w:type="gramEnd"/>
      <w:r w:rsidR="007F5172">
        <w:t xml:space="preserve"> this process, and a</w:t>
      </w:r>
      <w:r w:rsidR="002E550C">
        <w:t xml:space="preserve">s lessons are learned </w:t>
      </w:r>
      <w:r w:rsidR="007E18D2">
        <w:t xml:space="preserve">and </w:t>
      </w:r>
      <w:r w:rsidR="002E550C">
        <w:t xml:space="preserve">greater transparency is promoted into private sector investments, processes to identify, track, and report private funding for biodiversity can </w:t>
      </w:r>
      <w:r w:rsidR="007F5172">
        <w:t xml:space="preserve">be further </w:t>
      </w:r>
      <w:r w:rsidR="002E550C">
        <w:t>improve</w:t>
      </w:r>
      <w:r w:rsidR="007F5172">
        <w:t>d with a view</w:t>
      </w:r>
      <w:r w:rsidR="002E550C">
        <w:t xml:space="preserve"> to ensure </w:t>
      </w:r>
      <w:r w:rsidR="007F5172">
        <w:t xml:space="preserve">that </w:t>
      </w:r>
      <w:r w:rsidR="002E550C">
        <w:t xml:space="preserve">those investments are effectively </w:t>
      </w:r>
      <w:r w:rsidR="006556E8">
        <w:t>achieving</w:t>
      </w:r>
      <w:r w:rsidR="002E550C">
        <w:t xml:space="preserve"> biodiversity objectives. </w:t>
      </w:r>
    </w:p>
    <w:p w14:paraId="2F5ACDBC" w14:textId="77777777" w:rsidR="00146571" w:rsidRDefault="00146571" w:rsidP="00CC4730">
      <w:pPr>
        <w:jc w:val="both"/>
      </w:pPr>
    </w:p>
    <w:p w14:paraId="1E196ED2" w14:textId="2C7E5AF6" w:rsidR="00B719DC" w:rsidRPr="00B719DC" w:rsidRDefault="00D31050" w:rsidP="00D816EA">
      <w:pPr>
        <w:pStyle w:val="Heading1"/>
        <w:jc w:val="both"/>
      </w:pPr>
      <w:bookmarkStart w:id="1" w:name="_Toc172018351"/>
      <w:r>
        <w:t xml:space="preserve">Section </w:t>
      </w:r>
      <w:r w:rsidR="00D674EB">
        <w:t>Two:</w:t>
      </w:r>
      <w:r>
        <w:t xml:space="preserve"> </w:t>
      </w:r>
      <w:r w:rsidR="00681DF7">
        <w:t>Background on the Global Biodiversity Framework</w:t>
      </w:r>
      <w:bookmarkEnd w:id="1"/>
      <w:r w:rsidR="005B4903">
        <w:t xml:space="preserve"> </w:t>
      </w:r>
    </w:p>
    <w:p w14:paraId="625DA84C" w14:textId="0077B2FB" w:rsidR="00B719DC" w:rsidRDefault="00B719DC" w:rsidP="00D816EA">
      <w:pPr>
        <w:jc w:val="both"/>
      </w:pPr>
    </w:p>
    <w:p w14:paraId="57A28642" w14:textId="218D8B9A" w:rsidR="00D31050" w:rsidRDefault="00D31050" w:rsidP="00D816EA">
      <w:pPr>
        <w:jc w:val="both"/>
      </w:pPr>
      <w:r>
        <w:t>COP-15 adopted the landmark Kunming-Montreal Global Biodiversity Framework (</w:t>
      </w:r>
      <w:r w:rsidR="00B902F8">
        <w:t>KM</w:t>
      </w:r>
      <w:r>
        <w:t>GBF) which consists of global targets to be achieved by 20</w:t>
      </w:r>
      <w:r w:rsidR="008449D5">
        <w:t>3</w:t>
      </w:r>
      <w:r>
        <w:t xml:space="preserve">0 and beyond to safeguard and sustainably use biodiversity. In addition to goals on halting human-induced species extinction, ensuring the sustainable use of biodiversity, and equitable sharing of benefits, the </w:t>
      </w:r>
      <w:r w:rsidR="00162E3C">
        <w:t>KM</w:t>
      </w:r>
      <w:r>
        <w:t>GBF also established a goal of ensuring adequate financial resources are mobilized to close the biodiversity finance gap</w:t>
      </w:r>
      <w:r w:rsidR="00702107">
        <w:t xml:space="preserve">, estimated to be </w:t>
      </w:r>
      <w:r>
        <w:t xml:space="preserve">$700 billion per year. </w:t>
      </w:r>
    </w:p>
    <w:p w14:paraId="17A16720" w14:textId="77777777" w:rsidR="00D31050" w:rsidRDefault="00D31050" w:rsidP="00D816EA">
      <w:pPr>
        <w:jc w:val="both"/>
      </w:pPr>
    </w:p>
    <w:p w14:paraId="050A7470" w14:textId="264F6B41" w:rsidR="00702107" w:rsidRDefault="00D31050" w:rsidP="00702107">
      <w:pPr>
        <w:jc w:val="both"/>
      </w:pPr>
      <w:r>
        <w:lastRenderedPageBreak/>
        <w:t xml:space="preserve">Specifically, </w:t>
      </w:r>
      <w:r w:rsidR="007723A4" w:rsidRPr="00337818">
        <w:t xml:space="preserve">Goal D of </w:t>
      </w:r>
      <w:r>
        <w:t xml:space="preserve">the </w:t>
      </w:r>
      <w:r w:rsidR="0080750A">
        <w:t>KM</w:t>
      </w:r>
      <w:r w:rsidR="007723A4" w:rsidRPr="00337818">
        <w:t xml:space="preserve">GBF addresses the need </w:t>
      </w:r>
      <w:r w:rsidR="007723A4">
        <w:t>to secure</w:t>
      </w:r>
      <w:r w:rsidR="007723A4" w:rsidRPr="00337818">
        <w:t xml:space="preserve"> adequate</w:t>
      </w:r>
      <w:r w:rsidR="007723A4">
        <w:t xml:space="preserve"> means of implementation, including financial resources, capacity-building, technical and scientific cooperation, and access to and transfer of technology to fully implement the </w:t>
      </w:r>
      <w:r w:rsidR="00B902F8">
        <w:t>KM</w:t>
      </w:r>
      <w:r>
        <w:t>GBF</w:t>
      </w:r>
      <w:r w:rsidR="007723A4">
        <w:t xml:space="preserve">.   </w:t>
      </w:r>
      <w:r w:rsidR="00702107" w:rsidRPr="00337818">
        <w:t xml:space="preserve">Target 19 of </w:t>
      </w:r>
      <w:r w:rsidR="00702107">
        <w:t>Goal D</w:t>
      </w:r>
      <w:r w:rsidR="00702107" w:rsidRPr="00337818">
        <w:t xml:space="preserve"> aims to increase the level of financial resources </w:t>
      </w:r>
      <w:r w:rsidR="00702107">
        <w:t xml:space="preserve">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 addition to scaling public financial resources for successful implementation, this target specifically includes leveraging private </w:t>
      </w:r>
      <w:proofErr w:type="gramStart"/>
      <w:r w:rsidR="00702107">
        <w:t>finances</w:t>
      </w:r>
      <w:proofErr w:type="gramEnd"/>
      <w:r w:rsidR="00702107">
        <w:t>, promoting blended finance, and implementing strategies to raise new and additional resources, and encouraging the private sector to invest in biodiversity, including through impact funds and other instruments.  See Box 1 for the full text.</w:t>
      </w:r>
    </w:p>
    <w:p w14:paraId="56896AD3" w14:textId="77777777" w:rsidR="00702107" w:rsidRDefault="00702107" w:rsidP="00702107">
      <w:pPr>
        <w:jc w:val="both"/>
      </w:pPr>
    </w:p>
    <w:p w14:paraId="23F6A15E" w14:textId="369E2723" w:rsidR="00702107" w:rsidRDefault="00702107" w:rsidP="00702107">
      <w:pPr>
        <w:jc w:val="both"/>
      </w:pPr>
      <w:r>
        <w:t xml:space="preserve">Decision 15/5, adopted by Parties during COP-15, established a monitoring framework for the KMGBF.  Specifically, the monitoring framework established headline indicators for the KMGBF Goals and Targets.  The </w:t>
      </w:r>
      <w:proofErr w:type="gramStart"/>
      <w:r>
        <w:t>below table</w:t>
      </w:r>
      <w:proofErr w:type="gramEnd"/>
      <w:r>
        <w:t xml:space="preserve"> outlines the headline indicators adopted for Goal D/Target 19 of the KMGBF.</w:t>
      </w:r>
      <w:r>
        <w:rPr>
          <w:rStyle w:val="FootnoteReference"/>
        </w:rPr>
        <w:footnoteReference w:id="5"/>
      </w:r>
      <w:r>
        <w:t xml:space="preserve"> </w:t>
      </w:r>
    </w:p>
    <w:p w14:paraId="5E958C3F" w14:textId="77777777" w:rsidR="00702107" w:rsidRDefault="00702107" w:rsidP="00702107">
      <w:pPr>
        <w:jc w:val="both"/>
      </w:pPr>
    </w:p>
    <w:p w14:paraId="575ACBFD" w14:textId="2919E9F9" w:rsidR="00702107" w:rsidRDefault="00702107" w:rsidP="00702107">
      <w:pPr>
        <w:pStyle w:val="Caption"/>
      </w:pPr>
      <w:r>
        <w:t xml:space="preserve">Table </w:t>
      </w:r>
      <w:fldSimple w:instr=" SEQ Table \* ARABIC ">
        <w:r w:rsidR="00540223">
          <w:rPr>
            <w:noProof/>
          </w:rPr>
          <w:t>1</w:t>
        </w:r>
      </w:fldSimple>
      <w:r>
        <w:t xml:space="preserve"> </w:t>
      </w:r>
      <w:r w:rsidRPr="00F96E87">
        <w:t>Headline Indicators for Target 19</w:t>
      </w:r>
    </w:p>
    <w:tbl>
      <w:tblPr>
        <w:tblStyle w:val="TableGrid"/>
        <w:tblW w:w="0" w:type="auto"/>
        <w:tblLook w:val="04A0" w:firstRow="1" w:lastRow="0" w:firstColumn="1" w:lastColumn="0" w:noHBand="0" w:noVBand="1"/>
      </w:tblPr>
      <w:tblGrid>
        <w:gridCol w:w="3116"/>
        <w:gridCol w:w="6149"/>
      </w:tblGrid>
      <w:tr w:rsidR="00702107" w14:paraId="08B2DBFC" w14:textId="77777777" w:rsidTr="004C1CAC">
        <w:tc>
          <w:tcPr>
            <w:tcW w:w="3116" w:type="dxa"/>
          </w:tcPr>
          <w:p w14:paraId="14139889" w14:textId="77777777" w:rsidR="00702107" w:rsidRDefault="00702107" w:rsidP="004C1CAC">
            <w:pPr>
              <w:jc w:val="both"/>
            </w:pPr>
            <w:r>
              <w:t>Goal/Target</w:t>
            </w:r>
          </w:p>
        </w:tc>
        <w:tc>
          <w:tcPr>
            <w:tcW w:w="6149" w:type="dxa"/>
          </w:tcPr>
          <w:p w14:paraId="4ECF7B1D" w14:textId="77777777" w:rsidR="00702107" w:rsidRDefault="00702107" w:rsidP="004C1CAC">
            <w:pPr>
              <w:jc w:val="both"/>
            </w:pPr>
            <w:r>
              <w:t>Headline Indicator</w:t>
            </w:r>
          </w:p>
        </w:tc>
      </w:tr>
      <w:tr w:rsidR="00702107" w14:paraId="37C0A7E5" w14:textId="77777777" w:rsidTr="00702107">
        <w:trPr>
          <w:trHeight w:val="3275"/>
        </w:trPr>
        <w:tc>
          <w:tcPr>
            <w:tcW w:w="3116" w:type="dxa"/>
          </w:tcPr>
          <w:p w14:paraId="50ADFADC" w14:textId="77777777" w:rsidR="00702107" w:rsidRDefault="00702107" w:rsidP="004C1CAC">
            <w:pPr>
              <w:jc w:val="both"/>
            </w:pPr>
            <w:r>
              <w:t>19</w:t>
            </w:r>
          </w:p>
        </w:tc>
        <w:tc>
          <w:tcPr>
            <w:tcW w:w="6149" w:type="dxa"/>
          </w:tcPr>
          <w:p w14:paraId="3D7D991F" w14:textId="77777777" w:rsidR="00702107" w:rsidRDefault="00702107" w:rsidP="004C1CAC">
            <w:pPr>
              <w:jc w:val="both"/>
            </w:pPr>
            <w:r>
              <w:t>D.1 International public funding, including official development assistance (ODA) for conservation and sustainable use of biodiversity and ecosystems</w:t>
            </w:r>
          </w:p>
          <w:p w14:paraId="166813E1" w14:textId="77777777" w:rsidR="00702107" w:rsidRDefault="00702107" w:rsidP="004C1CAC">
            <w:pPr>
              <w:jc w:val="both"/>
            </w:pPr>
          </w:p>
          <w:p w14:paraId="31CF5B82" w14:textId="77777777" w:rsidR="00702107" w:rsidRDefault="00702107" w:rsidP="004C1CAC">
            <w:pPr>
              <w:jc w:val="both"/>
            </w:pPr>
            <w:r>
              <w:t>D.2 Domestic public funding on conservation and sustainable use of biodiversity and ecosystems</w:t>
            </w:r>
          </w:p>
          <w:p w14:paraId="7AF6499D" w14:textId="77777777" w:rsidR="00702107" w:rsidRDefault="00702107" w:rsidP="004C1CAC">
            <w:pPr>
              <w:jc w:val="both"/>
            </w:pPr>
          </w:p>
          <w:p w14:paraId="5572FF80" w14:textId="77777777" w:rsidR="00702107" w:rsidRPr="00624DA6" w:rsidRDefault="00702107" w:rsidP="004C1CAC">
            <w:pPr>
              <w:jc w:val="both"/>
              <w:rPr>
                <w:b/>
              </w:rPr>
            </w:pPr>
            <w:r w:rsidRPr="00624DA6">
              <w:rPr>
                <w:b/>
              </w:rPr>
              <w:t>D</w:t>
            </w:r>
            <w:r>
              <w:rPr>
                <w:b/>
              </w:rPr>
              <w:t>.</w:t>
            </w:r>
            <w:r w:rsidRPr="00624DA6">
              <w:rPr>
                <w:b/>
              </w:rPr>
              <w:t>3 Private funding (domestic and international) on conservation and sustainable use of biodiversity and ecosystems.</w:t>
            </w:r>
          </w:p>
        </w:tc>
      </w:tr>
    </w:tbl>
    <w:p w14:paraId="07B3B42B" w14:textId="77777777" w:rsidR="00702107" w:rsidRDefault="00702107" w:rsidP="00702107">
      <w:pPr>
        <w:jc w:val="both"/>
      </w:pPr>
    </w:p>
    <w:p w14:paraId="2780631A" w14:textId="38932EBE" w:rsidR="00197C4F" w:rsidRDefault="00197C4F" w:rsidP="00197C4F">
      <w:pPr>
        <w:jc w:val="both"/>
      </w:pPr>
      <w:r w:rsidRPr="006B74D8">
        <w:t>While</w:t>
      </w:r>
      <w:r>
        <w:t xml:space="preserve"> </w:t>
      </w:r>
      <w:r w:rsidRPr="006B74D8">
        <w:t xml:space="preserve">progress has been made to establish methodologies and indicators to monitor progress towards </w:t>
      </w:r>
      <w:r>
        <w:t>Headline Indicator D.1 and D.2</w:t>
      </w:r>
      <w:r w:rsidRPr="006B74D8">
        <w:t xml:space="preserve">, there is </w:t>
      </w:r>
      <w:r w:rsidR="000547C1" w:rsidRPr="006B74D8">
        <w:t>to date</w:t>
      </w:r>
      <w:r w:rsidRPr="006B74D8">
        <w:t xml:space="preserve"> no agreed upon methodology for the headline indicator </w:t>
      </w:r>
      <w:r>
        <w:t xml:space="preserve">D.3 </w:t>
      </w:r>
      <w:r w:rsidRPr="006B74D8">
        <w:t xml:space="preserve">on domestic and international private funding. </w:t>
      </w:r>
      <w:r>
        <w:t xml:space="preserve">The objective of this work is therefore to identify, at minimum, a methodology for the headline indicator D.3 on private funding for biodiversity. </w:t>
      </w:r>
    </w:p>
    <w:p w14:paraId="0D578FBB" w14:textId="77777777" w:rsidR="00197C4F" w:rsidRDefault="00197C4F" w:rsidP="00197C4F">
      <w:pPr>
        <w:jc w:val="both"/>
      </w:pPr>
    </w:p>
    <w:p w14:paraId="3D5CADB2" w14:textId="77777777" w:rsidR="00197C4F" w:rsidRDefault="00197C4F" w:rsidP="00702107">
      <w:pPr>
        <w:jc w:val="both"/>
      </w:pPr>
    </w:p>
    <w:p w14:paraId="46834AA8" w14:textId="5F917C09" w:rsidR="000547C1" w:rsidRDefault="00702107" w:rsidP="005C094C">
      <w:pPr>
        <w:jc w:val="both"/>
      </w:pPr>
      <w:r>
        <w:rPr>
          <w:noProof/>
        </w:rPr>
        <w:lastRenderedPageBreak/>
        <mc:AlternateContent>
          <mc:Choice Requires="wps">
            <w:drawing>
              <wp:inline distT="0" distB="0" distL="0" distR="0" wp14:anchorId="1E93651C" wp14:editId="57DE4803">
                <wp:extent cx="5915025" cy="5857875"/>
                <wp:effectExtent l="0" t="0" r="28575" b="2857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5857875"/>
                        </a:xfrm>
                        <a:prstGeom prst="rect">
                          <a:avLst/>
                        </a:prstGeom>
                        <a:solidFill>
                          <a:schemeClr val="bg1">
                            <a:lumMod val="95000"/>
                          </a:schemeClr>
                        </a:solidFill>
                        <a:ln w="9525">
                          <a:solidFill>
                            <a:srgbClr val="000000"/>
                          </a:solidFill>
                          <a:miter lim="800000"/>
                          <a:headEnd/>
                          <a:tailEnd/>
                        </a:ln>
                      </wps:spPr>
                      <wps:txbx>
                        <w:txbxContent>
                          <w:p w14:paraId="6BAF74BD" w14:textId="77777777" w:rsidR="00702107" w:rsidRPr="006C3132" w:rsidRDefault="00702107" w:rsidP="00702107">
                            <w:pPr>
                              <w:rPr>
                                <w:b/>
                                <w:bCs/>
                              </w:rPr>
                            </w:pPr>
                            <w:r w:rsidRPr="006C3132">
                              <w:rPr>
                                <w:b/>
                                <w:bCs/>
                              </w:rPr>
                              <w:t>Box 1. Target 19 of the Kunming-Montreal Global Biodiversity Framework</w:t>
                            </w:r>
                          </w:p>
                          <w:p w14:paraId="451E6FF8" w14:textId="77777777" w:rsidR="00702107" w:rsidRPr="00C4184E" w:rsidRDefault="00702107" w:rsidP="00702107"/>
                          <w:p w14:paraId="3BBA59EE" w14:textId="77777777" w:rsidR="00702107" w:rsidRPr="00C4184E" w:rsidRDefault="00702107" w:rsidP="00702107">
                            <w:pPr>
                              <w:jc w:val="both"/>
                            </w:pPr>
                            <w:r w:rsidRPr="00C4184E">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by 2030 mobilizing at least 200 billion United States dollars per year, including by: </w:t>
                            </w:r>
                          </w:p>
                          <w:p w14:paraId="7718DB52" w14:textId="77777777" w:rsidR="00702107" w:rsidRPr="00C4184E" w:rsidRDefault="00702107" w:rsidP="00702107">
                            <w:pPr>
                              <w:ind w:firstLine="720"/>
                              <w:jc w:val="both"/>
                            </w:pPr>
                            <w:r w:rsidRPr="00C4184E">
                              <w:t xml:space="preserve">(a)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US$ 20 billion per year by 2025, and to at least US$ 30 billion per year by 2030; </w:t>
                            </w:r>
                          </w:p>
                          <w:p w14:paraId="0FA2CD28" w14:textId="77777777" w:rsidR="00702107" w:rsidRPr="00C4184E" w:rsidRDefault="00702107" w:rsidP="00702107">
                            <w:pPr>
                              <w:ind w:firstLine="720"/>
                              <w:jc w:val="both"/>
                            </w:pPr>
                            <w:r w:rsidRPr="00C4184E">
                              <w:t xml:space="preserve">(b) Significantly increasing domestic resource mobilization, facilitated by the preparation and implementation of national biodiversity finance plans or similar instruments according to national needs, priorities and circumstances; </w:t>
                            </w:r>
                          </w:p>
                          <w:p w14:paraId="73A52E73" w14:textId="77777777" w:rsidR="00702107" w:rsidRPr="00C4184E" w:rsidRDefault="00702107" w:rsidP="00702107">
                            <w:pPr>
                              <w:ind w:firstLine="720"/>
                              <w:jc w:val="both"/>
                            </w:pPr>
                            <w:r w:rsidRPr="00C4184E">
                              <w:t xml:space="preserve">(c) Leveraging private finance, promoting blended finance, implementing strategies for raising new and additional resources, and encouraging the private sector to invest in biodiversity, including through impact funds and other instruments; </w:t>
                            </w:r>
                          </w:p>
                          <w:p w14:paraId="22F3F774" w14:textId="77777777" w:rsidR="00702107" w:rsidRPr="00C4184E" w:rsidRDefault="00702107" w:rsidP="00702107">
                            <w:pPr>
                              <w:ind w:firstLine="720"/>
                              <w:jc w:val="both"/>
                            </w:pPr>
                            <w:r w:rsidRPr="00C4184E">
                              <w:t xml:space="preserve">(d) Stimulating innovative schemes such as payment for ecosystem services, green bonds, biodiversity offsets and credits, benefit-sharing mechanisms, with environmental and social safeguards; </w:t>
                            </w:r>
                          </w:p>
                          <w:p w14:paraId="0468D26B" w14:textId="77777777" w:rsidR="00702107" w:rsidRPr="00C4184E" w:rsidRDefault="00702107" w:rsidP="00702107">
                            <w:pPr>
                              <w:ind w:firstLine="720"/>
                              <w:jc w:val="both"/>
                            </w:pPr>
                            <w:r w:rsidRPr="00C4184E">
                              <w:t xml:space="preserve">(e) Optimizing co-benefits and synergies of finance targeting the biodiversity and climate crises; </w:t>
                            </w:r>
                          </w:p>
                          <w:p w14:paraId="445D0BF7" w14:textId="77777777" w:rsidR="00702107" w:rsidRPr="00C4184E" w:rsidRDefault="00702107" w:rsidP="00702107">
                            <w:pPr>
                              <w:ind w:firstLine="720"/>
                              <w:jc w:val="both"/>
                            </w:pPr>
                            <w:r w:rsidRPr="00C4184E">
                              <w:t xml:space="preserve">(f)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p>
                          <w:p w14:paraId="40A0EC4E" w14:textId="77777777" w:rsidR="00702107" w:rsidRPr="00C4184E" w:rsidRDefault="00702107" w:rsidP="00702107">
                            <w:pPr>
                              <w:ind w:firstLine="720"/>
                              <w:jc w:val="both"/>
                            </w:pPr>
                            <w:r w:rsidRPr="00C4184E">
                              <w:t>(g) Enhancing the effectiveness, efficiency and transparency of resource provision and use.</w:t>
                            </w:r>
                          </w:p>
                          <w:p w14:paraId="7896438D" w14:textId="77777777" w:rsidR="00702107" w:rsidRDefault="00702107" w:rsidP="00702107"/>
                        </w:txbxContent>
                      </wps:txbx>
                      <wps:bodyPr rot="0" vert="horz" wrap="square" lIns="91440" tIns="45720" rIns="91440" bIns="45720" anchor="t" anchorCtr="0">
                        <a:noAutofit/>
                      </wps:bodyPr>
                    </wps:wsp>
                  </a:graphicData>
                </a:graphic>
              </wp:inline>
            </w:drawing>
          </mc:Choice>
          <mc:Fallback>
            <w:pict>
              <v:shapetype w14:anchorId="1E93651C" id="_x0000_t202" coordsize="21600,21600" o:spt="202" path="m,l,21600r21600,l21600,xe">
                <v:stroke joinstyle="miter"/>
                <v:path gradientshapeok="t" o:connecttype="rect"/>
              </v:shapetype>
              <v:shape id="Text Box 2" o:spid="_x0000_s1026" type="#_x0000_t202" style="width:465.75pt;height:46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" fillcolor="#f2f2f2 [3052]">
                <v:textbox>
                  <w:txbxContent>
                    <w:p w14:paraId="6BAF74BD" w14:textId="77777777" w:rsidR="00702107" w:rsidRPr="006C3132" w:rsidRDefault="00702107" w:rsidP="00702107">
                      <w:pPr>
                        <w:rPr>
                          <w:b/>
                          <w:bCs/>
                        </w:rPr>
                      </w:pPr>
                      <w:r w:rsidRPr="006C3132">
                        <w:rPr>
                          <w:b/>
                          <w:bCs/>
                        </w:rPr>
                        <w:t>Box 1. Target 19 of the Kunming-Montreal Global Biodiversity Framework</w:t>
                      </w:r>
                    </w:p>
                    <w:p w14:paraId="451E6FF8" w14:textId="77777777" w:rsidR="00702107" w:rsidRPr="00C4184E" w:rsidRDefault="00702107" w:rsidP="00702107"/>
                    <w:p w14:paraId="3BBA59EE" w14:textId="77777777" w:rsidR="00702107" w:rsidRPr="00C4184E" w:rsidRDefault="00702107" w:rsidP="00702107">
                      <w:pPr>
                        <w:jc w:val="both"/>
                      </w:pPr>
                      <w:r w:rsidRPr="00C4184E">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by 2030 mobilizing at least 200 billion United States dollars per year, including by: </w:t>
                      </w:r>
                    </w:p>
                    <w:p w14:paraId="7718DB52" w14:textId="77777777" w:rsidR="00702107" w:rsidRPr="00C4184E" w:rsidRDefault="00702107" w:rsidP="00702107">
                      <w:pPr>
                        <w:ind w:firstLine="720"/>
                        <w:jc w:val="both"/>
                      </w:pPr>
                      <w:r w:rsidRPr="00C4184E">
                        <w:t xml:space="preserve">(a)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US$ 20 billion per year by 2025, and to at least US$ 30 billion per year by 2030; </w:t>
                      </w:r>
                    </w:p>
                    <w:p w14:paraId="0FA2CD28" w14:textId="77777777" w:rsidR="00702107" w:rsidRPr="00C4184E" w:rsidRDefault="00702107" w:rsidP="00702107">
                      <w:pPr>
                        <w:ind w:firstLine="720"/>
                        <w:jc w:val="both"/>
                      </w:pPr>
                      <w:r w:rsidRPr="00C4184E">
                        <w:t xml:space="preserve">(b) Significantly increasing domestic resource mobilization, facilitated by the preparation and implementation of national biodiversity finance plans or similar instruments according to national needs, priorities and circumstances; </w:t>
                      </w:r>
                    </w:p>
                    <w:p w14:paraId="73A52E73" w14:textId="77777777" w:rsidR="00702107" w:rsidRPr="00C4184E" w:rsidRDefault="00702107" w:rsidP="00702107">
                      <w:pPr>
                        <w:ind w:firstLine="720"/>
                        <w:jc w:val="both"/>
                      </w:pPr>
                      <w:r w:rsidRPr="00C4184E">
                        <w:t xml:space="preserve">(c) Leveraging private finance, promoting blended finance, implementing strategies for raising new and additional resources, and encouraging the private sector to invest in biodiversity, including through impact funds and other instruments; </w:t>
                      </w:r>
                    </w:p>
                    <w:p w14:paraId="22F3F774" w14:textId="77777777" w:rsidR="00702107" w:rsidRPr="00C4184E" w:rsidRDefault="00702107" w:rsidP="00702107">
                      <w:pPr>
                        <w:ind w:firstLine="720"/>
                        <w:jc w:val="both"/>
                      </w:pPr>
                      <w:r w:rsidRPr="00C4184E">
                        <w:t xml:space="preserve">(d) Stimulating innovative schemes such as payment for ecosystem services, green bonds, biodiversity offsets and credits, benefit-sharing mechanisms, with environmental and social safeguards; </w:t>
                      </w:r>
                    </w:p>
                    <w:p w14:paraId="0468D26B" w14:textId="77777777" w:rsidR="00702107" w:rsidRPr="00C4184E" w:rsidRDefault="00702107" w:rsidP="00702107">
                      <w:pPr>
                        <w:ind w:firstLine="720"/>
                        <w:jc w:val="both"/>
                      </w:pPr>
                      <w:r w:rsidRPr="00C4184E">
                        <w:t xml:space="preserve">(e) Optimizing co-benefits and synergies of finance targeting the biodiversity and climate crises; </w:t>
                      </w:r>
                    </w:p>
                    <w:p w14:paraId="445D0BF7" w14:textId="77777777" w:rsidR="00702107" w:rsidRPr="00C4184E" w:rsidRDefault="00702107" w:rsidP="00702107">
                      <w:pPr>
                        <w:ind w:firstLine="720"/>
                        <w:jc w:val="both"/>
                      </w:pPr>
                      <w:r w:rsidRPr="00C4184E">
                        <w:t xml:space="preserve">(f)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p>
                    <w:p w14:paraId="40A0EC4E" w14:textId="77777777" w:rsidR="00702107" w:rsidRPr="00C4184E" w:rsidRDefault="00702107" w:rsidP="00702107">
                      <w:pPr>
                        <w:ind w:firstLine="720"/>
                        <w:jc w:val="both"/>
                      </w:pPr>
                      <w:r w:rsidRPr="00C4184E">
                        <w:t>(g) Enhancing the effectiveness, efficiency and transparency of resource provision and use.</w:t>
                      </w:r>
                    </w:p>
                    <w:p w14:paraId="7896438D" w14:textId="77777777" w:rsidR="00702107" w:rsidRDefault="00702107" w:rsidP="00702107"/>
                  </w:txbxContent>
                </v:textbox>
                <w10:anchorlock/>
              </v:shape>
            </w:pict>
          </mc:Fallback>
        </mc:AlternateContent>
      </w:r>
      <w:r w:rsidR="00624DA6">
        <w:t xml:space="preserve"> </w:t>
      </w:r>
    </w:p>
    <w:p w14:paraId="49B8D5E5" w14:textId="7AD5137B" w:rsidR="000547C1" w:rsidRDefault="000547C1" w:rsidP="0005274F">
      <w:pPr>
        <w:pStyle w:val="Heading1"/>
        <w:jc w:val="both"/>
      </w:pPr>
      <w:bookmarkStart w:id="2" w:name="_Toc172018352"/>
      <w:r>
        <w:t>Section Three: Methodology</w:t>
      </w:r>
      <w:bookmarkEnd w:id="2"/>
    </w:p>
    <w:p w14:paraId="61DC84EF" w14:textId="6974D4CD" w:rsidR="000547C1" w:rsidRDefault="000547C1" w:rsidP="000547C1"/>
    <w:p w14:paraId="67C1C1DE" w14:textId="646692AE" w:rsidR="00582C5B" w:rsidRDefault="000547C1" w:rsidP="00C247A0">
      <w:pPr>
        <w:jc w:val="both"/>
      </w:pPr>
      <w:r>
        <w:t xml:space="preserve">This </w:t>
      </w:r>
      <w:r w:rsidR="00D3712A">
        <w:t>work</w:t>
      </w:r>
      <w:r>
        <w:t xml:space="preserve"> </w:t>
      </w:r>
      <w:r w:rsidR="00C63218">
        <w:t xml:space="preserve">explores </w:t>
      </w:r>
      <w:r w:rsidR="00D3712A">
        <w:t xml:space="preserve">the feasibility of using </w:t>
      </w:r>
      <w:r w:rsidR="00977F49">
        <w:t xml:space="preserve">available </w:t>
      </w:r>
      <w:r w:rsidR="00D3712A">
        <w:t>measurement approaches for</w:t>
      </w:r>
      <w:r w:rsidR="00977F49">
        <w:t xml:space="preserve"> private </w:t>
      </w:r>
      <w:r w:rsidR="00D3712A">
        <w:t>biodiversity funding</w:t>
      </w:r>
      <w:r w:rsidR="00977F49">
        <w:t xml:space="preserve"> </w:t>
      </w:r>
      <w:r w:rsidR="00D3712A">
        <w:t xml:space="preserve">to operationalize the </w:t>
      </w:r>
      <w:r w:rsidR="00582C5B">
        <w:t xml:space="preserve">D.3 </w:t>
      </w:r>
      <w:r w:rsidR="00D3712A">
        <w:t>headline indicator for national reporting</w:t>
      </w:r>
      <w:r w:rsidR="00977F49">
        <w:t xml:space="preserve">. </w:t>
      </w:r>
      <w:r w:rsidR="00D3712A">
        <w:t>Measurement approaches were identified</w:t>
      </w:r>
      <w:r w:rsidR="00582C5B">
        <w:t xml:space="preserve"> </w:t>
      </w:r>
      <w:r w:rsidR="00D3712A">
        <w:t xml:space="preserve">through </w:t>
      </w:r>
      <w:r w:rsidR="00582C5B">
        <w:t>a literature review and in-depth discussions with members of the technical expert group and other relevant stakeholders</w:t>
      </w:r>
      <w:r w:rsidR="008F5024">
        <w:t xml:space="preserve">.  </w:t>
      </w:r>
      <w:r w:rsidR="00B535FA">
        <w:t xml:space="preserve">Due to the limited availability of data and information on private biodiversity expenditures and investments, this work also provides a set of recommendations to not only draw from existing sources and approaches, but to also establish new policy frameworks and standards for measuring private financial flows. </w:t>
      </w:r>
      <w:r w:rsidR="00582C5B">
        <w:t xml:space="preserve"> </w:t>
      </w:r>
    </w:p>
    <w:p w14:paraId="78055836" w14:textId="77777777" w:rsidR="00582C5B" w:rsidRDefault="00582C5B" w:rsidP="00C247A0">
      <w:pPr>
        <w:jc w:val="both"/>
      </w:pPr>
    </w:p>
    <w:p w14:paraId="77E6231F" w14:textId="2FA75F90" w:rsidR="00582C5B" w:rsidRDefault="00582C5B" w:rsidP="00582C5B">
      <w:pPr>
        <w:jc w:val="both"/>
      </w:pPr>
      <w:r>
        <w:t>The first set of measurement approaches, as outlined in Section Eight, draw</w:t>
      </w:r>
      <w:r w:rsidR="00EE4663">
        <w:t>s</w:t>
      </w:r>
      <w:r>
        <w:t xml:space="preserve"> from three global assessments and two regional/national assessment</w:t>
      </w:r>
      <w:r w:rsidR="00EE4663">
        <w:t>s</w:t>
      </w:r>
      <w:r>
        <w:t xml:space="preserve"> of private funding for biodiversity identified </w:t>
      </w:r>
      <w:r>
        <w:lastRenderedPageBreak/>
        <w:t>in the literature.   These assessments provide a landscape</w:t>
      </w:r>
      <w:r w:rsidR="00B535FA">
        <w:t xml:space="preserve"> view</w:t>
      </w:r>
      <w:r>
        <w:t xml:space="preserve"> of the private biodiversity finance actors and instruments </w:t>
      </w:r>
      <w:r w:rsidR="008F5024">
        <w:t xml:space="preserve">and </w:t>
      </w:r>
      <w:r>
        <w:t>methodolog</w:t>
      </w:r>
      <w:r w:rsidR="00B535FA">
        <w:t>ies</w:t>
      </w:r>
      <w:r>
        <w:t xml:space="preserve"> for quantifying private </w:t>
      </w:r>
      <w:r w:rsidR="008F5024">
        <w:t>funding</w:t>
      </w:r>
      <w:r w:rsidR="00B535FA">
        <w:t>, based on available data</w:t>
      </w:r>
      <w:r>
        <w:t xml:space="preserve">.  </w:t>
      </w:r>
      <w:r w:rsidR="00CB5329">
        <w:t>This</w:t>
      </w:r>
      <w:r>
        <w:t xml:space="preserve"> report </w:t>
      </w:r>
      <w:r w:rsidR="008F5024">
        <w:t>explore</w:t>
      </w:r>
      <w:r w:rsidR="00CB5329">
        <w:t>s</w:t>
      </w:r>
      <w:r>
        <w:t xml:space="preserve"> </w:t>
      </w:r>
      <w:r w:rsidR="008F5024">
        <w:t>these methods</w:t>
      </w:r>
      <w:r>
        <w:t xml:space="preserve"> and assess</w:t>
      </w:r>
      <w:r w:rsidR="00CB5329">
        <w:t>es</w:t>
      </w:r>
      <w:r>
        <w:t xml:space="preserve"> whether the same methodology </w:t>
      </w:r>
      <w:r w:rsidR="008F5024">
        <w:t xml:space="preserve">can be applied </w:t>
      </w:r>
      <w:r w:rsidR="00B535FA">
        <w:t xml:space="preserve">at the national level </w:t>
      </w:r>
      <w:r w:rsidR="008F5024">
        <w:t>to operationalize the</w:t>
      </w:r>
      <w:r>
        <w:t xml:space="preserve"> D.3 headline indicator.  </w:t>
      </w:r>
      <w:r w:rsidR="008F5024">
        <w:t xml:space="preserve">Feasibility was assessed against a list of criteria established in consultation with members of the technical expert group to ensure national reporting </w:t>
      </w:r>
      <w:r w:rsidR="00FA3254">
        <w:t>requirements</w:t>
      </w:r>
      <w:r w:rsidR="008F5024">
        <w:t xml:space="preserve"> are met. </w:t>
      </w:r>
      <w:r w:rsidR="00FA3254">
        <w:t xml:space="preserve"> </w:t>
      </w:r>
    </w:p>
    <w:p w14:paraId="0C8FF1C0" w14:textId="77777777" w:rsidR="00082441" w:rsidRDefault="00082441" w:rsidP="00582C5B">
      <w:pPr>
        <w:jc w:val="both"/>
      </w:pPr>
    </w:p>
    <w:p w14:paraId="0584147A" w14:textId="06AF687E" w:rsidR="00082441" w:rsidRDefault="00082441" w:rsidP="00582C5B">
      <w:pPr>
        <w:jc w:val="both"/>
      </w:pPr>
      <w:r>
        <w:t xml:space="preserve">The second set of measurement approaches, as outlined in Section Nine, explores other possible approaches to measuring private funding for biodiversity using existing data that are not utilized in current global assessments.  Considering </w:t>
      </w:r>
      <w:r w:rsidR="00CB5329">
        <w:t>these</w:t>
      </w:r>
      <w:r>
        <w:t xml:space="preserve"> measurement approaches, the final sections explore possible work programmes to enhance the identification and reporting of private funding for </w:t>
      </w:r>
      <w:r w:rsidR="003A1D72">
        <w:t>biodiversity and</w:t>
      </w:r>
      <w:r>
        <w:t xml:space="preserve"> </w:t>
      </w:r>
      <w:proofErr w:type="gramStart"/>
      <w:r>
        <w:t>concludes</w:t>
      </w:r>
      <w:proofErr w:type="gramEnd"/>
      <w:r>
        <w:t xml:space="preserve"> with a set of recommendations to begin reporting based on existing information and </w:t>
      </w:r>
      <w:r w:rsidR="003A1D72">
        <w:t xml:space="preserve">suggests </w:t>
      </w:r>
      <w:r>
        <w:t xml:space="preserve">approaches to expand reporting over time. </w:t>
      </w:r>
    </w:p>
    <w:p w14:paraId="4130A70C" w14:textId="77777777" w:rsidR="00D71FA9" w:rsidRDefault="00D71FA9" w:rsidP="00C247A0">
      <w:pPr>
        <w:jc w:val="both"/>
      </w:pPr>
    </w:p>
    <w:p w14:paraId="7CFA77EF" w14:textId="50265B78" w:rsidR="00D71FA9" w:rsidRDefault="00BB72F0" w:rsidP="00C247A0">
      <w:pPr>
        <w:jc w:val="both"/>
      </w:pPr>
      <w:r>
        <w:t xml:space="preserve">Countries will need clear guidance on operationalization, including available data sources, data collection methods, and methods of computation to report accurate, </w:t>
      </w:r>
      <w:r w:rsidR="00EE4663">
        <w:t>credible</w:t>
      </w:r>
      <w:r>
        <w:t xml:space="preserve">, and consistent estimates of private funding for biodiversity.  </w:t>
      </w:r>
      <w:r w:rsidR="00FA3254">
        <w:t xml:space="preserve">Although limited information is currently available, countries can draw on existing data to begin </w:t>
      </w:r>
      <w:proofErr w:type="gramStart"/>
      <w:r w:rsidR="00FA3254">
        <w:t>reporting, and</w:t>
      </w:r>
      <w:proofErr w:type="gramEnd"/>
      <w:r w:rsidR="00FA3254">
        <w:t xml:space="preserve"> expand their reporting scope as new information becomes available.</w:t>
      </w:r>
      <w:r w:rsidR="00E14C4F">
        <w:t xml:space="preserve">  It will be important for countries to work alongside the private sector to provide clear guidance and policy frameworks to align private investments with the objectives of the KMGBF and encourage transparency in private sector investments.</w:t>
      </w:r>
    </w:p>
    <w:p w14:paraId="10F50A6F" w14:textId="15AA68AD" w:rsidR="004935FE" w:rsidRPr="004935FE" w:rsidRDefault="007B5F24" w:rsidP="0005274F">
      <w:pPr>
        <w:pStyle w:val="Heading1"/>
        <w:jc w:val="both"/>
        <w:rPr>
          <w:b/>
        </w:rPr>
      </w:pPr>
      <w:bookmarkStart w:id="3" w:name="_Toc172018353"/>
      <w:r>
        <w:t xml:space="preserve">Section </w:t>
      </w:r>
      <w:r w:rsidR="00083F6F">
        <w:t>Four</w:t>
      </w:r>
      <w:r w:rsidR="00D674EB">
        <w:t>:</w:t>
      </w:r>
      <w:r w:rsidR="00971B3F">
        <w:t xml:space="preserve"> </w:t>
      </w:r>
      <w:r w:rsidR="0005274F">
        <w:t xml:space="preserve">Financial and Policy </w:t>
      </w:r>
      <w:r w:rsidR="00050B23">
        <w:t>Mechanisms</w:t>
      </w:r>
      <w:r w:rsidR="0005274F">
        <w:t xml:space="preserve"> for</w:t>
      </w:r>
      <w:r w:rsidR="00DF5448">
        <w:t xml:space="preserve"> </w:t>
      </w:r>
      <w:r w:rsidR="00C238F2">
        <w:t>Biodiversity</w:t>
      </w:r>
      <w:bookmarkEnd w:id="3"/>
      <w:r w:rsidR="00C238F2">
        <w:t xml:space="preserve"> </w:t>
      </w:r>
    </w:p>
    <w:p w14:paraId="5150D633" w14:textId="77777777" w:rsidR="004935FE" w:rsidRDefault="004935FE" w:rsidP="00D816EA">
      <w:pPr>
        <w:jc w:val="both"/>
      </w:pPr>
    </w:p>
    <w:p w14:paraId="6F981140" w14:textId="7E7A19A5" w:rsidR="001C4A85" w:rsidRDefault="00810D68" w:rsidP="00D816EA">
      <w:pPr>
        <w:jc w:val="both"/>
      </w:pPr>
      <w:r>
        <w:t>Private funding</w:t>
      </w:r>
      <w:r w:rsidR="0005274F">
        <w:t xml:space="preserve"> for biodiversity</w:t>
      </w:r>
      <w:r>
        <w:t xml:space="preserve"> includes </w:t>
      </w:r>
      <w:r w:rsidR="008449D5">
        <w:t xml:space="preserve">funding from </w:t>
      </w:r>
      <w:r>
        <w:t>all non-public actors</w:t>
      </w:r>
      <w:r w:rsidR="00742406">
        <w:t xml:space="preserve"> including </w:t>
      </w:r>
      <w:r w:rsidR="007D2A45">
        <w:t xml:space="preserve">households, </w:t>
      </w:r>
      <w:r>
        <w:t>philanthropic foundations</w:t>
      </w:r>
      <w:r w:rsidR="007B5FB8">
        <w:t xml:space="preserve">, </w:t>
      </w:r>
      <w:r>
        <w:t>businesses, investors</w:t>
      </w:r>
      <w:r w:rsidR="000547C1">
        <w:t xml:space="preserve"> and financial institutions</w:t>
      </w:r>
      <w:r>
        <w:t xml:space="preserve">. Funding from private entities </w:t>
      </w:r>
      <w:r w:rsidR="00742406">
        <w:t xml:space="preserve">generally </w:t>
      </w:r>
      <w:r>
        <w:t>flows from a source (</w:t>
      </w:r>
      <w:r w:rsidR="00742406">
        <w:t xml:space="preserve">such as </w:t>
      </w:r>
      <w:r>
        <w:t>household income and corporate revenue)</w:t>
      </w:r>
      <w:r w:rsidR="00F2594E">
        <w:t xml:space="preserve"> </w:t>
      </w:r>
      <w:r w:rsidR="008449D5">
        <w:t>to</w:t>
      </w:r>
      <w:r>
        <w:t xml:space="preserve"> an implementer (</w:t>
      </w:r>
      <w:r w:rsidR="00742406">
        <w:t xml:space="preserve">such as a </w:t>
      </w:r>
      <w:r>
        <w:t>conservation NGO, private compan</w:t>
      </w:r>
      <w:r w:rsidR="00742406">
        <w:t>y</w:t>
      </w:r>
      <w:r>
        <w:t xml:space="preserve">, </w:t>
      </w:r>
      <w:r w:rsidR="00CE6562">
        <w:t xml:space="preserve">government, </w:t>
      </w:r>
      <w:r>
        <w:t>or household)</w:t>
      </w:r>
      <w:r w:rsidR="008449D5">
        <w:t xml:space="preserve">. Sometimes these funds flow </w:t>
      </w:r>
      <w:r>
        <w:t xml:space="preserve">through an intermediary (e.g. philanthropic foundations or </w:t>
      </w:r>
      <w:r w:rsidR="000547C1">
        <w:t>investment managers</w:t>
      </w:r>
      <w:r>
        <w:t xml:space="preserve">).  </w:t>
      </w:r>
      <w:r w:rsidR="00CE6562">
        <w:t>Private funding</w:t>
      </w:r>
      <w:r>
        <w:t xml:space="preserve"> mechanisms for biodiversity include grants, debt, equity, and </w:t>
      </w:r>
      <w:r w:rsidR="00882A11">
        <w:t xml:space="preserve">certain economic incentive schemes </w:t>
      </w:r>
      <w:r>
        <w:t xml:space="preserve">such as </w:t>
      </w:r>
      <w:r w:rsidR="00882A11">
        <w:t xml:space="preserve">biodiversity </w:t>
      </w:r>
      <w:r>
        <w:t>offsets</w:t>
      </w:r>
      <w:r w:rsidR="00CE6562">
        <w:t>, carbon markets,</w:t>
      </w:r>
      <w:r>
        <w:t xml:space="preserve"> and water quality trading</w:t>
      </w:r>
      <w:r w:rsidR="00882A11">
        <w:t xml:space="preserve"> and </w:t>
      </w:r>
      <w:r w:rsidR="00F4248C">
        <w:t>payment for ecosystem service (</w:t>
      </w:r>
      <w:r w:rsidR="00882A11">
        <w:t>PES</w:t>
      </w:r>
      <w:r w:rsidR="00F4248C">
        <w:t>)</w:t>
      </w:r>
      <w:r w:rsidR="00882A11">
        <w:t xml:space="preserve"> schemes</w:t>
      </w:r>
      <w:r w:rsidR="00CE6562">
        <w:t xml:space="preserve"> </w:t>
      </w:r>
      <w:r w:rsidR="00882A11">
        <w:t xml:space="preserve">depending on their design and </w:t>
      </w:r>
      <w:r w:rsidR="004C6280">
        <w:t>implementation</w:t>
      </w:r>
      <w:r>
        <w:t xml:space="preserve">. </w:t>
      </w:r>
      <w:r w:rsidR="00CE6562">
        <w:t xml:space="preserve">Private funding mechanisms also include investments in sustainable supply chains such as agriculture, forestry, and fishery goods. </w:t>
      </w:r>
    </w:p>
    <w:p w14:paraId="49239DC4" w14:textId="77777777" w:rsidR="00C24089" w:rsidRPr="001C4A85" w:rsidRDefault="00C24089" w:rsidP="00D816EA">
      <w:pPr>
        <w:jc w:val="both"/>
      </w:pPr>
    </w:p>
    <w:p w14:paraId="0C13048F" w14:textId="64F05815" w:rsidR="004D459A" w:rsidRPr="00421875" w:rsidRDefault="004D459A" w:rsidP="00D816EA">
      <w:pPr>
        <w:pStyle w:val="Caption"/>
      </w:pPr>
      <w:r w:rsidRPr="00E241DC">
        <w:rPr>
          <w:noProof/>
        </w:rPr>
        <w:lastRenderedPageBreak/>
        <mc:AlternateContent>
          <mc:Choice Requires="wps">
            <w:drawing>
              <wp:anchor distT="0" distB="0" distL="114300" distR="114300" simplePos="0" relativeHeight="251658240" behindDoc="0" locked="0" layoutInCell="1" allowOverlap="1" wp14:anchorId="29FD1D8B" wp14:editId="110A4771">
                <wp:simplePos x="0" y="0"/>
                <wp:positionH relativeFrom="column">
                  <wp:posOffset>3916680</wp:posOffset>
                </wp:positionH>
                <wp:positionV relativeFrom="paragraph">
                  <wp:posOffset>240030</wp:posOffset>
                </wp:positionV>
                <wp:extent cx="2423160" cy="3221355"/>
                <wp:effectExtent l="0" t="0" r="15240" b="17145"/>
                <wp:wrapNone/>
                <wp:docPr id="3" name="Rectangle: Rounded Corners 3"/>
                <wp:cNvGraphicFramePr/>
                <a:graphic xmlns:a="http://schemas.openxmlformats.org/drawingml/2006/main">
                  <a:graphicData uri="http://schemas.microsoft.com/office/word/2010/wordprocessingShape">
                    <wps:wsp>
                      <wps:cNvSpPr/>
                      <wps:spPr>
                        <a:xfrm>
                          <a:off x="0" y="0"/>
                          <a:ext cx="2423160" cy="322135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603484" w14:textId="639D96DE" w:rsidR="001D2206" w:rsidRPr="00090A02" w:rsidRDefault="001D2206" w:rsidP="001E5D19">
                            <w:pPr>
                              <w:jc w:val="center"/>
                              <w:rPr>
                                <w:b/>
                                <w:color w:val="4472C4" w:themeColor="accent1"/>
                                <w14:textOutline w14:w="9525" w14:cap="rnd" w14:cmpd="sng" w14:algn="ctr">
                                  <w14:noFill/>
                                  <w14:prstDash w14:val="solid"/>
                                  <w14:bevel/>
                                </w14:textOutline>
                              </w:rPr>
                            </w:pPr>
                            <w:r w:rsidRPr="00090A02">
                              <w:rPr>
                                <w:b/>
                                <w:color w:val="4472C4" w:themeColor="accent1"/>
                                <w14:textOutline w14:w="9525" w14:cap="rnd" w14:cmpd="sng" w14:algn="ctr">
                                  <w14:noFill/>
                                  <w14:prstDash w14:val="solid"/>
                                  <w14:bevel/>
                                </w14:textOutline>
                              </w:rPr>
                              <w:t>Financial</w:t>
                            </w:r>
                            <w:r w:rsidR="001B1C48">
                              <w:rPr>
                                <w:b/>
                                <w:color w:val="4472C4" w:themeColor="accent1"/>
                                <w14:textOutline w14:w="9525" w14:cap="rnd" w14:cmpd="sng" w14:algn="ctr">
                                  <w14:noFill/>
                                  <w14:prstDash w14:val="solid"/>
                                  <w14:bevel/>
                                </w14:textOutline>
                              </w:rPr>
                              <w:t xml:space="preserve"> and Policy</w:t>
                            </w:r>
                            <w:r w:rsidRPr="00090A02">
                              <w:rPr>
                                <w:b/>
                                <w:color w:val="4472C4" w:themeColor="accent1"/>
                                <w14:textOutline w14:w="9525" w14:cap="rnd" w14:cmpd="sng" w14:algn="ctr">
                                  <w14:noFill/>
                                  <w14:prstDash w14:val="solid"/>
                                  <w14:bevel/>
                                </w14:textOutline>
                              </w:rPr>
                              <w:t xml:space="preserve"> </w:t>
                            </w:r>
                            <w:r w:rsidR="009E6573">
                              <w:rPr>
                                <w:b/>
                                <w:color w:val="4472C4" w:themeColor="accent1"/>
                                <w14:textOutline w14:w="9525" w14:cap="rnd" w14:cmpd="sng" w14:algn="ctr">
                                  <w14:noFill/>
                                  <w14:prstDash w14:val="solid"/>
                                  <w14:bevel/>
                                </w14:textOutline>
                              </w:rPr>
                              <w:t>Mechanisms</w:t>
                            </w:r>
                          </w:p>
                          <w:p w14:paraId="4861E0F8" w14:textId="6E006880" w:rsidR="001D2206" w:rsidRPr="00090A02" w:rsidRDefault="001D2206" w:rsidP="001E5D19">
                            <w:pPr>
                              <w:jc w:val="center"/>
                              <w:rPr>
                                <w:color w:val="4472C4" w:themeColor="accent1"/>
                                <w14:textOutline w14:w="9525" w14:cap="rnd" w14:cmpd="sng" w14:algn="ctr">
                                  <w14:noFill/>
                                  <w14:prstDash w14:val="solid"/>
                                  <w14:bevel/>
                                </w14:textOutline>
                              </w:rPr>
                            </w:pPr>
                          </w:p>
                          <w:p w14:paraId="7454F3F6" w14:textId="77777777"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Grants (e.g. philanthropy)</w:t>
                            </w:r>
                          </w:p>
                          <w:p w14:paraId="0D421D24" w14:textId="70728493"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sidRPr="00090A02">
                              <w:rPr>
                                <w:color w:val="4472C4" w:themeColor="accent1"/>
                                <w14:textOutline w14:w="9525" w14:cap="rnd" w14:cmpd="sng" w14:algn="ctr">
                                  <w14:noFill/>
                                  <w14:prstDash w14:val="solid"/>
                                  <w14:bevel/>
                                </w14:textOutline>
                              </w:rPr>
                              <w:t>Payments for ecosystem services</w:t>
                            </w:r>
                          </w:p>
                          <w:p w14:paraId="4B4E33D9" w14:textId="55B546C4"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sidRPr="00090A02">
                              <w:rPr>
                                <w:color w:val="4472C4" w:themeColor="accent1"/>
                                <w14:textOutline w14:w="9525" w14:cap="rnd" w14:cmpd="sng" w14:algn="ctr">
                                  <w14:noFill/>
                                  <w14:prstDash w14:val="solid"/>
                                  <w14:bevel/>
                                </w14:textOutline>
                              </w:rPr>
                              <w:t>Biodiversity Offsets</w:t>
                            </w:r>
                          </w:p>
                          <w:p w14:paraId="2668AF10" w14:textId="2B825F8E"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Sustainable supply chains</w:t>
                            </w:r>
                          </w:p>
                          <w:p w14:paraId="1300237E" w14:textId="0683255B"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Natural climate solutions</w:t>
                            </w:r>
                            <w:r w:rsidR="002E58BE">
                              <w:rPr>
                                <w:color w:val="4472C4" w:themeColor="accent1"/>
                                <w14:textOutline w14:w="9525" w14:cap="rnd" w14:cmpd="sng" w14:algn="ctr">
                                  <w14:noFill/>
                                  <w14:prstDash w14:val="solid"/>
                                  <w14:bevel/>
                                </w14:textOutline>
                              </w:rPr>
                              <w:t xml:space="preserve"> (e.g. forest carbon funds)</w:t>
                            </w:r>
                          </w:p>
                          <w:p w14:paraId="748BF203" w14:textId="32D863FB"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 xml:space="preserve">Other </w:t>
                            </w:r>
                            <w:r w:rsidR="002E58BE">
                              <w:rPr>
                                <w:color w:val="4472C4" w:themeColor="accent1"/>
                                <w14:textOutline w14:w="9525" w14:cap="rnd" w14:cmpd="sng" w14:algn="ctr">
                                  <w14:noFill/>
                                  <w14:prstDash w14:val="solid"/>
                                  <w14:bevel/>
                                </w14:textOutline>
                              </w:rPr>
                              <w:t xml:space="preserve">biodiversity-relevant </w:t>
                            </w:r>
                            <w:r>
                              <w:rPr>
                                <w:color w:val="4472C4" w:themeColor="accent1"/>
                                <w14:textOutline w14:w="9525" w14:cap="rnd" w14:cmpd="sng" w14:algn="ctr">
                                  <w14:noFill/>
                                  <w14:prstDash w14:val="solid"/>
                                  <w14:bevel/>
                                </w14:textOutline>
                              </w:rPr>
                              <w:t xml:space="preserve">financial products (e.g. </w:t>
                            </w:r>
                            <w:r w:rsidR="002E58BE">
                              <w:rPr>
                                <w:color w:val="4472C4" w:themeColor="accent1"/>
                                <w14:textOutline w14:w="9525" w14:cap="rnd" w14:cmpd="sng" w14:algn="ctr">
                                  <w14:noFill/>
                                  <w14:prstDash w14:val="solid"/>
                                  <w14:bevel/>
                                </w14:textOutline>
                              </w:rPr>
                              <w:t>blue/</w:t>
                            </w:r>
                            <w:r>
                              <w:rPr>
                                <w:color w:val="4472C4" w:themeColor="accent1"/>
                                <w14:textOutline w14:w="9525" w14:cap="rnd" w14:cmpd="sng" w14:algn="ctr">
                                  <w14:noFill/>
                                  <w14:prstDash w14:val="solid"/>
                                  <w14:bevel/>
                                </w14:textOutline>
                              </w:rPr>
                              <w:t>green bonds, impact investments</w:t>
                            </w:r>
                            <w:r w:rsidR="002E58BE">
                              <w:rPr>
                                <w:color w:val="4472C4" w:themeColor="accent1"/>
                                <w14:textOutline w14:w="9525" w14:cap="rnd" w14:cmpd="sng" w14:algn="ctr">
                                  <w14:noFill/>
                                  <w14:prstDash w14:val="solid"/>
                                  <w14:bevel/>
                                </w14:textOutline>
                              </w:rPr>
                              <w:t>, insurance products</w:t>
                            </w:r>
                            <w:r>
                              <w:rPr>
                                <w:color w:val="4472C4" w:themeColor="accent1"/>
                                <w14:textOutline w14:w="9525" w14:cap="rnd" w14:cmpd="sng" w14:algn="ctr">
                                  <w14:noFill/>
                                  <w14:prstDash w14:val="solid"/>
                                  <w14:bevel/>
                                </w14:textOutline>
                              </w:rPr>
                              <w:t>)</w:t>
                            </w:r>
                          </w:p>
                          <w:p w14:paraId="44E5F262" w14:textId="77777777" w:rsidR="001D2206" w:rsidRPr="00090A02" w:rsidRDefault="001D2206" w:rsidP="00521B80">
                            <w:pPr>
                              <w:ind w:left="360" w:hanging="180"/>
                              <w:rPr>
                                <w:color w:val="4472C4" w:themeColor="accent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FD1D8B" id="Rectangle: Rounded Corners 3" o:spid="_x0000_s1027" style="position:absolute;left:0;text-align:left;margin-left:308.4pt;margin-top:18.9pt;width:190.8pt;height:25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" fillcolor="white [3212]" strokecolor="#1f3763 [1604]" strokeweight="1pt">
                <v:stroke joinstyle="miter"/>
                <v:textbox>
                  <w:txbxContent>
                    <w:p w14:paraId="23603484" w14:textId="639D96DE" w:rsidR="001D2206" w:rsidRPr="00090A02" w:rsidRDefault="001D2206" w:rsidP="001E5D19">
                      <w:pPr>
                        <w:jc w:val="center"/>
                        <w:rPr>
                          <w:b/>
                          <w:color w:val="4472C4" w:themeColor="accent1"/>
                          <w14:textOutline w14:w="9525" w14:cap="rnd" w14:cmpd="sng" w14:algn="ctr">
                            <w14:noFill/>
                            <w14:prstDash w14:val="solid"/>
                            <w14:bevel/>
                          </w14:textOutline>
                        </w:rPr>
                      </w:pPr>
                      <w:r w:rsidRPr="00090A02">
                        <w:rPr>
                          <w:b/>
                          <w:color w:val="4472C4" w:themeColor="accent1"/>
                          <w14:textOutline w14:w="9525" w14:cap="rnd" w14:cmpd="sng" w14:algn="ctr">
                            <w14:noFill/>
                            <w14:prstDash w14:val="solid"/>
                            <w14:bevel/>
                          </w14:textOutline>
                        </w:rPr>
                        <w:t>Financial</w:t>
                      </w:r>
                      <w:r w:rsidR="001B1C48">
                        <w:rPr>
                          <w:b/>
                          <w:color w:val="4472C4" w:themeColor="accent1"/>
                          <w14:textOutline w14:w="9525" w14:cap="rnd" w14:cmpd="sng" w14:algn="ctr">
                            <w14:noFill/>
                            <w14:prstDash w14:val="solid"/>
                            <w14:bevel/>
                          </w14:textOutline>
                        </w:rPr>
                        <w:t xml:space="preserve"> and Policy</w:t>
                      </w:r>
                      <w:r w:rsidRPr="00090A02">
                        <w:rPr>
                          <w:b/>
                          <w:color w:val="4472C4" w:themeColor="accent1"/>
                          <w14:textOutline w14:w="9525" w14:cap="rnd" w14:cmpd="sng" w14:algn="ctr">
                            <w14:noFill/>
                            <w14:prstDash w14:val="solid"/>
                            <w14:bevel/>
                          </w14:textOutline>
                        </w:rPr>
                        <w:t xml:space="preserve"> </w:t>
                      </w:r>
                      <w:r w:rsidR="009E6573">
                        <w:rPr>
                          <w:b/>
                          <w:color w:val="4472C4" w:themeColor="accent1"/>
                          <w14:textOutline w14:w="9525" w14:cap="rnd" w14:cmpd="sng" w14:algn="ctr">
                            <w14:noFill/>
                            <w14:prstDash w14:val="solid"/>
                            <w14:bevel/>
                          </w14:textOutline>
                        </w:rPr>
                        <w:t>Mechanisms</w:t>
                      </w:r>
                    </w:p>
                    <w:p w14:paraId="4861E0F8" w14:textId="6E006880" w:rsidR="001D2206" w:rsidRPr="00090A02" w:rsidRDefault="001D2206" w:rsidP="001E5D19">
                      <w:pPr>
                        <w:jc w:val="center"/>
                        <w:rPr>
                          <w:color w:val="4472C4" w:themeColor="accent1"/>
                          <w14:textOutline w14:w="9525" w14:cap="rnd" w14:cmpd="sng" w14:algn="ctr">
                            <w14:noFill/>
                            <w14:prstDash w14:val="solid"/>
                            <w14:bevel/>
                          </w14:textOutline>
                        </w:rPr>
                      </w:pPr>
                    </w:p>
                    <w:p w14:paraId="7454F3F6" w14:textId="77777777"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Grants (e.g. philanthropy)</w:t>
                      </w:r>
                    </w:p>
                    <w:p w14:paraId="0D421D24" w14:textId="70728493"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sidRPr="00090A02">
                        <w:rPr>
                          <w:color w:val="4472C4" w:themeColor="accent1"/>
                          <w14:textOutline w14:w="9525" w14:cap="rnd" w14:cmpd="sng" w14:algn="ctr">
                            <w14:noFill/>
                            <w14:prstDash w14:val="solid"/>
                            <w14:bevel/>
                          </w14:textOutline>
                        </w:rPr>
                        <w:t>Payments for ecosystem services</w:t>
                      </w:r>
                    </w:p>
                    <w:p w14:paraId="4B4E33D9" w14:textId="55B546C4"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sidRPr="00090A02">
                        <w:rPr>
                          <w:color w:val="4472C4" w:themeColor="accent1"/>
                          <w14:textOutline w14:w="9525" w14:cap="rnd" w14:cmpd="sng" w14:algn="ctr">
                            <w14:noFill/>
                            <w14:prstDash w14:val="solid"/>
                            <w14:bevel/>
                          </w14:textOutline>
                        </w:rPr>
                        <w:t>Biodiversity Offsets</w:t>
                      </w:r>
                    </w:p>
                    <w:p w14:paraId="2668AF10" w14:textId="2B825F8E"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Sustainable supply chains</w:t>
                      </w:r>
                    </w:p>
                    <w:p w14:paraId="1300237E" w14:textId="0683255B" w:rsidR="001D2206"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Natural climate solutions</w:t>
                      </w:r>
                      <w:r w:rsidR="002E58BE">
                        <w:rPr>
                          <w:color w:val="4472C4" w:themeColor="accent1"/>
                          <w14:textOutline w14:w="9525" w14:cap="rnd" w14:cmpd="sng" w14:algn="ctr">
                            <w14:noFill/>
                            <w14:prstDash w14:val="solid"/>
                            <w14:bevel/>
                          </w14:textOutline>
                        </w:rPr>
                        <w:t xml:space="preserve"> (e.g. forest carbon funds)</w:t>
                      </w:r>
                    </w:p>
                    <w:p w14:paraId="748BF203" w14:textId="32D863FB" w:rsidR="001D2206" w:rsidRPr="00090A02" w:rsidRDefault="001D2206" w:rsidP="00521B80">
                      <w:pPr>
                        <w:pStyle w:val="ListParagraph"/>
                        <w:numPr>
                          <w:ilvl w:val="0"/>
                          <w:numId w:val="16"/>
                        </w:numPr>
                        <w:ind w:left="360" w:hanging="180"/>
                        <w:rPr>
                          <w:color w:val="4472C4" w:themeColor="accent1"/>
                          <w14:textOutline w14:w="9525" w14:cap="rnd" w14:cmpd="sng" w14:algn="ctr">
                            <w14:noFill/>
                            <w14:prstDash w14:val="solid"/>
                            <w14:bevel/>
                          </w14:textOutline>
                        </w:rPr>
                      </w:pPr>
                      <w:r>
                        <w:rPr>
                          <w:color w:val="4472C4" w:themeColor="accent1"/>
                          <w14:textOutline w14:w="9525" w14:cap="rnd" w14:cmpd="sng" w14:algn="ctr">
                            <w14:noFill/>
                            <w14:prstDash w14:val="solid"/>
                            <w14:bevel/>
                          </w14:textOutline>
                        </w:rPr>
                        <w:t xml:space="preserve">Other </w:t>
                      </w:r>
                      <w:r w:rsidR="002E58BE">
                        <w:rPr>
                          <w:color w:val="4472C4" w:themeColor="accent1"/>
                          <w14:textOutline w14:w="9525" w14:cap="rnd" w14:cmpd="sng" w14:algn="ctr">
                            <w14:noFill/>
                            <w14:prstDash w14:val="solid"/>
                            <w14:bevel/>
                          </w14:textOutline>
                        </w:rPr>
                        <w:t xml:space="preserve">biodiversity-relevant </w:t>
                      </w:r>
                      <w:r>
                        <w:rPr>
                          <w:color w:val="4472C4" w:themeColor="accent1"/>
                          <w14:textOutline w14:w="9525" w14:cap="rnd" w14:cmpd="sng" w14:algn="ctr">
                            <w14:noFill/>
                            <w14:prstDash w14:val="solid"/>
                            <w14:bevel/>
                          </w14:textOutline>
                        </w:rPr>
                        <w:t xml:space="preserve">financial products (e.g. </w:t>
                      </w:r>
                      <w:r w:rsidR="002E58BE">
                        <w:rPr>
                          <w:color w:val="4472C4" w:themeColor="accent1"/>
                          <w14:textOutline w14:w="9525" w14:cap="rnd" w14:cmpd="sng" w14:algn="ctr">
                            <w14:noFill/>
                            <w14:prstDash w14:val="solid"/>
                            <w14:bevel/>
                          </w14:textOutline>
                        </w:rPr>
                        <w:t>blue/</w:t>
                      </w:r>
                      <w:r>
                        <w:rPr>
                          <w:color w:val="4472C4" w:themeColor="accent1"/>
                          <w14:textOutline w14:w="9525" w14:cap="rnd" w14:cmpd="sng" w14:algn="ctr">
                            <w14:noFill/>
                            <w14:prstDash w14:val="solid"/>
                            <w14:bevel/>
                          </w14:textOutline>
                        </w:rPr>
                        <w:t>green bonds, impact investments</w:t>
                      </w:r>
                      <w:r w:rsidR="002E58BE">
                        <w:rPr>
                          <w:color w:val="4472C4" w:themeColor="accent1"/>
                          <w14:textOutline w14:w="9525" w14:cap="rnd" w14:cmpd="sng" w14:algn="ctr">
                            <w14:noFill/>
                            <w14:prstDash w14:val="solid"/>
                            <w14:bevel/>
                          </w14:textOutline>
                        </w:rPr>
                        <w:t>, insurance products</w:t>
                      </w:r>
                      <w:r>
                        <w:rPr>
                          <w:color w:val="4472C4" w:themeColor="accent1"/>
                          <w14:textOutline w14:w="9525" w14:cap="rnd" w14:cmpd="sng" w14:algn="ctr">
                            <w14:noFill/>
                            <w14:prstDash w14:val="solid"/>
                            <w14:bevel/>
                          </w14:textOutline>
                        </w:rPr>
                        <w:t>)</w:t>
                      </w:r>
                    </w:p>
                    <w:p w14:paraId="44E5F262" w14:textId="77777777" w:rsidR="001D2206" w:rsidRPr="00090A02" w:rsidRDefault="001D2206" w:rsidP="00521B80">
                      <w:pPr>
                        <w:ind w:left="360" w:hanging="180"/>
                        <w:rPr>
                          <w:color w:val="4472C4" w:themeColor="accent1"/>
                          <w14:textOutline w14:w="9525" w14:cap="rnd" w14:cmpd="sng" w14:algn="ctr">
                            <w14:noFill/>
                            <w14:prstDash w14:val="solid"/>
                            <w14:bevel/>
                          </w14:textOutline>
                        </w:rPr>
                      </w:pPr>
                    </w:p>
                  </w:txbxContent>
                </v:textbox>
              </v:roundrect>
            </w:pict>
          </mc:Fallback>
        </mc:AlternateContent>
      </w:r>
      <w:r w:rsidRPr="00E241DC">
        <w:t xml:space="preserve">Figure </w:t>
      </w:r>
      <w:fldSimple w:instr=" SEQ Figure \* ARABIC ">
        <w:r w:rsidR="00540223">
          <w:rPr>
            <w:noProof/>
          </w:rPr>
          <w:t>1</w:t>
        </w:r>
      </w:fldSimple>
      <w:r w:rsidRPr="00421875">
        <w:t xml:space="preserve"> </w:t>
      </w:r>
      <w:r w:rsidRPr="00E241DC">
        <w:t xml:space="preserve">The </w:t>
      </w:r>
      <w:r w:rsidR="009E6573">
        <w:t>p</w:t>
      </w:r>
      <w:r w:rsidRPr="00E241DC">
        <w:t>rivate biodiversity finance landscape</w:t>
      </w:r>
    </w:p>
    <w:p w14:paraId="0FD2F81A" w14:textId="4CB07023" w:rsidR="001E5D19" w:rsidRDefault="004D459A" w:rsidP="002E58BE">
      <w:pPr>
        <w:jc w:val="both"/>
      </w:pPr>
      <w:r>
        <w:rPr>
          <w:noProof/>
        </w:rPr>
        <mc:AlternateContent>
          <mc:Choice Requires="wps">
            <w:drawing>
              <wp:anchor distT="0" distB="0" distL="114300" distR="114300" simplePos="0" relativeHeight="251658241" behindDoc="0" locked="0" layoutInCell="1" allowOverlap="1" wp14:anchorId="5C5E74CB" wp14:editId="69870A22">
                <wp:simplePos x="0" y="0"/>
                <wp:positionH relativeFrom="column">
                  <wp:posOffset>2853055</wp:posOffset>
                </wp:positionH>
                <wp:positionV relativeFrom="paragraph">
                  <wp:posOffset>619760</wp:posOffset>
                </wp:positionV>
                <wp:extent cx="499730" cy="2019935"/>
                <wp:effectExtent l="12700" t="0" r="21590" b="24765"/>
                <wp:wrapNone/>
                <wp:docPr id="1" name="Arrow: Down 1"/>
                <wp:cNvGraphicFramePr/>
                <a:graphic xmlns:a="http://schemas.openxmlformats.org/drawingml/2006/main">
                  <a:graphicData uri="http://schemas.microsoft.com/office/word/2010/wordprocessingShape">
                    <wps:wsp>
                      <wps:cNvSpPr/>
                      <wps:spPr>
                        <a:xfrm>
                          <a:off x="0" y="0"/>
                          <a:ext cx="499730" cy="2019935"/>
                        </a:xfrm>
                        <a:prstGeom prst="downArrow">
                          <a:avLst/>
                        </a:prstGeom>
                        <a:solidFill>
                          <a:schemeClr val="tx2">
                            <a:lumMod val="20000"/>
                            <a:lumOff val="80000"/>
                            <a:alpha val="9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DEF31" w14:textId="77777777" w:rsidR="001D2206" w:rsidRDefault="001D2206" w:rsidP="00090A0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5E74C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8" type="#_x0000_t67" style="position:absolute;left:0;text-align:left;margin-left:224.65pt;margin-top:48.8pt;width:39.35pt;height:159.0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" adj="18928" fillcolor="#d5dce4 [671]" strokecolor="#1f3763 [1604]" strokeweight="1pt">
                <v:fill opacity="59110f"/>
                <v:textbox>
                  <w:txbxContent>
                    <w:p w14:paraId="3E0DEF31" w14:textId="77777777" w:rsidR="001D2206" w:rsidRDefault="001D2206" w:rsidP="00090A02">
                      <w:pPr>
                        <w:jc w:val="center"/>
                      </w:pPr>
                    </w:p>
                  </w:txbxContent>
                </v:textbox>
              </v:shape>
            </w:pict>
          </mc:Fallback>
        </mc:AlternateContent>
      </w:r>
      <w:r w:rsidR="001E5D19">
        <w:rPr>
          <w:noProof/>
        </w:rPr>
        <w:drawing>
          <wp:inline distT="0" distB="0" distL="0" distR="0" wp14:anchorId="14A20DB4" wp14:editId="510F79F8">
            <wp:extent cx="3859618" cy="3200400"/>
            <wp:effectExtent l="19050" t="0" r="2667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2B0F36EC" w14:textId="77777777" w:rsidR="004D459A" w:rsidRDefault="004D459A" w:rsidP="00D816EA">
      <w:pPr>
        <w:jc w:val="both"/>
        <w:rPr>
          <w:i/>
        </w:rPr>
      </w:pPr>
    </w:p>
    <w:p w14:paraId="131AAD95" w14:textId="5F4E994A" w:rsidR="00C60D04" w:rsidRPr="004D459A" w:rsidRDefault="008449D5" w:rsidP="00D816EA">
      <w:pPr>
        <w:jc w:val="both"/>
        <w:rPr>
          <w:i/>
        </w:rPr>
      </w:pPr>
      <w:r w:rsidRPr="004D459A">
        <w:rPr>
          <w:i/>
        </w:rPr>
        <w:t xml:space="preserve">Source: Adapted from </w:t>
      </w:r>
      <w:r w:rsidRPr="00CE6562">
        <w:rPr>
          <w:i/>
        </w:rPr>
        <w:t xml:space="preserve">OECD </w:t>
      </w:r>
      <w:r w:rsidR="00CD7056">
        <w:rPr>
          <w:i/>
        </w:rPr>
        <w:t>(</w:t>
      </w:r>
      <w:r w:rsidRPr="00CE6562">
        <w:rPr>
          <w:i/>
        </w:rPr>
        <w:t>2020</w:t>
      </w:r>
      <w:r w:rsidR="00CD7056">
        <w:t xml:space="preserve">) </w:t>
      </w:r>
      <w:r w:rsidR="002C0CE2" w:rsidRPr="004D459A">
        <w:rPr>
          <w:i/>
        </w:rPr>
        <w:t xml:space="preserve">and </w:t>
      </w:r>
      <w:r w:rsidR="00FA6DBA">
        <w:rPr>
          <w:i/>
        </w:rPr>
        <w:t xml:space="preserve">Deutz, et al. </w:t>
      </w:r>
      <w:r w:rsidR="00CD7056">
        <w:rPr>
          <w:i/>
        </w:rPr>
        <w:t>(</w:t>
      </w:r>
      <w:r w:rsidR="00FA6DBA">
        <w:rPr>
          <w:i/>
        </w:rPr>
        <w:t>2020</w:t>
      </w:r>
      <w:r w:rsidR="00CD7056">
        <w:t>)</w:t>
      </w:r>
    </w:p>
    <w:p w14:paraId="178B4D4E" w14:textId="244C4852" w:rsidR="00B43AB0" w:rsidRDefault="00B43AB0" w:rsidP="00D816EA">
      <w:pPr>
        <w:jc w:val="both"/>
      </w:pPr>
    </w:p>
    <w:p w14:paraId="1D7F354D" w14:textId="3CD196C8" w:rsidR="000E54DA" w:rsidRDefault="000E54DA" w:rsidP="00D816EA">
      <w:pPr>
        <w:jc w:val="both"/>
      </w:pPr>
      <w:r>
        <w:t xml:space="preserve">The multiple channels of </w:t>
      </w:r>
      <w:r w:rsidR="009E6573">
        <w:t xml:space="preserve">private </w:t>
      </w:r>
      <w:r>
        <w:t>funding sources</w:t>
      </w:r>
      <w:r w:rsidR="005A38FF">
        <w:t>, intermediaries, and implementers</w:t>
      </w:r>
      <w:r>
        <w:t xml:space="preserve"> that utilize these financial </w:t>
      </w:r>
      <w:r w:rsidR="009E6573">
        <w:t>mechanisms</w:t>
      </w:r>
      <w:r>
        <w:t xml:space="preserve"> are described </w:t>
      </w:r>
      <w:r w:rsidR="00784ED7">
        <w:t xml:space="preserve">in detail </w:t>
      </w:r>
      <w:r>
        <w:t>below.</w:t>
      </w:r>
    </w:p>
    <w:p w14:paraId="7F206AB8" w14:textId="77777777" w:rsidR="000E54DA" w:rsidRDefault="000E54DA" w:rsidP="00D816EA">
      <w:pPr>
        <w:jc w:val="both"/>
      </w:pPr>
    </w:p>
    <w:p w14:paraId="369C47B0" w14:textId="2CE05728" w:rsidR="00247D77" w:rsidRDefault="00C60D04" w:rsidP="00D816EA">
      <w:pPr>
        <w:pStyle w:val="ListParagraph"/>
        <w:numPr>
          <w:ilvl w:val="0"/>
          <w:numId w:val="13"/>
        </w:numPr>
        <w:jc w:val="both"/>
      </w:pPr>
      <w:r w:rsidRPr="000E54DA">
        <w:rPr>
          <w:b/>
        </w:rPr>
        <w:t>Private philanthropy</w:t>
      </w:r>
      <w:r>
        <w:t>.</w:t>
      </w:r>
      <w:r w:rsidR="00AD40A3">
        <w:t xml:space="preserve"> Private philanthropy refers to voluntary contributions by </w:t>
      </w:r>
      <w:r w:rsidR="00EE4663">
        <w:t>high-net-worth</w:t>
      </w:r>
      <w:r w:rsidR="00CE6562">
        <w:t xml:space="preserve"> </w:t>
      </w:r>
      <w:r w:rsidR="00AD40A3">
        <w:t>individuals, famil</w:t>
      </w:r>
      <w:r w:rsidR="00B42CCF">
        <w:t>y offices</w:t>
      </w:r>
      <w:r w:rsidR="00AD40A3">
        <w:t xml:space="preserve">, </w:t>
      </w:r>
      <w:r w:rsidR="007B5FB8">
        <w:t xml:space="preserve">charities, </w:t>
      </w:r>
      <w:r w:rsidR="00AD40A3">
        <w:t>or private entities, typically in the form of grants or donations, to support environmental and social causes.  Often in the form of individual or family foundations, these organizations manage and distribute contributions over time that align with their mission or focus areas.  Distributions are often made to nonprofit and community-based organizations</w:t>
      </w:r>
      <w:r w:rsidR="00F21669">
        <w:t xml:space="preserve"> and can be directed toward local, national, or global initiatives. These foundations manage a pool of assets, typically through an endowment, to generate income and use a portion of that income to fund the foundation’s charitable activities. In addition to making charitable contributions to environmental and social causes, some foundations develop an investment strategy that prioritizes </w:t>
      </w:r>
      <w:proofErr w:type="gramStart"/>
      <w:r w:rsidR="00F21669">
        <w:t>socially responsible</w:t>
      </w:r>
      <w:proofErr w:type="gramEnd"/>
      <w:r w:rsidR="00F21669">
        <w:t xml:space="preserve"> or impact investing. </w:t>
      </w:r>
    </w:p>
    <w:p w14:paraId="71CABFF3" w14:textId="77777777" w:rsidR="00DE4867" w:rsidRDefault="00DE4867" w:rsidP="00D816EA">
      <w:pPr>
        <w:pStyle w:val="ListParagraph"/>
        <w:jc w:val="both"/>
      </w:pPr>
    </w:p>
    <w:p w14:paraId="205274C5" w14:textId="1ECC4F82" w:rsidR="00C60D04" w:rsidRDefault="00C60D04" w:rsidP="00D816EA">
      <w:pPr>
        <w:pStyle w:val="ListParagraph"/>
        <w:numPr>
          <w:ilvl w:val="0"/>
          <w:numId w:val="13"/>
        </w:numPr>
        <w:jc w:val="both"/>
      </w:pPr>
      <w:r w:rsidRPr="000E54DA">
        <w:rPr>
          <w:b/>
        </w:rPr>
        <w:t>Conservation NGOs</w:t>
      </w:r>
      <w:r>
        <w:t>.</w:t>
      </w:r>
      <w:r w:rsidR="00835EF1">
        <w:t xml:space="preserve"> </w:t>
      </w:r>
      <w:r w:rsidR="00593959">
        <w:t>Several</w:t>
      </w:r>
      <w:r w:rsidR="002872B7">
        <w:t xml:space="preserve"> nongovernmental organizations (NGOs) have explicit biodiversity objectives and provide considerable funding for conservation projects.  Organizations such as the </w:t>
      </w:r>
      <w:proofErr w:type="gramStart"/>
      <w:r w:rsidR="002872B7">
        <w:t>World Wide</w:t>
      </w:r>
      <w:proofErr w:type="gramEnd"/>
      <w:r w:rsidR="002872B7">
        <w:t xml:space="preserve"> Fund for Nature and the Wildlife Conservation Society operate global programs to conserve biodiversity and ecosystems. These organizations often received significant corporate and individual contributions, as well as public sector and philanthropic foundation contributions. </w:t>
      </w:r>
      <w:r w:rsidR="00F4248C">
        <w:t>Therefore, c</w:t>
      </w:r>
      <w:r w:rsidR="00CE6562">
        <w:t xml:space="preserve">aution must therefore be exercised when considering conservation NGO funding as a channel for private finance to ensure there is no double counting among private philanthropic flows and public sector flows. </w:t>
      </w:r>
    </w:p>
    <w:p w14:paraId="2881BC50" w14:textId="77777777" w:rsidR="007057E6" w:rsidRDefault="007057E6" w:rsidP="00D816EA">
      <w:pPr>
        <w:pStyle w:val="ListParagraph"/>
        <w:jc w:val="both"/>
      </w:pPr>
    </w:p>
    <w:p w14:paraId="1E7DD0F1" w14:textId="05CDAD20" w:rsidR="00A04CAE" w:rsidRDefault="007057E6" w:rsidP="007B5FB8">
      <w:pPr>
        <w:pStyle w:val="ListParagraph"/>
        <w:numPr>
          <w:ilvl w:val="0"/>
          <w:numId w:val="13"/>
        </w:numPr>
        <w:jc w:val="both"/>
      </w:pPr>
      <w:r w:rsidRPr="000E54DA">
        <w:rPr>
          <w:b/>
        </w:rPr>
        <w:t xml:space="preserve">Private </w:t>
      </w:r>
      <w:r w:rsidR="00EC6D48">
        <w:rPr>
          <w:b/>
        </w:rPr>
        <w:t>co-</w:t>
      </w:r>
      <w:r w:rsidRPr="000E54DA">
        <w:rPr>
          <w:b/>
        </w:rPr>
        <w:t xml:space="preserve">finance </w:t>
      </w:r>
      <w:proofErr w:type="gramStart"/>
      <w:r w:rsidRPr="000E54DA">
        <w:rPr>
          <w:b/>
        </w:rPr>
        <w:t>mobilized</w:t>
      </w:r>
      <w:proofErr w:type="gramEnd"/>
      <w:r w:rsidRPr="000E54DA">
        <w:rPr>
          <w:b/>
        </w:rPr>
        <w:t xml:space="preserve"> by </w:t>
      </w:r>
      <w:r w:rsidR="0055648B">
        <w:rPr>
          <w:b/>
        </w:rPr>
        <w:t xml:space="preserve">DAC </w:t>
      </w:r>
      <w:r w:rsidR="007B5FB8">
        <w:rPr>
          <w:b/>
        </w:rPr>
        <w:t>official development finance</w:t>
      </w:r>
      <w:r>
        <w:t>.</w:t>
      </w:r>
      <w:r w:rsidR="00707373">
        <w:t xml:space="preserve">  Official development </w:t>
      </w:r>
      <w:r w:rsidR="0055648B">
        <w:t>finance</w:t>
      </w:r>
      <w:r w:rsidR="00707373">
        <w:t xml:space="preserve"> refers to financial resources </w:t>
      </w:r>
      <w:r w:rsidR="00A84C66">
        <w:t xml:space="preserve">provided by development finance institutions, development banks, and other bilateral flows to support developing countries. </w:t>
      </w:r>
      <w:r w:rsidR="007B5FB8">
        <w:t>ODF</w:t>
      </w:r>
      <w:r w:rsidR="00A84C66">
        <w:t xml:space="preserve"> can </w:t>
      </w:r>
      <w:r w:rsidR="007B5FB8">
        <w:t xml:space="preserve">be used to </w:t>
      </w:r>
      <w:proofErr w:type="spellStart"/>
      <w:r w:rsidR="007B5FB8">
        <w:t>mobilise</w:t>
      </w:r>
      <w:proofErr w:type="spellEnd"/>
      <w:r w:rsidR="00A84C66">
        <w:t xml:space="preserve"> private finance for biodiversity. Through </w:t>
      </w:r>
      <w:r w:rsidR="00727344">
        <w:t>a blended finance approach, which can include</w:t>
      </w:r>
      <w:r w:rsidR="00A84C66">
        <w:t xml:space="preserve"> concessional </w:t>
      </w:r>
      <w:proofErr w:type="gramStart"/>
      <w:r w:rsidR="00A84C66">
        <w:t>loans</w:t>
      </w:r>
      <w:r w:rsidR="00727344">
        <w:t xml:space="preserve">, </w:t>
      </w:r>
      <w:r w:rsidR="00A84C66">
        <w:t xml:space="preserve"> loan</w:t>
      </w:r>
      <w:proofErr w:type="gramEnd"/>
      <w:r w:rsidR="00A84C66">
        <w:t xml:space="preserve"> guarantees or insurance, </w:t>
      </w:r>
      <w:r w:rsidR="00727344">
        <w:t xml:space="preserve">and other leveraging mechanisms, </w:t>
      </w:r>
      <w:r w:rsidR="00A84C66">
        <w:t>OD</w:t>
      </w:r>
      <w:r w:rsidR="006D4D1B">
        <w:t>F</w:t>
      </w:r>
      <w:r w:rsidR="00A84C66">
        <w:t xml:space="preserve"> can attract private investments in projects that might otherwise be considered too risky</w:t>
      </w:r>
      <w:r w:rsidR="006660F4">
        <w:t xml:space="preserve"> or offer below-market returns</w:t>
      </w:r>
      <w:r w:rsidR="00A84C66">
        <w:t xml:space="preserve">.  </w:t>
      </w:r>
    </w:p>
    <w:p w14:paraId="5BC56FF0" w14:textId="77777777" w:rsidR="00A04CAE" w:rsidRDefault="00A04CAE" w:rsidP="00A04CAE">
      <w:pPr>
        <w:pStyle w:val="ListParagraph"/>
      </w:pPr>
    </w:p>
    <w:p w14:paraId="0FAB6650" w14:textId="66DBEF72" w:rsidR="00EC6D48" w:rsidRDefault="007B5FB8" w:rsidP="00A04CAE">
      <w:pPr>
        <w:pStyle w:val="ListParagraph"/>
        <w:jc w:val="both"/>
      </w:pPr>
      <w:r>
        <w:t xml:space="preserve">A key actor in the </w:t>
      </w:r>
      <w:proofErr w:type="spellStart"/>
      <w:proofErr w:type="gramStart"/>
      <w:r>
        <w:t>mobilisation</w:t>
      </w:r>
      <w:proofErr w:type="spellEnd"/>
      <w:proofErr w:type="gramEnd"/>
      <w:r>
        <w:t xml:space="preserve"> of private finance through ODF has been the Global Environment Facility (GEF). </w:t>
      </w:r>
      <w:proofErr w:type="gramStart"/>
      <w:r>
        <w:t>The GEF</w:t>
      </w:r>
      <w:proofErr w:type="gramEnd"/>
      <w:r w:rsidR="00CE6562">
        <w:t xml:space="preserve"> </w:t>
      </w:r>
      <w:r w:rsidR="00EC6D48">
        <w:t xml:space="preserve">is an international financial institution </w:t>
      </w:r>
      <w:r w:rsidR="00091B2D">
        <w:t>with a family of funds</w:t>
      </w:r>
      <w:r w:rsidR="00EC6D48">
        <w:t xml:space="preserve"> to </w:t>
      </w:r>
      <w:r w:rsidR="00091B2D">
        <w:t xml:space="preserve">support </w:t>
      </w:r>
      <w:r w:rsidR="00EC6D48">
        <w:t>developing countries to meet international environmental agreements</w:t>
      </w:r>
      <w:r w:rsidR="00091B2D">
        <w:t>.  It provides grants, blended finance, and policy support to address biodiversity loss, climate change, pollution, and land and ocean degradation.</w:t>
      </w:r>
      <w:r w:rsidR="002A3E38">
        <w:t xml:space="preserve">  The GEF is mainstreaming private sector engagement </w:t>
      </w:r>
      <w:r w:rsidR="006763FE">
        <w:t>by drawing on interventions supporting policy and regulatory changes, deploying innovative financial instruments, demonstrating innovative approaches, and convening alliances and strengthening capacity to promote environmental objectives.  The GEF leverages private co-financing through full-size and medium-size projects and through non-grant instrument projects.</w:t>
      </w:r>
      <w:r w:rsidR="00D94453">
        <w:t xml:space="preserve">  Finance for biodiversity can be identified </w:t>
      </w:r>
      <w:r w:rsidR="002872B7">
        <w:t xml:space="preserve">by whether the project is classified as a Biodiversity Focal Area, or as a Multi-focal Area project with biodiversity as a component of the project.  </w:t>
      </w:r>
      <w:r w:rsidR="006763FE">
        <w:t xml:space="preserve"> </w:t>
      </w:r>
    </w:p>
    <w:p w14:paraId="187444FB" w14:textId="77777777" w:rsidR="00DE4867" w:rsidRDefault="00DE4867" w:rsidP="00EB3BF3">
      <w:pPr>
        <w:jc w:val="both"/>
      </w:pPr>
    </w:p>
    <w:p w14:paraId="425649D4" w14:textId="6FBC478B" w:rsidR="00EB3BF3" w:rsidRDefault="00C60D04" w:rsidP="002A4929">
      <w:pPr>
        <w:pStyle w:val="ListParagraph"/>
        <w:numPr>
          <w:ilvl w:val="0"/>
          <w:numId w:val="13"/>
        </w:numPr>
        <w:jc w:val="both"/>
      </w:pPr>
      <w:r w:rsidRPr="0090449E">
        <w:rPr>
          <w:b/>
        </w:rPr>
        <w:t>Biodiversity offsets</w:t>
      </w:r>
      <w:r>
        <w:t>.</w:t>
      </w:r>
      <w:r w:rsidR="00515063">
        <w:t xml:space="preserve">  </w:t>
      </w:r>
      <w:r w:rsidR="00C046A5">
        <w:t>Biodiversity offsets</w:t>
      </w:r>
      <w:r w:rsidR="00FE2E69">
        <w:rPr>
          <w:rStyle w:val="FootnoteReference"/>
        </w:rPr>
        <w:footnoteReference w:id="6"/>
      </w:r>
      <w:r w:rsidR="00C046A5">
        <w:t xml:space="preserve"> refers to a </w:t>
      </w:r>
      <w:r w:rsidR="00EB3BF3">
        <w:t>measurable</w:t>
      </w:r>
      <w:r w:rsidR="00C046A5">
        <w:t xml:space="preserve"> conservation outcome that results from actions designed to compensate for significant, residual adverse impacts</w:t>
      </w:r>
      <w:r w:rsidR="00EB3BF3">
        <w:t xml:space="preserve"> to habitat, environmental functions, or ecosystem services </w:t>
      </w:r>
      <w:r w:rsidR="00C046A5">
        <w:t>arising from project development and persisting after appropriate avoidance, minimization, and restoration measures have been taken</w:t>
      </w:r>
      <w:r w:rsidR="0090449E">
        <w:t>.</w:t>
      </w:r>
      <w:r w:rsidR="0090449E">
        <w:rPr>
          <w:rStyle w:val="FootnoteReference"/>
        </w:rPr>
        <w:footnoteReference w:id="7"/>
      </w:r>
      <w:r w:rsidR="0090449E">
        <w:t xml:space="preserve"> </w:t>
      </w:r>
      <w:r w:rsidR="00515063">
        <w:t>The final option in the biodiversity mitigation hierarchy (i.e. avoid, minimize, restore, and offset)</w:t>
      </w:r>
      <w:r w:rsidR="008B643D">
        <w:t xml:space="preserve">, biodiversity offsets </w:t>
      </w:r>
      <w:r w:rsidR="0090449E">
        <w:t xml:space="preserve">may be </w:t>
      </w:r>
      <w:r w:rsidR="008B643D">
        <w:t xml:space="preserve">mandatory requirements imposed by some governments to compensate for unavoidable </w:t>
      </w:r>
      <w:r w:rsidR="00FE2E69">
        <w:t>adverse impacts</w:t>
      </w:r>
      <w:r w:rsidR="008B643D">
        <w:t xml:space="preserve"> to biodiversity caused by a development project.</w:t>
      </w:r>
      <w:r w:rsidR="00EB3BF3">
        <w:t xml:space="preserve"> </w:t>
      </w:r>
    </w:p>
    <w:p w14:paraId="035B189F" w14:textId="77777777" w:rsidR="00EB3BF3" w:rsidRDefault="00EB3BF3" w:rsidP="00EB3BF3">
      <w:pPr>
        <w:pStyle w:val="ListParagraph"/>
      </w:pPr>
    </w:p>
    <w:p w14:paraId="56EA31D7" w14:textId="03230DE1" w:rsidR="0090449E" w:rsidRDefault="008B643D" w:rsidP="00EB3BF3">
      <w:pPr>
        <w:pStyle w:val="ListParagraph"/>
        <w:jc w:val="both"/>
      </w:pPr>
      <w:r>
        <w:t xml:space="preserve">Under these regulatory programs, project developers must compensate for biodiversity impacts in such a way that there is no net loss of biodiversity. </w:t>
      </w:r>
      <w:r w:rsidR="00D4035C">
        <w:t>Biodiversity offsets can be implemented either by the party directly responsible for the adverse impacts (referred to as permittee-responsible mitigation), or by a third party who has developed offset credits in advance of the project and then sold to the project developer (known as mitigation banking). A third option for regulated parties may be to provide direct financial compensation to a third-party, where the funding may go directly towards compensating for biodiversity loss or more indirectly to biodiversity-related projects (referred to as In-</w:t>
      </w:r>
      <w:r w:rsidR="00D4035C">
        <w:lastRenderedPageBreak/>
        <w:t xml:space="preserve">lieu fee mitigation).  </w:t>
      </w:r>
      <w:r w:rsidR="0090449E">
        <w:t xml:space="preserve">In addition to government regulatory requirements, biodiversity offsets can be implemented in response to voluntary corporate policies and financial performance standards. </w:t>
      </w:r>
    </w:p>
    <w:p w14:paraId="2EAA190D" w14:textId="77777777" w:rsidR="006E048E" w:rsidRDefault="006E048E" w:rsidP="00EB3BF3">
      <w:pPr>
        <w:pStyle w:val="ListParagraph"/>
        <w:jc w:val="both"/>
      </w:pPr>
    </w:p>
    <w:p w14:paraId="3CF632BC" w14:textId="0C76F6B4" w:rsidR="006E048E" w:rsidRDefault="006E048E" w:rsidP="00C81FD5">
      <w:pPr>
        <w:pStyle w:val="ListParagraph"/>
        <w:numPr>
          <w:ilvl w:val="0"/>
          <w:numId w:val="13"/>
        </w:numPr>
        <w:jc w:val="both"/>
      </w:pPr>
      <w:r w:rsidRPr="00C81FD5">
        <w:rPr>
          <w:b/>
          <w:bCs/>
        </w:rPr>
        <w:t>Biodiversity credits.</w:t>
      </w:r>
      <w:r>
        <w:t xml:space="preserve">  A nascent market for biodiversity credits is evolving to offer the private sector an opportunity to participate in ecosystem restoration and biodiversity conservation. </w:t>
      </w:r>
      <w:r w:rsidR="00DA07FA">
        <w:t>Biodiversity credits are defined as a “certificate that represents a measured and evidence-based unit of positive biodiversity outcome that is durable and additional to what would have otherwise occurred” (Biodiversity Credit Alliance, 2024)</w:t>
      </w:r>
      <w:r w:rsidR="00C81FD5">
        <w:t xml:space="preserve">.  Biodiversity credits are generally voluntary, as opposed to the largely regulatory-based biodiversity offset market.  Although currently very small compared to the market size for biodiversity offsets, new initiatives and the shift to regulatory requirements from no-net-loss to biodiversity net-gain </w:t>
      </w:r>
      <w:proofErr w:type="gramStart"/>
      <w:r w:rsidR="00C81FD5">
        <w:t>is</w:t>
      </w:r>
      <w:proofErr w:type="gramEnd"/>
      <w:r w:rsidR="00C81FD5">
        <w:t xml:space="preserve"> expected to stimulate </w:t>
      </w:r>
      <w:r w:rsidR="00EC1427">
        <w:t xml:space="preserve">compliance-based </w:t>
      </w:r>
      <w:r w:rsidR="00C81FD5">
        <w:t>market growth</w:t>
      </w:r>
      <w:r w:rsidR="00EC1427">
        <w:t xml:space="preserve"> (UNEP, 2023)</w:t>
      </w:r>
    </w:p>
    <w:p w14:paraId="31BDBC36" w14:textId="6A1DF5EB" w:rsidR="0090449E" w:rsidRDefault="0090449E" w:rsidP="0090449E">
      <w:pPr>
        <w:pStyle w:val="ListParagraph"/>
        <w:jc w:val="both"/>
      </w:pPr>
    </w:p>
    <w:p w14:paraId="2EEBCEE0" w14:textId="0FACF49A" w:rsidR="007D2A45" w:rsidRDefault="00EB3BF3" w:rsidP="00EB3BF3">
      <w:pPr>
        <w:pStyle w:val="ListParagraph"/>
        <w:numPr>
          <w:ilvl w:val="0"/>
          <w:numId w:val="13"/>
        </w:numPr>
        <w:jc w:val="both"/>
      </w:pPr>
      <w:r w:rsidRPr="000E54DA">
        <w:rPr>
          <w:b/>
        </w:rPr>
        <w:t>Sustainable supply chains</w:t>
      </w:r>
      <w:r>
        <w:t xml:space="preserve">.  Increasing awareness of unsustainable commodity production for natural resource-based sectors such as forestry, agriculture and fisheries has generated demand from organizations and individuals for commodities that meet certain environmental and social standards.  Investing in sustainable supply chain management can improve environmental sustainability, social responsibility, and economic viability.  Certification schemes such as the Forest Stewardship Council, Marine Stewardship Council, Rainforest Alliance, USDA/EU Organic, and Roundtable on Sustainable Palm Oil establish sustainability standards that commodity producers must adhere to before labeling certified products.  Independent, accredited certification bodies conduct audits, verify compliance, and issue certifications.  These certified products </w:t>
      </w:r>
      <w:r w:rsidR="00105125">
        <w:t>are intended to directly</w:t>
      </w:r>
      <w:r>
        <w:t xml:space="preserve"> benefit biodiversity by ensuring their </w:t>
      </w:r>
      <w:r w:rsidR="00105125">
        <w:t xml:space="preserve">production </w:t>
      </w:r>
      <w:proofErr w:type="gramStart"/>
      <w:r w:rsidR="00105125">
        <w:t>employed</w:t>
      </w:r>
      <w:proofErr w:type="gramEnd"/>
      <w:r w:rsidR="00105125">
        <w:t xml:space="preserve"> </w:t>
      </w:r>
      <w:r>
        <w:t>methods that do not deplete biodiversity.  Demand for certified natural resource products can act to mobilize private investments in biodiversity safeguards to obtain such a standard certification.</w:t>
      </w:r>
      <w:r w:rsidR="0095074C">
        <w:t xml:space="preserve"> </w:t>
      </w:r>
    </w:p>
    <w:p w14:paraId="1CD8980E" w14:textId="77777777" w:rsidR="007D2A45" w:rsidRDefault="007D2A45" w:rsidP="008D0853">
      <w:pPr>
        <w:pStyle w:val="ListParagraph"/>
        <w:jc w:val="both"/>
      </w:pPr>
    </w:p>
    <w:p w14:paraId="5A042171" w14:textId="793081AC" w:rsidR="00EB3BF3" w:rsidRDefault="0095074C" w:rsidP="008D0853">
      <w:pPr>
        <w:pStyle w:val="ListParagraph"/>
        <w:jc w:val="both"/>
      </w:pPr>
      <w:r>
        <w:t xml:space="preserve">Spending on sustainable supply chains is largely from companies and therefore is not publicly available.  Current global biodiversity financing assessments therefore have </w:t>
      </w:r>
      <w:r w:rsidR="008F0DAE">
        <w:t>relied on</w:t>
      </w:r>
      <w:r>
        <w:t xml:space="preserve"> these third-party sustainability standards and certifications to estimate the global market share and biodiversity-related conservation measures in supply chains. Of course, supply chain</w:t>
      </w:r>
      <w:r w:rsidR="007D2A45">
        <w:t xml:space="preserve"> actors</w:t>
      </w:r>
      <w:r>
        <w:t xml:space="preserve"> can implement sustainability measures without obtaining certification, but </w:t>
      </w:r>
      <w:proofErr w:type="gramStart"/>
      <w:r>
        <w:t>in order to</w:t>
      </w:r>
      <w:proofErr w:type="gramEnd"/>
      <w:r>
        <w:t xml:space="preserve"> qualify as private funding for biodiversity, these measures should align with national biodiversity objectives. In addition to companies investing in sustainable supply chains, the financial sector has an important role to </w:t>
      </w:r>
      <w:proofErr w:type="gramStart"/>
      <w:r>
        <w:t>play in</w:t>
      </w:r>
      <w:proofErr w:type="gramEnd"/>
      <w:r>
        <w:t xml:space="preserve"> incentivizing sustainability in supply chains, but this mechanism is covered in Green Financial Products.    </w:t>
      </w:r>
      <w:r w:rsidR="00EB3BF3">
        <w:t xml:space="preserve">  </w:t>
      </w:r>
    </w:p>
    <w:p w14:paraId="1A701C8E" w14:textId="77777777" w:rsidR="00EB3BF3" w:rsidRDefault="00EB3BF3" w:rsidP="0090449E">
      <w:pPr>
        <w:pStyle w:val="ListParagraph"/>
        <w:jc w:val="both"/>
      </w:pPr>
    </w:p>
    <w:p w14:paraId="3188ACD0" w14:textId="0C9A191E" w:rsidR="00C60D04" w:rsidRDefault="00C60D04" w:rsidP="00D816EA">
      <w:pPr>
        <w:pStyle w:val="ListParagraph"/>
        <w:numPr>
          <w:ilvl w:val="0"/>
          <w:numId w:val="13"/>
        </w:numPr>
        <w:jc w:val="both"/>
      </w:pPr>
      <w:r w:rsidRPr="000E54DA">
        <w:rPr>
          <w:b/>
        </w:rPr>
        <w:t>Forest and land use carbon finance</w:t>
      </w:r>
      <w:r w:rsidR="00B82261">
        <w:t xml:space="preserve">. Forest and land use carbon finance </w:t>
      </w:r>
      <w:r w:rsidR="00D92E60">
        <w:t>refer</w:t>
      </w:r>
      <w:r w:rsidR="00B82261">
        <w:t>s</w:t>
      </w:r>
      <w:r w:rsidR="00D92E60">
        <w:t xml:space="preserve"> to actions and policies that protect, manage and restore natural ecosystems while addressing </w:t>
      </w:r>
      <w:r w:rsidR="0058679D">
        <w:t>the need for climate change mitigation</w:t>
      </w:r>
      <w:r w:rsidR="00D92E60">
        <w:t xml:space="preserve">. </w:t>
      </w:r>
      <w:r w:rsidR="00B82261">
        <w:t>These climate solutions</w:t>
      </w:r>
      <w:r w:rsidR="00D92E60">
        <w:t xml:space="preserve"> aim to </w:t>
      </w:r>
      <w:r w:rsidR="00B82261">
        <w:t>remove and store carbon</w:t>
      </w:r>
      <w:r w:rsidR="00D92E60">
        <w:t xml:space="preserve"> while promoting healthy ecosystems and </w:t>
      </w:r>
      <w:proofErr w:type="gramStart"/>
      <w:r w:rsidR="00D92E60">
        <w:t>mitigating</w:t>
      </w:r>
      <w:proofErr w:type="gramEnd"/>
      <w:r w:rsidR="00D92E60">
        <w:t xml:space="preserve"> risk from flooding, soil erosion, drought, and other climate extremes.</w:t>
      </w:r>
      <w:r w:rsidR="007B675A">
        <w:t xml:space="preserve"> Private entities, through compliance or </w:t>
      </w:r>
      <w:r w:rsidR="007B675A">
        <w:lastRenderedPageBreak/>
        <w:t xml:space="preserve">voluntary markets, may </w:t>
      </w:r>
      <w:r w:rsidR="00426F6B">
        <w:t>choose</w:t>
      </w:r>
      <w:r w:rsidR="007B675A">
        <w:t xml:space="preserve"> to invest in </w:t>
      </w:r>
      <w:r w:rsidR="00B82261">
        <w:t>these forest and land use</w:t>
      </w:r>
      <w:r w:rsidR="007B675A">
        <w:t xml:space="preserve"> climate solutions improved forest management) instead of other climate solutions to claim the nature co-benefits alongside their greenhouse gas emissions savings. </w:t>
      </w:r>
    </w:p>
    <w:p w14:paraId="45DC52FD" w14:textId="77777777" w:rsidR="00DE4867" w:rsidRDefault="00DE4867" w:rsidP="00D816EA">
      <w:pPr>
        <w:pStyle w:val="ListParagraph"/>
        <w:jc w:val="both"/>
      </w:pPr>
    </w:p>
    <w:p w14:paraId="7771FDC3" w14:textId="5B8634B8" w:rsidR="000665BD" w:rsidRPr="000665BD" w:rsidRDefault="00C60D04" w:rsidP="00D816EA">
      <w:pPr>
        <w:pStyle w:val="ListParagraph"/>
        <w:numPr>
          <w:ilvl w:val="0"/>
          <w:numId w:val="13"/>
        </w:numPr>
        <w:jc w:val="both"/>
        <w:rPr>
          <w:b/>
        </w:rPr>
      </w:pPr>
      <w:r w:rsidRPr="000E54DA">
        <w:rPr>
          <w:b/>
        </w:rPr>
        <w:t>Payments for ecosystem services.</w:t>
      </w:r>
      <w:r w:rsidR="00ED0FEB">
        <w:rPr>
          <w:b/>
        </w:rPr>
        <w:t xml:space="preserve"> </w:t>
      </w:r>
      <w:r w:rsidR="009B7D74" w:rsidRPr="009B7D74">
        <w:rPr>
          <w:bCs/>
        </w:rPr>
        <w:t>Payments for ecosystem services</w:t>
      </w:r>
      <w:r w:rsidR="009B7D74">
        <w:rPr>
          <w:bCs/>
        </w:rPr>
        <w:t xml:space="preserve"> (PES) are defined as voluntary transactions between ecosystem service users (e.g. a water treatment facility) and providers (e.g. upstream landowners) conditional on agreed rules of resource management for generating ecosystem services</w:t>
      </w:r>
      <w:r w:rsidR="00CD7056">
        <w:rPr>
          <w:bCs/>
        </w:rPr>
        <w:t xml:space="preserve"> (Wunder, 2015)</w:t>
      </w:r>
      <w:r w:rsidR="009B7D74">
        <w:rPr>
          <w:bCs/>
        </w:rPr>
        <w:t xml:space="preserve">. The objective of PES schemes is </w:t>
      </w:r>
      <w:r w:rsidR="00ED0FEB">
        <w:t>to maintain</w:t>
      </w:r>
      <w:r w:rsidR="009B7D74">
        <w:t xml:space="preserve"> or enhance</w:t>
      </w:r>
      <w:r w:rsidR="00ED0FEB">
        <w:t xml:space="preserve"> healthy ecosystems such as forests and wetlands to deliver important ecosystem services to society </w:t>
      </w:r>
      <w:r w:rsidR="00A16F9E">
        <w:t>such as climate change mitigation</w:t>
      </w:r>
      <w:r w:rsidR="00ED0FEB">
        <w:t xml:space="preserve">, flood </w:t>
      </w:r>
      <w:r w:rsidR="009B7D74">
        <w:t xml:space="preserve">and soil erosion </w:t>
      </w:r>
      <w:r w:rsidR="00A16F9E">
        <w:t xml:space="preserve">control, </w:t>
      </w:r>
      <w:r w:rsidR="0058679D">
        <w:t xml:space="preserve">pollination services, </w:t>
      </w:r>
      <w:r w:rsidR="00ED0FEB">
        <w:t>and coastal protectio</w:t>
      </w:r>
      <w:r w:rsidR="00ED0FEB" w:rsidRPr="00A16F9E">
        <w:t>n</w:t>
      </w:r>
      <w:r w:rsidR="00A16F9E" w:rsidRPr="00A16F9E">
        <w:t>. As</w:t>
      </w:r>
      <w:r w:rsidR="00A16F9E">
        <w:rPr>
          <w:b/>
        </w:rPr>
        <w:t xml:space="preserve"> </w:t>
      </w:r>
      <w:r w:rsidR="00A16F9E" w:rsidRPr="00A16F9E">
        <w:t xml:space="preserve">urban centers </w:t>
      </w:r>
      <w:r w:rsidR="0058679D">
        <w:t xml:space="preserve">along with food and </w:t>
      </w:r>
      <w:r w:rsidR="00A16F9E">
        <w:t xml:space="preserve">water demand </w:t>
      </w:r>
      <w:r w:rsidR="00A16F9E" w:rsidRPr="00A16F9E">
        <w:t>grow,</w:t>
      </w:r>
      <w:r w:rsidR="00A16F9E">
        <w:rPr>
          <w:b/>
        </w:rPr>
        <w:t xml:space="preserve"> </w:t>
      </w:r>
      <w:r w:rsidR="00A16F9E" w:rsidRPr="00A16F9E">
        <w:t>the need</w:t>
      </w:r>
      <w:r w:rsidR="00A16F9E">
        <w:rPr>
          <w:b/>
        </w:rPr>
        <w:t xml:space="preserve"> </w:t>
      </w:r>
      <w:r w:rsidR="00A16F9E">
        <w:t xml:space="preserve">for watershed protection increases to ensure </w:t>
      </w:r>
      <w:r w:rsidR="0058679D">
        <w:t xml:space="preserve">these ecological services are </w:t>
      </w:r>
      <w:proofErr w:type="gramStart"/>
      <w:r w:rsidR="00A16F9E">
        <w:t>secured</w:t>
      </w:r>
      <w:proofErr w:type="gramEnd"/>
      <w:r w:rsidR="00A16F9E">
        <w:t xml:space="preserve">. </w:t>
      </w:r>
      <w:r w:rsidR="0058679D">
        <w:t>Payments for these ecosystem service</w:t>
      </w:r>
      <w:r w:rsidR="00DE4867">
        <w:t xml:space="preserve"> schemes aim to finance the preservation of this ‘natural infrastructure’ by recognizing the economic value of the benefits derived from their services and then</w:t>
      </w:r>
      <w:r w:rsidR="0058679D">
        <w:t xml:space="preserve"> compensating landowners, communities, and other entities for maintaining or providing ecological services that benefit the environment and society.  </w:t>
      </w:r>
    </w:p>
    <w:p w14:paraId="6FBF61C7" w14:textId="77777777" w:rsidR="000665BD" w:rsidRPr="000665BD" w:rsidRDefault="000665BD" w:rsidP="00D816EA">
      <w:pPr>
        <w:pStyle w:val="ListParagraph"/>
        <w:jc w:val="both"/>
        <w:rPr>
          <w:b/>
        </w:rPr>
      </w:pPr>
    </w:p>
    <w:p w14:paraId="0072166B" w14:textId="6B806DE1" w:rsidR="00C60D04" w:rsidRPr="00880967" w:rsidRDefault="00A16F9E" w:rsidP="00880967">
      <w:pPr>
        <w:pStyle w:val="ListParagraph"/>
        <w:jc w:val="both"/>
        <w:rPr>
          <w:b/>
        </w:rPr>
      </w:pPr>
      <w:r>
        <w:t xml:space="preserve">Although funding is </w:t>
      </w:r>
      <w:r w:rsidR="006D7452">
        <w:t>often</w:t>
      </w:r>
      <w:r>
        <w:t xml:space="preserve"> provided by public entities</w:t>
      </w:r>
      <w:r w:rsidR="006D7452">
        <w:t xml:space="preserve"> acting on a wider group of ecosystem service beneficiaries</w:t>
      </w:r>
      <w:r>
        <w:t xml:space="preserve">, there is a growing interest in </w:t>
      </w:r>
      <w:r w:rsidR="0058679D">
        <w:t>private sector investments f</w:t>
      </w:r>
      <w:r w:rsidR="00DE4867">
        <w:t xml:space="preserve">rom </w:t>
      </w:r>
      <w:proofErr w:type="gramStart"/>
      <w:r w:rsidR="0058679D">
        <w:t>companies</w:t>
      </w:r>
      <w:proofErr w:type="gramEnd"/>
      <w:r>
        <w:t xml:space="preserve"> </w:t>
      </w:r>
      <w:r w:rsidR="0058679D">
        <w:t>dependent</w:t>
      </w:r>
      <w:r>
        <w:t xml:space="preserve"> on water resources </w:t>
      </w:r>
      <w:r w:rsidR="0058679D">
        <w:t xml:space="preserve">and other ecosystem services </w:t>
      </w:r>
      <w:r>
        <w:t>such as water utilities</w:t>
      </w:r>
      <w:r w:rsidR="0058679D">
        <w:t xml:space="preserve"> and food and beverage companies. </w:t>
      </w:r>
      <w:r w:rsidR="007D2A45">
        <w:t>For example, w</w:t>
      </w:r>
      <w:r w:rsidR="00DE4867">
        <w:t xml:space="preserve">ater utilities have recognized the long-term financial savings of investing in upstream </w:t>
      </w:r>
      <w:r w:rsidR="00FA7CB5">
        <w:t xml:space="preserve">forest </w:t>
      </w:r>
      <w:r w:rsidR="00CA059B">
        <w:t xml:space="preserve">restoration and </w:t>
      </w:r>
      <w:r w:rsidR="00FA7CB5">
        <w:t xml:space="preserve">protection </w:t>
      </w:r>
      <w:r w:rsidR="00DE4867">
        <w:t xml:space="preserve">rather than expensive engineering solutions to treat water </w:t>
      </w:r>
      <w:r w:rsidR="00FA7CB5">
        <w:t>from forest landscapes damaged by wildfire, drought, and soil erosion</w:t>
      </w:r>
      <w:r w:rsidR="00CA059B">
        <w:rPr>
          <w:rStyle w:val="FootnoteReference"/>
        </w:rPr>
        <w:footnoteReference w:id="8"/>
      </w:r>
      <w:r w:rsidR="00FA7CB5">
        <w:t xml:space="preserve">. Food and beverage companies such as </w:t>
      </w:r>
      <w:r w:rsidR="009F45CF">
        <w:t xml:space="preserve">the </w:t>
      </w:r>
      <w:r w:rsidR="00FA7CB5">
        <w:t xml:space="preserve">Coca Cola </w:t>
      </w:r>
      <w:r w:rsidR="009F45CF">
        <w:t>Company</w:t>
      </w:r>
      <w:r w:rsidR="000665BD">
        <w:rPr>
          <w:rStyle w:val="FootnoteReference"/>
        </w:rPr>
        <w:footnoteReference w:id="9"/>
      </w:r>
      <w:r w:rsidR="009F45CF">
        <w:t xml:space="preserve"> </w:t>
      </w:r>
      <w:r w:rsidR="00FA7CB5">
        <w:t xml:space="preserve">and </w:t>
      </w:r>
      <w:proofErr w:type="spellStart"/>
      <w:r w:rsidR="00FA7CB5">
        <w:t>H</w:t>
      </w:r>
      <w:r w:rsidR="000665BD" w:rsidRPr="000665BD">
        <w:rPr>
          <w:rFonts w:eastAsia="Times New Roman" w:cstheme="minorHAnsi"/>
          <w:color w:val="040C28"/>
        </w:rPr>
        <w:t>ä</w:t>
      </w:r>
      <w:r w:rsidR="00FA7CB5">
        <w:t>agen</w:t>
      </w:r>
      <w:r w:rsidR="000665BD">
        <w:t>-</w:t>
      </w:r>
      <w:r w:rsidR="00FA7CB5">
        <w:t>Da</w:t>
      </w:r>
      <w:r w:rsidR="000665BD">
        <w:t>z</w:t>
      </w:r>
      <w:r w:rsidR="00FA7CB5">
        <w:t>s</w:t>
      </w:r>
      <w:proofErr w:type="spellEnd"/>
      <w:r w:rsidR="00CA059B">
        <w:rPr>
          <w:rStyle w:val="FootnoteReference"/>
        </w:rPr>
        <w:footnoteReference w:id="10"/>
      </w:r>
      <w:r w:rsidR="00FA7CB5">
        <w:t xml:space="preserve"> are investing in nature </w:t>
      </w:r>
      <w:r w:rsidR="009F45CF">
        <w:t xml:space="preserve">to protect their water supply and pollination services depended upon for key inputs to their products.  </w:t>
      </w:r>
    </w:p>
    <w:p w14:paraId="6F8D04B2" w14:textId="77777777" w:rsidR="00880967" w:rsidRDefault="00880967" w:rsidP="00880967">
      <w:pPr>
        <w:pStyle w:val="ListParagraph"/>
        <w:jc w:val="both"/>
      </w:pPr>
    </w:p>
    <w:p w14:paraId="1BA64D81" w14:textId="5CD3383E" w:rsidR="00880967" w:rsidRPr="00A9756C" w:rsidRDefault="00880967" w:rsidP="0028754A">
      <w:pPr>
        <w:pStyle w:val="ListParagraph"/>
        <w:numPr>
          <w:ilvl w:val="0"/>
          <w:numId w:val="13"/>
        </w:numPr>
        <w:jc w:val="both"/>
      </w:pPr>
      <w:r w:rsidRPr="00A9756C">
        <w:rPr>
          <w:b/>
        </w:rPr>
        <w:t xml:space="preserve">Water quality trading and offsets.  </w:t>
      </w:r>
      <w:r w:rsidRPr="00A9756C">
        <w:rPr>
          <w:bCs/>
        </w:rPr>
        <w:t xml:space="preserve">Another mechanism for watershed protection, water quality trading and offset markets allow </w:t>
      </w:r>
      <w:r w:rsidR="00BB5D0E">
        <w:rPr>
          <w:bCs/>
        </w:rPr>
        <w:t>water users to manage their impacts on watersheds, and meet</w:t>
      </w:r>
      <w:r w:rsidR="00A9756C" w:rsidRPr="00A9756C">
        <w:rPr>
          <w:bCs/>
        </w:rPr>
        <w:t xml:space="preserve"> water quality standards</w:t>
      </w:r>
      <w:r w:rsidR="00BB5D0E">
        <w:rPr>
          <w:bCs/>
        </w:rPr>
        <w:t xml:space="preserve">, by compensating others for offsite activities that improve water quality or supply. </w:t>
      </w:r>
      <w:r w:rsidR="00A9756C" w:rsidRPr="00A9756C">
        <w:rPr>
          <w:bCs/>
        </w:rPr>
        <w:t xml:space="preserve"> </w:t>
      </w:r>
      <w:r w:rsidR="00BB5D0E">
        <w:rPr>
          <w:bCs/>
        </w:rPr>
        <w:t xml:space="preserve">Markets are typically defined by watershed boundaries and are </w:t>
      </w:r>
      <w:proofErr w:type="gramStart"/>
      <w:r w:rsidR="00BB5D0E">
        <w:rPr>
          <w:bCs/>
        </w:rPr>
        <w:t>compliance-driven</w:t>
      </w:r>
      <w:proofErr w:type="gramEnd"/>
      <w:r w:rsidR="00BB5D0E">
        <w:rPr>
          <w:bCs/>
        </w:rPr>
        <w:t>.</w:t>
      </w:r>
    </w:p>
    <w:p w14:paraId="12B4DA41" w14:textId="77777777" w:rsidR="00A9756C" w:rsidRPr="00880967" w:rsidRDefault="00A9756C" w:rsidP="00A9756C">
      <w:pPr>
        <w:pStyle w:val="ListParagraph"/>
        <w:jc w:val="both"/>
      </w:pPr>
    </w:p>
    <w:p w14:paraId="2D7E88FA" w14:textId="3C461D41" w:rsidR="00880967" w:rsidRDefault="00880967" w:rsidP="00880967">
      <w:pPr>
        <w:pStyle w:val="ListParagraph"/>
        <w:numPr>
          <w:ilvl w:val="0"/>
          <w:numId w:val="13"/>
        </w:numPr>
        <w:jc w:val="both"/>
      </w:pPr>
      <w:r w:rsidRPr="00FD1233">
        <w:rPr>
          <w:b/>
        </w:rPr>
        <w:t>Green financial products</w:t>
      </w:r>
      <w:r>
        <w:rPr>
          <w:b/>
        </w:rPr>
        <w:t xml:space="preserve">.  </w:t>
      </w:r>
      <w:r w:rsidR="001D1889">
        <w:t>Biodiversity-related g</w:t>
      </w:r>
      <w:r w:rsidRPr="00FD1233">
        <w:t xml:space="preserve">reen financial products include debt and </w:t>
      </w:r>
      <w:proofErr w:type="gramStart"/>
      <w:r w:rsidRPr="00FD1233">
        <w:t>equity  instruments</w:t>
      </w:r>
      <w:proofErr w:type="gramEnd"/>
      <w:r w:rsidRPr="00FD1233">
        <w:t xml:space="preserve"> that channel</w:t>
      </w:r>
      <w:r w:rsidR="00C325BC">
        <w:t xml:space="preserve"> </w:t>
      </w:r>
      <w:r w:rsidRPr="00FD1233">
        <w:t>investment capital to companies and projects that aim to have a positive impact on biodiversity</w:t>
      </w:r>
      <w:r w:rsidR="00660047">
        <w:t xml:space="preserve"> alongside financial returns</w:t>
      </w:r>
      <w:r w:rsidRPr="00FD1233">
        <w:t>.</w:t>
      </w:r>
      <w:r>
        <w:rPr>
          <w:b/>
        </w:rPr>
        <w:t xml:space="preserve"> </w:t>
      </w:r>
      <w:r w:rsidR="00D236A8">
        <w:t xml:space="preserve">These return-based investments include biodiversity-relevant instruments </w:t>
      </w:r>
      <w:r>
        <w:t xml:space="preserve">such as green bonds, sustainability-linked bonds, </w:t>
      </w:r>
      <w:r w:rsidR="00B42CCF">
        <w:t xml:space="preserve">private credit, </w:t>
      </w:r>
      <w:r>
        <w:t xml:space="preserve">and private equity funds </w:t>
      </w:r>
      <w:r w:rsidR="001D1889">
        <w:t xml:space="preserve">and </w:t>
      </w:r>
      <w:r>
        <w:t xml:space="preserve">offer investors an opportunity to invest capital into funds and companies that aim to have a positive impact on biodiversity.  Green bonds, for example, restrict the use of proceeds to eligible </w:t>
      </w:r>
      <w:r>
        <w:lastRenderedPageBreak/>
        <w:t xml:space="preserve">investments and measure the bond impacts against social and environmental criteria.  </w:t>
      </w:r>
      <w:r w:rsidR="00D236A8">
        <w:t>Although green bonds have historically focused on renewable energy investments</w:t>
      </w:r>
      <w:r w:rsidR="001D1889">
        <w:t xml:space="preserve"> for climate objectives</w:t>
      </w:r>
      <w:r w:rsidR="00D236A8">
        <w:t xml:space="preserve">, some offer opportunities to invest in nature-related enterprises. </w:t>
      </w:r>
      <w:r w:rsidR="007F7DFA">
        <w:t xml:space="preserve">Blue bonds, another innovate debt instrument, </w:t>
      </w:r>
      <w:r w:rsidR="001D1889">
        <w:t>have been</w:t>
      </w:r>
      <w:r w:rsidR="007F7DFA">
        <w:t xml:space="preserve"> issued by sovereign nations, development banks, and private companies to raise capital from impact investors to finance ocean-based and marine projects with positive climate, biodiversity, and economic impacts.</w:t>
      </w:r>
      <w:r w:rsidR="009C0FC8" w:rsidRPr="009C0FC8">
        <w:rPr>
          <w:rStyle w:val="FootnoteReference"/>
        </w:rPr>
        <w:t xml:space="preserve"> </w:t>
      </w:r>
      <w:r w:rsidR="009C0FC8">
        <w:rPr>
          <w:rStyle w:val="FootnoteReference"/>
        </w:rPr>
        <w:footnoteReference w:id="11"/>
      </w:r>
      <w:r w:rsidR="009C0FC8">
        <w:t xml:space="preserve"> </w:t>
      </w:r>
      <w:r w:rsidR="007F7DFA">
        <w:t xml:space="preserve">Like </w:t>
      </w:r>
      <w:r w:rsidR="001D1889">
        <w:t xml:space="preserve">biodiversity-related </w:t>
      </w:r>
      <w:r w:rsidR="007F7DFA">
        <w:t xml:space="preserve">green bonds, the use of proceeds is restricted to projects that support conservation and sustainable use of biodiversity, such as the sustainable use of ocean resources. </w:t>
      </w:r>
    </w:p>
    <w:p w14:paraId="65FD7962" w14:textId="78126698" w:rsidR="00931991" w:rsidRDefault="00931991" w:rsidP="00D816EA">
      <w:pPr>
        <w:jc w:val="both"/>
      </w:pPr>
    </w:p>
    <w:p w14:paraId="36FF347E" w14:textId="3A3D45A1" w:rsidR="009E6573" w:rsidRDefault="009E6573" w:rsidP="00D816EA">
      <w:pPr>
        <w:jc w:val="both"/>
      </w:pPr>
      <w:r>
        <w:t xml:space="preserve">The funding sources and mechanisms described </w:t>
      </w:r>
      <w:r w:rsidR="00F70895">
        <w:t>above</w:t>
      </w:r>
      <w:r>
        <w:t xml:space="preserve"> </w:t>
      </w:r>
      <w:r w:rsidR="00C12335">
        <w:t xml:space="preserve">are </w:t>
      </w:r>
      <w:r w:rsidR="00D236A8">
        <w:t xml:space="preserve">represented </w:t>
      </w:r>
      <w:r w:rsidR="00C12335">
        <w:t>in</w:t>
      </w:r>
      <w:r>
        <w:t xml:space="preserve"> current</w:t>
      </w:r>
      <w:r w:rsidR="00C12335">
        <w:t xml:space="preserve"> global and national</w:t>
      </w:r>
      <w:r>
        <w:t xml:space="preserve"> approaches to measuring private funding for biodiversity</w:t>
      </w:r>
      <w:r w:rsidR="00F70895">
        <w:t xml:space="preserve"> in </w:t>
      </w:r>
      <w:proofErr w:type="gramStart"/>
      <w:r w:rsidR="00F70895">
        <w:t>the literature</w:t>
      </w:r>
      <w:proofErr w:type="gramEnd"/>
      <w:r>
        <w:t xml:space="preserve">.  As scaling funding for biodiversity gains increasing importance to achieve </w:t>
      </w:r>
      <w:r w:rsidR="00C12335">
        <w:t>biodiversity, climate, and other environmental and sustainability objectives,</w:t>
      </w:r>
      <w:r>
        <w:t xml:space="preserve"> new and innovative mechanisms are being introduced to deploy financial resources </w:t>
      </w:r>
      <w:r w:rsidR="00C12335">
        <w:t>that align with</w:t>
      </w:r>
      <w:r>
        <w:t xml:space="preserve"> conservation</w:t>
      </w:r>
      <w:r w:rsidR="00C12335">
        <w:t xml:space="preserve"> objectives</w:t>
      </w:r>
      <w:r>
        <w:t xml:space="preserve">.  For example, risk management mechanisms such as insurance products </w:t>
      </w:r>
      <w:r w:rsidR="001D1889">
        <w:t>have been employed</w:t>
      </w:r>
      <w:r>
        <w:t xml:space="preserve"> in certain landscapes to mitigate </w:t>
      </w:r>
      <w:r w:rsidR="00897D52">
        <w:t xml:space="preserve">the </w:t>
      </w:r>
      <w:r w:rsidR="00D236A8">
        <w:t xml:space="preserve">risk associated with </w:t>
      </w:r>
      <w:r>
        <w:t>livestock-wildlife conflict</w:t>
      </w:r>
      <w:r w:rsidR="00B614FC">
        <w:t>.  The</w:t>
      </w:r>
      <w:r>
        <w:t>se mechanisms</w:t>
      </w:r>
      <w:r w:rsidR="00B614FC">
        <w:t xml:space="preserve">, however, </w:t>
      </w:r>
      <w:r>
        <w:t xml:space="preserve">have generally not been included in current estimates </w:t>
      </w:r>
      <w:r w:rsidR="00B614FC">
        <w:t xml:space="preserve">of </w:t>
      </w:r>
      <w:r>
        <w:t xml:space="preserve">private funding for biodiversity. </w:t>
      </w:r>
    </w:p>
    <w:p w14:paraId="2CEB6C1A" w14:textId="77777777" w:rsidR="00B614FC" w:rsidRDefault="00B614FC" w:rsidP="00D816EA">
      <w:pPr>
        <w:jc w:val="both"/>
      </w:pPr>
    </w:p>
    <w:p w14:paraId="12E75F08" w14:textId="09874070" w:rsidR="00B614FC" w:rsidRDefault="00B614FC" w:rsidP="00D816EA">
      <w:pPr>
        <w:jc w:val="both"/>
      </w:pPr>
      <w:r>
        <w:t>The following section reviews recent global estimates of private financial flows to biodiversity aligning with the financial</w:t>
      </w:r>
      <w:r w:rsidR="00F5764A">
        <w:t xml:space="preserve"> and policy</w:t>
      </w:r>
      <w:r>
        <w:t xml:space="preserve"> mechanisms described above.  </w:t>
      </w:r>
      <w:r w:rsidR="002877D7">
        <w:t>These</w:t>
      </w:r>
      <w:r>
        <w:t xml:space="preserve"> assessments are not comprehensive and do not </w:t>
      </w:r>
      <w:r w:rsidR="00D13B6A">
        <w:t>e</w:t>
      </w:r>
      <w:r w:rsidR="00F70895">
        <w:t>n</w:t>
      </w:r>
      <w:r w:rsidR="00D13B6A">
        <w:t>compass</w:t>
      </w:r>
      <w:r>
        <w:t xml:space="preserve"> all financial </w:t>
      </w:r>
      <w:proofErr w:type="gramStart"/>
      <w:r>
        <w:t xml:space="preserve">mechanisms </w:t>
      </w:r>
      <w:r w:rsidR="001D1889">
        <w:t xml:space="preserve"> </w:t>
      </w:r>
      <w:r>
        <w:t>for</w:t>
      </w:r>
      <w:proofErr w:type="gramEnd"/>
      <w:r>
        <w:t xml:space="preserve"> private funding for biodiversity</w:t>
      </w:r>
      <w:r w:rsidR="002877D7">
        <w:t xml:space="preserve"> due to data limitations</w:t>
      </w:r>
      <w:r>
        <w:t xml:space="preserve">.  </w:t>
      </w:r>
      <w:proofErr w:type="gramStart"/>
      <w:r>
        <w:t xml:space="preserve">Therefore, </w:t>
      </w:r>
      <w:r w:rsidR="00D13B6A">
        <w:t xml:space="preserve"> national</w:t>
      </w:r>
      <w:proofErr w:type="gramEnd"/>
      <w:r w:rsidR="00D13B6A">
        <w:t xml:space="preserve"> reporting requirements for this </w:t>
      </w:r>
      <w:r>
        <w:t>headline indicator should allow for flexibility and not constrain countries into reporting on only a limited number of financial mechanisms.  While robust methodologies for measuring private financial flows across all financial mechanisms may not exist today, the reporting framework and any guidance given to countries should be flexible enough to allow for future developments in deploying</w:t>
      </w:r>
      <w:r w:rsidR="002576ED">
        <w:t xml:space="preserve"> and tracking</w:t>
      </w:r>
      <w:r>
        <w:t xml:space="preserve"> innovative financial mechanisms.  </w:t>
      </w:r>
    </w:p>
    <w:p w14:paraId="132B6CEE" w14:textId="77777777" w:rsidR="007D2A45" w:rsidRDefault="007D2A45" w:rsidP="00D816EA">
      <w:pPr>
        <w:jc w:val="both"/>
      </w:pPr>
    </w:p>
    <w:p w14:paraId="4C1F8EFE" w14:textId="77777777" w:rsidR="007D2A45" w:rsidRDefault="007D2A45" w:rsidP="00D816EA">
      <w:pPr>
        <w:jc w:val="both"/>
      </w:pPr>
    </w:p>
    <w:p w14:paraId="1EE57E43" w14:textId="24BFC4DB" w:rsidR="004C1881" w:rsidRDefault="004C1881" w:rsidP="004C1881">
      <w:pPr>
        <w:pStyle w:val="Heading1"/>
        <w:jc w:val="both"/>
      </w:pPr>
      <w:bookmarkStart w:id="4" w:name="_Toc172018354"/>
      <w:r w:rsidRPr="00E725A9">
        <w:t xml:space="preserve">Section </w:t>
      </w:r>
      <w:r w:rsidR="00083F6F">
        <w:t>Five</w:t>
      </w:r>
      <w:r>
        <w:t>:</w:t>
      </w:r>
      <w:r w:rsidRPr="00E725A9">
        <w:t xml:space="preserve"> Critical Gaps in </w:t>
      </w:r>
      <w:r>
        <w:t xml:space="preserve">Tracking </w:t>
      </w:r>
      <w:r w:rsidRPr="00E725A9">
        <w:t>Private Finance</w:t>
      </w:r>
      <w:bookmarkEnd w:id="4"/>
      <w:r w:rsidRPr="00E725A9">
        <w:t xml:space="preserve"> </w:t>
      </w:r>
    </w:p>
    <w:p w14:paraId="652989A8" w14:textId="77777777" w:rsidR="004C1881" w:rsidRDefault="004C1881" w:rsidP="004C1881">
      <w:pPr>
        <w:jc w:val="both"/>
      </w:pPr>
    </w:p>
    <w:p w14:paraId="0592F084" w14:textId="57F06F72" w:rsidR="004C1881" w:rsidRDefault="004C1881" w:rsidP="004C1881">
      <w:pPr>
        <w:jc w:val="both"/>
      </w:pPr>
      <w:r>
        <w:t>Measuring and tracking private biodiversity finance is critical given the pivotal role the private sector can play in mitigating biodiversity loss and contributing to a</w:t>
      </w:r>
      <w:r w:rsidR="00D71CDC">
        <w:t>n</w:t>
      </w:r>
      <w:r>
        <w:t xml:space="preserve"> economy</w:t>
      </w:r>
      <w:r w:rsidR="00D71CDC">
        <w:t xml:space="preserve"> that recognizes and protects its reliance on biodiversity and ecosystems</w:t>
      </w:r>
      <w:r>
        <w:t xml:space="preserve">. However, there are </w:t>
      </w:r>
      <w:r w:rsidR="00310F5F">
        <w:t>several</w:t>
      </w:r>
      <w:r>
        <w:t xml:space="preserve"> challenges to both identifying and tracking private financial flows, including a lack of standard definitions for private biodiversity </w:t>
      </w:r>
      <w:r w:rsidR="00710D80">
        <w:t>funding</w:t>
      </w:r>
      <w:r>
        <w:t xml:space="preserve">, and a lack of reporting frameworks for companies and investors to disclose private </w:t>
      </w:r>
      <w:r w:rsidR="00710D80">
        <w:t xml:space="preserve">funding </w:t>
      </w:r>
      <w:r>
        <w:t xml:space="preserve">for biodiversity.  Financial flows across the private sector come from businesses, financial institutions, foundations, and nongovernmental organizations, compounding the complexity of tracking these flows.  In addition, traditionally, estimates of biodiversity investment from the private sector have focused more on corporate philanthropy </w:t>
      </w:r>
      <w:r>
        <w:lastRenderedPageBreak/>
        <w:t xml:space="preserve">and activities to comply with regulatory mandates such as offsetting environmental </w:t>
      </w:r>
      <w:proofErr w:type="gramStart"/>
      <w:r>
        <w:t>damages</w:t>
      </w:r>
      <w:proofErr w:type="gramEnd"/>
      <w:r>
        <w:t>, and less so on core voluntary business operations (Seidl et al. 2023).</w:t>
      </w:r>
      <w:r w:rsidR="00710D80">
        <w:t xml:space="preserve"> Global pressures to reach a net-zero and nature-positive economy by 2050, and increased risk from climate change and nature degradation, are driving private investment in nature</w:t>
      </w:r>
      <w:r w:rsidR="00892041">
        <w:t>-based solutions</w:t>
      </w:r>
      <w:r w:rsidR="00710D80">
        <w:t xml:space="preserve">. </w:t>
      </w:r>
      <w:r w:rsidR="000E012F">
        <w:t xml:space="preserve">Both a conceptual </w:t>
      </w:r>
      <w:r w:rsidR="00710D80">
        <w:t xml:space="preserve">framework </w:t>
      </w:r>
      <w:r w:rsidR="000E012F">
        <w:t xml:space="preserve">and </w:t>
      </w:r>
      <w:r w:rsidR="003C1CD6">
        <w:t xml:space="preserve">a flexible, robust, and transparent </w:t>
      </w:r>
      <w:r w:rsidR="000E012F">
        <w:t xml:space="preserve">methodology </w:t>
      </w:r>
      <w:proofErr w:type="gramStart"/>
      <w:r w:rsidR="00710D80">
        <w:t>is</w:t>
      </w:r>
      <w:proofErr w:type="gramEnd"/>
      <w:r w:rsidR="00710D80">
        <w:t xml:space="preserve"> needed to identify, </w:t>
      </w:r>
      <w:r w:rsidR="000E012F">
        <w:t>quantify</w:t>
      </w:r>
      <w:r w:rsidR="00710D80">
        <w:t>, and track these investments to effectively monitor progress towards the KMGBF.</w:t>
      </w:r>
      <w:r w:rsidR="00D603C6">
        <w:t xml:space="preserve"> </w:t>
      </w:r>
    </w:p>
    <w:p w14:paraId="71219C71" w14:textId="77777777" w:rsidR="004C1881" w:rsidRDefault="004C1881" w:rsidP="004C1881">
      <w:pPr>
        <w:jc w:val="both"/>
      </w:pPr>
    </w:p>
    <w:p w14:paraId="317B8680" w14:textId="460DF42E" w:rsidR="004C1881" w:rsidRDefault="004C1881" w:rsidP="004C1881">
      <w:pPr>
        <w:jc w:val="both"/>
      </w:pPr>
      <w:r>
        <w:t>To-date, there is no</w:t>
      </w:r>
      <w:r w:rsidR="000E012F">
        <w:t xml:space="preserve"> agreed-upon</w:t>
      </w:r>
      <w:r>
        <w:t xml:space="preserve"> </w:t>
      </w:r>
      <w:r w:rsidR="00710D80">
        <w:t>framework or metho</w:t>
      </w:r>
      <w:r w:rsidR="000E012F">
        <w:t>dology</w:t>
      </w:r>
      <w:r>
        <w:t xml:space="preserve"> for identifying, </w:t>
      </w:r>
      <w:r w:rsidR="0022734F">
        <w:t>quantifying and</w:t>
      </w:r>
      <w:r>
        <w:t xml:space="preserve"> tracking all flows of private finance for biodiversity. This is likely due to the complexities in identifying private finance</w:t>
      </w:r>
      <w:r w:rsidR="000E012F">
        <w:t xml:space="preserve"> for biodiversity</w:t>
      </w:r>
      <w:r>
        <w:t xml:space="preserve">, particularly when that finance is not philanthropy-related with activities explicitly targeting conservation and land protection projects, and no centralized framework for private entities to </w:t>
      </w:r>
      <w:r w:rsidR="00243DEB">
        <w:t>integrate</w:t>
      </w:r>
      <w:r>
        <w:t xml:space="preserve">. In addition, private companies may be investing in biodiversity in more indirect ways, such as through sustainable commodity production or </w:t>
      </w:r>
      <w:r w:rsidR="00882A94">
        <w:t xml:space="preserve">in </w:t>
      </w:r>
      <w:r>
        <w:t>environmental markets such as forest carbon trading and mitigation banking, or through their capital investments such as through green bonds and private equity investments.  There is, however</w:t>
      </w:r>
      <w:proofErr w:type="gramStart"/>
      <w:r>
        <w:t>, is</w:t>
      </w:r>
      <w:proofErr w:type="gramEnd"/>
      <w:r>
        <w:t xml:space="preserve"> a growing interest in nature-based solutions alongside increased recognition by private entities of their nature-related impacts, dependencies, risks, and opportunities.  Concepts such as ‘nature-positive’ are gaining momentum </w:t>
      </w:r>
      <w:proofErr w:type="gramStart"/>
      <w:r>
        <w:t>as a way to</w:t>
      </w:r>
      <w:proofErr w:type="gramEnd"/>
      <w:r>
        <w:t xml:space="preserve"> target activities that not only achieve no net loss of biodiversity and ecosystems, but significantly improve the health, abundance, and resilience of biodiversity and ecosystems.  Initiatives such as the Nature Positive Initiative, the Business for Nature coalition, and the World Business Council for Sustainable Development advocate for corporate action, develop frameworks, principles, and metrics, and provide research and insights into how businesses can integrate nature-positive practices into their strategies. </w:t>
      </w:r>
    </w:p>
    <w:p w14:paraId="6AE3A242" w14:textId="77777777" w:rsidR="004C1881" w:rsidRDefault="004C1881" w:rsidP="004C1881">
      <w:pPr>
        <w:jc w:val="both"/>
      </w:pPr>
    </w:p>
    <w:p w14:paraId="39D49BF0" w14:textId="77777777" w:rsidR="004C1881" w:rsidRDefault="004C1881" w:rsidP="004C1881">
      <w:pPr>
        <w:jc w:val="both"/>
      </w:pPr>
      <w:r>
        <w:t xml:space="preserve">Regulatory requirements, investor pressure, and corporate reputation are pushing more companies to disclose climate, sustainability, and nature-related issues through corporate reporting frameworks.  With a growing emphasis on environmental, social, and governance factors, companies are increasingly adopting recognized sustainability reporting and disclosure frameworks such as the Global Reporting Initiative, Sustainability Accounting Standards Board, or the recently launched Task Force on Nature-related Financial Disclosures. While these frameworks enable companies to disclose impacts to </w:t>
      </w:r>
      <w:proofErr w:type="gramStart"/>
      <w:r>
        <w:t>or</w:t>
      </w:r>
      <w:proofErr w:type="gramEnd"/>
      <w:r>
        <w:t xml:space="preserve"> dependencies on biodiversity, they do not require reporting on biodiversity expenditures.  The recently launched Science Based Targets Network aims to support businesses in establishing science-based, measurable, actionable, time-bound targets for nature.   Shifting investor pressure is also creating growing demand for investments that achieve not only financial returns but also positive outcomes for social and environmental goals as well.  </w:t>
      </w:r>
    </w:p>
    <w:p w14:paraId="25179062" w14:textId="77777777" w:rsidR="004C1881" w:rsidRDefault="004C1881" w:rsidP="004C1881">
      <w:pPr>
        <w:jc w:val="both"/>
      </w:pPr>
    </w:p>
    <w:p w14:paraId="2C6F17A3" w14:textId="205D58A9" w:rsidR="004C1881" w:rsidRDefault="004C1881" w:rsidP="004C1881">
      <w:pPr>
        <w:jc w:val="both"/>
      </w:pPr>
      <w:r>
        <w:t xml:space="preserve">While progress is being made to improve corporate reporting and target-setting related to </w:t>
      </w:r>
      <w:r w:rsidR="00D71CDC">
        <w:t>nature and biodiversity</w:t>
      </w:r>
      <w:r>
        <w:t xml:space="preserve">, much work remains to adequately identify and report on private biodiversity-related investments and expenditures to meet country obligations to track and report on domestic and international private funding on conservation and sustainable use of biodiversity and ecosystems. </w:t>
      </w:r>
    </w:p>
    <w:p w14:paraId="3CEA8CB3" w14:textId="77777777" w:rsidR="004C1881" w:rsidRDefault="004C1881" w:rsidP="004C1881">
      <w:pPr>
        <w:jc w:val="both"/>
      </w:pPr>
    </w:p>
    <w:p w14:paraId="0D24899E" w14:textId="1CCD6D04" w:rsidR="004C1881" w:rsidRDefault="004C1881" w:rsidP="004C1881">
      <w:pPr>
        <w:jc w:val="both"/>
      </w:pPr>
      <w:r>
        <w:t xml:space="preserve">As discussed in Section Three, private finance for biodiversity is channeled through multiple actors across myriad financial and policy mechanisms.  For some elements of the headline </w:t>
      </w:r>
      <w:r>
        <w:lastRenderedPageBreak/>
        <w:t xml:space="preserve">indicator, such as international private philanthropy, conservation NGOs, and private finance leveraged by official development finance, existing data and public reports may be suitable to monitor and report on these flows. For others, such as private investments in sustainable supply chains, biodiversity offsets, and </w:t>
      </w:r>
      <w:r w:rsidR="009D6400">
        <w:t>biodiversity-related green financial products</w:t>
      </w:r>
      <w:r>
        <w:t xml:space="preserve">, there may not be available data suitable for tracking these flows to the level of granularity needed, such as whether financial flows are domestic or international, whether biodiversity is adequately defined, or whether the data is updated frequently enough to be useful to monitor trends over time.  It may also not be possible to disaggregate biodiversity expenditures from broader environment-related expenditures, such as in national statistical accounts and green financial products.  In such cases, this work has assessed possible modifications and capacity building needs to develop suitable reporting mechanisms that meet the needs of headline indicator D3. </w:t>
      </w:r>
    </w:p>
    <w:p w14:paraId="27CC1BBE" w14:textId="77777777" w:rsidR="004C1881" w:rsidRDefault="004C1881" w:rsidP="004C1881">
      <w:pPr>
        <w:jc w:val="both"/>
      </w:pPr>
    </w:p>
    <w:p w14:paraId="78B311EE" w14:textId="0469721C" w:rsidR="004C1881" w:rsidRDefault="004C1881" w:rsidP="004C1881">
      <w:pPr>
        <w:jc w:val="both"/>
      </w:pPr>
      <w:r>
        <w:t xml:space="preserve">Most of the current estimates of private finance rely on top-down global estimates drawing from numerous sources.  National reporting to the CBD under the KMGBF monitoring framework, however, requires bottom-up estimates that include private finance from the business, financial, and non-governmental sectors that contribute to biodiversity conservation and sustainable use.  The following sections will explore these global, top-down estimates to determine whether the methodology and data sources lend themselves to a bottom-up, country-level estimation approach; one that can be used for national reporting to the CBD.  </w:t>
      </w:r>
    </w:p>
    <w:p w14:paraId="4DC03D07" w14:textId="77777777" w:rsidR="004C1881" w:rsidRDefault="004C1881" w:rsidP="004C1881">
      <w:pPr>
        <w:jc w:val="both"/>
      </w:pPr>
    </w:p>
    <w:p w14:paraId="73E0E3AB" w14:textId="7BB4BCD7" w:rsidR="00FD18B2" w:rsidRDefault="004C1881" w:rsidP="004C1881">
      <w:pPr>
        <w:jc w:val="both"/>
      </w:pPr>
      <w:r>
        <w:t xml:space="preserve">Although scaling private funding for biodiversity is critical to implementing the </w:t>
      </w:r>
      <w:r w:rsidR="009D6400">
        <w:t>KMGBF</w:t>
      </w:r>
      <w:r>
        <w:t xml:space="preserve">, equally important is having the enabling environment and incentives in place to </w:t>
      </w:r>
      <w:r w:rsidR="00310F5F">
        <w:t>mobilize and scale</w:t>
      </w:r>
      <w:r>
        <w:t xml:space="preserve"> private financial flows. Although outside the scope of </w:t>
      </w:r>
      <w:r w:rsidR="00A32968">
        <w:t>measuring</w:t>
      </w:r>
      <w:r>
        <w:t xml:space="preserve"> private financial flows</w:t>
      </w:r>
      <w:r w:rsidR="00A32968">
        <w:t xml:space="preserve"> for headline indicator D3</w:t>
      </w:r>
      <w:r>
        <w:t xml:space="preserve">, other indicators under Target 19 aim to </w:t>
      </w:r>
      <w:r w:rsidR="00FD18B2">
        <w:t>achieve these outcomes</w:t>
      </w:r>
      <w:r>
        <w:t xml:space="preserve">, including donor spending to support developing countries on enabling policy environments and </w:t>
      </w:r>
      <w:r w:rsidR="00A32968">
        <w:t>building capacity</w:t>
      </w:r>
      <w:r>
        <w:t xml:space="preserve"> to engage with the private sector on biodiversity, which can be found in headline indicator D1.  Other targets</w:t>
      </w:r>
      <w:r w:rsidR="00FD18B2">
        <w:t xml:space="preserve"> also aim to promote an enabling environment and mobilize private financial flows to biodiversity, including:</w:t>
      </w:r>
    </w:p>
    <w:p w14:paraId="6A3CED99" w14:textId="77777777" w:rsidR="00FD18B2" w:rsidRDefault="00FD18B2" w:rsidP="004C1881">
      <w:pPr>
        <w:jc w:val="both"/>
      </w:pPr>
    </w:p>
    <w:p w14:paraId="6DE9C3FE" w14:textId="77777777" w:rsidR="00FD18B2" w:rsidRDefault="004C1881" w:rsidP="00FD18B2">
      <w:pPr>
        <w:pStyle w:val="ListParagraph"/>
        <w:numPr>
          <w:ilvl w:val="0"/>
          <w:numId w:val="35"/>
        </w:numPr>
        <w:jc w:val="both"/>
      </w:pPr>
      <w:r>
        <w:t xml:space="preserve">Target 14 on mainstreaming biodiversity and its values into policies, regulations, planning and development processes, </w:t>
      </w:r>
    </w:p>
    <w:p w14:paraId="2CFC2DD3" w14:textId="77777777" w:rsidR="00FD18B2" w:rsidRDefault="004C1881" w:rsidP="00FD18B2">
      <w:pPr>
        <w:pStyle w:val="ListParagraph"/>
        <w:numPr>
          <w:ilvl w:val="0"/>
          <w:numId w:val="35"/>
        </w:numPr>
        <w:jc w:val="both"/>
      </w:pPr>
      <w:r>
        <w:t xml:space="preserve">Target 15 on adopting measures to encourage and enable the business community to monitor, assess, and disclose their impacts and dependencies on biodiversity, and </w:t>
      </w:r>
    </w:p>
    <w:p w14:paraId="62F20C15" w14:textId="31535F5F" w:rsidR="004C1881" w:rsidRDefault="004C1881" w:rsidP="00FD18B2">
      <w:pPr>
        <w:pStyle w:val="ListParagraph"/>
        <w:numPr>
          <w:ilvl w:val="0"/>
          <w:numId w:val="35"/>
        </w:numPr>
        <w:jc w:val="both"/>
      </w:pPr>
      <w:r>
        <w:t>Target 18 on scaling positive incentives for biodiversity</w:t>
      </w:r>
      <w:r w:rsidR="00FD18B2">
        <w:t>.</w:t>
      </w:r>
    </w:p>
    <w:p w14:paraId="7AC679F6" w14:textId="77777777" w:rsidR="004C1881" w:rsidRDefault="004C1881" w:rsidP="004C1881">
      <w:pPr>
        <w:jc w:val="both"/>
      </w:pPr>
    </w:p>
    <w:p w14:paraId="15944FAC" w14:textId="2B111022" w:rsidR="004C1881" w:rsidRDefault="002F2FA8" w:rsidP="008968C5">
      <w:pPr>
        <w:pStyle w:val="Heading2"/>
      </w:pPr>
      <w:r>
        <w:t xml:space="preserve">Addressing </w:t>
      </w:r>
      <w:r w:rsidR="00882A94">
        <w:t xml:space="preserve">Cross-Cutting Issues </w:t>
      </w:r>
      <w:r w:rsidR="00EE0049">
        <w:t xml:space="preserve">of </w:t>
      </w:r>
      <w:r w:rsidR="00882A94">
        <w:t>the G</w:t>
      </w:r>
      <w:r w:rsidR="00FD71E7">
        <w:t>lobal Biodiversity Framework</w:t>
      </w:r>
    </w:p>
    <w:p w14:paraId="6F2725B4" w14:textId="77777777" w:rsidR="00882A94" w:rsidRDefault="00882A94" w:rsidP="004C1881">
      <w:pPr>
        <w:jc w:val="both"/>
      </w:pPr>
    </w:p>
    <w:p w14:paraId="37283192" w14:textId="3CD10F80" w:rsidR="00442AB0" w:rsidRDefault="00A22118" w:rsidP="00494F2B">
      <w:pPr>
        <w:jc w:val="both"/>
      </w:pPr>
      <w:r>
        <w:t xml:space="preserve">In addition to the general methodological gaps and challenges outlined above, </w:t>
      </w:r>
      <w:r w:rsidR="00EE0049">
        <w:t>several</w:t>
      </w:r>
      <w:r>
        <w:t xml:space="preserve"> cross-cutting issues related to the implementation of the KMGBF </w:t>
      </w:r>
      <w:r w:rsidR="00EA3114">
        <w:t xml:space="preserve">are to </w:t>
      </w:r>
      <w:r>
        <w:t xml:space="preserve">be addressed when developing </w:t>
      </w:r>
      <w:r w:rsidR="005C745A">
        <w:t>frameworks</w:t>
      </w:r>
      <w:r>
        <w:t xml:space="preserve"> to identify</w:t>
      </w:r>
      <w:r w:rsidR="00A32968">
        <w:t>, measure,</w:t>
      </w:r>
      <w:r>
        <w:t xml:space="preserve"> and </w:t>
      </w:r>
      <w:r w:rsidR="00A32968">
        <w:t xml:space="preserve">monitor </w:t>
      </w:r>
      <w:r>
        <w:t xml:space="preserve">private funding for biodiversity.  Section C of the </w:t>
      </w:r>
      <w:r w:rsidR="00EE0049">
        <w:t>KMGBF</w:t>
      </w:r>
      <w:r>
        <w:t xml:space="preserve"> </w:t>
      </w:r>
      <w:r w:rsidR="00EE0049">
        <w:t xml:space="preserve">highlights </w:t>
      </w:r>
      <w:r w:rsidR="00FA30B4">
        <w:t xml:space="preserve">important social </w:t>
      </w:r>
      <w:r w:rsidR="008968C5">
        <w:t>principles</w:t>
      </w:r>
      <w:r w:rsidR="00FA30B4">
        <w:t xml:space="preserve"> concerning</w:t>
      </w:r>
      <w:r w:rsidR="00EE0049">
        <w:t xml:space="preserve"> </w:t>
      </w:r>
      <w:r w:rsidR="008968C5">
        <w:t xml:space="preserve">the rights of </w:t>
      </w:r>
      <w:r w:rsidR="00EE0049">
        <w:t>indigenous peoples and local communities</w:t>
      </w:r>
      <w:r w:rsidR="00C709E7">
        <w:t xml:space="preserve"> (IPLC)</w:t>
      </w:r>
      <w:r w:rsidR="005C745A">
        <w:t xml:space="preserve">, </w:t>
      </w:r>
      <w:r w:rsidR="00EE0049">
        <w:t>intergeneration</w:t>
      </w:r>
      <w:r w:rsidR="00FA30B4">
        <w:t>al</w:t>
      </w:r>
      <w:r w:rsidR="00EE0049">
        <w:t xml:space="preserve"> </w:t>
      </w:r>
      <w:r w:rsidR="005C745A">
        <w:t xml:space="preserve">equity, and gender equality, and adhering to a human-rights based approach.  </w:t>
      </w:r>
      <w:r w:rsidR="00A32968">
        <w:t>Thus,</w:t>
      </w:r>
      <w:r w:rsidR="005C745A">
        <w:t xml:space="preserve"> private financing mechanisms </w:t>
      </w:r>
      <w:r w:rsidR="00A32968">
        <w:t xml:space="preserve">for biodiversity </w:t>
      </w:r>
      <w:r w:rsidR="00A41804">
        <w:t>will have to reflect</w:t>
      </w:r>
      <w:r w:rsidR="005C745A">
        <w:t xml:space="preserve"> </w:t>
      </w:r>
      <w:r w:rsidR="00A32968">
        <w:t>these principles</w:t>
      </w:r>
      <w:r w:rsidR="00494F2B">
        <w:t xml:space="preserve">.  Guidance on approaches to integrate these cross-cutting issues, </w:t>
      </w:r>
      <w:r w:rsidR="00494F2B">
        <w:lastRenderedPageBreak/>
        <w:t>including data disaggregation and monitoring, has been developed to implement the comprehensive KMGBF.</w:t>
      </w:r>
      <w:r w:rsidR="007A72C0">
        <w:rPr>
          <w:rStyle w:val="FootnoteReference"/>
        </w:rPr>
        <w:footnoteReference w:id="12"/>
      </w:r>
      <w:r w:rsidR="00494F2B">
        <w:t xml:space="preserve"> </w:t>
      </w:r>
    </w:p>
    <w:p w14:paraId="5052EC36" w14:textId="77777777" w:rsidR="00C709E7" w:rsidRDefault="00C709E7" w:rsidP="00494F2B">
      <w:pPr>
        <w:jc w:val="both"/>
      </w:pPr>
    </w:p>
    <w:p w14:paraId="4CF9931C" w14:textId="7337BC54" w:rsidR="00C709E7" w:rsidRDefault="00C709E7" w:rsidP="00494F2B">
      <w:pPr>
        <w:jc w:val="both"/>
      </w:pPr>
      <w:r>
        <w:t xml:space="preserve">Thus, it is important to ensure that reporting mechanisms incorporate provisions for gender responsiveness and human rights considerations.  Where possible, data should be disaggregated by gender, IPLCs, and other relevant demographics, and impacts of financial flows on human rights should be evaluated to ensure biodiversity investments contribute to equitable and inclusive conservation outcomes.  </w:t>
      </w:r>
    </w:p>
    <w:p w14:paraId="1F344730" w14:textId="77777777" w:rsidR="00494F2B" w:rsidRDefault="00494F2B" w:rsidP="00494F2B">
      <w:pPr>
        <w:jc w:val="both"/>
      </w:pPr>
    </w:p>
    <w:p w14:paraId="2602B34D" w14:textId="03B1887E" w:rsidR="00494F2B" w:rsidRDefault="00494F2B" w:rsidP="004F7C3B">
      <w:pPr>
        <w:pStyle w:val="Heading2"/>
      </w:pPr>
      <w:r>
        <w:t>Defining Private Funding for Biodiversity</w:t>
      </w:r>
    </w:p>
    <w:p w14:paraId="311F9ED1" w14:textId="77777777" w:rsidR="00494F2B" w:rsidRDefault="00494F2B" w:rsidP="00494F2B">
      <w:pPr>
        <w:jc w:val="both"/>
      </w:pPr>
    </w:p>
    <w:p w14:paraId="0CBE7F60" w14:textId="0301B9EC" w:rsidR="003B3123" w:rsidRDefault="00494F2B" w:rsidP="00494F2B">
      <w:pPr>
        <w:jc w:val="both"/>
      </w:pPr>
      <w:r>
        <w:t xml:space="preserve">To accurately collect, report, and monitor trends in biodiversity-related private funding, </w:t>
      </w:r>
      <w:r w:rsidR="006B4F51">
        <w:t xml:space="preserve">and to ensure that private funding is </w:t>
      </w:r>
      <w:proofErr w:type="gramStart"/>
      <w:r w:rsidR="006B4F51">
        <w:t>in-fact</w:t>
      </w:r>
      <w:proofErr w:type="gramEnd"/>
      <w:r w:rsidR="006B4F51">
        <w:t xml:space="preserve"> benefiting nature, </w:t>
      </w:r>
      <w:r w:rsidR="00892041">
        <w:rPr>
          <w:b/>
        </w:rPr>
        <w:t>private funding for biodiversity and ecosystem services</w:t>
      </w:r>
      <w:r>
        <w:rPr>
          <w:b/>
        </w:rPr>
        <w:t xml:space="preserve"> </w:t>
      </w:r>
      <w:r w:rsidR="006B4F51">
        <w:rPr>
          <w:b/>
        </w:rPr>
        <w:t>must be</w:t>
      </w:r>
      <w:r>
        <w:t xml:space="preserve"> clearly defined.  Biodiversity-related funding can generally include </w:t>
      </w:r>
      <w:r w:rsidR="00E419A7">
        <w:t>any expenditure or investment</w:t>
      </w:r>
      <w:r>
        <w:t xml:space="preserve"> with the purpose of having a positive impact on, or reducing or eliminating a negative pressure on, biodiversity and ecosystems. </w:t>
      </w:r>
      <w:r w:rsidR="00FD1E6E">
        <w:t xml:space="preserve">The IFC defines biodiversity finance as “finance that contributes or intends to contribute to activities that conserve, restore, or avoid a negative footprint on biodiversity and ecosystem services” (IFC, 2023). </w:t>
      </w:r>
      <w:r w:rsidR="003B3123">
        <w:t xml:space="preserve">Further, the IFC provides an indicative list of private sector biodiversity finance to demonstrate eligible use of </w:t>
      </w:r>
      <w:proofErr w:type="gramStart"/>
      <w:r w:rsidR="003B3123">
        <w:t>proceeds</w:t>
      </w:r>
      <w:proofErr w:type="gramEnd"/>
      <w:r w:rsidR="003B3123">
        <w:t xml:space="preserve"> as:</w:t>
      </w:r>
    </w:p>
    <w:p w14:paraId="373B33C2" w14:textId="77777777" w:rsidR="003B3123" w:rsidRDefault="003B3123" w:rsidP="00494F2B">
      <w:pPr>
        <w:jc w:val="both"/>
      </w:pPr>
    </w:p>
    <w:p w14:paraId="3EA23E1F" w14:textId="38764D4F" w:rsidR="003B3123" w:rsidRDefault="003B3123" w:rsidP="003B3123">
      <w:pPr>
        <w:pStyle w:val="ListParagraph"/>
        <w:numPr>
          <w:ilvl w:val="0"/>
          <w:numId w:val="36"/>
        </w:numPr>
        <w:jc w:val="both"/>
      </w:pPr>
      <w:r>
        <w:t>Investment activities that seek to generate biodiversity co-benefits, including business operations and production practices that address key drivers of biodiversity loss.</w:t>
      </w:r>
    </w:p>
    <w:p w14:paraId="190E2264" w14:textId="35861BAE" w:rsidR="003B3123" w:rsidRDefault="003B3123" w:rsidP="003B3123">
      <w:pPr>
        <w:pStyle w:val="ListParagraph"/>
        <w:numPr>
          <w:ilvl w:val="0"/>
          <w:numId w:val="36"/>
        </w:numPr>
        <w:jc w:val="both"/>
      </w:pPr>
      <w:r>
        <w:t>Investments in conservation and/or restoration as the primary objective, covering direct financing of conservation, restoration, and related services,</w:t>
      </w:r>
    </w:p>
    <w:p w14:paraId="0D6413A1" w14:textId="262DDE50" w:rsidR="003B3123" w:rsidRDefault="003B3123" w:rsidP="004F7C3B">
      <w:pPr>
        <w:pStyle w:val="ListParagraph"/>
        <w:numPr>
          <w:ilvl w:val="0"/>
          <w:numId w:val="36"/>
        </w:numPr>
        <w:jc w:val="both"/>
      </w:pPr>
      <w:r>
        <w:t>Investments in nature-based solutions to conserve, enhance, and restore biodiversity and ecosystem that can displace or complement man-made structures (e.g. ‘gray infrastructure’) with ‘green’ infrastructure.</w:t>
      </w:r>
    </w:p>
    <w:p w14:paraId="4D6B866B" w14:textId="77777777" w:rsidR="003B3123" w:rsidRDefault="003B3123" w:rsidP="00494F2B">
      <w:pPr>
        <w:jc w:val="both"/>
      </w:pPr>
    </w:p>
    <w:p w14:paraId="03E8227B" w14:textId="0CD69848" w:rsidR="00892041" w:rsidRDefault="00494F2B" w:rsidP="00494F2B">
      <w:pPr>
        <w:jc w:val="both"/>
      </w:pPr>
      <w:r>
        <w:t>This definition aligns with the UNDP’s Biodiversity Finance Initiative (BIOFIN) definition of</w:t>
      </w:r>
      <w:r w:rsidR="00892041">
        <w:t xml:space="preserve"> biodiversity finance: “the practice of raising and managing capital and using financial and economic incentives to support sustainable biodiversity management”</w:t>
      </w:r>
      <w:r>
        <w:t xml:space="preserve">. </w:t>
      </w:r>
      <w:r w:rsidR="00892041">
        <w:t xml:space="preserve">The definition includes </w:t>
      </w:r>
      <w:r w:rsidR="00521748">
        <w:t>“</w:t>
      </w:r>
      <w:r w:rsidR="00892041">
        <w:t>private and public funds used to conserve and restore biodiversity, investments in commercial activities that produce positive biodiversity outcomes, and the value of the transactions in biodiversity-related markets such as habitat banking</w:t>
      </w:r>
      <w:r w:rsidR="00521748">
        <w:t>”</w:t>
      </w:r>
      <w:r w:rsidR="00892041">
        <w:t xml:space="preserve"> (</w:t>
      </w:r>
      <w:r w:rsidR="00521748">
        <w:t>UNDP</w:t>
      </w:r>
      <w:r w:rsidR="00892041">
        <w:t>, 2018)</w:t>
      </w:r>
    </w:p>
    <w:p w14:paraId="2E770A20" w14:textId="77777777" w:rsidR="00892041" w:rsidRDefault="00892041" w:rsidP="00494F2B">
      <w:pPr>
        <w:jc w:val="both"/>
      </w:pPr>
    </w:p>
    <w:p w14:paraId="39412179" w14:textId="1F2D7891" w:rsidR="00494F2B" w:rsidRDefault="00494F2B" w:rsidP="00494F2B">
      <w:pPr>
        <w:jc w:val="both"/>
      </w:pPr>
      <w:r>
        <w:t>The Organization for Economic Cooperation and Development (OECD) similarly defines and tracks biodiversity activities and expenditures in development finance statistics as those activities whose policy objectives, whether principal or significant, align with the Convention on Biological Diversity’s objectives using Rio markers.  Any efforts by countries to identify, collect, and report on private funding must therefore be grounded on a clear, transparent, and robust definition of private biodiversity-related funding.</w:t>
      </w:r>
    </w:p>
    <w:p w14:paraId="3586517E" w14:textId="77777777" w:rsidR="00494F2B" w:rsidRDefault="00494F2B" w:rsidP="00494F2B">
      <w:pPr>
        <w:jc w:val="both"/>
      </w:pPr>
    </w:p>
    <w:p w14:paraId="4B5D380E" w14:textId="77777777" w:rsidR="00494F2B" w:rsidRDefault="00494F2B" w:rsidP="00494F2B">
      <w:pPr>
        <w:jc w:val="both"/>
      </w:pPr>
      <w:r>
        <w:lastRenderedPageBreak/>
        <w:t xml:space="preserve">Recent efforts have been made to develop a global taxonomy for conservation finance mechanisms that go beyond those included in existing global estimates.  For example, the Conservation Finance Alliance proposes a taxonomy of conservation finance mechanisms and strategies that encompass all known mechanisms. </w:t>
      </w:r>
    </w:p>
    <w:p w14:paraId="523C521E" w14:textId="77777777" w:rsidR="00494F2B" w:rsidRDefault="00494F2B" w:rsidP="00494F2B">
      <w:pPr>
        <w:jc w:val="both"/>
      </w:pPr>
    </w:p>
    <w:p w14:paraId="6F272B5A" w14:textId="77777777" w:rsidR="00494F2B" w:rsidRDefault="00494F2B" w:rsidP="00494F2B">
      <w:pPr>
        <w:pStyle w:val="Caption"/>
      </w:pPr>
      <w:r>
        <w:tab/>
        <w:t xml:space="preserve">Table </w:t>
      </w:r>
      <w:fldSimple w:instr=" SEQ Table \* ARABIC ">
        <w:r>
          <w:rPr>
            <w:noProof/>
          </w:rPr>
          <w:t>3</w:t>
        </w:r>
      </w:fldSimple>
      <w:r>
        <w:t xml:space="preserve"> A Taxonomy of Conservation Finance Mechanisms</w:t>
      </w:r>
    </w:p>
    <w:tbl>
      <w:tblPr>
        <w:tblW w:w="7860" w:type="dxa"/>
        <w:jc w:val="center"/>
        <w:tblLook w:val="04A0" w:firstRow="1" w:lastRow="0" w:firstColumn="1" w:lastColumn="0" w:noHBand="0" w:noVBand="1"/>
      </w:tblPr>
      <w:tblGrid>
        <w:gridCol w:w="2420"/>
        <w:gridCol w:w="5440"/>
      </w:tblGrid>
      <w:tr w:rsidR="00494F2B" w:rsidRPr="00D876B5" w14:paraId="0E26787C" w14:textId="77777777" w:rsidTr="00B37100">
        <w:trPr>
          <w:cantSplit/>
          <w:trHeight w:val="312"/>
          <w:tblHeader/>
          <w:jc w:val="center"/>
        </w:trPr>
        <w:tc>
          <w:tcPr>
            <w:tcW w:w="2420" w:type="dxa"/>
            <w:tcBorders>
              <w:top w:val="single" w:sz="4" w:space="0" w:color="auto"/>
              <w:left w:val="single" w:sz="4" w:space="0" w:color="auto"/>
              <w:bottom w:val="single" w:sz="4" w:space="0" w:color="auto"/>
              <w:right w:val="single" w:sz="4" w:space="0" w:color="auto"/>
            </w:tcBorders>
            <w:shd w:val="clear" w:color="000000" w:fill="AEAAAA"/>
            <w:noWrap/>
            <w:vAlign w:val="bottom"/>
            <w:hideMark/>
          </w:tcPr>
          <w:p w14:paraId="4CB70F76"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Strategy</w:t>
            </w:r>
          </w:p>
        </w:tc>
        <w:tc>
          <w:tcPr>
            <w:tcW w:w="5440" w:type="dxa"/>
            <w:tcBorders>
              <w:top w:val="single" w:sz="4" w:space="0" w:color="auto"/>
              <w:left w:val="nil"/>
              <w:bottom w:val="single" w:sz="4" w:space="0" w:color="auto"/>
              <w:right w:val="single" w:sz="4" w:space="0" w:color="auto"/>
            </w:tcBorders>
            <w:shd w:val="clear" w:color="000000" w:fill="AEAAAA"/>
            <w:noWrap/>
            <w:vAlign w:val="bottom"/>
            <w:hideMark/>
          </w:tcPr>
          <w:p w14:paraId="25D8EDC5"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Mechanism</w:t>
            </w:r>
          </w:p>
        </w:tc>
      </w:tr>
      <w:tr w:rsidR="00494F2B" w:rsidRPr="00D876B5" w14:paraId="4C0325FC"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74E8DF52"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Return-Based Investments</w:t>
            </w:r>
          </w:p>
        </w:tc>
        <w:tc>
          <w:tcPr>
            <w:tcW w:w="5440" w:type="dxa"/>
            <w:tcBorders>
              <w:top w:val="nil"/>
              <w:left w:val="nil"/>
              <w:bottom w:val="nil"/>
              <w:right w:val="single" w:sz="4" w:space="0" w:color="auto"/>
            </w:tcBorders>
            <w:shd w:val="clear" w:color="auto" w:fill="auto"/>
            <w:noWrap/>
            <w:vAlign w:val="bottom"/>
            <w:hideMark/>
          </w:tcPr>
          <w:p w14:paraId="24CC486C"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Microfinance</w:t>
            </w:r>
          </w:p>
        </w:tc>
      </w:tr>
      <w:tr w:rsidR="00494F2B" w:rsidRPr="00D876B5" w14:paraId="3F1EAAF6"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FD50AB7"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1B08E3FA"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Peer-to-Peer (P2P) Investing and Crowdfunding</w:t>
            </w:r>
          </w:p>
        </w:tc>
      </w:tr>
      <w:tr w:rsidR="00494F2B" w:rsidRPr="00D876B5" w14:paraId="2AE22C3E"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1691819A"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6725A970"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Angel Investing, Incubators and Venture Capital</w:t>
            </w:r>
          </w:p>
        </w:tc>
      </w:tr>
      <w:tr w:rsidR="00494F2B" w:rsidRPr="00D876B5" w14:paraId="1ACF5C9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41C81858"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345ACF4C"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Private Equity</w:t>
            </w:r>
          </w:p>
        </w:tc>
      </w:tr>
      <w:tr w:rsidR="00494F2B" w:rsidRPr="00D876B5" w14:paraId="14DE401E"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01FFFB9"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06A22125"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Debt: Leasing, Bank Loans, Notes, and Trade Finance</w:t>
            </w:r>
          </w:p>
        </w:tc>
      </w:tr>
      <w:tr w:rsidR="00494F2B" w:rsidRPr="00D876B5" w14:paraId="7CB68A8B"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D4E70CD"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354A4143"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Capital Markets</w:t>
            </w:r>
          </w:p>
        </w:tc>
      </w:tr>
      <w:tr w:rsidR="00494F2B" w:rsidRPr="00D876B5" w14:paraId="17D9BAB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01EDE339"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1E32A467"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Sustainable Investment Strategies</w:t>
            </w:r>
          </w:p>
        </w:tc>
      </w:tr>
      <w:tr w:rsidR="00494F2B" w:rsidRPr="00D876B5" w14:paraId="45B4ACD9"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16DCF146"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Economic Instruments</w:t>
            </w:r>
          </w:p>
        </w:tc>
        <w:tc>
          <w:tcPr>
            <w:tcW w:w="5440" w:type="dxa"/>
            <w:tcBorders>
              <w:top w:val="single" w:sz="4" w:space="0" w:color="auto"/>
              <w:left w:val="nil"/>
              <w:bottom w:val="nil"/>
              <w:right w:val="single" w:sz="4" w:space="0" w:color="auto"/>
            </w:tcBorders>
            <w:shd w:val="clear" w:color="auto" w:fill="auto"/>
            <w:noWrap/>
            <w:vAlign w:val="bottom"/>
            <w:hideMark/>
          </w:tcPr>
          <w:p w14:paraId="3520C865"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Environmentally Related Taxes</w:t>
            </w:r>
          </w:p>
        </w:tc>
      </w:tr>
      <w:tr w:rsidR="00494F2B" w:rsidRPr="00D876B5" w14:paraId="3D6D78C4"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3F57D8B9"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28220D85"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Fees and Charges</w:t>
            </w:r>
          </w:p>
        </w:tc>
      </w:tr>
      <w:tr w:rsidR="00494F2B" w:rsidRPr="00D876B5" w14:paraId="78CCEAAB"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BBEBBB0"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4F332986"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Tradable Resource Use Permits</w:t>
            </w:r>
          </w:p>
        </w:tc>
      </w:tr>
      <w:tr w:rsidR="00494F2B" w:rsidRPr="00D876B5" w14:paraId="452BF3B9"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68539F06"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6B08A196"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Fines and Penalties</w:t>
            </w:r>
          </w:p>
        </w:tc>
      </w:tr>
      <w:tr w:rsidR="00494F2B" w:rsidRPr="00D876B5" w14:paraId="37025B1D"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4231E057"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0E78452C"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Compensation and Offsets</w:t>
            </w:r>
          </w:p>
        </w:tc>
      </w:tr>
      <w:tr w:rsidR="00494F2B" w:rsidRPr="00D876B5" w14:paraId="43599655"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706E2EDD"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4E08D17D"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Deposit-refund Schemes</w:t>
            </w:r>
          </w:p>
        </w:tc>
      </w:tr>
      <w:tr w:rsidR="00494F2B" w:rsidRPr="00D876B5" w14:paraId="6352BD31"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5EE90043"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2BBBEBD3"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Environmentally Motivated Subsidies</w:t>
            </w:r>
          </w:p>
        </w:tc>
      </w:tr>
      <w:tr w:rsidR="00494F2B" w:rsidRPr="00D876B5" w14:paraId="7E5DEA09"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7830DBD6"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Grants and Other Transfers</w:t>
            </w:r>
          </w:p>
        </w:tc>
        <w:tc>
          <w:tcPr>
            <w:tcW w:w="5440" w:type="dxa"/>
            <w:tcBorders>
              <w:top w:val="single" w:sz="4" w:space="0" w:color="auto"/>
              <w:left w:val="nil"/>
              <w:bottom w:val="nil"/>
              <w:right w:val="single" w:sz="4" w:space="0" w:color="auto"/>
            </w:tcBorders>
            <w:shd w:val="clear" w:color="auto" w:fill="auto"/>
            <w:noWrap/>
            <w:vAlign w:val="bottom"/>
            <w:hideMark/>
          </w:tcPr>
          <w:p w14:paraId="056E952F"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Official Development Assistance (ODA)</w:t>
            </w:r>
          </w:p>
        </w:tc>
      </w:tr>
      <w:tr w:rsidR="00494F2B" w:rsidRPr="00D876B5" w14:paraId="4FA15D8F"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73E863C9"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3549146D"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Private and Corporate Philanthropy</w:t>
            </w:r>
          </w:p>
        </w:tc>
      </w:tr>
      <w:tr w:rsidR="00494F2B" w:rsidRPr="00D876B5" w14:paraId="28C881A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7C8F071E"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161117BE"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Remittances</w:t>
            </w:r>
          </w:p>
        </w:tc>
      </w:tr>
      <w:tr w:rsidR="00494F2B" w:rsidRPr="00D876B5" w14:paraId="7933714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F22D543"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665C2CE6"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Conservation Trust Funds / Environmental Fund</w:t>
            </w:r>
          </w:p>
        </w:tc>
      </w:tr>
      <w:tr w:rsidR="00494F2B" w:rsidRPr="00D876B5" w14:paraId="7AB09791"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458DCF6B"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Business and Markets</w:t>
            </w:r>
          </w:p>
        </w:tc>
        <w:tc>
          <w:tcPr>
            <w:tcW w:w="5440" w:type="dxa"/>
            <w:tcBorders>
              <w:top w:val="single" w:sz="4" w:space="0" w:color="auto"/>
              <w:left w:val="nil"/>
              <w:bottom w:val="nil"/>
              <w:right w:val="single" w:sz="4" w:space="0" w:color="auto"/>
            </w:tcBorders>
            <w:shd w:val="clear" w:color="auto" w:fill="auto"/>
            <w:noWrap/>
            <w:vAlign w:val="bottom"/>
            <w:hideMark/>
          </w:tcPr>
          <w:p w14:paraId="6C5B03E0"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Supply Chain Resilience</w:t>
            </w:r>
          </w:p>
        </w:tc>
      </w:tr>
      <w:tr w:rsidR="00494F2B" w:rsidRPr="00D876B5" w14:paraId="34A7E856"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63B384CB"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78FA47F8"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Conservation Businesses</w:t>
            </w:r>
          </w:p>
        </w:tc>
      </w:tr>
      <w:tr w:rsidR="00494F2B" w:rsidRPr="00D876B5" w14:paraId="74B706C9"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888ECCE"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27F17234"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Corporate Social Responsibility and Sustainability</w:t>
            </w:r>
          </w:p>
        </w:tc>
      </w:tr>
      <w:tr w:rsidR="00494F2B" w:rsidRPr="00D876B5" w14:paraId="2BCA67C3"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C8C3B51"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1ACC544A"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Voluntary Offsets</w:t>
            </w:r>
          </w:p>
        </w:tc>
      </w:tr>
      <w:tr w:rsidR="00494F2B" w:rsidRPr="00D876B5" w14:paraId="023AD824"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0EFB6541"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Public Financial Management</w:t>
            </w:r>
          </w:p>
        </w:tc>
        <w:tc>
          <w:tcPr>
            <w:tcW w:w="5440" w:type="dxa"/>
            <w:tcBorders>
              <w:top w:val="single" w:sz="4" w:space="0" w:color="auto"/>
              <w:left w:val="nil"/>
              <w:bottom w:val="nil"/>
              <w:right w:val="single" w:sz="4" w:space="0" w:color="auto"/>
            </w:tcBorders>
            <w:shd w:val="clear" w:color="auto" w:fill="auto"/>
            <w:noWrap/>
            <w:vAlign w:val="bottom"/>
            <w:hideMark/>
          </w:tcPr>
          <w:p w14:paraId="5D68380B"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Public Fiscal Planning, Budgeting and Disbursement</w:t>
            </w:r>
          </w:p>
        </w:tc>
      </w:tr>
      <w:tr w:rsidR="00494F2B" w:rsidRPr="00D876B5" w14:paraId="5485FA9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26827DE6"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7724A976"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Fiscal Transfers</w:t>
            </w:r>
          </w:p>
        </w:tc>
      </w:tr>
      <w:tr w:rsidR="00494F2B" w:rsidRPr="00D876B5" w14:paraId="2C3B94E7"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32EB7442"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0DD7D60E"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Government Grants</w:t>
            </w:r>
          </w:p>
        </w:tc>
      </w:tr>
      <w:tr w:rsidR="00494F2B" w:rsidRPr="00D876B5" w14:paraId="736AAC64"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04CC3624"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2945BCD9"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Reforming Harmful Subsidies</w:t>
            </w:r>
          </w:p>
        </w:tc>
      </w:tr>
      <w:tr w:rsidR="00494F2B" w:rsidRPr="00D876B5" w14:paraId="743B057E"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5E64772E"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4F3D0D7B"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Earmarking Revenues for Nature</w:t>
            </w:r>
          </w:p>
        </w:tc>
      </w:tr>
      <w:tr w:rsidR="00494F2B" w:rsidRPr="00D876B5" w14:paraId="6CC66DD5"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174E9C80"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Risk Management</w:t>
            </w:r>
          </w:p>
        </w:tc>
        <w:tc>
          <w:tcPr>
            <w:tcW w:w="5440" w:type="dxa"/>
            <w:tcBorders>
              <w:top w:val="single" w:sz="4" w:space="0" w:color="auto"/>
              <w:left w:val="nil"/>
              <w:bottom w:val="nil"/>
              <w:right w:val="single" w:sz="4" w:space="0" w:color="auto"/>
            </w:tcBorders>
            <w:shd w:val="clear" w:color="auto" w:fill="auto"/>
            <w:noWrap/>
            <w:vAlign w:val="bottom"/>
            <w:hideMark/>
          </w:tcPr>
          <w:p w14:paraId="3DD6995E"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Insurance Products</w:t>
            </w:r>
          </w:p>
        </w:tc>
      </w:tr>
      <w:tr w:rsidR="00494F2B" w:rsidRPr="00D876B5" w14:paraId="0B608DC3"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1370778C"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5CA6F060"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Pay for Success</w:t>
            </w:r>
          </w:p>
        </w:tc>
      </w:tr>
      <w:tr w:rsidR="00494F2B" w:rsidRPr="00D876B5" w14:paraId="41497C9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122B211F"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1BA26D58"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Blended Finance</w:t>
            </w:r>
          </w:p>
        </w:tc>
      </w:tr>
      <w:tr w:rsidR="00494F2B" w:rsidRPr="00D876B5" w14:paraId="76645A3B" w14:textId="77777777" w:rsidTr="00B37100">
        <w:trPr>
          <w:cantSplit/>
          <w:trHeight w:val="312"/>
          <w:jc w:val="center"/>
        </w:trPr>
        <w:tc>
          <w:tcPr>
            <w:tcW w:w="2420" w:type="dxa"/>
            <w:vMerge w:val="restart"/>
            <w:tcBorders>
              <w:top w:val="nil"/>
              <w:left w:val="single" w:sz="4" w:space="0" w:color="auto"/>
              <w:bottom w:val="single" w:sz="4" w:space="0" w:color="auto"/>
              <w:right w:val="single" w:sz="4" w:space="0" w:color="auto"/>
            </w:tcBorders>
            <w:shd w:val="clear" w:color="auto" w:fill="auto"/>
            <w:vAlign w:val="center"/>
            <w:hideMark/>
          </w:tcPr>
          <w:p w14:paraId="3B3DB2D4" w14:textId="77777777" w:rsidR="00494F2B" w:rsidRPr="00D876B5" w:rsidRDefault="00494F2B" w:rsidP="00B37100">
            <w:pPr>
              <w:jc w:val="center"/>
              <w:rPr>
                <w:rFonts w:ascii="Calibri" w:eastAsia="Times New Roman" w:hAnsi="Calibri" w:cs="Calibri"/>
                <w:color w:val="000000"/>
              </w:rPr>
            </w:pPr>
            <w:r w:rsidRPr="00D876B5">
              <w:rPr>
                <w:rFonts w:ascii="Calibri" w:eastAsia="Times New Roman" w:hAnsi="Calibri" w:cs="Calibri"/>
                <w:color w:val="000000"/>
              </w:rPr>
              <w:t>Financial Efficiency</w:t>
            </w:r>
          </w:p>
        </w:tc>
        <w:tc>
          <w:tcPr>
            <w:tcW w:w="5440" w:type="dxa"/>
            <w:tcBorders>
              <w:top w:val="single" w:sz="4" w:space="0" w:color="auto"/>
              <w:left w:val="nil"/>
              <w:bottom w:val="nil"/>
              <w:right w:val="single" w:sz="4" w:space="0" w:color="auto"/>
            </w:tcBorders>
            <w:shd w:val="clear" w:color="auto" w:fill="auto"/>
            <w:noWrap/>
            <w:vAlign w:val="bottom"/>
            <w:hideMark/>
          </w:tcPr>
          <w:p w14:paraId="4902402A"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Management Effectiveness</w:t>
            </w:r>
          </w:p>
        </w:tc>
      </w:tr>
      <w:tr w:rsidR="00494F2B" w:rsidRPr="00D876B5" w14:paraId="36832F90"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02E67483"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5E10686E"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Public Private Partnerships</w:t>
            </w:r>
          </w:p>
        </w:tc>
      </w:tr>
      <w:tr w:rsidR="00494F2B" w:rsidRPr="00D876B5" w14:paraId="4E133518"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61C46B7F" w14:textId="77777777" w:rsidR="00494F2B" w:rsidRPr="00D876B5" w:rsidRDefault="00494F2B" w:rsidP="00B37100">
            <w:pPr>
              <w:rPr>
                <w:rFonts w:ascii="Calibri" w:eastAsia="Times New Roman" w:hAnsi="Calibri" w:cs="Calibri"/>
                <w:color w:val="000000"/>
              </w:rPr>
            </w:pPr>
          </w:p>
        </w:tc>
        <w:tc>
          <w:tcPr>
            <w:tcW w:w="5440" w:type="dxa"/>
            <w:tcBorders>
              <w:top w:val="nil"/>
              <w:left w:val="nil"/>
              <w:bottom w:val="nil"/>
              <w:right w:val="single" w:sz="4" w:space="0" w:color="auto"/>
            </w:tcBorders>
            <w:shd w:val="clear" w:color="auto" w:fill="auto"/>
            <w:noWrap/>
            <w:vAlign w:val="bottom"/>
            <w:hideMark/>
          </w:tcPr>
          <w:p w14:paraId="475CCC37" w14:textId="77777777" w:rsidR="00494F2B" w:rsidRPr="00D876B5" w:rsidRDefault="00494F2B" w:rsidP="00B37100">
            <w:pPr>
              <w:rPr>
                <w:rFonts w:ascii="Calibri" w:eastAsia="Times New Roman" w:hAnsi="Calibri" w:cs="Calibri"/>
                <w:color w:val="000000"/>
              </w:rPr>
            </w:pPr>
            <w:r w:rsidRPr="00D876B5">
              <w:rPr>
                <w:rFonts w:ascii="Calibri" w:eastAsia="Times New Roman" w:hAnsi="Calibri" w:cs="Calibri"/>
                <w:color w:val="000000"/>
              </w:rPr>
              <w:t>Integrated Accounting</w:t>
            </w:r>
          </w:p>
        </w:tc>
      </w:tr>
      <w:tr w:rsidR="00494F2B" w:rsidRPr="00D876B5" w14:paraId="2330A227" w14:textId="77777777" w:rsidTr="00B37100">
        <w:trPr>
          <w:cantSplit/>
          <w:trHeight w:val="312"/>
          <w:jc w:val="center"/>
        </w:trPr>
        <w:tc>
          <w:tcPr>
            <w:tcW w:w="2420" w:type="dxa"/>
            <w:vMerge/>
            <w:tcBorders>
              <w:top w:val="nil"/>
              <w:left w:val="single" w:sz="4" w:space="0" w:color="auto"/>
              <w:bottom w:val="single" w:sz="4" w:space="0" w:color="auto"/>
              <w:right w:val="single" w:sz="4" w:space="0" w:color="auto"/>
            </w:tcBorders>
            <w:vAlign w:val="center"/>
            <w:hideMark/>
          </w:tcPr>
          <w:p w14:paraId="51E8AEC3" w14:textId="77777777" w:rsidR="00494F2B" w:rsidRPr="00D876B5" w:rsidRDefault="00494F2B" w:rsidP="00B37100">
            <w:pPr>
              <w:rPr>
                <w:rFonts w:ascii="Calibri" w:eastAsia="Times New Roman" w:hAnsi="Calibri" w:cs="Calibri"/>
                <w:color w:val="000000"/>
              </w:rPr>
            </w:pPr>
          </w:p>
        </w:tc>
        <w:tc>
          <w:tcPr>
            <w:tcW w:w="5440" w:type="dxa"/>
            <w:tcBorders>
              <w:top w:val="nil"/>
              <w:left w:val="single" w:sz="4" w:space="0" w:color="auto"/>
              <w:bottom w:val="single" w:sz="4" w:space="0" w:color="auto"/>
              <w:right w:val="single" w:sz="4" w:space="0" w:color="auto"/>
            </w:tcBorders>
            <w:shd w:val="clear" w:color="auto" w:fill="auto"/>
            <w:noWrap/>
            <w:vAlign w:val="bottom"/>
            <w:hideMark/>
          </w:tcPr>
          <w:p w14:paraId="66854EE5" w14:textId="77777777" w:rsidR="00494F2B" w:rsidRPr="00D876B5" w:rsidRDefault="00494F2B" w:rsidP="00B37100">
            <w:pPr>
              <w:rPr>
                <w:rFonts w:ascii="Calibri" w:eastAsia="Times New Roman" w:hAnsi="Calibri" w:cs="Calibri"/>
                <w:color w:val="000000"/>
              </w:rPr>
            </w:pPr>
            <w:proofErr w:type="gramStart"/>
            <w:r w:rsidRPr="00D876B5">
              <w:rPr>
                <w:rFonts w:ascii="Calibri" w:eastAsia="Times New Roman" w:hAnsi="Calibri" w:cs="Calibri"/>
                <w:color w:val="000000"/>
              </w:rPr>
              <w:t>Mainstreaming</w:t>
            </w:r>
            <w:proofErr w:type="gramEnd"/>
            <w:r w:rsidRPr="00D876B5">
              <w:rPr>
                <w:rFonts w:ascii="Calibri" w:eastAsia="Times New Roman" w:hAnsi="Calibri" w:cs="Calibri"/>
                <w:color w:val="000000"/>
              </w:rPr>
              <w:t xml:space="preserve"> Biodiversity in Development</w:t>
            </w:r>
          </w:p>
        </w:tc>
      </w:tr>
    </w:tbl>
    <w:p w14:paraId="75C12756" w14:textId="29BC35BE" w:rsidR="004C1881" w:rsidRDefault="00494F2B" w:rsidP="004C1881">
      <w:pPr>
        <w:jc w:val="both"/>
      </w:pPr>
      <w:r w:rsidRPr="00B8507C">
        <w:rPr>
          <w:i/>
          <w:iCs/>
        </w:rPr>
        <w:lastRenderedPageBreak/>
        <w:t xml:space="preserve">Source: Meyers, D., Bohorquez, J., Cumming, T., Emerton, L., Heuvel, </w:t>
      </w:r>
      <w:proofErr w:type="spellStart"/>
      <w:r w:rsidRPr="00B8507C">
        <w:rPr>
          <w:i/>
          <w:iCs/>
        </w:rPr>
        <w:t>O.v.d</w:t>
      </w:r>
      <w:proofErr w:type="spellEnd"/>
      <w:r w:rsidRPr="00B8507C">
        <w:rPr>
          <w:i/>
          <w:iCs/>
        </w:rPr>
        <w:t xml:space="preserve">., Riva, M., and </w:t>
      </w:r>
      <w:proofErr w:type="spellStart"/>
      <w:r w:rsidRPr="00B8507C">
        <w:rPr>
          <w:i/>
          <w:iCs/>
        </w:rPr>
        <w:t>Victurine</w:t>
      </w:r>
      <w:proofErr w:type="spellEnd"/>
      <w:r w:rsidRPr="00B8507C">
        <w:rPr>
          <w:i/>
          <w:iCs/>
        </w:rPr>
        <w:t>, R Conservation Finance: A Framework, Conservation Finance Alliance, 2020, www.cfalliance.org</w:t>
      </w:r>
    </w:p>
    <w:p w14:paraId="74F6BE1E" w14:textId="202D7EB7" w:rsidR="00846C34" w:rsidRPr="00846C34" w:rsidRDefault="0005274F" w:rsidP="0005274F">
      <w:pPr>
        <w:pStyle w:val="Heading1"/>
      </w:pPr>
      <w:bookmarkStart w:id="5" w:name="_Toc172018355"/>
      <w:r>
        <w:t xml:space="preserve">Section </w:t>
      </w:r>
      <w:r w:rsidR="00083F6F">
        <w:t>Six</w:t>
      </w:r>
      <w:r>
        <w:t xml:space="preserve">: Current </w:t>
      </w:r>
      <w:r w:rsidR="00846C34" w:rsidRPr="00846C34">
        <w:t xml:space="preserve">Estimates of Private </w:t>
      </w:r>
      <w:r w:rsidR="009D4595">
        <w:t>Finance for</w:t>
      </w:r>
      <w:r w:rsidR="00846C34" w:rsidRPr="00846C34">
        <w:t xml:space="preserve"> Biodiversity</w:t>
      </w:r>
      <w:bookmarkEnd w:id="5"/>
      <w:r w:rsidR="00846C34" w:rsidRPr="00846C34">
        <w:t xml:space="preserve"> </w:t>
      </w:r>
    </w:p>
    <w:p w14:paraId="35230E1C" w14:textId="77777777" w:rsidR="00846C34" w:rsidRDefault="00846C34" w:rsidP="00D816EA">
      <w:pPr>
        <w:jc w:val="both"/>
      </w:pPr>
    </w:p>
    <w:p w14:paraId="44DC5853" w14:textId="2973366E" w:rsidR="0005274F" w:rsidRDefault="0005274F" w:rsidP="00D816EA">
      <w:pPr>
        <w:jc w:val="both"/>
      </w:pPr>
      <w:r>
        <w:t xml:space="preserve">Three recent </w:t>
      </w:r>
      <w:r w:rsidR="005374E6">
        <w:t xml:space="preserve">global </w:t>
      </w:r>
      <w:r>
        <w:t xml:space="preserve">estimates provide </w:t>
      </w:r>
      <w:r w:rsidR="00622F72">
        <w:t>information</w:t>
      </w:r>
      <w:r>
        <w:t xml:space="preserve"> on the </w:t>
      </w:r>
      <w:r w:rsidR="00622F72">
        <w:t xml:space="preserve">current </w:t>
      </w:r>
      <w:r>
        <w:t xml:space="preserve">state of private financial flows to biodiversity, drawing from </w:t>
      </w:r>
      <w:proofErr w:type="gramStart"/>
      <w:r>
        <w:t>a number of</w:t>
      </w:r>
      <w:proofErr w:type="gramEnd"/>
      <w:r w:rsidR="00622F72">
        <w:t xml:space="preserve"> data</w:t>
      </w:r>
      <w:r>
        <w:t xml:space="preserve"> sources and applying methodological approaches</w:t>
      </w:r>
      <w:r w:rsidR="00622F72">
        <w:t xml:space="preserve"> where necessary</w:t>
      </w:r>
      <w:r>
        <w:t xml:space="preserve"> to quantify these financial flows</w:t>
      </w:r>
      <w:r w:rsidR="00622F72">
        <w:t xml:space="preserve"> from the private sector</w:t>
      </w:r>
      <w:r>
        <w:t xml:space="preserve">. This section will describe these three recent estimates and the data sources these estimates have drawn from.  The following sections will apply assessment criteria to determine the suitability and feasibility of drawing on these same data sources </w:t>
      </w:r>
      <w:r w:rsidR="00002841">
        <w:t xml:space="preserve">and approaches </w:t>
      </w:r>
      <w:r>
        <w:t xml:space="preserve">for the purposes of country reporting to the CBD for Headline indicator D.3. </w:t>
      </w:r>
    </w:p>
    <w:p w14:paraId="1C64E59A" w14:textId="77777777" w:rsidR="0005274F" w:rsidRDefault="0005274F" w:rsidP="00D816EA">
      <w:pPr>
        <w:jc w:val="both"/>
      </w:pPr>
    </w:p>
    <w:p w14:paraId="18EF8B45" w14:textId="2E21898D" w:rsidR="007E217B" w:rsidRDefault="00D661CC" w:rsidP="00D816EA">
      <w:pPr>
        <w:jc w:val="both"/>
      </w:pPr>
      <w:r>
        <w:t xml:space="preserve">In 2020, the </w:t>
      </w:r>
      <w:r w:rsidR="005627C9">
        <w:t xml:space="preserve">OECD </w:t>
      </w:r>
      <w:r>
        <w:t xml:space="preserve">estimated </w:t>
      </w:r>
      <w:r w:rsidR="005627C9">
        <w:t xml:space="preserve">global biodiversity finance at USD 78-91 billion per year, </w:t>
      </w:r>
      <w:r w:rsidR="00BA597B">
        <w:t>covering domestic, international, public and private financ</w:t>
      </w:r>
      <w:r w:rsidR="009261E2">
        <w:t>ial flows</w:t>
      </w:r>
      <w:r w:rsidR="006F7D4D">
        <w:t xml:space="preserve"> (OECD, 2020)</w:t>
      </w:r>
      <w:r w:rsidR="00BA597B">
        <w:t>.</w:t>
      </w:r>
      <w:r w:rsidR="006F7D4D" w:rsidRPr="006F7D4D">
        <w:rPr>
          <w:rStyle w:val="FootnoteReference"/>
        </w:rPr>
        <w:t xml:space="preserve"> </w:t>
      </w:r>
      <w:r w:rsidR="00BA597B">
        <w:t xml:space="preserve">It drew on data </w:t>
      </w:r>
      <w:r w:rsidR="004623A8">
        <w:t xml:space="preserve">publicly </w:t>
      </w:r>
      <w:r w:rsidR="00BA597B">
        <w:t>available and reported</w:t>
      </w:r>
      <w:r w:rsidR="00A8592D">
        <w:t xml:space="preserve"> for the 2016-2017 timeframe</w:t>
      </w:r>
      <w:r w:rsidR="00BA597B">
        <w:t xml:space="preserve">. Of this, </w:t>
      </w:r>
      <w:r w:rsidR="00BA597B" w:rsidRPr="00A8592D">
        <w:rPr>
          <w:i/>
          <w:iCs/>
        </w:rPr>
        <w:t xml:space="preserve">private finance </w:t>
      </w:r>
      <w:r w:rsidR="00BA597B">
        <w:t>was estimated at</w:t>
      </w:r>
      <w:r w:rsidR="005627C9">
        <w:t xml:space="preserve"> USD 6.6-13.6 billion per year</w:t>
      </w:r>
      <w:r w:rsidR="00A8592D">
        <w:t xml:space="preserve"> (lower and upper estimates)</w:t>
      </w:r>
      <w:r w:rsidR="006F7D4D">
        <w:t>, or</w:t>
      </w:r>
      <w:r w:rsidR="002C36BC">
        <w:t xml:space="preserve"> 9-15 percent of total financial flows for biodiversity</w:t>
      </w:r>
      <w:r w:rsidR="00AE7BD4">
        <w:t>.</w:t>
      </w:r>
      <w:r w:rsidR="005627C9">
        <w:t xml:space="preserve"> </w:t>
      </w:r>
      <w:r w:rsidR="006F7D4D">
        <w:t xml:space="preserve">Of the total private financial flows for biodiversity, biodiversity </w:t>
      </w:r>
      <w:r w:rsidR="004623A8">
        <w:t>offsets accounted for one-half</w:t>
      </w:r>
      <w:r w:rsidR="00A8592D">
        <w:t xml:space="preserve"> of funds</w:t>
      </w:r>
      <w:r w:rsidR="004623A8">
        <w:t>, sustainable commodities one-quarter, and conservation NGOs nearly one-fifth.  While philanthropic foundation</w:t>
      </w:r>
      <w:r w:rsidR="006F7D4D">
        <w:t xml:space="preserve"> international contributions </w:t>
      </w:r>
      <w:r w:rsidR="004623A8">
        <w:t xml:space="preserve">only amounted to </w:t>
      </w:r>
      <w:r w:rsidR="00CF221A">
        <w:t xml:space="preserve">around USD </w:t>
      </w:r>
      <w:r w:rsidR="004623A8">
        <w:t>0.3 billion in 2016, more recent assessments by the OE</w:t>
      </w:r>
      <w:r w:rsidR="006F7D4D">
        <w:t>CD</w:t>
      </w:r>
      <w:r w:rsidR="004623A8">
        <w:t xml:space="preserve"> estimate that philanthropic foundation </w:t>
      </w:r>
      <w:r w:rsidR="006F7D4D">
        <w:t xml:space="preserve">international </w:t>
      </w:r>
      <w:r w:rsidR="004623A8">
        <w:t>contributions had grown to nearly USD 1 billion by 2021</w:t>
      </w:r>
      <w:r w:rsidR="006F7D4D">
        <w:t xml:space="preserve"> (OECD, 2023)</w:t>
      </w:r>
      <w:r w:rsidR="004623A8">
        <w:t xml:space="preserve">. </w:t>
      </w:r>
      <w:r w:rsidR="00CF221A">
        <w:t xml:space="preserve">Similarly, private finance mobilized by activities of DAC countries’ public official flows has grown since </w:t>
      </w:r>
      <w:proofErr w:type="gramStart"/>
      <w:r w:rsidR="00CF221A">
        <w:t>these 2016</w:t>
      </w:r>
      <w:proofErr w:type="gramEnd"/>
      <w:r w:rsidR="00CF221A">
        <w:t xml:space="preserve"> estimates of USD 0.5 billion (including bilateral flows and flows leveraged by GEF) to nearly 0.8 billion in 2021.  </w:t>
      </w:r>
    </w:p>
    <w:p w14:paraId="16457CE3" w14:textId="02D4D40E" w:rsidR="004623A8" w:rsidRDefault="004623A8" w:rsidP="00D816EA">
      <w:pPr>
        <w:jc w:val="both"/>
      </w:pPr>
    </w:p>
    <w:p w14:paraId="43A5F225" w14:textId="28E77766" w:rsidR="004623A8" w:rsidRPr="00E241DC" w:rsidRDefault="004623A8" w:rsidP="00E241DC">
      <w:pPr>
        <w:pStyle w:val="Caption"/>
      </w:pPr>
      <w:r w:rsidRPr="00E241DC">
        <w:lastRenderedPageBreak/>
        <w:t xml:space="preserve">Figure </w:t>
      </w:r>
      <w:fldSimple w:instr=" SEQ Figure \* ARABIC ">
        <w:r w:rsidR="00540223">
          <w:rPr>
            <w:noProof/>
          </w:rPr>
          <w:t>2</w:t>
        </w:r>
      </w:fldSimple>
      <w:r w:rsidRPr="00E241DC">
        <w:t xml:space="preserve"> </w:t>
      </w:r>
      <w:r w:rsidR="00EE02B8" w:rsidRPr="00E241DC">
        <w:t xml:space="preserve">2016 </w:t>
      </w:r>
      <w:r w:rsidRPr="00E241DC">
        <w:t>Private Financial Flows for Biodiversity by Instrument Type (OECD estimates)</w:t>
      </w:r>
    </w:p>
    <w:p w14:paraId="39D7CA6B" w14:textId="0354797D" w:rsidR="004623A8" w:rsidRDefault="004623A8" w:rsidP="00D816EA">
      <w:pPr>
        <w:jc w:val="both"/>
      </w:pPr>
      <w:r>
        <w:rPr>
          <w:noProof/>
        </w:rPr>
        <mc:AlternateContent>
          <mc:Choice Requires="cx1">
            <w:drawing>
              <wp:inline distT="0" distB="0" distL="0" distR="0" wp14:anchorId="5AC556EC" wp14:editId="4CDD726C">
                <wp:extent cx="5996940" cy="3314700"/>
                <wp:effectExtent l="0" t="0" r="3810" b="0"/>
                <wp:docPr id="6" name="Chart 6">
                  <a:extLst xmlns:a="http://schemas.openxmlformats.org/drawingml/2006/main">
                    <a:ext uri="{FF2B5EF4-FFF2-40B4-BE49-F238E27FC236}">
                      <a16:creationId xmlns:a16="http://schemas.microsoft.com/office/drawing/2014/main" id="{AA025E09-E2B1-8966-1942-F2D404901A3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9"/>
                  </a:graphicData>
                </a:graphic>
              </wp:inline>
            </w:drawing>
          </mc:Choice>
          <mc:Fallback>
            <w:drawing>
              <wp:inline distT="0" distB="0" distL="0" distR="0" wp14:anchorId="5AC556EC" wp14:editId="4CDD726C">
                <wp:extent cx="5996940" cy="3314700"/>
                <wp:effectExtent l="0" t="0" r="3810" b="0"/>
                <wp:docPr id="6" name="Chart 6">
                  <a:extLst xmlns:a="http://schemas.openxmlformats.org/drawingml/2006/main">
                    <a:ext uri="{FF2B5EF4-FFF2-40B4-BE49-F238E27FC236}">
                      <a16:creationId xmlns:a16="http://schemas.microsoft.com/office/drawing/2014/main" id="{AA025E09-E2B1-8966-1942-F2D404901A3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a:extLst>
                            <a:ext uri="{FF2B5EF4-FFF2-40B4-BE49-F238E27FC236}">
                              <a16:creationId xmlns:a16="http://schemas.microsoft.com/office/drawing/2014/main" id="{AA025E09-E2B1-8966-1942-F2D404901A38}"/>
                            </a:ext>
                          </a:extLst>
                        </pic:cNvPr>
                        <pic:cNvPicPr>
                          <a:picLocks noGrp="1" noRot="1" noChangeAspect="1" noMove="1" noResize="1" noEditPoints="1" noAdjustHandles="1" noChangeArrowheads="1" noChangeShapeType="1"/>
                        </pic:cNvPicPr>
                      </pic:nvPicPr>
                      <pic:blipFill>
                        <a:blip r:embed="rId20"/>
                        <a:stretch>
                          <a:fillRect/>
                        </a:stretch>
                      </pic:blipFill>
                      <pic:spPr>
                        <a:xfrm>
                          <a:off x="0" y="0"/>
                          <a:ext cx="5996940" cy="3314700"/>
                        </a:xfrm>
                        <a:prstGeom prst="rect">
                          <a:avLst/>
                        </a:prstGeom>
                      </pic:spPr>
                    </pic:pic>
                  </a:graphicData>
                </a:graphic>
              </wp:inline>
            </w:drawing>
          </mc:Fallback>
        </mc:AlternateContent>
      </w:r>
    </w:p>
    <w:p w14:paraId="4679DF2E" w14:textId="321A607A" w:rsidR="00FF72AB" w:rsidRPr="004D2486" w:rsidRDefault="004623A8" w:rsidP="00D816EA">
      <w:pPr>
        <w:jc w:val="both"/>
        <w:rPr>
          <w:i/>
          <w:iCs/>
        </w:rPr>
      </w:pPr>
      <w:r w:rsidRPr="004D2486">
        <w:rPr>
          <w:i/>
          <w:iCs/>
        </w:rPr>
        <w:t>Source: OECD (2020).  Figures represent median estimates.</w:t>
      </w:r>
    </w:p>
    <w:p w14:paraId="14C9799D" w14:textId="104B276C" w:rsidR="00D73B20" w:rsidRDefault="00D73B20" w:rsidP="00D816EA">
      <w:pPr>
        <w:jc w:val="both"/>
      </w:pPr>
    </w:p>
    <w:p w14:paraId="4E99C8D7" w14:textId="3B32CF1A" w:rsidR="000643F8" w:rsidRDefault="00D73B20" w:rsidP="00D816EA">
      <w:pPr>
        <w:jc w:val="both"/>
      </w:pPr>
      <w:r>
        <w:t>A more recent report</w:t>
      </w:r>
      <w:r w:rsidR="00D70AA0">
        <w:t xml:space="preserve"> by the United Nations Environment </w:t>
      </w:r>
      <w:proofErr w:type="spellStart"/>
      <w:r w:rsidR="00D70AA0">
        <w:t>Programme</w:t>
      </w:r>
      <w:proofErr w:type="spellEnd"/>
      <w:r w:rsidR="00D70AA0">
        <w:t xml:space="preserve"> (UNEP, 2023) </w:t>
      </w:r>
      <w:r w:rsidR="000643F8">
        <w:t>estimates the</w:t>
      </w:r>
      <w:r w:rsidR="004D42D6">
        <w:t xml:space="preserve"> </w:t>
      </w:r>
      <w:r w:rsidR="000643F8">
        <w:t>finance flows to nature-based solutions as part of its annual State of Finance for Nature.  The report defines nature-based solutions (</w:t>
      </w:r>
      <w:proofErr w:type="spellStart"/>
      <w:r w:rsidR="000643F8">
        <w:t>NbS</w:t>
      </w:r>
      <w:proofErr w:type="spellEnd"/>
      <w:r w:rsidR="000643F8">
        <w:t xml:space="preserve">) using the definition agreed at the United Nations Environment Assembly 5 (UNEA 2022) as actions to protect, conserve, restore, sustainably use and manage natural or modified terrestrial, freshwater, coastal, and marine ecosystems, which address social, economic and environmental challenged effectively and adaptively, while simultaneously providing human well-being, ecosystem services and resilience and biodiversity benefits. Activities are considered an </w:t>
      </w:r>
      <w:proofErr w:type="spellStart"/>
      <w:r w:rsidR="000643F8">
        <w:t>NbS</w:t>
      </w:r>
      <w:proofErr w:type="spellEnd"/>
      <w:r w:rsidR="000643F8">
        <w:t xml:space="preserve"> if it positively contributes to biodiversity and/or sequesters/stores greenhouse gases</w:t>
      </w:r>
      <w:r w:rsidR="00930663">
        <w:t xml:space="preserve"> (GHGs)</w:t>
      </w:r>
      <w:r w:rsidR="000643F8">
        <w:t xml:space="preserve"> and/or restores degraded land and seascapes.  </w:t>
      </w:r>
      <w:r w:rsidR="00930663">
        <w:t xml:space="preserve">This definition thus encompasses a broad range of activities that may or may not have direct benefits to biodiversity, for example a tree farm used to sequester and store GHGs that </w:t>
      </w:r>
      <w:proofErr w:type="gramStart"/>
      <w:r w:rsidR="00930663">
        <w:t>does</w:t>
      </w:r>
      <w:proofErr w:type="gramEnd"/>
      <w:r w:rsidR="00930663">
        <w:t xml:space="preserve"> not use native vegetation may have little to no benefit to biodiversity. However, the report provides insights into available data sources to capture biodiversity spending more broadly.</w:t>
      </w:r>
    </w:p>
    <w:p w14:paraId="233FC1CB" w14:textId="77777777" w:rsidR="000643F8" w:rsidRDefault="000643F8" w:rsidP="00D816EA">
      <w:pPr>
        <w:jc w:val="both"/>
      </w:pPr>
    </w:p>
    <w:p w14:paraId="7713FA70" w14:textId="422517CA" w:rsidR="0052021C" w:rsidRDefault="003B2C80" w:rsidP="00D816EA">
      <w:pPr>
        <w:jc w:val="both"/>
      </w:pPr>
      <w:r>
        <w:t xml:space="preserve">The report estimated private finance for </w:t>
      </w:r>
      <w:proofErr w:type="spellStart"/>
      <w:r>
        <w:t>NbS</w:t>
      </w:r>
      <w:proofErr w:type="spellEnd"/>
      <w:r>
        <w:t xml:space="preserve"> USD 35 billion in 2023, or 18 percent of total finance flows to </w:t>
      </w:r>
      <w:proofErr w:type="spellStart"/>
      <w:r>
        <w:t>NbS</w:t>
      </w:r>
      <w:proofErr w:type="spellEnd"/>
      <w:r>
        <w:t xml:space="preserve">.  More than one-half is channeled through biodiversity offsets, biodiversity credits, and sustainable supply chains. </w:t>
      </w:r>
    </w:p>
    <w:p w14:paraId="6C9DC3F5" w14:textId="77777777" w:rsidR="006F7D4D" w:rsidRDefault="006F7D4D" w:rsidP="00D816EA">
      <w:pPr>
        <w:jc w:val="both"/>
      </w:pPr>
    </w:p>
    <w:p w14:paraId="77AA20B4" w14:textId="4F093352" w:rsidR="00EE02B8" w:rsidRPr="00E241DC" w:rsidRDefault="00EE02B8" w:rsidP="00EE02B8">
      <w:pPr>
        <w:pStyle w:val="Caption"/>
      </w:pPr>
      <w:r w:rsidRPr="00E241DC">
        <w:lastRenderedPageBreak/>
        <w:t xml:space="preserve">Figure </w:t>
      </w:r>
      <w:fldSimple w:instr=" SEQ Figure \* ARABIC ">
        <w:r w:rsidR="00540223">
          <w:rPr>
            <w:noProof/>
          </w:rPr>
          <w:t>3</w:t>
        </w:r>
      </w:fldSimple>
      <w:r w:rsidRPr="00E241DC">
        <w:t xml:space="preserve"> 2023 Private Financial Flows for Biodiversity by Instrument Type (UNEP estimates)</w:t>
      </w:r>
    </w:p>
    <w:p w14:paraId="697E66A1" w14:textId="0AE0B8A8" w:rsidR="003B2C80" w:rsidRDefault="003B2C80" w:rsidP="006F7D4D">
      <w:pPr>
        <w:jc w:val="both"/>
      </w:pPr>
      <w:r>
        <w:rPr>
          <w:noProof/>
        </w:rPr>
        <mc:AlternateContent>
          <mc:Choice Requires="cx1">
            <w:drawing>
              <wp:inline distT="0" distB="0" distL="0" distR="0" wp14:anchorId="6A18CCE3" wp14:editId="4230BEB8">
                <wp:extent cx="5943600" cy="3367405"/>
                <wp:effectExtent l="0" t="0" r="0" b="4445"/>
                <wp:docPr id="7" name="Chart 7">
                  <a:extLst xmlns:a="http://schemas.openxmlformats.org/drawingml/2006/main">
                    <a:ext uri="{FF2B5EF4-FFF2-40B4-BE49-F238E27FC236}">
                      <a16:creationId xmlns:a16="http://schemas.microsoft.com/office/drawing/2014/main" id="{3FF54C4C-7F45-05ED-862E-F41E29B2EFF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w:drawing>
              <wp:inline distT="0" distB="0" distL="0" distR="0" wp14:anchorId="6A18CCE3" wp14:editId="4230BEB8">
                <wp:extent cx="5943600" cy="3367405"/>
                <wp:effectExtent l="0" t="0" r="0" b="4445"/>
                <wp:docPr id="7" name="Chart 7">
                  <a:extLst xmlns:a="http://schemas.openxmlformats.org/drawingml/2006/main">
                    <a:ext uri="{FF2B5EF4-FFF2-40B4-BE49-F238E27FC236}">
                      <a16:creationId xmlns:a16="http://schemas.microsoft.com/office/drawing/2014/main" id="{3FF54C4C-7F45-05ED-862E-F41E29B2EFF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a:extLst>
                            <a:ext uri="{FF2B5EF4-FFF2-40B4-BE49-F238E27FC236}">
                              <a16:creationId xmlns:a16="http://schemas.microsoft.com/office/drawing/2014/main" id="{3FF54C4C-7F45-05ED-862E-F41E29B2EFFB}"/>
                            </a:ext>
                          </a:extLst>
                        </pic:cNvPr>
                        <pic:cNvPicPr>
                          <a:picLocks noGrp="1" noRot="1" noChangeAspect="1" noMove="1" noResize="1" noEditPoints="1" noAdjustHandles="1" noChangeArrowheads="1" noChangeShapeType="1"/>
                        </pic:cNvPicPr>
                      </pic:nvPicPr>
                      <pic:blipFill>
                        <a:blip r:embed="rId22"/>
                        <a:stretch>
                          <a:fillRect/>
                        </a:stretch>
                      </pic:blipFill>
                      <pic:spPr>
                        <a:xfrm>
                          <a:off x="0" y="0"/>
                          <a:ext cx="5943600" cy="3367405"/>
                        </a:xfrm>
                        <a:prstGeom prst="rect">
                          <a:avLst/>
                        </a:prstGeom>
                      </pic:spPr>
                    </pic:pic>
                  </a:graphicData>
                </a:graphic>
              </wp:inline>
            </w:drawing>
          </mc:Fallback>
        </mc:AlternateContent>
      </w:r>
    </w:p>
    <w:p w14:paraId="35C2BE15" w14:textId="5392A805" w:rsidR="003B2C80" w:rsidRPr="008842E4" w:rsidRDefault="008842E4" w:rsidP="006F7D4D">
      <w:pPr>
        <w:jc w:val="both"/>
        <w:rPr>
          <w:i/>
          <w:iCs/>
        </w:rPr>
      </w:pPr>
      <w:r w:rsidRPr="008842E4">
        <w:rPr>
          <w:i/>
          <w:iCs/>
        </w:rPr>
        <w:t>Source (UNEP, 2023).</w:t>
      </w:r>
    </w:p>
    <w:p w14:paraId="453D1670" w14:textId="77777777" w:rsidR="008842E4" w:rsidRDefault="008842E4" w:rsidP="006F7D4D">
      <w:pPr>
        <w:jc w:val="both"/>
      </w:pPr>
    </w:p>
    <w:p w14:paraId="40575865" w14:textId="207AF93A" w:rsidR="006F7D4D" w:rsidRDefault="006F7D4D" w:rsidP="006F7D4D">
      <w:pPr>
        <w:jc w:val="both"/>
      </w:pPr>
      <w:r>
        <w:t xml:space="preserve">Another </w:t>
      </w:r>
      <w:r w:rsidR="00CC6C81">
        <w:t>estimate produced</w:t>
      </w:r>
      <w:r>
        <w:t xml:space="preserve"> in 2020 (Deutz et al. 2020), which includes additional private and public-private finance mechanisms, and extrapolations for missing data, estimates global biodiversity-related funding ranged from USD 124-143 billion per year, also covering domestic, international, public, and private finance</w:t>
      </w:r>
      <w:r w:rsidR="00A75B7F">
        <w:t xml:space="preserve"> across nine financial and policy mechanisms</w:t>
      </w:r>
      <w:r>
        <w:t>.</w:t>
      </w:r>
      <w:r w:rsidR="00DA0DCE">
        <w:t xml:space="preserve"> </w:t>
      </w:r>
      <w:r>
        <w:t xml:space="preserve">Because this report did not disaggregate public versus private financial flows for all finance and policy instruments, a breakdown of financial estimates is not provided here.  This </w:t>
      </w:r>
      <w:proofErr w:type="gramStart"/>
      <w:r>
        <w:t>report however</w:t>
      </w:r>
      <w:proofErr w:type="gramEnd"/>
      <w:r>
        <w:t xml:space="preserve"> considers the data sources and methodologies used in the report as possible approaches to measuring private financial flows to biodiversity for the purposes of tracking progress towards Target 19/Indicator D.3.</w:t>
      </w:r>
    </w:p>
    <w:p w14:paraId="1150EF3E" w14:textId="68F6CDC6" w:rsidR="00D70AA0" w:rsidRDefault="00D70AA0" w:rsidP="006F7D4D">
      <w:pPr>
        <w:jc w:val="both"/>
      </w:pPr>
    </w:p>
    <w:p w14:paraId="6117DC93" w14:textId="5716478E" w:rsidR="00D70AA0" w:rsidRDefault="00D70AA0" w:rsidP="00D70AA0">
      <w:pPr>
        <w:jc w:val="both"/>
      </w:pPr>
      <w:r>
        <w:t>Data and sources for the private finance estimates</w:t>
      </w:r>
      <w:r w:rsidR="00102D77">
        <w:t xml:space="preserve">, which cover domestic and international flows, from these three reports on biodiversity finance estimates that include private finance are reflected below.  Note that because the Deutz et al. (2020) report does not disaggregate private from public flows across all instruments, these estimates are not summed. Nonetheless, understanding the source of financial estimates is useful in assessing </w:t>
      </w:r>
      <w:proofErr w:type="gramStart"/>
      <w:r w:rsidR="00102D77">
        <w:t>approached</w:t>
      </w:r>
      <w:proofErr w:type="gramEnd"/>
      <w:r w:rsidR="00102D77">
        <w:t xml:space="preserve"> to measure private finance for biodiversity for the purpose of reporting under the KMGBF monitoring framework.  </w:t>
      </w:r>
    </w:p>
    <w:p w14:paraId="7920650B" w14:textId="0C62FBB0" w:rsidR="009A11FD" w:rsidRDefault="009A11FD" w:rsidP="00D70AA0">
      <w:pPr>
        <w:jc w:val="both"/>
      </w:pPr>
    </w:p>
    <w:p w14:paraId="7C86176F" w14:textId="77777777" w:rsidR="00104FC4" w:rsidRDefault="00104FC4" w:rsidP="00D70AA0">
      <w:pPr>
        <w:jc w:val="both"/>
        <w:sectPr w:rsidR="00104FC4" w:rsidSect="00B0718A">
          <w:headerReference w:type="even" r:id="rId23"/>
          <w:headerReference w:type="default" r:id="rId24"/>
          <w:footerReference w:type="even" r:id="rId25"/>
          <w:footerReference w:type="default" r:id="rId26"/>
          <w:pgSz w:w="12240" w:h="15840" w:code="1"/>
          <w:pgMar w:top="1134" w:right="1440" w:bottom="1134" w:left="1440" w:header="720" w:footer="720" w:gutter="0"/>
          <w:cols w:space="720"/>
          <w:titlePg/>
          <w:docGrid w:linePitch="360"/>
        </w:sectPr>
      </w:pPr>
    </w:p>
    <w:p w14:paraId="0FB39084" w14:textId="696D2EA4" w:rsidR="001D0F74" w:rsidRPr="0090627E" w:rsidRDefault="001D0F74" w:rsidP="001D0F74">
      <w:pPr>
        <w:pStyle w:val="Caption"/>
      </w:pPr>
      <w:r w:rsidRPr="0090627E">
        <w:lastRenderedPageBreak/>
        <w:t xml:space="preserve">Table </w:t>
      </w:r>
      <w:fldSimple w:instr=" SEQ Table \* ARABIC ">
        <w:r w:rsidR="00540223">
          <w:rPr>
            <w:noProof/>
          </w:rPr>
          <w:t>2</w:t>
        </w:r>
      </w:fldSimple>
      <w:r w:rsidRPr="0090627E">
        <w:t xml:space="preserve"> Data Sources from Estimates of Private Financial Flows to Biodiversity</w:t>
      </w:r>
    </w:p>
    <w:tbl>
      <w:tblPr>
        <w:tblW w:w="13486" w:type="dxa"/>
        <w:tblLook w:val="04A0" w:firstRow="1" w:lastRow="0" w:firstColumn="1" w:lastColumn="0" w:noHBand="0" w:noVBand="1"/>
      </w:tblPr>
      <w:tblGrid>
        <w:gridCol w:w="1563"/>
        <w:gridCol w:w="1383"/>
        <w:gridCol w:w="2575"/>
        <w:gridCol w:w="1253"/>
        <w:gridCol w:w="1955"/>
        <w:gridCol w:w="1271"/>
        <w:gridCol w:w="3486"/>
      </w:tblGrid>
      <w:tr w:rsidR="00194FEF" w:rsidRPr="00403E8C" w14:paraId="2AA04FA0" w14:textId="77777777" w:rsidTr="001D0F74">
        <w:trPr>
          <w:cantSplit/>
          <w:trHeight w:val="576"/>
          <w:tblHeader/>
        </w:trPr>
        <w:tc>
          <w:tcPr>
            <w:tcW w:w="1563" w:type="dxa"/>
            <w:tcBorders>
              <w:top w:val="nil"/>
              <w:left w:val="nil"/>
              <w:bottom w:val="nil"/>
              <w:right w:val="nil"/>
            </w:tcBorders>
            <w:shd w:val="clear" w:color="auto" w:fill="auto"/>
            <w:noWrap/>
            <w:vAlign w:val="center"/>
            <w:hideMark/>
          </w:tcPr>
          <w:p w14:paraId="58E935C6" w14:textId="77777777" w:rsidR="00403E8C" w:rsidRPr="00403E8C" w:rsidRDefault="00403E8C" w:rsidP="00403E8C">
            <w:pPr>
              <w:rPr>
                <w:rFonts w:ascii="Times New Roman" w:eastAsia="Times New Roman" w:hAnsi="Times New Roman" w:cs="Times New Roman"/>
                <w:sz w:val="16"/>
                <w:szCs w:val="16"/>
              </w:rPr>
            </w:pPr>
            <w:bookmarkStart w:id="6" w:name="RANGE!A1:H14"/>
            <w:bookmarkEnd w:id="6"/>
          </w:p>
        </w:tc>
        <w:tc>
          <w:tcPr>
            <w:tcW w:w="3958" w:type="dxa"/>
            <w:gridSpan w:val="2"/>
            <w:tcBorders>
              <w:top w:val="single" w:sz="4" w:space="0" w:color="auto"/>
              <w:left w:val="single" w:sz="4" w:space="0" w:color="auto"/>
              <w:bottom w:val="single" w:sz="4" w:space="0" w:color="auto"/>
              <w:right w:val="single" w:sz="4" w:space="0" w:color="auto"/>
            </w:tcBorders>
            <w:shd w:val="clear" w:color="000000" w:fill="A5A5A5"/>
            <w:noWrap/>
            <w:vAlign w:val="center"/>
            <w:hideMark/>
          </w:tcPr>
          <w:p w14:paraId="05C0E4AC"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OECD (2020)</w:t>
            </w:r>
          </w:p>
        </w:tc>
        <w:tc>
          <w:tcPr>
            <w:tcW w:w="4465" w:type="dxa"/>
            <w:gridSpan w:val="2"/>
            <w:tcBorders>
              <w:top w:val="single" w:sz="4" w:space="0" w:color="auto"/>
              <w:left w:val="nil"/>
              <w:bottom w:val="single" w:sz="4" w:space="0" w:color="auto"/>
              <w:right w:val="single" w:sz="4" w:space="0" w:color="auto"/>
            </w:tcBorders>
            <w:shd w:val="clear" w:color="000000" w:fill="A5A5A5"/>
            <w:vAlign w:val="center"/>
            <w:hideMark/>
          </w:tcPr>
          <w:p w14:paraId="54113D1A"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Deutz et al. (2020)</w:t>
            </w:r>
          </w:p>
        </w:tc>
        <w:tc>
          <w:tcPr>
            <w:tcW w:w="3500" w:type="dxa"/>
            <w:gridSpan w:val="2"/>
            <w:tcBorders>
              <w:top w:val="single" w:sz="4" w:space="0" w:color="auto"/>
              <w:left w:val="nil"/>
              <w:bottom w:val="single" w:sz="4" w:space="0" w:color="auto"/>
              <w:right w:val="single" w:sz="4" w:space="0" w:color="auto"/>
            </w:tcBorders>
            <w:shd w:val="clear" w:color="000000" w:fill="A5A5A5"/>
            <w:vAlign w:val="center"/>
            <w:hideMark/>
          </w:tcPr>
          <w:p w14:paraId="3461E523" w14:textId="43FBDB4C"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UNEP</w:t>
            </w:r>
            <w:r w:rsidR="00002841">
              <w:rPr>
                <w:rFonts w:ascii="Calibri" w:eastAsia="Times New Roman" w:hAnsi="Calibri" w:cs="Calibri"/>
                <w:b/>
                <w:bCs/>
                <w:color w:val="000000"/>
                <w:sz w:val="16"/>
                <w:szCs w:val="16"/>
              </w:rPr>
              <w:t xml:space="preserve"> </w:t>
            </w:r>
            <w:r w:rsidRPr="00403E8C">
              <w:rPr>
                <w:rFonts w:ascii="Calibri" w:eastAsia="Times New Roman" w:hAnsi="Calibri" w:cs="Calibri"/>
                <w:b/>
                <w:bCs/>
                <w:color w:val="000000"/>
                <w:sz w:val="16"/>
                <w:szCs w:val="16"/>
              </w:rPr>
              <w:t>(2023)</w:t>
            </w:r>
          </w:p>
        </w:tc>
      </w:tr>
      <w:tr w:rsidR="00A45473" w:rsidRPr="00403E8C" w14:paraId="74B14C17" w14:textId="77777777" w:rsidTr="001D0F74">
        <w:trPr>
          <w:cantSplit/>
          <w:trHeight w:val="864"/>
          <w:tblHeader/>
        </w:trPr>
        <w:tc>
          <w:tcPr>
            <w:tcW w:w="1563"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1B73C8"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 xml:space="preserve">Financial or Policy Instrument </w:t>
            </w:r>
          </w:p>
        </w:tc>
        <w:tc>
          <w:tcPr>
            <w:tcW w:w="1383" w:type="dxa"/>
            <w:tcBorders>
              <w:top w:val="nil"/>
              <w:left w:val="nil"/>
              <w:bottom w:val="single" w:sz="4" w:space="0" w:color="auto"/>
              <w:right w:val="single" w:sz="4" w:space="0" w:color="auto"/>
            </w:tcBorders>
            <w:shd w:val="clear" w:color="000000" w:fill="DBDBDB"/>
            <w:vAlign w:val="center"/>
            <w:hideMark/>
          </w:tcPr>
          <w:p w14:paraId="2F35A483"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Finance Mobilized (year) - USD</w:t>
            </w:r>
          </w:p>
        </w:tc>
        <w:tc>
          <w:tcPr>
            <w:tcW w:w="2575" w:type="dxa"/>
            <w:tcBorders>
              <w:top w:val="nil"/>
              <w:left w:val="nil"/>
              <w:bottom w:val="single" w:sz="4" w:space="0" w:color="auto"/>
              <w:right w:val="single" w:sz="4" w:space="0" w:color="auto"/>
            </w:tcBorders>
            <w:shd w:val="clear" w:color="000000" w:fill="DBDBDB"/>
            <w:vAlign w:val="center"/>
            <w:hideMark/>
          </w:tcPr>
          <w:p w14:paraId="37F4FBCC"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Source</w:t>
            </w:r>
          </w:p>
        </w:tc>
        <w:tc>
          <w:tcPr>
            <w:tcW w:w="0" w:type="auto"/>
            <w:tcBorders>
              <w:top w:val="nil"/>
              <w:left w:val="nil"/>
              <w:bottom w:val="single" w:sz="4" w:space="0" w:color="auto"/>
              <w:right w:val="single" w:sz="4" w:space="0" w:color="auto"/>
            </w:tcBorders>
            <w:shd w:val="clear" w:color="000000" w:fill="DBDBDB"/>
            <w:vAlign w:val="center"/>
            <w:hideMark/>
          </w:tcPr>
          <w:p w14:paraId="4C6CA284"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Finance Mobilized - 2019 USD</w:t>
            </w:r>
          </w:p>
        </w:tc>
        <w:tc>
          <w:tcPr>
            <w:tcW w:w="3212" w:type="dxa"/>
            <w:tcBorders>
              <w:top w:val="nil"/>
              <w:left w:val="nil"/>
              <w:bottom w:val="single" w:sz="4" w:space="0" w:color="auto"/>
              <w:right w:val="single" w:sz="4" w:space="0" w:color="auto"/>
            </w:tcBorders>
            <w:shd w:val="clear" w:color="000000" w:fill="DBDBDB"/>
            <w:vAlign w:val="center"/>
            <w:hideMark/>
          </w:tcPr>
          <w:p w14:paraId="7EA380E2"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Source</w:t>
            </w:r>
          </w:p>
        </w:tc>
        <w:tc>
          <w:tcPr>
            <w:tcW w:w="0" w:type="auto"/>
            <w:tcBorders>
              <w:top w:val="nil"/>
              <w:left w:val="nil"/>
              <w:bottom w:val="single" w:sz="4" w:space="0" w:color="auto"/>
              <w:right w:val="single" w:sz="4" w:space="0" w:color="auto"/>
            </w:tcBorders>
            <w:shd w:val="clear" w:color="000000" w:fill="DBDBDB"/>
            <w:vAlign w:val="center"/>
            <w:hideMark/>
          </w:tcPr>
          <w:p w14:paraId="6194639F"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Finance Mobilized - 2023 USD</w:t>
            </w:r>
          </w:p>
        </w:tc>
        <w:tc>
          <w:tcPr>
            <w:tcW w:w="2229" w:type="dxa"/>
            <w:tcBorders>
              <w:top w:val="nil"/>
              <w:left w:val="nil"/>
              <w:bottom w:val="single" w:sz="4" w:space="0" w:color="auto"/>
              <w:right w:val="single" w:sz="4" w:space="0" w:color="auto"/>
            </w:tcBorders>
            <w:shd w:val="clear" w:color="000000" w:fill="DBDBDB"/>
            <w:vAlign w:val="center"/>
            <w:hideMark/>
          </w:tcPr>
          <w:p w14:paraId="14BEBEFA" w14:textId="77777777" w:rsidR="00403E8C" w:rsidRPr="00403E8C" w:rsidRDefault="00403E8C" w:rsidP="00DB6F65">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Source</w:t>
            </w:r>
          </w:p>
        </w:tc>
      </w:tr>
      <w:tr w:rsidR="008137E3" w:rsidRPr="00403E8C" w14:paraId="1A5C0B5F" w14:textId="77777777" w:rsidTr="00403E8C">
        <w:trPr>
          <w:trHeight w:val="2033"/>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50C1154D"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Sustainable Supply Chains</w:t>
            </w:r>
          </w:p>
        </w:tc>
        <w:tc>
          <w:tcPr>
            <w:tcW w:w="1383" w:type="dxa"/>
            <w:tcBorders>
              <w:top w:val="nil"/>
              <w:left w:val="nil"/>
              <w:bottom w:val="single" w:sz="4" w:space="0" w:color="auto"/>
              <w:right w:val="single" w:sz="4" w:space="0" w:color="auto"/>
            </w:tcBorders>
            <w:shd w:val="clear" w:color="auto" w:fill="auto"/>
            <w:vAlign w:val="center"/>
            <w:hideMark/>
          </w:tcPr>
          <w:p w14:paraId="1A5B0A0F"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2.3-2.8 billion (2016)</w:t>
            </w:r>
          </w:p>
        </w:tc>
        <w:tc>
          <w:tcPr>
            <w:tcW w:w="2575" w:type="dxa"/>
            <w:tcBorders>
              <w:top w:val="nil"/>
              <w:left w:val="nil"/>
              <w:bottom w:val="single" w:sz="4" w:space="0" w:color="auto"/>
              <w:right w:val="single" w:sz="4" w:space="0" w:color="auto"/>
            </w:tcBorders>
            <w:shd w:val="clear" w:color="auto" w:fill="auto"/>
            <w:vAlign w:val="center"/>
            <w:hideMark/>
          </w:tcPr>
          <w:p w14:paraId="319DA82F"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Author estimates for forestry FSC/PEFC certification only, based on studies (</w:t>
            </w:r>
            <w:proofErr w:type="spellStart"/>
            <w:r w:rsidRPr="00403E8C">
              <w:rPr>
                <w:rFonts w:ascii="Calibri" w:eastAsia="Times New Roman" w:hAnsi="Calibri" w:cs="Calibri"/>
                <w:color w:val="000000"/>
                <w:sz w:val="16"/>
                <w:szCs w:val="16"/>
              </w:rPr>
              <w:t>Breukink</w:t>
            </w:r>
            <w:proofErr w:type="spellEnd"/>
            <w:r w:rsidRPr="00403E8C">
              <w:rPr>
                <w:rFonts w:ascii="Calibri" w:eastAsia="Times New Roman" w:hAnsi="Calibri" w:cs="Calibri"/>
                <w:color w:val="000000"/>
                <w:sz w:val="16"/>
                <w:szCs w:val="16"/>
              </w:rPr>
              <w:t xml:space="preserve"> et al., 2015; FAO, 2018; Levin, 2012). The study quantifies mobilized finance by </w:t>
            </w:r>
            <w:proofErr w:type="spellStart"/>
            <w:r w:rsidRPr="00403E8C">
              <w:rPr>
                <w:rFonts w:ascii="Calibri" w:eastAsia="Times New Roman" w:hAnsi="Calibri" w:cs="Calibri"/>
                <w:color w:val="000000"/>
                <w:sz w:val="16"/>
                <w:szCs w:val="16"/>
              </w:rPr>
              <w:t>multipying</w:t>
            </w:r>
            <w:proofErr w:type="spellEnd"/>
            <w:r w:rsidRPr="00403E8C">
              <w:rPr>
                <w:rFonts w:ascii="Calibri" w:eastAsia="Times New Roman" w:hAnsi="Calibri" w:cs="Calibri"/>
                <w:color w:val="000000"/>
                <w:sz w:val="16"/>
                <w:szCs w:val="16"/>
              </w:rPr>
              <w:t xml:space="preserve"> the marginal post-certification costs from the </w:t>
            </w:r>
            <w:proofErr w:type="spellStart"/>
            <w:r w:rsidRPr="00403E8C">
              <w:rPr>
                <w:rFonts w:ascii="Calibri" w:eastAsia="Times New Roman" w:hAnsi="Calibri" w:cs="Calibri"/>
                <w:color w:val="000000"/>
                <w:sz w:val="16"/>
                <w:szCs w:val="16"/>
              </w:rPr>
              <w:t>Breukink</w:t>
            </w:r>
            <w:proofErr w:type="spellEnd"/>
            <w:r w:rsidRPr="00403E8C">
              <w:rPr>
                <w:rFonts w:ascii="Calibri" w:eastAsia="Times New Roman" w:hAnsi="Calibri" w:cs="Calibri"/>
                <w:color w:val="000000"/>
                <w:sz w:val="16"/>
                <w:szCs w:val="16"/>
              </w:rPr>
              <w:t xml:space="preserve"> et al. study by the volume of certified wood products under the two certification schemes.</w:t>
            </w:r>
          </w:p>
        </w:tc>
        <w:tc>
          <w:tcPr>
            <w:tcW w:w="0" w:type="auto"/>
            <w:tcBorders>
              <w:top w:val="nil"/>
              <w:left w:val="nil"/>
              <w:bottom w:val="single" w:sz="4" w:space="0" w:color="auto"/>
              <w:right w:val="single" w:sz="4" w:space="0" w:color="auto"/>
            </w:tcBorders>
            <w:shd w:val="clear" w:color="auto" w:fill="auto"/>
            <w:vAlign w:val="center"/>
            <w:hideMark/>
          </w:tcPr>
          <w:p w14:paraId="0849D889"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5.5-8.2 billion</w:t>
            </w:r>
          </w:p>
        </w:tc>
        <w:tc>
          <w:tcPr>
            <w:tcW w:w="0" w:type="auto"/>
            <w:tcBorders>
              <w:top w:val="nil"/>
              <w:left w:val="nil"/>
              <w:bottom w:val="single" w:sz="4" w:space="0" w:color="auto"/>
              <w:right w:val="single" w:sz="4" w:space="0" w:color="auto"/>
            </w:tcBorders>
            <w:shd w:val="clear" w:color="auto" w:fill="auto"/>
            <w:vAlign w:val="center"/>
            <w:hideMark/>
          </w:tcPr>
          <w:p w14:paraId="1404C1DC"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Author estimates for sustainable forestry, agriculture, fisheries and seafood, and palm oil products based on assumption that 1% (lower estimate) to 1.5% (upper estimate) of market is reinvested into biodiversity conservation. (Percent allocation drawn from OECD study on </w:t>
            </w:r>
            <w:proofErr w:type="spellStart"/>
            <w:r w:rsidRPr="00403E8C">
              <w:rPr>
                <w:rFonts w:ascii="Calibri" w:eastAsia="Times New Roman" w:hAnsi="Calibri" w:cs="Calibri"/>
                <w:color w:val="000000"/>
                <w:sz w:val="16"/>
                <w:szCs w:val="16"/>
              </w:rPr>
              <w:t>forestrey</w:t>
            </w:r>
            <w:proofErr w:type="spellEnd"/>
            <w:r w:rsidRPr="00403E8C">
              <w:rPr>
                <w:rFonts w:ascii="Calibri" w:eastAsia="Times New Roman" w:hAnsi="Calibri" w:cs="Calibri"/>
                <w:color w:val="000000"/>
                <w:sz w:val="16"/>
                <w:szCs w:val="16"/>
              </w:rPr>
              <w:t>, market value obtained from various sources (BIOFIN, FAO, etc.)</w:t>
            </w:r>
          </w:p>
        </w:tc>
        <w:tc>
          <w:tcPr>
            <w:tcW w:w="0" w:type="auto"/>
            <w:tcBorders>
              <w:top w:val="nil"/>
              <w:left w:val="nil"/>
              <w:bottom w:val="single" w:sz="4" w:space="0" w:color="auto"/>
              <w:right w:val="single" w:sz="4" w:space="0" w:color="auto"/>
            </w:tcBorders>
            <w:shd w:val="clear" w:color="auto" w:fill="auto"/>
            <w:vAlign w:val="center"/>
            <w:hideMark/>
          </w:tcPr>
          <w:p w14:paraId="158DD058"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8.6 billion </w:t>
            </w:r>
          </w:p>
        </w:tc>
        <w:tc>
          <w:tcPr>
            <w:tcW w:w="0" w:type="auto"/>
            <w:tcBorders>
              <w:top w:val="nil"/>
              <w:left w:val="nil"/>
              <w:bottom w:val="single" w:sz="4" w:space="0" w:color="auto"/>
              <w:right w:val="single" w:sz="4" w:space="0" w:color="auto"/>
            </w:tcBorders>
            <w:shd w:val="clear" w:color="auto" w:fill="auto"/>
            <w:vAlign w:val="center"/>
            <w:hideMark/>
          </w:tcPr>
          <w:p w14:paraId="7C7E7504" w14:textId="77777777" w:rsidR="00403E8C" w:rsidRPr="00403E8C" w:rsidRDefault="00403E8C" w:rsidP="00403E8C">
            <w:pPr>
              <w:rPr>
                <w:rFonts w:ascii="Calibri" w:eastAsia="Times New Roman" w:hAnsi="Calibri" w:cs="Calibri"/>
                <w:color w:val="000000"/>
                <w:sz w:val="16"/>
                <w:szCs w:val="16"/>
              </w:rPr>
            </w:pPr>
            <w:proofErr w:type="gramStart"/>
            <w:r w:rsidRPr="00403E8C">
              <w:rPr>
                <w:rFonts w:ascii="Calibri" w:eastAsia="Times New Roman" w:hAnsi="Calibri" w:cs="Calibri"/>
                <w:color w:val="000000"/>
                <w:sz w:val="16"/>
                <w:szCs w:val="16"/>
              </w:rPr>
              <w:t>Report</w:t>
            </w:r>
            <w:proofErr w:type="gramEnd"/>
            <w:r w:rsidRPr="00403E8C">
              <w:rPr>
                <w:rFonts w:ascii="Calibri" w:eastAsia="Times New Roman" w:hAnsi="Calibri" w:cs="Calibri"/>
                <w:color w:val="000000"/>
                <w:sz w:val="16"/>
                <w:szCs w:val="16"/>
              </w:rPr>
              <w:t xml:space="preserve"> follows approach outlined in Deutz et al. (2020), based on market values obtained from various sources for certified forestry, agriculture, palm oil, seafood, soy, coffee, and cocoa products. </w:t>
            </w:r>
          </w:p>
        </w:tc>
      </w:tr>
      <w:tr w:rsidR="008137E3" w:rsidRPr="00403E8C" w14:paraId="35E5D640" w14:textId="77777777" w:rsidTr="00403E8C">
        <w:trPr>
          <w:trHeight w:val="989"/>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582D0B29"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Biodiversity Offsets</w:t>
            </w:r>
          </w:p>
        </w:tc>
        <w:tc>
          <w:tcPr>
            <w:tcW w:w="1383" w:type="dxa"/>
            <w:tcBorders>
              <w:top w:val="nil"/>
              <w:left w:val="nil"/>
              <w:bottom w:val="single" w:sz="4" w:space="0" w:color="auto"/>
              <w:right w:val="single" w:sz="4" w:space="0" w:color="auto"/>
            </w:tcBorders>
            <w:shd w:val="clear" w:color="auto" w:fill="auto"/>
            <w:vAlign w:val="center"/>
            <w:hideMark/>
          </w:tcPr>
          <w:p w14:paraId="531200F4"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2.6-7.3 billion (2016)</w:t>
            </w:r>
          </w:p>
        </w:tc>
        <w:tc>
          <w:tcPr>
            <w:tcW w:w="2575" w:type="dxa"/>
            <w:tcBorders>
              <w:top w:val="nil"/>
              <w:left w:val="nil"/>
              <w:bottom w:val="single" w:sz="4" w:space="0" w:color="auto"/>
              <w:right w:val="single" w:sz="4" w:space="0" w:color="auto"/>
            </w:tcBorders>
            <w:shd w:val="clear" w:color="auto" w:fill="auto"/>
            <w:vAlign w:val="center"/>
            <w:hideMark/>
          </w:tcPr>
          <w:p w14:paraId="74BB8168"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Data on offset programmes in 33 countries from study (Bennett et al., 2017)</w:t>
            </w:r>
          </w:p>
        </w:tc>
        <w:tc>
          <w:tcPr>
            <w:tcW w:w="0" w:type="auto"/>
            <w:tcBorders>
              <w:top w:val="nil"/>
              <w:left w:val="nil"/>
              <w:bottom w:val="single" w:sz="4" w:space="0" w:color="auto"/>
              <w:right w:val="single" w:sz="4" w:space="0" w:color="auto"/>
            </w:tcBorders>
            <w:shd w:val="clear" w:color="auto" w:fill="auto"/>
            <w:vAlign w:val="center"/>
            <w:hideMark/>
          </w:tcPr>
          <w:p w14:paraId="58605AC8"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6-9 billion (includes public funds)</w:t>
            </w:r>
          </w:p>
        </w:tc>
        <w:tc>
          <w:tcPr>
            <w:tcW w:w="0" w:type="auto"/>
            <w:tcBorders>
              <w:top w:val="nil"/>
              <w:left w:val="nil"/>
              <w:bottom w:val="single" w:sz="4" w:space="0" w:color="auto"/>
              <w:right w:val="single" w:sz="4" w:space="0" w:color="auto"/>
            </w:tcBorders>
            <w:shd w:val="clear" w:color="auto" w:fill="auto"/>
            <w:vAlign w:val="center"/>
            <w:hideMark/>
          </w:tcPr>
          <w:p w14:paraId="038788FF"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Country-specific reports/studies on five countries to meet national policy requirements (Brazil, Australia, Germany, Mexico, USA)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19F460E"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11.7 billion (includes biodiversity offsets and credits)</w:t>
            </w:r>
          </w:p>
        </w:tc>
        <w:tc>
          <w:tcPr>
            <w:tcW w:w="0" w:type="auto"/>
            <w:tcBorders>
              <w:top w:val="nil"/>
              <w:left w:val="nil"/>
              <w:bottom w:val="single" w:sz="4" w:space="0" w:color="auto"/>
              <w:right w:val="single" w:sz="4" w:space="0" w:color="auto"/>
            </w:tcBorders>
            <w:shd w:val="clear" w:color="auto" w:fill="auto"/>
            <w:vAlign w:val="center"/>
            <w:hideMark/>
          </w:tcPr>
          <w:p w14:paraId="564F2907"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 for 2016 figures. Projected 2022 figures from study estimating CAGR growth rate (28% by 2028)</w:t>
            </w:r>
          </w:p>
        </w:tc>
      </w:tr>
      <w:tr w:rsidR="008137E3" w:rsidRPr="00403E8C" w14:paraId="3ED92BAE" w14:textId="77777777" w:rsidTr="001D0F74">
        <w:trPr>
          <w:trHeight w:val="260"/>
        </w:trPr>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4D5918FC"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Biodiversity Credits</w:t>
            </w:r>
          </w:p>
        </w:tc>
        <w:tc>
          <w:tcPr>
            <w:tcW w:w="395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205D2D"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Not estimated.</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AA37B2F" w14:textId="4C292A5C"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Not estimated</w:t>
            </w:r>
            <w:r w:rsidR="00FC053B">
              <w:rPr>
                <w:rFonts w:ascii="Calibri" w:eastAsia="Times New Roman" w:hAnsi="Calibri" w:cs="Calibri"/>
                <w:color w:val="000000"/>
                <w:sz w:val="16"/>
                <w:szCs w:val="16"/>
              </w:rPr>
              <w:t>.</w:t>
            </w:r>
          </w:p>
        </w:tc>
        <w:tc>
          <w:tcPr>
            <w:tcW w:w="0" w:type="auto"/>
            <w:vMerge/>
            <w:tcBorders>
              <w:top w:val="nil"/>
              <w:left w:val="single" w:sz="4" w:space="0" w:color="auto"/>
              <w:bottom w:val="single" w:sz="4" w:space="0" w:color="auto"/>
              <w:right w:val="single" w:sz="4" w:space="0" w:color="auto"/>
            </w:tcBorders>
            <w:vAlign w:val="center"/>
            <w:hideMark/>
          </w:tcPr>
          <w:p w14:paraId="1CB9B363" w14:textId="77777777" w:rsidR="00403E8C" w:rsidRPr="00403E8C" w:rsidRDefault="00403E8C" w:rsidP="00403E8C">
            <w:pPr>
              <w:rPr>
                <w:rFonts w:ascii="Calibri" w:eastAsia="Times New Roman" w:hAnsi="Calibri" w:cs="Calibri"/>
                <w:color w:val="000000"/>
                <w:sz w:val="16"/>
                <w:szCs w:val="16"/>
              </w:rPr>
            </w:pPr>
          </w:p>
        </w:tc>
        <w:tc>
          <w:tcPr>
            <w:tcW w:w="0" w:type="auto"/>
            <w:tcBorders>
              <w:top w:val="nil"/>
              <w:left w:val="nil"/>
              <w:bottom w:val="single" w:sz="4" w:space="0" w:color="auto"/>
              <w:right w:val="single" w:sz="4" w:space="0" w:color="auto"/>
            </w:tcBorders>
            <w:shd w:val="clear" w:color="auto" w:fill="auto"/>
            <w:vAlign w:val="center"/>
            <w:hideMark/>
          </w:tcPr>
          <w:p w14:paraId="1B23935E"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Bloomberg NEF 2023 and World Economic Forum 2022</w:t>
            </w:r>
          </w:p>
        </w:tc>
      </w:tr>
      <w:tr w:rsidR="008137E3" w:rsidRPr="00042ECA" w14:paraId="625A1E29" w14:textId="77777777" w:rsidTr="001D0F74">
        <w:trPr>
          <w:trHeight w:val="1835"/>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2C6D8455"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Impact Investing</w:t>
            </w:r>
          </w:p>
        </w:tc>
        <w:tc>
          <w:tcPr>
            <w:tcW w:w="3958" w:type="dxa"/>
            <w:gridSpan w:val="2"/>
            <w:tcBorders>
              <w:top w:val="single" w:sz="4" w:space="0" w:color="auto"/>
              <w:left w:val="nil"/>
              <w:bottom w:val="single" w:sz="4" w:space="0" w:color="auto"/>
              <w:right w:val="single" w:sz="4" w:space="0" w:color="auto"/>
            </w:tcBorders>
            <w:shd w:val="clear" w:color="auto" w:fill="auto"/>
            <w:vAlign w:val="center"/>
            <w:hideMark/>
          </w:tcPr>
          <w:p w14:paraId="007A8DB8"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Not estimated.</w:t>
            </w:r>
          </w:p>
        </w:tc>
        <w:tc>
          <w:tcPr>
            <w:tcW w:w="0" w:type="auto"/>
            <w:tcBorders>
              <w:top w:val="nil"/>
              <w:left w:val="nil"/>
              <w:bottom w:val="single" w:sz="4" w:space="0" w:color="auto"/>
              <w:right w:val="single" w:sz="4" w:space="0" w:color="auto"/>
            </w:tcBorders>
            <w:shd w:val="clear" w:color="auto" w:fill="auto"/>
            <w:vAlign w:val="center"/>
            <w:hideMark/>
          </w:tcPr>
          <w:p w14:paraId="789B8157"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1.6-3.3 billion for green debt (considered public-private flows)</w:t>
            </w:r>
            <w:r w:rsidRPr="00403E8C">
              <w:rPr>
                <w:rFonts w:ascii="Calibri" w:eastAsia="Times New Roman" w:hAnsi="Calibri" w:cs="Calibri"/>
                <w:color w:val="000000"/>
                <w:sz w:val="16"/>
                <w:szCs w:val="16"/>
              </w:rPr>
              <w:br/>
            </w:r>
            <w:r w:rsidRPr="00403E8C">
              <w:rPr>
                <w:rFonts w:ascii="Calibri" w:eastAsia="Times New Roman" w:hAnsi="Calibri" w:cs="Calibri"/>
                <w:color w:val="000000"/>
                <w:sz w:val="16"/>
                <w:szCs w:val="16"/>
              </w:rPr>
              <w:br/>
              <w:t>2.3-3.0 billion for private equity investments</w:t>
            </w:r>
          </w:p>
        </w:tc>
        <w:tc>
          <w:tcPr>
            <w:tcW w:w="0" w:type="auto"/>
            <w:tcBorders>
              <w:top w:val="nil"/>
              <w:left w:val="nil"/>
              <w:bottom w:val="single" w:sz="4" w:space="0" w:color="auto"/>
              <w:right w:val="single" w:sz="4" w:space="0" w:color="auto"/>
            </w:tcBorders>
            <w:shd w:val="clear" w:color="auto" w:fill="auto"/>
            <w:vAlign w:val="center"/>
            <w:hideMark/>
          </w:tcPr>
          <w:p w14:paraId="00BDDAF9" w14:textId="3E97A296"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Lower private equity </w:t>
            </w:r>
            <w:proofErr w:type="gramStart"/>
            <w:r w:rsidRPr="00403E8C">
              <w:rPr>
                <w:rFonts w:ascii="Calibri" w:eastAsia="Times New Roman" w:hAnsi="Calibri" w:cs="Calibri"/>
                <w:color w:val="000000"/>
                <w:sz w:val="16"/>
                <w:szCs w:val="16"/>
              </w:rPr>
              <w:t>estimate</w:t>
            </w:r>
            <w:proofErr w:type="gramEnd"/>
            <w:r w:rsidRPr="00403E8C">
              <w:rPr>
                <w:rFonts w:ascii="Calibri" w:eastAsia="Times New Roman" w:hAnsi="Calibri" w:cs="Calibri"/>
                <w:color w:val="000000"/>
                <w:sz w:val="16"/>
                <w:szCs w:val="16"/>
              </w:rPr>
              <w:t xml:space="preserve"> from State of Private Investment in Conservation (SOPIC) report; Upper private equity estimate from GINN Survey plus other relevant funds. </w:t>
            </w:r>
            <w:proofErr w:type="gramStart"/>
            <w:r w:rsidRPr="00403E8C">
              <w:rPr>
                <w:rFonts w:ascii="Calibri" w:eastAsia="Times New Roman" w:hAnsi="Calibri" w:cs="Calibri"/>
                <w:color w:val="000000"/>
                <w:sz w:val="16"/>
                <w:szCs w:val="16"/>
              </w:rPr>
              <w:t>Author</w:t>
            </w:r>
            <w:proofErr w:type="gramEnd"/>
            <w:r w:rsidRPr="00403E8C">
              <w:rPr>
                <w:rFonts w:ascii="Calibri" w:eastAsia="Times New Roman" w:hAnsi="Calibri" w:cs="Calibri"/>
                <w:color w:val="000000"/>
                <w:sz w:val="16"/>
                <w:szCs w:val="16"/>
              </w:rPr>
              <w:t xml:space="preserve"> applied allocation formula.  Author does not differentiate between private versus public green bonds.</w:t>
            </w:r>
          </w:p>
        </w:tc>
        <w:tc>
          <w:tcPr>
            <w:tcW w:w="0" w:type="auto"/>
            <w:tcBorders>
              <w:top w:val="nil"/>
              <w:left w:val="nil"/>
              <w:bottom w:val="single" w:sz="4" w:space="0" w:color="auto"/>
              <w:right w:val="single" w:sz="4" w:space="0" w:color="auto"/>
            </w:tcBorders>
            <w:shd w:val="clear" w:color="auto" w:fill="auto"/>
            <w:vAlign w:val="center"/>
            <w:hideMark/>
          </w:tcPr>
          <w:p w14:paraId="0E8644EC"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4.6 billion</w:t>
            </w:r>
          </w:p>
        </w:tc>
        <w:tc>
          <w:tcPr>
            <w:tcW w:w="0" w:type="auto"/>
            <w:tcBorders>
              <w:top w:val="nil"/>
              <w:left w:val="nil"/>
              <w:bottom w:val="single" w:sz="4" w:space="0" w:color="auto"/>
              <w:right w:val="single" w:sz="4" w:space="0" w:color="auto"/>
            </w:tcBorders>
            <w:shd w:val="clear" w:color="auto" w:fill="auto"/>
            <w:noWrap/>
            <w:vAlign w:val="center"/>
            <w:hideMark/>
          </w:tcPr>
          <w:p w14:paraId="500EC9A2" w14:textId="77777777" w:rsidR="00403E8C" w:rsidRPr="00F71728" w:rsidRDefault="00403E8C" w:rsidP="00403E8C">
            <w:pPr>
              <w:rPr>
                <w:rFonts w:ascii="Calibri" w:eastAsia="Times New Roman" w:hAnsi="Calibri" w:cs="Calibri"/>
                <w:color w:val="000000"/>
                <w:sz w:val="16"/>
                <w:szCs w:val="16"/>
                <w:lang w:val="fr-FR"/>
              </w:rPr>
            </w:pPr>
            <w:proofErr w:type="spellStart"/>
            <w:r w:rsidRPr="00F71728">
              <w:rPr>
                <w:rFonts w:ascii="Calibri" w:eastAsia="Times New Roman" w:hAnsi="Calibri" w:cs="Calibri"/>
                <w:color w:val="000000"/>
                <w:sz w:val="16"/>
                <w:szCs w:val="16"/>
                <w:lang w:val="fr-FR"/>
              </w:rPr>
              <w:t>Same</w:t>
            </w:r>
            <w:proofErr w:type="spellEnd"/>
            <w:r w:rsidRPr="00F71728">
              <w:rPr>
                <w:rFonts w:ascii="Calibri" w:eastAsia="Times New Roman" w:hAnsi="Calibri" w:cs="Calibri"/>
                <w:color w:val="000000"/>
                <w:sz w:val="16"/>
                <w:szCs w:val="16"/>
                <w:lang w:val="fr-FR"/>
              </w:rPr>
              <w:t xml:space="preserve"> as Deutz et al.</w:t>
            </w:r>
          </w:p>
        </w:tc>
      </w:tr>
      <w:tr w:rsidR="008137E3" w:rsidRPr="00403E8C" w14:paraId="372270AC" w14:textId="77777777" w:rsidTr="00A45473">
        <w:trPr>
          <w:trHeight w:val="872"/>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3643E602"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lastRenderedPageBreak/>
              <w:t>Private Philanthropy</w:t>
            </w:r>
          </w:p>
        </w:tc>
        <w:tc>
          <w:tcPr>
            <w:tcW w:w="1383" w:type="dxa"/>
            <w:tcBorders>
              <w:top w:val="nil"/>
              <w:left w:val="nil"/>
              <w:bottom w:val="single" w:sz="4" w:space="0" w:color="auto"/>
              <w:right w:val="single" w:sz="4" w:space="0" w:color="auto"/>
            </w:tcBorders>
            <w:shd w:val="clear" w:color="auto" w:fill="auto"/>
            <w:vAlign w:val="center"/>
            <w:hideMark/>
          </w:tcPr>
          <w:p w14:paraId="65DBAFC5"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0.2-0.4 billion (2017)</w:t>
            </w:r>
          </w:p>
        </w:tc>
        <w:tc>
          <w:tcPr>
            <w:tcW w:w="2575" w:type="dxa"/>
            <w:tcBorders>
              <w:top w:val="nil"/>
              <w:left w:val="nil"/>
              <w:bottom w:val="single" w:sz="4" w:space="0" w:color="auto"/>
              <w:right w:val="single" w:sz="4" w:space="0" w:color="auto"/>
            </w:tcBorders>
            <w:shd w:val="clear" w:color="auto" w:fill="auto"/>
            <w:vAlign w:val="center"/>
            <w:hideMark/>
          </w:tcPr>
          <w:p w14:paraId="37F2F8A0"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OECD CRS</w:t>
            </w:r>
          </w:p>
        </w:tc>
        <w:tc>
          <w:tcPr>
            <w:tcW w:w="0" w:type="auto"/>
            <w:tcBorders>
              <w:top w:val="nil"/>
              <w:left w:val="nil"/>
              <w:bottom w:val="single" w:sz="4" w:space="0" w:color="auto"/>
              <w:right w:val="single" w:sz="4" w:space="0" w:color="auto"/>
            </w:tcBorders>
            <w:shd w:val="clear" w:color="auto" w:fill="auto"/>
            <w:vAlign w:val="center"/>
            <w:hideMark/>
          </w:tcPr>
          <w:p w14:paraId="7F38E6B7"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0.2-0.4 billion</w:t>
            </w:r>
          </w:p>
        </w:tc>
        <w:tc>
          <w:tcPr>
            <w:tcW w:w="0" w:type="auto"/>
            <w:tcBorders>
              <w:top w:val="nil"/>
              <w:left w:val="nil"/>
              <w:bottom w:val="single" w:sz="4" w:space="0" w:color="auto"/>
              <w:right w:val="single" w:sz="4" w:space="0" w:color="auto"/>
            </w:tcBorders>
            <w:shd w:val="clear" w:color="auto" w:fill="auto"/>
            <w:vAlign w:val="center"/>
            <w:hideMark/>
          </w:tcPr>
          <w:p w14:paraId="44F7FD75"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Same as </w:t>
            </w:r>
            <w:proofErr w:type="gramStart"/>
            <w:r w:rsidRPr="00403E8C">
              <w:rPr>
                <w:rFonts w:ascii="Calibri" w:eastAsia="Times New Roman" w:hAnsi="Calibri" w:cs="Calibri"/>
                <w:color w:val="000000"/>
                <w:sz w:val="16"/>
                <w:szCs w:val="16"/>
              </w:rPr>
              <w:t>OECD, but</w:t>
            </w:r>
            <w:proofErr w:type="gramEnd"/>
            <w:r w:rsidRPr="00403E8C">
              <w:rPr>
                <w:rFonts w:ascii="Calibri" w:eastAsia="Times New Roman" w:hAnsi="Calibri" w:cs="Calibri"/>
                <w:color w:val="000000"/>
                <w:sz w:val="16"/>
                <w:szCs w:val="16"/>
              </w:rPr>
              <w:t xml:space="preserve"> adjusts 2017 data to 2019 prices.  </w:t>
            </w:r>
          </w:p>
        </w:tc>
        <w:tc>
          <w:tcPr>
            <w:tcW w:w="0" w:type="auto"/>
            <w:tcBorders>
              <w:top w:val="nil"/>
              <w:left w:val="nil"/>
              <w:bottom w:val="single" w:sz="4" w:space="0" w:color="auto"/>
              <w:right w:val="single" w:sz="4" w:space="0" w:color="auto"/>
            </w:tcBorders>
            <w:shd w:val="clear" w:color="auto" w:fill="auto"/>
            <w:vAlign w:val="center"/>
            <w:hideMark/>
          </w:tcPr>
          <w:p w14:paraId="78C33875"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1.3 billion</w:t>
            </w:r>
          </w:p>
        </w:tc>
        <w:tc>
          <w:tcPr>
            <w:tcW w:w="0" w:type="auto"/>
            <w:tcBorders>
              <w:top w:val="nil"/>
              <w:left w:val="nil"/>
              <w:bottom w:val="single" w:sz="4" w:space="0" w:color="auto"/>
              <w:right w:val="single" w:sz="4" w:space="0" w:color="auto"/>
            </w:tcBorders>
            <w:shd w:val="clear" w:color="auto" w:fill="auto"/>
            <w:vAlign w:val="center"/>
            <w:hideMark/>
          </w:tcPr>
          <w:p w14:paraId="7459E13A"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 but with additional sources (Bezos Earth Fund, Funding the Ocean, Our Shared Seas)</w:t>
            </w:r>
          </w:p>
        </w:tc>
      </w:tr>
      <w:tr w:rsidR="008137E3" w:rsidRPr="00403E8C" w14:paraId="55634C24" w14:textId="77777777" w:rsidTr="001D0F74">
        <w:trPr>
          <w:trHeight w:val="1493"/>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3F49410A"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Conservation NGOs</w:t>
            </w:r>
          </w:p>
        </w:tc>
        <w:tc>
          <w:tcPr>
            <w:tcW w:w="1383" w:type="dxa"/>
            <w:tcBorders>
              <w:top w:val="nil"/>
              <w:left w:val="nil"/>
              <w:bottom w:val="single" w:sz="4" w:space="0" w:color="auto"/>
              <w:right w:val="single" w:sz="4" w:space="0" w:color="auto"/>
            </w:tcBorders>
            <w:shd w:val="clear" w:color="auto" w:fill="auto"/>
            <w:vAlign w:val="center"/>
            <w:hideMark/>
          </w:tcPr>
          <w:p w14:paraId="7850EC34"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1.2-2.3 billion (2017)</w:t>
            </w:r>
          </w:p>
        </w:tc>
        <w:tc>
          <w:tcPr>
            <w:tcW w:w="2575" w:type="dxa"/>
            <w:tcBorders>
              <w:top w:val="nil"/>
              <w:left w:val="nil"/>
              <w:bottom w:val="single" w:sz="4" w:space="0" w:color="auto"/>
              <w:right w:val="single" w:sz="4" w:space="0" w:color="auto"/>
            </w:tcBorders>
            <w:shd w:val="clear" w:color="auto" w:fill="auto"/>
            <w:vAlign w:val="center"/>
            <w:hideMark/>
          </w:tcPr>
          <w:p w14:paraId="53828358"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Author estimates based on five conservation NGO public annual reports (CI, RSPB, TNC, WCS, and WWF). </w:t>
            </w:r>
            <w:proofErr w:type="gramStart"/>
            <w:r w:rsidRPr="00403E8C">
              <w:rPr>
                <w:rFonts w:ascii="Calibri" w:eastAsia="Times New Roman" w:hAnsi="Calibri" w:cs="Calibri"/>
                <w:color w:val="000000"/>
                <w:sz w:val="16"/>
                <w:szCs w:val="16"/>
              </w:rPr>
              <w:t>Upper</w:t>
            </w:r>
            <w:proofErr w:type="gramEnd"/>
            <w:r w:rsidRPr="00403E8C">
              <w:rPr>
                <w:rFonts w:ascii="Calibri" w:eastAsia="Times New Roman" w:hAnsi="Calibri" w:cs="Calibri"/>
                <w:color w:val="000000"/>
                <w:sz w:val="16"/>
                <w:szCs w:val="16"/>
              </w:rPr>
              <w:t xml:space="preserve"> estimate includes revenues from governments and philanthropic foundations. Lower estimate excludes those revenues.</w:t>
            </w:r>
          </w:p>
        </w:tc>
        <w:tc>
          <w:tcPr>
            <w:tcW w:w="0" w:type="auto"/>
            <w:tcBorders>
              <w:top w:val="nil"/>
              <w:left w:val="nil"/>
              <w:bottom w:val="single" w:sz="4" w:space="0" w:color="auto"/>
              <w:right w:val="single" w:sz="4" w:space="0" w:color="auto"/>
            </w:tcBorders>
            <w:shd w:val="clear" w:color="auto" w:fill="auto"/>
            <w:vAlign w:val="center"/>
            <w:hideMark/>
          </w:tcPr>
          <w:p w14:paraId="50F5BBEE"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1.2-2.3 billion</w:t>
            </w:r>
          </w:p>
        </w:tc>
        <w:tc>
          <w:tcPr>
            <w:tcW w:w="0" w:type="auto"/>
            <w:tcBorders>
              <w:top w:val="nil"/>
              <w:left w:val="nil"/>
              <w:bottom w:val="single" w:sz="4" w:space="0" w:color="auto"/>
              <w:right w:val="single" w:sz="4" w:space="0" w:color="auto"/>
            </w:tcBorders>
            <w:shd w:val="clear" w:color="auto" w:fill="auto"/>
            <w:vAlign w:val="center"/>
            <w:hideMark/>
          </w:tcPr>
          <w:p w14:paraId="7E37880D" w14:textId="283466D2"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w:t>
            </w:r>
            <w:r w:rsidR="001D5D83">
              <w:rPr>
                <w:rFonts w:ascii="Calibri" w:eastAsia="Times New Roman" w:hAnsi="Calibri" w:cs="Calibri"/>
                <w:color w:val="000000"/>
                <w:sz w:val="16"/>
                <w:szCs w:val="16"/>
              </w:rPr>
              <w:t>.</w:t>
            </w:r>
          </w:p>
        </w:tc>
        <w:tc>
          <w:tcPr>
            <w:tcW w:w="0" w:type="auto"/>
            <w:tcBorders>
              <w:top w:val="nil"/>
              <w:left w:val="nil"/>
              <w:bottom w:val="single" w:sz="4" w:space="0" w:color="auto"/>
              <w:right w:val="single" w:sz="4" w:space="0" w:color="auto"/>
            </w:tcBorders>
            <w:shd w:val="clear" w:color="auto" w:fill="auto"/>
            <w:vAlign w:val="center"/>
            <w:hideMark/>
          </w:tcPr>
          <w:p w14:paraId="336B5ED3"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1.9 billion</w:t>
            </w:r>
          </w:p>
        </w:tc>
        <w:tc>
          <w:tcPr>
            <w:tcW w:w="0" w:type="auto"/>
            <w:tcBorders>
              <w:top w:val="nil"/>
              <w:left w:val="nil"/>
              <w:bottom w:val="single" w:sz="4" w:space="0" w:color="auto"/>
              <w:right w:val="single" w:sz="4" w:space="0" w:color="auto"/>
            </w:tcBorders>
            <w:shd w:val="clear" w:color="auto" w:fill="auto"/>
            <w:noWrap/>
            <w:vAlign w:val="center"/>
            <w:hideMark/>
          </w:tcPr>
          <w:p w14:paraId="3921811F"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w:t>
            </w:r>
          </w:p>
        </w:tc>
      </w:tr>
      <w:tr w:rsidR="008137E3" w:rsidRPr="00403E8C" w14:paraId="5CFC6DD6" w14:textId="77777777" w:rsidTr="001D0F74">
        <w:trPr>
          <w:trHeight w:val="1079"/>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5D6CDEA9"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Carbon Markets</w:t>
            </w:r>
          </w:p>
        </w:tc>
        <w:tc>
          <w:tcPr>
            <w:tcW w:w="1383" w:type="dxa"/>
            <w:tcBorders>
              <w:top w:val="nil"/>
              <w:left w:val="nil"/>
              <w:bottom w:val="single" w:sz="4" w:space="0" w:color="auto"/>
              <w:right w:val="single" w:sz="4" w:space="0" w:color="auto"/>
            </w:tcBorders>
            <w:shd w:val="clear" w:color="auto" w:fill="auto"/>
            <w:vAlign w:val="center"/>
            <w:hideMark/>
          </w:tcPr>
          <w:p w14:paraId="34A6F494"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0.03-0.116 billion (2016)</w:t>
            </w:r>
          </w:p>
        </w:tc>
        <w:tc>
          <w:tcPr>
            <w:tcW w:w="2575" w:type="dxa"/>
            <w:tcBorders>
              <w:top w:val="nil"/>
              <w:left w:val="nil"/>
              <w:bottom w:val="single" w:sz="4" w:space="0" w:color="auto"/>
              <w:right w:val="single" w:sz="4" w:space="0" w:color="auto"/>
            </w:tcBorders>
            <w:shd w:val="clear" w:color="auto" w:fill="auto"/>
            <w:vAlign w:val="center"/>
            <w:hideMark/>
          </w:tcPr>
          <w:p w14:paraId="04019CEC"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Forest Trends' Ecosystem Marketplace, 2019; Hamrick and Gallant, 2017. Includes transactions in voluntary carbon markets only.</w:t>
            </w:r>
          </w:p>
        </w:tc>
        <w:tc>
          <w:tcPr>
            <w:tcW w:w="0" w:type="auto"/>
            <w:tcBorders>
              <w:top w:val="nil"/>
              <w:left w:val="nil"/>
              <w:bottom w:val="single" w:sz="4" w:space="0" w:color="auto"/>
              <w:right w:val="single" w:sz="4" w:space="0" w:color="auto"/>
            </w:tcBorders>
            <w:shd w:val="clear" w:color="auto" w:fill="auto"/>
            <w:vAlign w:val="center"/>
            <w:hideMark/>
          </w:tcPr>
          <w:p w14:paraId="4CEDC454"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0.8-1.4 billion</w:t>
            </w:r>
          </w:p>
        </w:tc>
        <w:tc>
          <w:tcPr>
            <w:tcW w:w="0" w:type="auto"/>
            <w:tcBorders>
              <w:top w:val="nil"/>
              <w:left w:val="nil"/>
              <w:bottom w:val="single" w:sz="4" w:space="0" w:color="auto"/>
              <w:right w:val="single" w:sz="4" w:space="0" w:color="auto"/>
            </w:tcBorders>
            <w:shd w:val="clear" w:color="auto" w:fill="auto"/>
            <w:vAlign w:val="center"/>
            <w:hideMark/>
          </w:tcPr>
          <w:p w14:paraId="5891A600"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Same source as OECD, but combines public and private </w:t>
            </w:r>
            <w:proofErr w:type="gramStart"/>
            <w:r w:rsidRPr="00403E8C">
              <w:rPr>
                <w:rFonts w:ascii="Calibri" w:eastAsia="Times New Roman" w:hAnsi="Calibri" w:cs="Calibri"/>
                <w:color w:val="000000"/>
                <w:sz w:val="16"/>
                <w:szCs w:val="16"/>
              </w:rPr>
              <w:t>finance, and</w:t>
            </w:r>
            <w:proofErr w:type="gramEnd"/>
            <w:r w:rsidRPr="00403E8C">
              <w:rPr>
                <w:rFonts w:ascii="Calibri" w:eastAsia="Times New Roman" w:hAnsi="Calibri" w:cs="Calibri"/>
                <w:color w:val="000000"/>
                <w:sz w:val="16"/>
                <w:szCs w:val="16"/>
              </w:rPr>
              <w:t xml:space="preserve"> compliance and voluntary markets.  Also includes additional REDD+ initiatives as reported by the GCF.</w:t>
            </w:r>
          </w:p>
        </w:tc>
        <w:tc>
          <w:tcPr>
            <w:tcW w:w="0" w:type="auto"/>
            <w:tcBorders>
              <w:top w:val="nil"/>
              <w:left w:val="nil"/>
              <w:bottom w:val="single" w:sz="4" w:space="0" w:color="auto"/>
              <w:right w:val="single" w:sz="4" w:space="0" w:color="auto"/>
            </w:tcBorders>
            <w:shd w:val="clear" w:color="auto" w:fill="auto"/>
            <w:vAlign w:val="center"/>
            <w:hideMark/>
          </w:tcPr>
          <w:p w14:paraId="669A45E2"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1.5 billion</w:t>
            </w:r>
          </w:p>
        </w:tc>
        <w:tc>
          <w:tcPr>
            <w:tcW w:w="0" w:type="auto"/>
            <w:tcBorders>
              <w:top w:val="nil"/>
              <w:left w:val="nil"/>
              <w:bottom w:val="single" w:sz="4" w:space="0" w:color="auto"/>
              <w:right w:val="single" w:sz="4" w:space="0" w:color="auto"/>
            </w:tcBorders>
            <w:shd w:val="clear" w:color="auto" w:fill="auto"/>
            <w:vAlign w:val="center"/>
            <w:hideMark/>
          </w:tcPr>
          <w:p w14:paraId="4777E0EB"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Same as </w:t>
            </w:r>
            <w:proofErr w:type="gramStart"/>
            <w:r w:rsidRPr="00403E8C">
              <w:rPr>
                <w:rFonts w:ascii="Calibri" w:eastAsia="Times New Roman" w:hAnsi="Calibri" w:cs="Calibri"/>
                <w:color w:val="000000"/>
                <w:sz w:val="16"/>
                <w:szCs w:val="16"/>
              </w:rPr>
              <w:t>OECD, but</w:t>
            </w:r>
            <w:proofErr w:type="gramEnd"/>
            <w:r w:rsidRPr="00403E8C">
              <w:rPr>
                <w:rFonts w:ascii="Calibri" w:eastAsia="Times New Roman" w:hAnsi="Calibri" w:cs="Calibri"/>
                <w:color w:val="000000"/>
                <w:sz w:val="16"/>
                <w:szCs w:val="16"/>
              </w:rPr>
              <w:t xml:space="preserve"> includes investments in REDD programmes in addition to voluntary carbon markets.</w:t>
            </w:r>
          </w:p>
        </w:tc>
      </w:tr>
      <w:tr w:rsidR="008137E3" w:rsidRPr="00403E8C" w14:paraId="05C5227D" w14:textId="77777777" w:rsidTr="001D0F74">
        <w:trPr>
          <w:trHeight w:val="971"/>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5B0E9C1B"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Private Finance Mobilized by DAC, GEF, GCF</w:t>
            </w:r>
          </w:p>
        </w:tc>
        <w:tc>
          <w:tcPr>
            <w:tcW w:w="1383" w:type="dxa"/>
            <w:tcBorders>
              <w:top w:val="nil"/>
              <w:left w:val="nil"/>
              <w:bottom w:val="single" w:sz="4" w:space="0" w:color="auto"/>
              <w:right w:val="single" w:sz="4" w:space="0" w:color="auto"/>
            </w:tcBorders>
            <w:shd w:val="clear" w:color="auto" w:fill="auto"/>
            <w:vAlign w:val="center"/>
            <w:hideMark/>
          </w:tcPr>
          <w:p w14:paraId="5A87B131"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0.241-0.665 billion (2018 for DAC, average annual 2015-2017 for GEF)</w:t>
            </w:r>
          </w:p>
        </w:tc>
        <w:tc>
          <w:tcPr>
            <w:tcW w:w="2575" w:type="dxa"/>
            <w:tcBorders>
              <w:top w:val="nil"/>
              <w:left w:val="nil"/>
              <w:bottom w:val="single" w:sz="4" w:space="0" w:color="auto"/>
              <w:right w:val="single" w:sz="4" w:space="0" w:color="auto"/>
            </w:tcBorders>
            <w:shd w:val="clear" w:color="auto" w:fill="auto"/>
            <w:vAlign w:val="center"/>
            <w:hideMark/>
          </w:tcPr>
          <w:p w14:paraId="22A58888"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OECD Creditor Reporting System for DAC, GEF Portal for GEF</w:t>
            </w:r>
          </w:p>
        </w:tc>
        <w:tc>
          <w:tcPr>
            <w:tcW w:w="0" w:type="auto"/>
            <w:tcBorders>
              <w:top w:val="nil"/>
              <w:left w:val="nil"/>
              <w:bottom w:val="single" w:sz="4" w:space="0" w:color="auto"/>
              <w:right w:val="single" w:sz="4" w:space="0" w:color="auto"/>
            </w:tcBorders>
            <w:shd w:val="clear" w:color="auto" w:fill="auto"/>
            <w:vAlign w:val="center"/>
            <w:hideMark/>
          </w:tcPr>
          <w:p w14:paraId="43739A2E"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0.241-0.665 billion</w:t>
            </w:r>
          </w:p>
        </w:tc>
        <w:tc>
          <w:tcPr>
            <w:tcW w:w="0" w:type="auto"/>
            <w:tcBorders>
              <w:top w:val="nil"/>
              <w:left w:val="nil"/>
              <w:bottom w:val="single" w:sz="4" w:space="0" w:color="auto"/>
              <w:right w:val="single" w:sz="4" w:space="0" w:color="auto"/>
            </w:tcBorders>
            <w:shd w:val="clear" w:color="auto" w:fill="auto"/>
            <w:vAlign w:val="center"/>
            <w:hideMark/>
          </w:tcPr>
          <w:p w14:paraId="44EEA935"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w:t>
            </w:r>
          </w:p>
        </w:tc>
        <w:tc>
          <w:tcPr>
            <w:tcW w:w="0" w:type="auto"/>
            <w:tcBorders>
              <w:top w:val="nil"/>
              <w:left w:val="nil"/>
              <w:bottom w:val="single" w:sz="4" w:space="0" w:color="auto"/>
              <w:right w:val="single" w:sz="4" w:space="0" w:color="auto"/>
            </w:tcBorders>
            <w:shd w:val="clear" w:color="auto" w:fill="auto"/>
            <w:vAlign w:val="center"/>
            <w:hideMark/>
          </w:tcPr>
          <w:p w14:paraId="12DE2F92"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0.7 billion</w:t>
            </w:r>
          </w:p>
        </w:tc>
        <w:tc>
          <w:tcPr>
            <w:tcW w:w="0" w:type="auto"/>
            <w:tcBorders>
              <w:top w:val="nil"/>
              <w:left w:val="nil"/>
              <w:bottom w:val="single" w:sz="4" w:space="0" w:color="auto"/>
              <w:right w:val="single" w:sz="4" w:space="0" w:color="auto"/>
            </w:tcBorders>
            <w:shd w:val="clear" w:color="auto" w:fill="auto"/>
            <w:noWrap/>
            <w:vAlign w:val="center"/>
            <w:hideMark/>
          </w:tcPr>
          <w:p w14:paraId="70D3BB4B"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Same as OECD.</w:t>
            </w:r>
          </w:p>
        </w:tc>
      </w:tr>
      <w:tr w:rsidR="008137E3" w:rsidRPr="00403E8C" w14:paraId="4C303D4C" w14:textId="77777777" w:rsidTr="00A45473">
        <w:trPr>
          <w:trHeight w:val="800"/>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76C8BACC"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Payments for Ecosystem Services</w:t>
            </w:r>
          </w:p>
        </w:tc>
        <w:tc>
          <w:tcPr>
            <w:tcW w:w="1383" w:type="dxa"/>
            <w:tcBorders>
              <w:top w:val="nil"/>
              <w:left w:val="nil"/>
              <w:bottom w:val="single" w:sz="4" w:space="0" w:color="auto"/>
              <w:right w:val="single" w:sz="4" w:space="0" w:color="auto"/>
            </w:tcBorders>
            <w:shd w:val="clear" w:color="auto" w:fill="auto"/>
            <w:vAlign w:val="center"/>
            <w:hideMark/>
          </w:tcPr>
          <w:p w14:paraId="0DB31674"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.015 billion (2016)</w:t>
            </w:r>
          </w:p>
        </w:tc>
        <w:tc>
          <w:tcPr>
            <w:tcW w:w="2575" w:type="dxa"/>
            <w:tcBorders>
              <w:top w:val="nil"/>
              <w:left w:val="nil"/>
              <w:bottom w:val="single" w:sz="4" w:space="0" w:color="auto"/>
              <w:right w:val="single" w:sz="4" w:space="0" w:color="auto"/>
            </w:tcBorders>
            <w:shd w:val="clear" w:color="auto" w:fill="auto"/>
            <w:vAlign w:val="center"/>
            <w:hideMark/>
          </w:tcPr>
          <w:p w14:paraId="2A711AD0" w14:textId="03A47336"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Estimate from study (Bennett and Ruef, 2016)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1E59A8"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27 billion (</w:t>
            </w:r>
            <w:proofErr w:type="gramStart"/>
            <w:r w:rsidRPr="00403E8C">
              <w:rPr>
                <w:rFonts w:ascii="Calibri" w:eastAsia="Times New Roman" w:hAnsi="Calibri" w:cs="Calibri"/>
                <w:color w:val="000000"/>
                <w:sz w:val="16"/>
                <w:szCs w:val="16"/>
              </w:rPr>
              <w:t>includes</w:t>
            </w:r>
            <w:proofErr w:type="gramEnd"/>
            <w:r w:rsidRPr="00403E8C">
              <w:rPr>
                <w:rFonts w:ascii="Calibri" w:eastAsia="Times New Roman" w:hAnsi="Calibri" w:cs="Calibri"/>
                <w:color w:val="000000"/>
                <w:sz w:val="16"/>
                <w:szCs w:val="16"/>
              </w:rPr>
              <w:t xml:space="preserve"> public funds)</w:t>
            </w:r>
          </w:p>
        </w:tc>
        <w:tc>
          <w:tcPr>
            <w:tcW w:w="0" w:type="auto"/>
            <w:tcBorders>
              <w:top w:val="nil"/>
              <w:left w:val="nil"/>
              <w:bottom w:val="single" w:sz="4" w:space="0" w:color="auto"/>
              <w:right w:val="single" w:sz="4" w:space="0" w:color="auto"/>
            </w:tcBorders>
            <w:shd w:val="clear" w:color="auto" w:fill="auto"/>
            <w:vAlign w:val="center"/>
            <w:hideMark/>
          </w:tcPr>
          <w:p w14:paraId="37624F6F" w14:textId="03D34ABD"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Same as </w:t>
            </w:r>
            <w:r w:rsidR="00F15E42" w:rsidRPr="00403E8C">
              <w:rPr>
                <w:rFonts w:ascii="Calibri" w:eastAsia="Times New Roman" w:hAnsi="Calibri" w:cs="Calibri"/>
                <w:color w:val="000000"/>
                <w:sz w:val="16"/>
                <w:szCs w:val="16"/>
              </w:rPr>
              <w:t>OECD but</w:t>
            </w:r>
            <w:r w:rsidRPr="00403E8C">
              <w:rPr>
                <w:rFonts w:ascii="Calibri" w:eastAsia="Times New Roman" w:hAnsi="Calibri" w:cs="Calibri"/>
                <w:color w:val="000000"/>
                <w:sz w:val="16"/>
                <w:szCs w:val="16"/>
              </w:rPr>
              <w:t xml:space="preserve"> combines public and private financial flows.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18E2127"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3.5 billion (</w:t>
            </w:r>
            <w:proofErr w:type="gramStart"/>
            <w:r w:rsidRPr="00403E8C">
              <w:rPr>
                <w:rFonts w:ascii="Calibri" w:eastAsia="Times New Roman" w:hAnsi="Calibri" w:cs="Calibri"/>
                <w:color w:val="000000"/>
                <w:sz w:val="16"/>
                <w:szCs w:val="16"/>
              </w:rPr>
              <w:t>includes</w:t>
            </w:r>
            <w:proofErr w:type="gramEnd"/>
            <w:r w:rsidRPr="00403E8C">
              <w:rPr>
                <w:rFonts w:ascii="Calibri" w:eastAsia="Times New Roman" w:hAnsi="Calibri" w:cs="Calibri"/>
                <w:color w:val="000000"/>
                <w:sz w:val="16"/>
                <w:szCs w:val="16"/>
              </w:rPr>
              <w:t xml:space="preserve"> both PES and WQT)</w:t>
            </w:r>
          </w:p>
        </w:tc>
        <w:tc>
          <w:tcPr>
            <w:tcW w:w="0" w:type="auto"/>
            <w:tcBorders>
              <w:top w:val="nil"/>
              <w:left w:val="nil"/>
              <w:bottom w:val="single" w:sz="4" w:space="0" w:color="auto"/>
              <w:right w:val="single" w:sz="4" w:space="0" w:color="auto"/>
            </w:tcBorders>
            <w:shd w:val="clear" w:color="auto" w:fill="auto"/>
            <w:noWrap/>
            <w:vAlign w:val="center"/>
            <w:hideMark/>
          </w:tcPr>
          <w:p w14:paraId="41DBF724" w14:textId="47A39C27" w:rsidR="00A45473" w:rsidRDefault="00A45473" w:rsidP="00403E8C">
            <w:pPr>
              <w:rPr>
                <w:rFonts w:ascii="Calibri" w:eastAsia="Times New Roman" w:hAnsi="Calibri" w:cs="Calibri"/>
                <w:color w:val="000000"/>
                <w:sz w:val="16"/>
                <w:szCs w:val="16"/>
              </w:rPr>
            </w:pPr>
            <w:r>
              <w:rPr>
                <w:rFonts w:ascii="Calibri" w:eastAsia="Times New Roman" w:hAnsi="Calibri" w:cs="Calibri"/>
                <w:color w:val="000000"/>
                <w:sz w:val="16"/>
                <w:szCs w:val="16"/>
              </w:rPr>
              <w:t xml:space="preserve">Based on OECD PINE database, downscaled for </w:t>
            </w:r>
          </w:p>
          <w:p w14:paraId="6111BC49" w14:textId="77777777" w:rsidR="00F15E42" w:rsidRDefault="00A45473" w:rsidP="00403E8C">
            <w:pPr>
              <w:rPr>
                <w:rFonts w:ascii="Calibri" w:eastAsia="Times New Roman" w:hAnsi="Calibri" w:cs="Calibri"/>
                <w:color w:val="000000"/>
                <w:sz w:val="16"/>
                <w:szCs w:val="16"/>
              </w:rPr>
            </w:pPr>
            <w:r>
              <w:rPr>
                <w:rFonts w:ascii="Calibri" w:eastAsia="Times New Roman" w:hAnsi="Calibri" w:cs="Calibri"/>
                <w:color w:val="000000"/>
                <w:sz w:val="16"/>
                <w:szCs w:val="16"/>
              </w:rPr>
              <w:t xml:space="preserve">private investments only based on </w:t>
            </w:r>
            <w:r w:rsidR="00F15E42">
              <w:rPr>
                <w:rFonts w:ascii="Calibri" w:eastAsia="Times New Roman" w:hAnsi="Calibri" w:cs="Calibri"/>
                <w:color w:val="000000"/>
                <w:sz w:val="16"/>
                <w:szCs w:val="16"/>
              </w:rPr>
              <w:t xml:space="preserve">estimates from </w:t>
            </w:r>
          </w:p>
          <w:p w14:paraId="4F541EF6" w14:textId="3E9479CE" w:rsidR="00403E8C" w:rsidRDefault="00A45473" w:rsidP="00403E8C">
            <w:pPr>
              <w:rPr>
                <w:rFonts w:ascii="Calibri" w:eastAsia="Times New Roman" w:hAnsi="Calibri" w:cs="Calibri"/>
                <w:color w:val="000000"/>
                <w:sz w:val="16"/>
                <w:szCs w:val="16"/>
              </w:rPr>
            </w:pPr>
            <w:r>
              <w:rPr>
                <w:rFonts w:ascii="Calibri" w:eastAsia="Times New Roman" w:hAnsi="Calibri" w:cs="Calibri"/>
                <w:color w:val="000000"/>
                <w:sz w:val="16"/>
                <w:szCs w:val="16"/>
              </w:rPr>
              <w:t>Salzman et al.</w:t>
            </w:r>
          </w:p>
          <w:p w14:paraId="549AA81D" w14:textId="733B2805" w:rsidR="00A45473" w:rsidRPr="00403E8C" w:rsidRDefault="00A45473" w:rsidP="00403E8C">
            <w:pPr>
              <w:rPr>
                <w:rFonts w:ascii="Calibri" w:eastAsia="Times New Roman" w:hAnsi="Calibri" w:cs="Calibri"/>
                <w:color w:val="000000"/>
                <w:sz w:val="16"/>
                <w:szCs w:val="16"/>
              </w:rPr>
            </w:pPr>
            <w:r>
              <w:rPr>
                <w:rFonts w:ascii="Calibri" w:eastAsia="Times New Roman" w:hAnsi="Calibri" w:cs="Calibri"/>
                <w:color w:val="000000"/>
                <w:sz w:val="16"/>
                <w:szCs w:val="16"/>
              </w:rPr>
              <w:t>(2018).</w:t>
            </w:r>
          </w:p>
        </w:tc>
      </w:tr>
      <w:tr w:rsidR="008137E3" w:rsidRPr="00403E8C" w14:paraId="31C85449" w14:textId="77777777" w:rsidTr="001D0F74">
        <w:trPr>
          <w:trHeight w:val="1151"/>
        </w:trPr>
        <w:tc>
          <w:tcPr>
            <w:tcW w:w="1563" w:type="dxa"/>
            <w:tcBorders>
              <w:top w:val="nil"/>
              <w:left w:val="single" w:sz="4" w:space="0" w:color="auto"/>
              <w:bottom w:val="single" w:sz="4" w:space="0" w:color="auto"/>
              <w:right w:val="single" w:sz="4" w:space="0" w:color="auto"/>
            </w:tcBorders>
            <w:shd w:val="clear" w:color="auto" w:fill="auto"/>
            <w:vAlign w:val="center"/>
            <w:hideMark/>
          </w:tcPr>
          <w:p w14:paraId="71AC6180"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Water quality trading and offsets</w:t>
            </w:r>
          </w:p>
        </w:tc>
        <w:tc>
          <w:tcPr>
            <w:tcW w:w="1383" w:type="dxa"/>
            <w:tcBorders>
              <w:top w:val="nil"/>
              <w:left w:val="nil"/>
              <w:bottom w:val="single" w:sz="4" w:space="0" w:color="auto"/>
              <w:right w:val="single" w:sz="4" w:space="0" w:color="auto"/>
            </w:tcBorders>
            <w:shd w:val="clear" w:color="auto" w:fill="auto"/>
            <w:vAlign w:val="center"/>
            <w:hideMark/>
          </w:tcPr>
          <w:p w14:paraId="7D2563FB"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.032 billion (2016)</w:t>
            </w:r>
          </w:p>
        </w:tc>
        <w:tc>
          <w:tcPr>
            <w:tcW w:w="2575" w:type="dxa"/>
            <w:tcBorders>
              <w:top w:val="nil"/>
              <w:left w:val="nil"/>
              <w:bottom w:val="single" w:sz="4" w:space="0" w:color="auto"/>
              <w:right w:val="single" w:sz="4" w:space="0" w:color="auto"/>
            </w:tcBorders>
            <w:shd w:val="clear" w:color="auto" w:fill="auto"/>
            <w:vAlign w:val="center"/>
            <w:hideMark/>
          </w:tcPr>
          <w:p w14:paraId="1E799763"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Estimate from study (Bennett and Ruef, 2016)</w:t>
            </w:r>
          </w:p>
        </w:tc>
        <w:tc>
          <w:tcPr>
            <w:tcW w:w="0" w:type="auto"/>
            <w:vMerge/>
            <w:tcBorders>
              <w:top w:val="nil"/>
              <w:left w:val="single" w:sz="4" w:space="0" w:color="auto"/>
              <w:bottom w:val="single" w:sz="4" w:space="0" w:color="auto"/>
              <w:right w:val="single" w:sz="4" w:space="0" w:color="auto"/>
            </w:tcBorders>
            <w:vAlign w:val="center"/>
            <w:hideMark/>
          </w:tcPr>
          <w:p w14:paraId="39B1668A" w14:textId="77777777" w:rsidR="00403E8C" w:rsidRPr="00403E8C" w:rsidRDefault="00403E8C" w:rsidP="00403E8C">
            <w:pPr>
              <w:rPr>
                <w:rFonts w:ascii="Calibri" w:eastAsia="Times New Roman" w:hAnsi="Calibri" w:cs="Calibri"/>
                <w:color w:val="000000"/>
                <w:sz w:val="16"/>
                <w:szCs w:val="16"/>
              </w:rPr>
            </w:pPr>
          </w:p>
        </w:tc>
        <w:tc>
          <w:tcPr>
            <w:tcW w:w="0" w:type="auto"/>
            <w:tcBorders>
              <w:top w:val="nil"/>
              <w:left w:val="nil"/>
              <w:bottom w:val="single" w:sz="4" w:space="0" w:color="auto"/>
              <w:right w:val="single" w:sz="4" w:space="0" w:color="auto"/>
            </w:tcBorders>
            <w:shd w:val="clear" w:color="auto" w:fill="auto"/>
            <w:vAlign w:val="center"/>
            <w:hideMark/>
          </w:tcPr>
          <w:p w14:paraId="65B79119"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Likely included in broader 'natural infrastructure' figures, which do not disaggregate public from private investment.</w:t>
            </w:r>
          </w:p>
        </w:tc>
        <w:tc>
          <w:tcPr>
            <w:tcW w:w="0" w:type="auto"/>
            <w:vMerge/>
            <w:tcBorders>
              <w:top w:val="nil"/>
              <w:left w:val="single" w:sz="4" w:space="0" w:color="auto"/>
              <w:bottom w:val="single" w:sz="4" w:space="0" w:color="auto"/>
              <w:right w:val="single" w:sz="4" w:space="0" w:color="auto"/>
            </w:tcBorders>
            <w:vAlign w:val="center"/>
            <w:hideMark/>
          </w:tcPr>
          <w:p w14:paraId="4E466B89" w14:textId="77777777" w:rsidR="00403E8C" w:rsidRPr="00403E8C" w:rsidRDefault="00403E8C" w:rsidP="00403E8C">
            <w:pPr>
              <w:rPr>
                <w:rFonts w:ascii="Calibri" w:eastAsia="Times New Roman" w:hAnsi="Calibri" w:cs="Calibri"/>
                <w:color w:val="000000"/>
                <w:sz w:val="16"/>
                <w:szCs w:val="16"/>
              </w:rPr>
            </w:pPr>
          </w:p>
        </w:tc>
        <w:tc>
          <w:tcPr>
            <w:tcW w:w="0" w:type="auto"/>
            <w:tcBorders>
              <w:top w:val="nil"/>
              <w:left w:val="nil"/>
              <w:bottom w:val="single" w:sz="4" w:space="0" w:color="auto"/>
              <w:right w:val="single" w:sz="4" w:space="0" w:color="auto"/>
            </w:tcBorders>
            <w:shd w:val="clear" w:color="auto" w:fill="auto"/>
            <w:vAlign w:val="center"/>
            <w:hideMark/>
          </w:tcPr>
          <w:p w14:paraId="7E983F7B" w14:textId="366BF1D8" w:rsidR="00403E8C" w:rsidRPr="00403E8C" w:rsidRDefault="00A45473" w:rsidP="00403E8C">
            <w:pPr>
              <w:rPr>
                <w:rFonts w:ascii="Calibri" w:eastAsia="Times New Roman" w:hAnsi="Calibri" w:cs="Calibri"/>
                <w:color w:val="000000"/>
                <w:sz w:val="16"/>
                <w:szCs w:val="16"/>
              </w:rPr>
            </w:pPr>
            <w:r>
              <w:rPr>
                <w:rFonts w:ascii="Calibri" w:eastAsia="Times New Roman" w:hAnsi="Calibri" w:cs="Calibri"/>
                <w:color w:val="000000"/>
                <w:sz w:val="16"/>
                <w:szCs w:val="16"/>
              </w:rPr>
              <w:t>Included in PES estimate.</w:t>
            </w:r>
          </w:p>
        </w:tc>
      </w:tr>
      <w:tr w:rsidR="008137E3" w:rsidRPr="00042ECA" w14:paraId="6B715FAA" w14:textId="77777777" w:rsidTr="00403E8C">
        <w:trPr>
          <w:trHeight w:val="504"/>
        </w:trPr>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6D563F12" w14:textId="77777777" w:rsidR="00403E8C" w:rsidRPr="00403E8C" w:rsidRDefault="00403E8C" w:rsidP="00403E8C">
            <w:pP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Farmer investments in conservation agriculture</w:t>
            </w:r>
          </w:p>
        </w:tc>
        <w:tc>
          <w:tcPr>
            <w:tcW w:w="3958"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BE8B7A"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Not estimated.</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48F99D90"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Not estimated</w:t>
            </w:r>
          </w:p>
        </w:tc>
        <w:tc>
          <w:tcPr>
            <w:tcW w:w="0" w:type="auto"/>
            <w:tcBorders>
              <w:top w:val="nil"/>
              <w:left w:val="nil"/>
              <w:bottom w:val="single" w:sz="4" w:space="0" w:color="auto"/>
              <w:right w:val="single" w:sz="4" w:space="0" w:color="auto"/>
            </w:tcBorders>
            <w:shd w:val="clear" w:color="auto" w:fill="auto"/>
            <w:noWrap/>
            <w:vAlign w:val="center"/>
            <w:hideMark/>
          </w:tcPr>
          <w:p w14:paraId="2B1E79C7" w14:textId="77777777" w:rsidR="00403E8C" w:rsidRPr="00403E8C" w:rsidRDefault="00403E8C" w:rsidP="00403E8C">
            <w:pPr>
              <w:jc w:val="center"/>
              <w:rPr>
                <w:rFonts w:ascii="Calibri" w:eastAsia="Times New Roman" w:hAnsi="Calibri" w:cs="Calibri"/>
                <w:color w:val="000000"/>
                <w:sz w:val="16"/>
                <w:szCs w:val="16"/>
              </w:rPr>
            </w:pPr>
            <w:r w:rsidRPr="00403E8C">
              <w:rPr>
                <w:rFonts w:ascii="Calibri" w:eastAsia="Times New Roman" w:hAnsi="Calibri" w:cs="Calibri"/>
                <w:color w:val="000000"/>
                <w:sz w:val="16"/>
                <w:szCs w:val="16"/>
              </w:rPr>
              <w:t>1.5 billion</w:t>
            </w:r>
          </w:p>
        </w:tc>
        <w:tc>
          <w:tcPr>
            <w:tcW w:w="0" w:type="auto"/>
            <w:tcBorders>
              <w:top w:val="nil"/>
              <w:left w:val="nil"/>
              <w:bottom w:val="single" w:sz="4" w:space="0" w:color="auto"/>
              <w:right w:val="single" w:sz="4" w:space="0" w:color="auto"/>
            </w:tcBorders>
            <w:shd w:val="clear" w:color="auto" w:fill="auto"/>
            <w:vAlign w:val="center"/>
            <w:hideMark/>
          </w:tcPr>
          <w:p w14:paraId="4B328050" w14:textId="77777777" w:rsidR="00403E8C" w:rsidRPr="007F5172" w:rsidRDefault="00403E8C" w:rsidP="00403E8C">
            <w:pPr>
              <w:rPr>
                <w:rFonts w:ascii="Calibri" w:eastAsia="Times New Roman" w:hAnsi="Calibri" w:cs="Calibri"/>
                <w:color w:val="000000"/>
                <w:sz w:val="16"/>
                <w:szCs w:val="16"/>
                <w:lang w:val="fr-FR"/>
              </w:rPr>
            </w:pPr>
            <w:proofErr w:type="spellStart"/>
            <w:r w:rsidRPr="007F5172">
              <w:rPr>
                <w:rFonts w:ascii="Calibri" w:eastAsia="Times New Roman" w:hAnsi="Calibri" w:cs="Calibri"/>
                <w:color w:val="000000"/>
                <w:sz w:val="16"/>
                <w:szCs w:val="16"/>
                <w:lang w:val="fr-FR"/>
              </w:rPr>
              <w:t>Kassam</w:t>
            </w:r>
            <w:proofErr w:type="spellEnd"/>
            <w:r w:rsidRPr="007F5172">
              <w:rPr>
                <w:rFonts w:ascii="Calibri" w:eastAsia="Times New Roman" w:hAnsi="Calibri" w:cs="Calibri"/>
                <w:color w:val="000000"/>
                <w:sz w:val="16"/>
                <w:szCs w:val="16"/>
                <w:lang w:val="fr-FR"/>
              </w:rPr>
              <w:t xml:space="preserve"> et al. 2019, </w:t>
            </w:r>
            <w:proofErr w:type="spellStart"/>
            <w:r w:rsidRPr="007F5172">
              <w:rPr>
                <w:rFonts w:ascii="Calibri" w:eastAsia="Times New Roman" w:hAnsi="Calibri" w:cs="Calibri"/>
                <w:color w:val="000000"/>
                <w:sz w:val="16"/>
                <w:szCs w:val="16"/>
                <w:lang w:val="fr-FR"/>
              </w:rPr>
              <w:t>Elwin</w:t>
            </w:r>
            <w:proofErr w:type="spellEnd"/>
            <w:r w:rsidRPr="007F5172">
              <w:rPr>
                <w:rFonts w:ascii="Calibri" w:eastAsia="Times New Roman" w:hAnsi="Calibri" w:cs="Calibri"/>
                <w:color w:val="000000"/>
                <w:sz w:val="16"/>
                <w:szCs w:val="16"/>
                <w:lang w:val="fr-FR"/>
              </w:rPr>
              <w:t xml:space="preserve"> et al. 2023</w:t>
            </w:r>
          </w:p>
        </w:tc>
      </w:tr>
      <w:tr w:rsidR="008137E3" w:rsidRPr="00403E8C" w14:paraId="104B8D6B" w14:textId="77777777" w:rsidTr="00403E8C">
        <w:trPr>
          <w:trHeight w:val="444"/>
        </w:trPr>
        <w:tc>
          <w:tcPr>
            <w:tcW w:w="1563" w:type="dxa"/>
            <w:tcBorders>
              <w:top w:val="nil"/>
              <w:left w:val="nil"/>
              <w:bottom w:val="nil"/>
              <w:right w:val="nil"/>
            </w:tcBorders>
            <w:shd w:val="clear" w:color="auto" w:fill="auto"/>
            <w:noWrap/>
            <w:vAlign w:val="center"/>
            <w:hideMark/>
          </w:tcPr>
          <w:p w14:paraId="776FFE75" w14:textId="78CAA77A" w:rsidR="00403E8C" w:rsidRPr="006F6C6E" w:rsidRDefault="006F6C6E" w:rsidP="006F6C6E">
            <w:pPr>
              <w:jc w:val="right"/>
              <w:rPr>
                <w:rFonts w:ascii="Calibri" w:eastAsia="Times New Roman" w:hAnsi="Calibri" w:cs="Calibri"/>
                <w:b/>
                <w:bCs/>
                <w:color w:val="000000"/>
                <w:sz w:val="16"/>
                <w:szCs w:val="16"/>
              </w:rPr>
            </w:pPr>
            <w:r w:rsidRPr="006F6C6E">
              <w:rPr>
                <w:rFonts w:ascii="Calibri" w:eastAsia="Times New Roman" w:hAnsi="Calibri" w:cs="Calibri"/>
                <w:b/>
                <w:bCs/>
                <w:color w:val="000000"/>
                <w:sz w:val="16"/>
                <w:szCs w:val="16"/>
              </w:rPr>
              <w:lastRenderedPageBreak/>
              <w:t>TOTAL</w:t>
            </w:r>
          </w:p>
        </w:tc>
        <w:tc>
          <w:tcPr>
            <w:tcW w:w="1383" w:type="dxa"/>
            <w:tcBorders>
              <w:top w:val="nil"/>
              <w:left w:val="nil"/>
              <w:bottom w:val="nil"/>
              <w:right w:val="nil"/>
            </w:tcBorders>
            <w:shd w:val="clear" w:color="auto" w:fill="auto"/>
            <w:noWrap/>
            <w:vAlign w:val="center"/>
            <w:hideMark/>
          </w:tcPr>
          <w:p w14:paraId="1E81B888"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USD 6.6-13.6 billion</w:t>
            </w:r>
          </w:p>
        </w:tc>
        <w:tc>
          <w:tcPr>
            <w:tcW w:w="2575" w:type="dxa"/>
            <w:tcBorders>
              <w:top w:val="nil"/>
              <w:left w:val="nil"/>
              <w:bottom w:val="nil"/>
              <w:right w:val="nil"/>
            </w:tcBorders>
            <w:shd w:val="clear" w:color="auto" w:fill="auto"/>
            <w:vAlign w:val="center"/>
            <w:hideMark/>
          </w:tcPr>
          <w:p w14:paraId="7190EDC7" w14:textId="77777777" w:rsidR="00403E8C" w:rsidRPr="00403E8C" w:rsidRDefault="00403E8C" w:rsidP="00403E8C">
            <w:pPr>
              <w:jc w:val="center"/>
              <w:rPr>
                <w:rFonts w:ascii="Calibri" w:eastAsia="Times New Roman" w:hAnsi="Calibri" w:cs="Calibri"/>
                <w:b/>
                <w:bCs/>
                <w:color w:val="000000"/>
                <w:sz w:val="16"/>
                <w:szCs w:val="16"/>
              </w:rPr>
            </w:pPr>
          </w:p>
        </w:tc>
        <w:tc>
          <w:tcPr>
            <w:tcW w:w="0" w:type="auto"/>
            <w:gridSpan w:val="2"/>
            <w:tcBorders>
              <w:top w:val="nil"/>
              <w:left w:val="nil"/>
              <w:bottom w:val="nil"/>
              <w:right w:val="nil"/>
            </w:tcBorders>
            <w:shd w:val="clear" w:color="auto" w:fill="auto"/>
            <w:noWrap/>
            <w:vAlign w:val="center"/>
            <w:hideMark/>
          </w:tcPr>
          <w:p w14:paraId="5FFEEA38" w14:textId="77777777" w:rsidR="00403E8C" w:rsidRPr="00403E8C" w:rsidRDefault="00403E8C" w:rsidP="00403E8C">
            <w:pPr>
              <w:rPr>
                <w:rFonts w:ascii="Calibri" w:eastAsia="Times New Roman" w:hAnsi="Calibri" w:cs="Calibri"/>
                <w:color w:val="000000"/>
                <w:sz w:val="16"/>
                <w:szCs w:val="16"/>
              </w:rPr>
            </w:pPr>
            <w:r w:rsidRPr="00403E8C">
              <w:rPr>
                <w:rFonts w:ascii="Calibri" w:eastAsia="Times New Roman" w:hAnsi="Calibri" w:cs="Calibri"/>
                <w:color w:val="000000"/>
                <w:sz w:val="16"/>
                <w:szCs w:val="16"/>
              </w:rPr>
              <w:t xml:space="preserve">Not estimated due to </w:t>
            </w:r>
            <w:proofErr w:type="gramStart"/>
            <w:r w:rsidRPr="00403E8C">
              <w:rPr>
                <w:rFonts w:ascii="Calibri" w:eastAsia="Times New Roman" w:hAnsi="Calibri" w:cs="Calibri"/>
                <w:color w:val="000000"/>
                <w:sz w:val="16"/>
                <w:szCs w:val="16"/>
              </w:rPr>
              <w:t>risk</w:t>
            </w:r>
            <w:proofErr w:type="gramEnd"/>
            <w:r w:rsidRPr="00403E8C">
              <w:rPr>
                <w:rFonts w:ascii="Calibri" w:eastAsia="Times New Roman" w:hAnsi="Calibri" w:cs="Calibri"/>
                <w:color w:val="000000"/>
                <w:sz w:val="16"/>
                <w:szCs w:val="16"/>
              </w:rPr>
              <w:t xml:space="preserve"> of double counting.</w:t>
            </w:r>
          </w:p>
        </w:tc>
        <w:tc>
          <w:tcPr>
            <w:tcW w:w="0" w:type="auto"/>
            <w:tcBorders>
              <w:top w:val="nil"/>
              <w:left w:val="nil"/>
              <w:bottom w:val="nil"/>
              <w:right w:val="nil"/>
            </w:tcBorders>
            <w:shd w:val="clear" w:color="auto" w:fill="auto"/>
            <w:noWrap/>
            <w:vAlign w:val="center"/>
            <w:hideMark/>
          </w:tcPr>
          <w:p w14:paraId="516C5B28" w14:textId="77777777" w:rsidR="00403E8C" w:rsidRPr="00403E8C" w:rsidRDefault="00403E8C" w:rsidP="00403E8C">
            <w:pPr>
              <w:jc w:val="center"/>
              <w:rPr>
                <w:rFonts w:ascii="Calibri" w:eastAsia="Times New Roman" w:hAnsi="Calibri" w:cs="Calibri"/>
                <w:b/>
                <w:bCs/>
                <w:color w:val="000000"/>
                <w:sz w:val="16"/>
                <w:szCs w:val="16"/>
              </w:rPr>
            </w:pPr>
            <w:r w:rsidRPr="00403E8C">
              <w:rPr>
                <w:rFonts w:ascii="Calibri" w:eastAsia="Times New Roman" w:hAnsi="Calibri" w:cs="Calibri"/>
                <w:b/>
                <w:bCs/>
                <w:color w:val="000000"/>
                <w:sz w:val="16"/>
                <w:szCs w:val="16"/>
              </w:rPr>
              <w:t xml:space="preserve">USD 35.3 billion </w:t>
            </w:r>
          </w:p>
        </w:tc>
        <w:tc>
          <w:tcPr>
            <w:tcW w:w="0" w:type="auto"/>
            <w:tcBorders>
              <w:top w:val="nil"/>
              <w:left w:val="nil"/>
              <w:bottom w:val="nil"/>
              <w:right w:val="nil"/>
            </w:tcBorders>
            <w:shd w:val="clear" w:color="auto" w:fill="auto"/>
            <w:noWrap/>
            <w:vAlign w:val="center"/>
            <w:hideMark/>
          </w:tcPr>
          <w:p w14:paraId="44F1EE30" w14:textId="77777777" w:rsidR="00403E8C" w:rsidRPr="00403E8C" w:rsidRDefault="00403E8C" w:rsidP="00403E8C">
            <w:pPr>
              <w:jc w:val="center"/>
              <w:rPr>
                <w:rFonts w:ascii="Calibri" w:eastAsia="Times New Roman" w:hAnsi="Calibri" w:cs="Calibri"/>
                <w:b/>
                <w:bCs/>
                <w:color w:val="000000"/>
                <w:sz w:val="16"/>
                <w:szCs w:val="16"/>
              </w:rPr>
            </w:pPr>
          </w:p>
        </w:tc>
      </w:tr>
    </w:tbl>
    <w:p w14:paraId="1DF91D25" w14:textId="77777777" w:rsidR="00104FC4" w:rsidRDefault="00104FC4" w:rsidP="00D816EA">
      <w:pPr>
        <w:jc w:val="both"/>
        <w:sectPr w:rsidR="00104FC4" w:rsidSect="00DD04B1">
          <w:pgSz w:w="15840" w:h="12240" w:orient="landscape"/>
          <w:pgMar w:top="1440" w:right="1440" w:bottom="1440" w:left="1440" w:header="720" w:footer="720" w:gutter="0"/>
          <w:cols w:space="720"/>
          <w:titlePg/>
          <w:docGrid w:linePitch="360"/>
        </w:sectPr>
      </w:pPr>
    </w:p>
    <w:p w14:paraId="351CBFFF" w14:textId="59CFEF87" w:rsidR="004D48AD" w:rsidRDefault="007B5F24" w:rsidP="00D816EA">
      <w:pPr>
        <w:pStyle w:val="Heading1"/>
        <w:jc w:val="both"/>
      </w:pPr>
      <w:bookmarkStart w:id="7" w:name="_Toc172018356"/>
      <w:r>
        <w:lastRenderedPageBreak/>
        <w:t xml:space="preserve">Section </w:t>
      </w:r>
      <w:r w:rsidR="00083F6F">
        <w:t>Seven</w:t>
      </w:r>
      <w:r w:rsidR="00BD4FC4">
        <w:t>:</w:t>
      </w:r>
      <w:r w:rsidR="00971B3F">
        <w:t xml:space="preserve"> </w:t>
      </w:r>
      <w:r w:rsidR="004D48AD">
        <w:t>Assessment Criteria</w:t>
      </w:r>
      <w:r w:rsidR="00971B3F">
        <w:t xml:space="preserve"> </w:t>
      </w:r>
      <w:r w:rsidR="00C70B0E">
        <w:t xml:space="preserve">for Existing </w:t>
      </w:r>
      <w:r w:rsidR="009D4595">
        <w:t>Measurement Approaches</w:t>
      </w:r>
      <w:bookmarkEnd w:id="7"/>
    </w:p>
    <w:p w14:paraId="10D1596E" w14:textId="77777777" w:rsidR="00124384" w:rsidRDefault="00124384" w:rsidP="00D816EA">
      <w:pPr>
        <w:jc w:val="both"/>
      </w:pPr>
    </w:p>
    <w:p w14:paraId="1E692CA5" w14:textId="3A55F372" w:rsidR="00F156EA" w:rsidRDefault="00050B23" w:rsidP="00D816EA">
      <w:pPr>
        <w:jc w:val="both"/>
        <w:rPr>
          <w:i/>
          <w:iCs/>
        </w:rPr>
      </w:pPr>
      <w:r>
        <w:t>The next section of this report assesses the measurement approaches used in three global</w:t>
      </w:r>
      <w:r w:rsidR="00F156EA">
        <w:t xml:space="preserve"> </w:t>
      </w:r>
      <w:r>
        <w:t>estimates</w:t>
      </w:r>
      <w:r w:rsidR="00CD6BFF">
        <w:t xml:space="preserve"> from select financial and policy me</w:t>
      </w:r>
      <w:r w:rsidR="00A75B7F">
        <w:t>chanisms</w:t>
      </w:r>
      <w:r>
        <w:t xml:space="preserve"> as discussed in the previous section</w:t>
      </w:r>
      <w:r w:rsidR="00CD6BFF">
        <w:t xml:space="preserve">. </w:t>
      </w:r>
    </w:p>
    <w:p w14:paraId="2189FDC7" w14:textId="71C3F647" w:rsidR="00050B23" w:rsidRDefault="00A75B7F" w:rsidP="00D816EA">
      <w:pPr>
        <w:jc w:val="both"/>
      </w:pPr>
      <w:r>
        <w:t xml:space="preserve">Current estimates of global finance for biodiversity </w:t>
      </w:r>
      <w:r w:rsidR="00EC03FC">
        <w:t>are limited to</w:t>
      </w:r>
      <w:r w:rsidR="00582C5B">
        <w:t xml:space="preserve"> </w:t>
      </w:r>
      <w:r w:rsidR="00C809E9">
        <w:t>only</w:t>
      </w:r>
      <w:r>
        <w:t xml:space="preserve"> those finance and policy mechanisms where sufficient data was available to draw quantitative estimates.  Deutz et al. (2020) for example, identified investment risk management as a finance category critical for biodiversity impact, but due to data and information limitation, they were unable to determine either current or future estimates for this category.  In addition, the OECD (2020) report recognizes additional biodiversity finance categories beyond those included in their global estimates, such as green bonds and impact investing, but excludes those mechanisms from private funding estimates to avoid potential double counting.</w:t>
      </w:r>
      <w:r w:rsidR="00EC03FC">
        <w:t xml:space="preserve"> </w:t>
      </w:r>
    </w:p>
    <w:p w14:paraId="4D79AA30" w14:textId="77777777" w:rsidR="00A75B7F" w:rsidRDefault="00A75B7F" w:rsidP="00D816EA">
      <w:pPr>
        <w:jc w:val="both"/>
      </w:pPr>
    </w:p>
    <w:p w14:paraId="2C8091DB" w14:textId="05CC0393" w:rsidR="00565BFF" w:rsidRPr="00F36E0B" w:rsidRDefault="00050B23" w:rsidP="00D816EA">
      <w:pPr>
        <w:jc w:val="both"/>
      </w:pPr>
      <w:r>
        <w:t>The</w:t>
      </w:r>
      <w:r w:rsidR="00565BFF">
        <w:t xml:space="preserve"> </w:t>
      </w:r>
      <w:proofErr w:type="gramStart"/>
      <w:r w:rsidR="00565BFF">
        <w:t>below criteria</w:t>
      </w:r>
      <w:proofErr w:type="gramEnd"/>
      <w:r w:rsidR="00565BFF">
        <w:t xml:space="preserve"> </w:t>
      </w:r>
      <w:r w:rsidR="00516580">
        <w:t>were</w:t>
      </w:r>
      <w:r w:rsidR="00C57190">
        <w:t xml:space="preserve"> also applied for each</w:t>
      </w:r>
      <w:r w:rsidR="00565BFF">
        <w:t xml:space="preserve"> </w:t>
      </w:r>
      <w:r w:rsidR="00442AB0">
        <w:t>measurement approach</w:t>
      </w:r>
      <w:r w:rsidR="00565BFF">
        <w:t xml:space="preserve"> </w:t>
      </w:r>
      <w:r w:rsidR="00A75B7F">
        <w:t>included in the three global estimates to</w:t>
      </w:r>
      <w:r>
        <w:t xml:space="preserve"> determine the feasibility of applying a comparable approach in national reporting.</w:t>
      </w:r>
      <w:r w:rsidR="00565BFF">
        <w:t xml:space="preserve"> </w:t>
      </w:r>
    </w:p>
    <w:p w14:paraId="03730108" w14:textId="6DFB4CD2" w:rsidR="004D48AD" w:rsidRDefault="004D48AD" w:rsidP="00D816EA">
      <w:pPr>
        <w:jc w:val="both"/>
      </w:pPr>
    </w:p>
    <w:p w14:paraId="4BBEB8E5" w14:textId="68F303C5" w:rsidR="004D48AD" w:rsidRDefault="004D48AD" w:rsidP="00D816EA">
      <w:pPr>
        <w:pStyle w:val="ListParagraph"/>
        <w:numPr>
          <w:ilvl w:val="0"/>
          <w:numId w:val="12"/>
        </w:numPr>
        <w:jc w:val="both"/>
      </w:pPr>
      <w:bookmarkStart w:id="8" w:name="_Hlk155944693"/>
      <w:r>
        <w:t>Does the data source adequately define biodiversity funding to ensure only th</w:t>
      </w:r>
      <w:r w:rsidR="00F36E0B">
        <w:t>ose funding sources that align with the CBD objectives are included?</w:t>
      </w:r>
    </w:p>
    <w:p w14:paraId="4DE49A12" w14:textId="780ED395" w:rsidR="00F36E0B" w:rsidRDefault="00F36E0B" w:rsidP="00D816EA">
      <w:pPr>
        <w:pStyle w:val="ListParagraph"/>
        <w:numPr>
          <w:ilvl w:val="0"/>
          <w:numId w:val="12"/>
        </w:numPr>
        <w:jc w:val="both"/>
      </w:pPr>
      <w:r>
        <w:t>Is the data publicly available?</w:t>
      </w:r>
    </w:p>
    <w:p w14:paraId="6BD7E7FF" w14:textId="4ABDB2E4" w:rsidR="006E5653" w:rsidRDefault="006E5653" w:rsidP="006E5653">
      <w:pPr>
        <w:pStyle w:val="ListParagraph"/>
        <w:numPr>
          <w:ilvl w:val="0"/>
          <w:numId w:val="12"/>
        </w:numPr>
        <w:jc w:val="both"/>
      </w:pPr>
      <w:r>
        <w:t>Does the data capture a significant share of the funding mechanism?  Of total private finance?</w:t>
      </w:r>
    </w:p>
    <w:p w14:paraId="296589DA" w14:textId="7BBBC645" w:rsidR="00F36E0B" w:rsidRDefault="00F36E0B" w:rsidP="00D816EA">
      <w:pPr>
        <w:pStyle w:val="ListParagraph"/>
        <w:numPr>
          <w:ilvl w:val="0"/>
          <w:numId w:val="12"/>
        </w:numPr>
        <w:jc w:val="both"/>
      </w:pPr>
      <w:r>
        <w:t>Is the data updated at least every five years?</w:t>
      </w:r>
    </w:p>
    <w:p w14:paraId="6DB25261" w14:textId="0D663F9A" w:rsidR="00B95699" w:rsidRDefault="00B95699" w:rsidP="00D816EA">
      <w:pPr>
        <w:pStyle w:val="ListParagraph"/>
        <w:numPr>
          <w:ilvl w:val="0"/>
          <w:numId w:val="12"/>
        </w:numPr>
        <w:jc w:val="both"/>
      </w:pPr>
      <w:r>
        <w:t xml:space="preserve">Can the data be </w:t>
      </w:r>
      <w:r w:rsidR="007772D0">
        <w:t>disaggregated</w:t>
      </w:r>
      <w:r w:rsidR="002541B6">
        <w:t xml:space="preserve"> down to a national level?</w:t>
      </w:r>
    </w:p>
    <w:p w14:paraId="2405C0B6" w14:textId="6A8E1230" w:rsidR="00287DC0" w:rsidRDefault="007772D0" w:rsidP="00D816EA">
      <w:pPr>
        <w:pStyle w:val="ListParagraph"/>
        <w:numPr>
          <w:ilvl w:val="0"/>
          <w:numId w:val="12"/>
        </w:numPr>
        <w:jc w:val="both"/>
      </w:pPr>
      <w:r>
        <w:t>Can the data be disaggregated between domestic and international flows?</w:t>
      </w:r>
    </w:p>
    <w:p w14:paraId="095ACFCE" w14:textId="09E50D3D" w:rsidR="00F36E0B" w:rsidRDefault="00F36E0B" w:rsidP="00D816EA">
      <w:pPr>
        <w:pStyle w:val="ListParagraph"/>
        <w:numPr>
          <w:ilvl w:val="0"/>
          <w:numId w:val="12"/>
        </w:numPr>
        <w:jc w:val="both"/>
      </w:pPr>
      <w:r>
        <w:t xml:space="preserve">Does the data disaggregate </w:t>
      </w:r>
      <w:r w:rsidR="00EE62BA">
        <w:t xml:space="preserve">international </w:t>
      </w:r>
      <w:r w:rsidR="006E5653">
        <w:t>flows</w:t>
      </w:r>
      <w:r w:rsidR="00EE62BA">
        <w:t xml:space="preserve"> </w:t>
      </w:r>
      <w:r>
        <w:t>b</w:t>
      </w:r>
      <w:r w:rsidR="006E5653">
        <w:t xml:space="preserve">y </w:t>
      </w:r>
      <w:r>
        <w:t>source and recipient country?</w:t>
      </w:r>
    </w:p>
    <w:p w14:paraId="4BA91C0F" w14:textId="150226FC" w:rsidR="00F36E0B" w:rsidRDefault="00F36E0B" w:rsidP="00D816EA">
      <w:pPr>
        <w:pStyle w:val="ListParagraph"/>
        <w:numPr>
          <w:ilvl w:val="0"/>
          <w:numId w:val="12"/>
        </w:numPr>
        <w:jc w:val="both"/>
      </w:pPr>
      <w:r>
        <w:t>Is there a risk of double counting with other possible indicators?</w:t>
      </w:r>
    </w:p>
    <w:p w14:paraId="0E9E5C8E" w14:textId="5BCC671D" w:rsidR="005D205B" w:rsidRDefault="005D205B" w:rsidP="005D205B">
      <w:pPr>
        <w:pStyle w:val="ListParagraph"/>
        <w:numPr>
          <w:ilvl w:val="0"/>
          <w:numId w:val="12"/>
        </w:numPr>
        <w:jc w:val="both"/>
      </w:pPr>
      <w:r>
        <w:t>Does the data capture funding expenditures (versus pledges)?</w:t>
      </w:r>
    </w:p>
    <w:p w14:paraId="148BDCBC" w14:textId="048310CC" w:rsidR="00F36E0B" w:rsidRPr="004D48AD" w:rsidRDefault="00442AB0" w:rsidP="00D816EA">
      <w:pPr>
        <w:pStyle w:val="ListParagraph"/>
        <w:numPr>
          <w:ilvl w:val="0"/>
          <w:numId w:val="12"/>
        </w:numPr>
        <w:jc w:val="both"/>
      </w:pPr>
      <w:r>
        <w:t>Could modifications enable national reporting</w:t>
      </w:r>
      <w:r w:rsidR="00F36E0B">
        <w:t>?</w:t>
      </w:r>
    </w:p>
    <w:p w14:paraId="49107B06" w14:textId="6750FC7A" w:rsidR="00E138F8" w:rsidRDefault="007B5F24" w:rsidP="00D816EA">
      <w:pPr>
        <w:pStyle w:val="Heading1"/>
        <w:jc w:val="both"/>
      </w:pPr>
      <w:bookmarkStart w:id="9" w:name="_Toc172018357"/>
      <w:bookmarkEnd w:id="8"/>
      <w:r>
        <w:t xml:space="preserve">Section </w:t>
      </w:r>
      <w:r w:rsidR="00083F6F">
        <w:t>Eight</w:t>
      </w:r>
      <w:r w:rsidR="00BD4FC4">
        <w:t>:</w:t>
      </w:r>
      <w:r>
        <w:t xml:space="preserve"> </w:t>
      </w:r>
      <w:r w:rsidR="009D4595">
        <w:t>Feasibility of Existing Approaches to Measure Private Finance</w:t>
      </w:r>
      <w:bookmarkEnd w:id="9"/>
    </w:p>
    <w:p w14:paraId="077C34DF" w14:textId="43050B1B" w:rsidR="00C53E21" w:rsidRDefault="00C53E21" w:rsidP="00D816EA">
      <w:pPr>
        <w:jc w:val="both"/>
      </w:pPr>
    </w:p>
    <w:p w14:paraId="3387D836" w14:textId="0558BD36" w:rsidR="00C53E21" w:rsidRDefault="00C53E21" w:rsidP="00D816EA">
      <w:pPr>
        <w:jc w:val="both"/>
      </w:pPr>
      <w:r>
        <w:t xml:space="preserve">This </w:t>
      </w:r>
      <w:r w:rsidR="0030614E">
        <w:t xml:space="preserve">section explores </w:t>
      </w:r>
      <w:r w:rsidR="008F36BD">
        <w:t xml:space="preserve">existing approaches </w:t>
      </w:r>
      <w:r w:rsidR="0030614E">
        <w:t>used in the</w:t>
      </w:r>
      <w:r w:rsidR="00133F77">
        <w:t xml:space="preserve"> identified</w:t>
      </w:r>
      <w:r w:rsidR="0030614E">
        <w:t xml:space="preserve"> literature </w:t>
      </w:r>
      <w:r w:rsidR="008F36BD">
        <w:t>to measure</w:t>
      </w:r>
      <w:r>
        <w:t xml:space="preserve"> private f</w:t>
      </w:r>
      <w:r w:rsidR="008F36BD">
        <w:t xml:space="preserve">inance </w:t>
      </w:r>
      <w:r>
        <w:t xml:space="preserve">for biodiversity and </w:t>
      </w:r>
      <w:r w:rsidR="009D4595">
        <w:t>feasibility for operationalizing the Headline Indicator D.3</w:t>
      </w:r>
      <w:r>
        <w:t>.</w:t>
      </w:r>
      <w:r w:rsidR="00A379C6">
        <w:t xml:space="preserve">  </w:t>
      </w:r>
      <w:r w:rsidR="0030614E">
        <w:t>It provides</w:t>
      </w:r>
      <w:r w:rsidR="00A379C6">
        <w:t xml:space="preserve"> a description of each approach</w:t>
      </w:r>
      <w:r w:rsidR="0030614E">
        <w:t xml:space="preserve"> associated with specific financial/policy instruments outlined in Section Three,</w:t>
      </w:r>
      <w:r w:rsidR="00A379C6">
        <w:t xml:space="preserve"> and </w:t>
      </w:r>
      <w:r w:rsidR="0030614E">
        <w:t>the feasibility of using these approaches to support national reporting</w:t>
      </w:r>
      <w:r w:rsidR="00A379C6">
        <w:t xml:space="preserve">. These approaches </w:t>
      </w:r>
      <w:r w:rsidR="00435F7A">
        <w:t xml:space="preserve">have been </w:t>
      </w:r>
      <w:r w:rsidR="00A379C6">
        <w:t xml:space="preserve">assessed against the criteria established </w:t>
      </w:r>
      <w:r w:rsidR="0030614E">
        <w:t>in the previous section</w:t>
      </w:r>
      <w:r w:rsidR="00A379C6">
        <w:t xml:space="preserve">. Possible modifications to the underlying dataset to better enable tracking of private funding for biodiversity </w:t>
      </w:r>
      <w:r w:rsidR="00435F7A">
        <w:t>have also been</w:t>
      </w:r>
      <w:r w:rsidR="00A379C6">
        <w:t xml:space="preserve"> explored</w:t>
      </w:r>
      <w:r w:rsidR="00256861">
        <w:t xml:space="preserve">, along with possible options for additional survey/reporting requirements for private entities. </w:t>
      </w:r>
      <w:r w:rsidR="00A379C6">
        <w:t xml:space="preserve"> </w:t>
      </w:r>
    </w:p>
    <w:p w14:paraId="1A5973B8" w14:textId="6FE20CD4" w:rsidR="00C53E21" w:rsidRDefault="00C53E21" w:rsidP="00D816EA">
      <w:pPr>
        <w:jc w:val="both"/>
      </w:pPr>
    </w:p>
    <w:p w14:paraId="43645B2C" w14:textId="385F60D6" w:rsidR="001A2CD4" w:rsidRPr="00971B3F" w:rsidRDefault="005C04BF" w:rsidP="00D816EA">
      <w:pPr>
        <w:pStyle w:val="Heading2"/>
        <w:jc w:val="both"/>
      </w:pPr>
      <w:r>
        <w:lastRenderedPageBreak/>
        <w:t xml:space="preserve">International </w:t>
      </w:r>
      <w:r w:rsidR="00971B3F" w:rsidRPr="00971B3F">
        <w:t>Private Philanthropy</w:t>
      </w:r>
      <w:r w:rsidR="007552F6">
        <w:t xml:space="preserve"> – OECD CRS</w:t>
      </w:r>
    </w:p>
    <w:p w14:paraId="355A3979" w14:textId="615BB6CA" w:rsidR="00B76336" w:rsidRDefault="00B76336" w:rsidP="00D816EA">
      <w:pPr>
        <w:jc w:val="both"/>
        <w:rPr>
          <w:b/>
        </w:rPr>
      </w:pPr>
    </w:p>
    <w:p w14:paraId="1B2C6A5A" w14:textId="017DFFE7" w:rsidR="00133226" w:rsidRDefault="00842DC9" w:rsidP="00D816EA">
      <w:pPr>
        <w:jc w:val="both"/>
      </w:pPr>
      <w:r>
        <w:t xml:space="preserve">The OECD collects and publicly reports </w:t>
      </w:r>
      <w:r w:rsidR="00D0209D">
        <w:t xml:space="preserve">activity-level </w:t>
      </w:r>
      <w:r>
        <w:t>data on private philanthropy for developmen</w:t>
      </w:r>
      <w:r w:rsidR="00CB5247">
        <w:t>t</w:t>
      </w:r>
      <w:r>
        <w:t xml:space="preserve">. </w:t>
      </w:r>
      <w:r w:rsidR="00CB5247">
        <w:t>The data is embedded in the Development Assistance Community’s (DAC) statistics, and adheres to the same methods, standards, and definitions as other data reported in the DAC statistics.</w:t>
      </w:r>
      <w:r w:rsidR="00D0209D">
        <w:t xml:space="preserve"> </w:t>
      </w:r>
      <w:r w:rsidR="00CB5247">
        <w:t xml:space="preserve">Biodiversity-related activities </w:t>
      </w:r>
      <w:r w:rsidR="002165FD">
        <w:t>are</w:t>
      </w:r>
      <w:r w:rsidR="00CB5247">
        <w:t xml:space="preserve"> tracked based on the Rio markers,</w:t>
      </w:r>
      <w:r w:rsidR="00F73BE6">
        <w:t xml:space="preserve"> with additional information available through</w:t>
      </w:r>
      <w:r w:rsidR="00CB5247">
        <w:t xml:space="preserve"> the SDG goals</w:t>
      </w:r>
      <w:r w:rsidR="00F73BE6">
        <w:t xml:space="preserve"> 14 and 15</w:t>
      </w:r>
      <w:r w:rsidR="00CB5247">
        <w:t>, the sector/purpose codes</w:t>
      </w:r>
      <w:r w:rsidR="00F73BE6">
        <w:t xml:space="preserve"> related to biodiversity</w:t>
      </w:r>
      <w:r w:rsidR="00CB5247">
        <w:t xml:space="preserve">, </w:t>
      </w:r>
      <w:r w:rsidR="002165FD">
        <w:t>and</w:t>
      </w:r>
      <w:r w:rsidR="00CB5247">
        <w:t xml:space="preserve"> keyword searches.</w:t>
      </w:r>
      <w:r w:rsidR="00B76336">
        <w:t xml:space="preserve"> Data is collected </w:t>
      </w:r>
      <w:r w:rsidR="002165FD">
        <w:t xml:space="preserve">directly from philanthropic foundations </w:t>
      </w:r>
      <w:r w:rsidR="00B76336">
        <w:t xml:space="preserve">and </w:t>
      </w:r>
      <w:r w:rsidR="00CB5247">
        <w:t>validated</w:t>
      </w:r>
      <w:r w:rsidR="00B76336">
        <w:t xml:space="preserve"> annually by the OECD </w:t>
      </w:r>
      <w:r w:rsidR="0070351A">
        <w:t xml:space="preserve">DAC </w:t>
      </w:r>
      <w:r w:rsidR="00B76336">
        <w:t>Secretariat</w:t>
      </w:r>
      <w:r w:rsidR="0070351A">
        <w:t xml:space="preserve">. The </w:t>
      </w:r>
      <w:r w:rsidR="00B76336">
        <w:t xml:space="preserve">Rio Marker </w:t>
      </w:r>
      <w:r w:rsidR="00EA4047">
        <w:t>is used to tag whether</w:t>
      </w:r>
      <w:r w:rsidR="00B76336">
        <w:t xml:space="preserve"> biodiversity was a principal or significant objective of the funding.</w:t>
      </w:r>
      <w:r w:rsidR="00D0209D">
        <w:t xml:space="preserve">  </w:t>
      </w:r>
      <w:r w:rsidR="0003703F">
        <w:t>Foundations</w:t>
      </w:r>
      <w:r w:rsidR="00F73BE6">
        <w:t xml:space="preserve"> are</w:t>
      </w:r>
      <w:r w:rsidR="0003703F">
        <w:t xml:space="preserve"> defined as institutionalized philanthropic organizations that are </w:t>
      </w:r>
      <w:r w:rsidR="002C7101">
        <w:t xml:space="preserve">providers </w:t>
      </w:r>
      <w:r w:rsidR="002165FD">
        <w:t>of funds. This definition does</w:t>
      </w:r>
      <w:r w:rsidR="0003703F">
        <w:t xml:space="preserve"> not include certain foundations that channel contributions of other private and official </w:t>
      </w:r>
      <w:r w:rsidR="002C7101">
        <w:t>providers</w:t>
      </w:r>
      <w:r w:rsidR="0003703F">
        <w:t xml:space="preserve">, or individuals as they are not institutions.  </w:t>
      </w:r>
      <w:r w:rsidR="002165FD">
        <w:t xml:space="preserve">Out of the 46 foundations that voluntarily reported to the OECD in 2021, 40 </w:t>
      </w:r>
      <w:proofErr w:type="gramStart"/>
      <w:r w:rsidR="002165FD">
        <w:t>report</w:t>
      </w:r>
      <w:proofErr w:type="gramEnd"/>
      <w:r w:rsidR="002165FD">
        <w:t xml:space="preserve"> supporting biodiversity-related activities.  This is an increase from 2017, where 14 out of the 26 philanthropic </w:t>
      </w:r>
      <w:proofErr w:type="gramStart"/>
      <w:r w:rsidR="002165FD">
        <w:t>foundations that</w:t>
      </w:r>
      <w:proofErr w:type="gramEnd"/>
      <w:r w:rsidR="002165FD">
        <w:t xml:space="preserve"> reported to the OECD reported biodiversity-related activities.  </w:t>
      </w:r>
      <w:r w:rsidR="000F7B5F">
        <w:t>According to</w:t>
      </w:r>
      <w:r w:rsidR="001E7715">
        <w:t xml:space="preserve"> </w:t>
      </w:r>
      <w:r w:rsidR="00EA4047">
        <w:t>(OECD, 2023)</w:t>
      </w:r>
      <w:r w:rsidR="00DA0DCE">
        <w:t>,</w:t>
      </w:r>
      <w:r w:rsidR="000F7B5F">
        <w:t xml:space="preserve"> </w:t>
      </w:r>
      <w:r w:rsidR="00CB5247">
        <w:t xml:space="preserve">biodiversity-related </w:t>
      </w:r>
      <w:r w:rsidR="007B4330">
        <w:t xml:space="preserve">international </w:t>
      </w:r>
      <w:r w:rsidR="00F73BE6">
        <w:t xml:space="preserve">development </w:t>
      </w:r>
      <w:r w:rsidR="002165FD">
        <w:t xml:space="preserve">finance </w:t>
      </w:r>
      <w:r w:rsidR="00CB5247">
        <w:t>by private philanthropy is on the rise, growing from around USD 500 million in 2017 to nearly USD 1 billion in 2021</w:t>
      </w:r>
      <w:r w:rsidR="002A5996">
        <w:t>, reflective of enhanced reporting coverage by philanthropic foundations</w:t>
      </w:r>
      <w:r w:rsidR="00CB5247">
        <w:t xml:space="preserve">. </w:t>
      </w:r>
    </w:p>
    <w:p w14:paraId="00C06F6D" w14:textId="717F57BA" w:rsidR="00CB5247" w:rsidRDefault="00CB5247" w:rsidP="00D816EA">
      <w:pPr>
        <w:jc w:val="both"/>
      </w:pPr>
    </w:p>
    <w:p w14:paraId="7CC3A8F3" w14:textId="4A48ADF6" w:rsidR="00CB5247" w:rsidRPr="00CB5247" w:rsidRDefault="00CB5247" w:rsidP="00CB5247">
      <w:pPr>
        <w:pStyle w:val="Caption"/>
        <w:rPr>
          <w:i w:val="0"/>
          <w:iCs w:val="0"/>
          <w:color w:val="auto"/>
        </w:rPr>
      </w:pPr>
      <w:r w:rsidRPr="00CB5247">
        <w:rPr>
          <w:noProof/>
          <w:sz w:val="20"/>
          <w:szCs w:val="20"/>
        </w:rPr>
        <w:drawing>
          <wp:anchor distT="0" distB="0" distL="114300" distR="114300" simplePos="0" relativeHeight="251658242" behindDoc="0" locked="0" layoutInCell="1" allowOverlap="1" wp14:anchorId="7826BE13" wp14:editId="1E81BD2F">
            <wp:simplePos x="0" y="0"/>
            <wp:positionH relativeFrom="margin">
              <wp:align>right</wp:align>
            </wp:positionH>
            <wp:positionV relativeFrom="paragraph">
              <wp:posOffset>316230</wp:posOffset>
            </wp:positionV>
            <wp:extent cx="6036691" cy="2450465"/>
            <wp:effectExtent l="0" t="0" r="2540" b="6985"/>
            <wp:wrapSquare wrapText="bothSides"/>
            <wp:docPr id="4" name="Picture 4"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number of peopl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6036691" cy="2450465"/>
                    </a:xfrm>
                    <a:prstGeom prst="rect">
                      <a:avLst/>
                    </a:prstGeom>
                  </pic:spPr>
                </pic:pic>
              </a:graphicData>
            </a:graphic>
            <wp14:sizeRelH relativeFrom="margin">
              <wp14:pctWidth>0</wp14:pctWidth>
            </wp14:sizeRelH>
            <wp14:sizeRelV relativeFrom="margin">
              <wp14:pctHeight>0</wp14:pctHeight>
            </wp14:sizeRelV>
          </wp:anchor>
        </w:drawing>
      </w:r>
      <w:r w:rsidRPr="00CB5247">
        <w:t xml:space="preserve">Figure </w:t>
      </w:r>
      <w:fldSimple w:instr=" SEQ Figure \* ARABIC ">
        <w:r w:rsidR="00540223">
          <w:rPr>
            <w:noProof/>
          </w:rPr>
          <w:t>4</w:t>
        </w:r>
      </w:fldSimple>
      <w:r w:rsidRPr="00CB5247">
        <w:t xml:space="preserve"> Biodiversity-related finance by</w:t>
      </w:r>
      <w:r w:rsidR="007B4330">
        <w:t xml:space="preserve"> international</w:t>
      </w:r>
      <w:r w:rsidRPr="00CB5247">
        <w:t xml:space="preserve"> private philant</w:t>
      </w:r>
      <w:r>
        <w:t>hropy</w:t>
      </w:r>
      <w:r w:rsidR="00F73BE6">
        <w:t xml:space="preserve"> for development</w:t>
      </w:r>
    </w:p>
    <w:p w14:paraId="278C35B9" w14:textId="438175AC" w:rsidR="00CB5247" w:rsidRPr="00CB5247" w:rsidRDefault="00CB5247" w:rsidP="00CB5247">
      <w:pPr>
        <w:keepNext/>
        <w:rPr>
          <w:sz w:val="20"/>
          <w:szCs w:val="20"/>
        </w:rPr>
      </w:pPr>
      <w:r w:rsidRPr="00CB5247">
        <w:rPr>
          <w:sz w:val="20"/>
          <w:szCs w:val="20"/>
        </w:rPr>
        <w:t>Notes: Out of the 46 foundations that have reported to the OECD, 40 supported biodiversity-related activities.</w:t>
      </w:r>
    </w:p>
    <w:p w14:paraId="07F3C141" w14:textId="7AFB0707" w:rsidR="00CB5247" w:rsidRPr="00CB5247" w:rsidRDefault="00CB5247" w:rsidP="00CB5247">
      <w:pPr>
        <w:keepNext/>
        <w:rPr>
          <w:sz w:val="20"/>
          <w:szCs w:val="20"/>
        </w:rPr>
      </w:pPr>
      <w:r w:rsidRPr="00CB5247">
        <w:rPr>
          <w:sz w:val="20"/>
          <w:szCs w:val="20"/>
        </w:rPr>
        <w:t>Source: OECD (2023). Estimates based on OECD DAC statistics from the OECD, Creditor Reporting System.</w:t>
      </w:r>
      <w:r w:rsidRPr="00CB5247">
        <w:rPr>
          <w:sz w:val="20"/>
          <w:szCs w:val="20"/>
        </w:rPr>
        <w:br w:type="textWrapping" w:clear="all"/>
      </w:r>
    </w:p>
    <w:p w14:paraId="2F38F70D" w14:textId="376A7608" w:rsidR="00256861" w:rsidRDefault="00256861" w:rsidP="00D816EA">
      <w:pPr>
        <w:jc w:val="both"/>
      </w:pPr>
    </w:p>
    <w:p w14:paraId="399053AA" w14:textId="3E12CFA1" w:rsidR="00CB5247" w:rsidRDefault="00D0209D" w:rsidP="00D816EA">
      <w:pPr>
        <w:jc w:val="both"/>
      </w:pPr>
      <w:r>
        <w:t xml:space="preserve">Given the granularity and broad coverage of </w:t>
      </w:r>
      <w:r w:rsidR="00C24089">
        <w:t>this data</w:t>
      </w:r>
      <w:r>
        <w:t xml:space="preserve">, </w:t>
      </w:r>
      <w:r w:rsidR="007D7428">
        <w:t xml:space="preserve">this dataset may be suitable as </w:t>
      </w:r>
      <w:r w:rsidR="00BD3954">
        <w:t xml:space="preserve">an </w:t>
      </w:r>
      <w:r w:rsidR="007D7428">
        <w:t xml:space="preserve">indicator for Parties to report country-level data on </w:t>
      </w:r>
      <w:r w:rsidR="000F7B5F">
        <w:t xml:space="preserve">international </w:t>
      </w:r>
      <w:r w:rsidR="007D7428">
        <w:t>private philanthrop</w:t>
      </w:r>
      <w:r w:rsidR="00B25471">
        <w:t>ic flows</w:t>
      </w:r>
      <w:r w:rsidR="007D7428">
        <w:t>.</w:t>
      </w:r>
      <w:r w:rsidR="0003703F">
        <w:t xml:space="preserve"> The OECD estimates that the data </w:t>
      </w:r>
      <w:r w:rsidR="0012690C">
        <w:t xml:space="preserve">currently </w:t>
      </w:r>
      <w:r w:rsidR="0003703F">
        <w:t xml:space="preserve">accounts for around 80-90 percent of international </w:t>
      </w:r>
      <w:r w:rsidR="001373ED">
        <w:t xml:space="preserve">development-related </w:t>
      </w:r>
      <w:r w:rsidR="0003703F">
        <w:t xml:space="preserve">private philanthropy flows to biodiversity, with only a few key actors not </w:t>
      </w:r>
      <w:r w:rsidR="0003703F">
        <w:lastRenderedPageBreak/>
        <w:t xml:space="preserve">reporting.   </w:t>
      </w:r>
      <w:r w:rsidR="00EA4047">
        <w:t>T</w:t>
      </w:r>
      <w:r w:rsidR="0003703F">
        <w:t xml:space="preserve">his </w:t>
      </w:r>
      <w:r w:rsidR="00EA4047">
        <w:t>data</w:t>
      </w:r>
      <w:r w:rsidR="0003703F">
        <w:t xml:space="preserve"> </w:t>
      </w:r>
      <w:r w:rsidR="00EA4047">
        <w:t>does</w:t>
      </w:r>
      <w:r w:rsidR="0003703F">
        <w:t xml:space="preserve"> not track domestic biodiversity flows from private philanthropy</w:t>
      </w:r>
      <w:r w:rsidR="001373ED">
        <w:t xml:space="preserve">, </w:t>
      </w:r>
      <w:r w:rsidR="009B4C99">
        <w:t xml:space="preserve">nor </w:t>
      </w:r>
      <w:r w:rsidR="001373ED">
        <w:t>flows that target developed countries</w:t>
      </w:r>
      <w:r w:rsidR="0003703F">
        <w:t xml:space="preserve">. </w:t>
      </w:r>
      <w:r w:rsidR="00E043AB">
        <w:t xml:space="preserve"> </w:t>
      </w:r>
    </w:p>
    <w:p w14:paraId="56B1DD77" w14:textId="77777777" w:rsidR="00CB5247" w:rsidRDefault="00CB5247" w:rsidP="00D816EA">
      <w:pPr>
        <w:jc w:val="both"/>
      </w:pPr>
    </w:p>
    <w:p w14:paraId="1AA875E1" w14:textId="72B41DD0" w:rsidR="0003703F" w:rsidRPr="009D4A7C" w:rsidRDefault="00E043AB" w:rsidP="002165FD">
      <w:pPr>
        <w:jc w:val="both"/>
      </w:pPr>
      <w:r>
        <w:t xml:space="preserve">A </w:t>
      </w:r>
      <w:r w:rsidR="002165FD">
        <w:t xml:space="preserve">methodology </w:t>
      </w:r>
      <w:r>
        <w:t xml:space="preserve">could be developed </w:t>
      </w:r>
      <w:r w:rsidR="002165FD">
        <w:t xml:space="preserve">in the </w:t>
      </w:r>
      <w:proofErr w:type="gramStart"/>
      <w:r w:rsidR="002165FD">
        <w:t>metadata</w:t>
      </w:r>
      <w:proofErr w:type="gramEnd"/>
      <w:r w:rsidR="002165FD">
        <w:t xml:space="preserve"> </w:t>
      </w:r>
      <w:proofErr w:type="gramStart"/>
      <w:r w:rsidR="002165FD">
        <w:t>factsheet, and</w:t>
      </w:r>
      <w:proofErr w:type="gramEnd"/>
      <w:r w:rsidR="002165FD">
        <w:t xml:space="preserve"> could follow similar guidance as the </w:t>
      </w:r>
      <w:r>
        <w:t xml:space="preserve">metadata factsheet for </w:t>
      </w:r>
      <w:r w:rsidR="00B25471">
        <w:t xml:space="preserve">Indicator 19.1 on international public funding, including Official Development Assistance, for conservation and sustainable use of biodiversity and ecosystems.  </w:t>
      </w:r>
      <w:r w:rsidR="009B4C99">
        <w:t xml:space="preserve">Countries could apply an attribution factor to private philanthropic funds where biodiversity is a significant, rather than principal, objective. For example, countries may opt to apply a 40 percent attribution factor for philanthropic funds that significantly target biodiversity objectives, and a 100 percent attribution factor for philanthropic funds that primarily target biodiversity objectives. </w:t>
      </w:r>
    </w:p>
    <w:p w14:paraId="4083CEE3" w14:textId="77777777" w:rsidR="009D4A7C" w:rsidRDefault="009D4A7C" w:rsidP="009D4A7C">
      <w:pPr>
        <w:jc w:val="both"/>
      </w:pPr>
    </w:p>
    <w:p w14:paraId="257B3D77" w14:textId="2933FFA3" w:rsidR="009D4A7C" w:rsidRDefault="009D4A7C" w:rsidP="009D4A7C">
      <w:pPr>
        <w:jc w:val="both"/>
      </w:pPr>
      <w:r w:rsidRPr="009D4A7C">
        <w:rPr>
          <w:b/>
          <w:bCs/>
        </w:rPr>
        <w:t>Limitations</w:t>
      </w:r>
      <w:r>
        <w:rPr>
          <w:b/>
          <w:bCs/>
        </w:rPr>
        <w:t xml:space="preserve"> and critical gaps</w:t>
      </w:r>
      <w:r w:rsidRPr="009D4A7C">
        <w:t xml:space="preserve">.  The OECD CRS provides the most comprehensive data on </w:t>
      </w:r>
      <w:r w:rsidR="002534D4">
        <w:t xml:space="preserve">biodiversity-related </w:t>
      </w:r>
      <w:r w:rsidRPr="009D4A7C">
        <w:t>private</w:t>
      </w:r>
      <w:r>
        <w:t xml:space="preserve"> international</w:t>
      </w:r>
      <w:r w:rsidRPr="009D4A7C">
        <w:t xml:space="preserve"> philanthropic flows for </w:t>
      </w:r>
      <w:r w:rsidR="002534D4">
        <w:t xml:space="preserve">development </w:t>
      </w:r>
      <w:r w:rsidRPr="009D4A7C">
        <w:t xml:space="preserve">available at the national level. </w:t>
      </w:r>
      <w:r>
        <w:t xml:space="preserve">According to </w:t>
      </w:r>
      <w:r w:rsidR="004E7FD4">
        <w:t xml:space="preserve">recent </w:t>
      </w:r>
      <w:r>
        <w:t xml:space="preserve">estimates of total private financial flows for </w:t>
      </w:r>
      <w:r w:rsidR="00516580">
        <w:t>biodiversity</w:t>
      </w:r>
      <w:r>
        <w:t>, philanthrop</w:t>
      </w:r>
      <w:r w:rsidR="00E035CE">
        <w:t>ic flows</w:t>
      </w:r>
      <w:r>
        <w:t xml:space="preserve"> </w:t>
      </w:r>
      <w:r w:rsidR="00516580">
        <w:t>account</w:t>
      </w:r>
      <w:r>
        <w:t xml:space="preserve"> for only around 3-4 percent of total </w:t>
      </w:r>
      <w:r w:rsidR="0089086A">
        <w:t xml:space="preserve">private </w:t>
      </w:r>
      <w:r>
        <w:t xml:space="preserve">flows, representing only a small fraction of the private </w:t>
      </w:r>
      <w:r w:rsidR="00516580">
        <w:t>funding</w:t>
      </w:r>
      <w:r>
        <w:t xml:space="preserve"> for biodiversity.  </w:t>
      </w:r>
      <w:r w:rsidR="004E7FD4">
        <w:t>In addition, the data does not capture domestic philanthropic f</w:t>
      </w:r>
      <w:r w:rsidR="00516580">
        <w:t>unding</w:t>
      </w:r>
      <w:r w:rsidR="004E7FD4">
        <w:t xml:space="preserve">. Thus, while this data could be useful to comprehensively report on international philanthropic flows, it would not serve as a robust indicator to monitor total private financial flows for biodiversity.  </w:t>
      </w:r>
    </w:p>
    <w:p w14:paraId="4C539BE5" w14:textId="3E906C9E" w:rsidR="002A5996" w:rsidRDefault="002A5996" w:rsidP="009D4A7C">
      <w:pPr>
        <w:jc w:val="both"/>
      </w:pPr>
    </w:p>
    <w:p w14:paraId="45A3CDBA" w14:textId="1E3606F1" w:rsidR="002A5996" w:rsidRDefault="002A5996" w:rsidP="009D4A7C">
      <w:pPr>
        <w:jc w:val="both"/>
      </w:pPr>
      <w:r>
        <w:t xml:space="preserve">It is also important to note that over three-quarters of philanthropic contributions are implemented through NGOs and civil society </w:t>
      </w:r>
      <w:proofErr w:type="spellStart"/>
      <w:r>
        <w:t>organisations</w:t>
      </w:r>
      <w:proofErr w:type="spellEnd"/>
      <w:r>
        <w:t xml:space="preserve"> such as the </w:t>
      </w:r>
      <w:proofErr w:type="gramStart"/>
      <w:r>
        <w:t>World Wide</w:t>
      </w:r>
      <w:proofErr w:type="gramEnd"/>
      <w:r>
        <w:t xml:space="preserve"> Fund for Nature, </w:t>
      </w:r>
      <w:proofErr w:type="spellStart"/>
      <w:r>
        <w:t>ClimateWorks</w:t>
      </w:r>
      <w:proofErr w:type="spellEnd"/>
      <w:r>
        <w:t xml:space="preserve"> Foundation, The Nature Conservancy, and Flora and Fauna International, with nearly all of the remainder implemented through academic or research institutions (OECD, 2023). </w:t>
      </w:r>
      <w:r w:rsidR="002165FD">
        <w:t xml:space="preserve">Thus, any additional reporting that countries would like to make on funding from NGOs, academic, and research institutions should reduce the risk of double counting by subtracting philanthropic foundation funding to these implementers. </w:t>
      </w:r>
    </w:p>
    <w:p w14:paraId="19B4FBBB" w14:textId="4F2A06E8" w:rsidR="002165FD" w:rsidRDefault="002165FD" w:rsidP="009D4A7C">
      <w:pPr>
        <w:jc w:val="both"/>
      </w:pPr>
    </w:p>
    <w:p w14:paraId="1A57C12F" w14:textId="6A1BFF3D" w:rsidR="002165FD" w:rsidRDefault="002165FD" w:rsidP="009D4A7C">
      <w:pPr>
        <w:jc w:val="both"/>
      </w:pPr>
      <w:r>
        <w:t xml:space="preserve">In addition, guidance must be given </w:t>
      </w:r>
      <w:r w:rsidR="005E5A2C">
        <w:t xml:space="preserve">for countries to follow on how to report on this data. For example, should countries report based on </w:t>
      </w:r>
      <w:r w:rsidR="00516580">
        <w:t xml:space="preserve">the </w:t>
      </w:r>
      <w:r w:rsidR="00D81550" w:rsidRPr="00D81550">
        <w:rPr>
          <w:i/>
          <w:iCs/>
        </w:rPr>
        <w:t>source</w:t>
      </w:r>
      <w:r w:rsidR="005E5A2C" w:rsidRPr="00D81550">
        <w:rPr>
          <w:i/>
          <w:iCs/>
        </w:rPr>
        <w:t xml:space="preserve"> </w:t>
      </w:r>
      <w:r w:rsidR="005E5A2C">
        <w:rPr>
          <w:i/>
          <w:iCs/>
        </w:rPr>
        <w:t>country</w:t>
      </w:r>
      <w:r w:rsidR="005E5A2C">
        <w:t xml:space="preserve"> of funding from philanthropic foundations, or should countries report based on the </w:t>
      </w:r>
      <w:r w:rsidR="005E5A2C" w:rsidRPr="005E5A2C">
        <w:rPr>
          <w:i/>
          <w:iCs/>
        </w:rPr>
        <w:t>recipient country</w:t>
      </w:r>
      <w:r w:rsidR="005E5A2C">
        <w:t xml:space="preserve"> of this funding?</w:t>
      </w:r>
    </w:p>
    <w:p w14:paraId="749F56A8" w14:textId="1FCC5EF3" w:rsidR="00590BC9" w:rsidRDefault="00590BC9" w:rsidP="009D4A7C">
      <w:pPr>
        <w:jc w:val="both"/>
      </w:pPr>
    </w:p>
    <w:p w14:paraId="79F15583" w14:textId="524ECACC" w:rsidR="00814F8D" w:rsidRPr="00346A2B" w:rsidRDefault="00590BC9" w:rsidP="00D816EA">
      <w:pPr>
        <w:jc w:val="both"/>
      </w:pPr>
      <w:r w:rsidRPr="00590BC9">
        <w:rPr>
          <w:b/>
          <w:bCs/>
        </w:rPr>
        <w:t>Capacity building needs</w:t>
      </w:r>
      <w:r>
        <w:t xml:space="preserve">.  The OECD supports development providers in reporting their development finance statistics by conducting quality reviews and control of reported data, conducting dialogue with donors, statistical peer reviews, and preparing guidance for statistical reporters.  The OECD began a work </w:t>
      </w:r>
      <w:proofErr w:type="spellStart"/>
      <w:r>
        <w:t>programme</w:t>
      </w:r>
      <w:proofErr w:type="spellEnd"/>
      <w:r>
        <w:t xml:space="preserve"> in 2024 to improve reporting of the Rio marker for biodiversity and is producing a guidebook on the use of the marker.  The OECD aims to enhance the scope of the biodiversity Rio marker to all countries and institutions engaged in development finance, and could provide support and guidance to foundations, corporations, and investors reporting on disbursements of their nature-related pledges (related to the section below).  </w:t>
      </w:r>
    </w:p>
    <w:p w14:paraId="2E32F6B3" w14:textId="742EF62F" w:rsidR="00F15B90" w:rsidRDefault="00F15B90" w:rsidP="00D816EA">
      <w:pPr>
        <w:jc w:val="both"/>
        <w:rPr>
          <w:b/>
        </w:rPr>
      </w:pPr>
    </w:p>
    <w:p w14:paraId="1B621E54" w14:textId="02E8BBF6" w:rsidR="00117891" w:rsidRDefault="00117891" w:rsidP="00D816EA">
      <w:pPr>
        <w:pStyle w:val="Heading2"/>
        <w:jc w:val="both"/>
      </w:pPr>
      <w:r>
        <w:lastRenderedPageBreak/>
        <w:t xml:space="preserve">Private finance mobilized by official development </w:t>
      </w:r>
      <w:r w:rsidR="000271A6">
        <w:t>finance</w:t>
      </w:r>
      <w:r w:rsidR="009765CD">
        <w:t xml:space="preserve"> </w:t>
      </w:r>
      <w:r w:rsidR="007552F6">
        <w:t>– OECD CRS</w:t>
      </w:r>
    </w:p>
    <w:p w14:paraId="6F123A86" w14:textId="77777777" w:rsidR="00DD7D42" w:rsidRDefault="00DD7D42" w:rsidP="00D816EA">
      <w:pPr>
        <w:jc w:val="both"/>
      </w:pPr>
    </w:p>
    <w:p w14:paraId="1A763CA9" w14:textId="7073D834" w:rsidR="00CE7C10" w:rsidRDefault="00DD7D42" w:rsidP="00D816EA">
      <w:pPr>
        <w:jc w:val="both"/>
      </w:pPr>
      <w:r>
        <w:t xml:space="preserve">In addition to collecting data on private philanthropy, the OECD </w:t>
      </w:r>
      <w:r w:rsidR="00274997">
        <w:t xml:space="preserve">has been </w:t>
      </w:r>
      <w:r>
        <w:t>collect</w:t>
      </w:r>
      <w:r w:rsidR="00274997">
        <w:t>ing</w:t>
      </w:r>
      <w:r>
        <w:t xml:space="preserve"> information on private sector financ</w:t>
      </w:r>
      <w:r w:rsidR="00C53F6E">
        <w:t xml:space="preserve">e </w:t>
      </w:r>
      <w:r>
        <w:t xml:space="preserve">mobilization </w:t>
      </w:r>
      <w:r w:rsidR="00C53F6E">
        <w:t xml:space="preserve">(e.g. </w:t>
      </w:r>
      <w:proofErr w:type="gramStart"/>
      <w:r w:rsidR="00C53F6E">
        <w:t>through the use of</w:t>
      </w:r>
      <w:proofErr w:type="gramEnd"/>
      <w:r w:rsidR="00C53F6E">
        <w:t xml:space="preserve"> guarantees or other forms of finance including blended finance) </w:t>
      </w:r>
      <w:r>
        <w:t xml:space="preserve">as reported </w:t>
      </w:r>
      <w:r w:rsidR="00274997">
        <w:t xml:space="preserve">by DAC members </w:t>
      </w:r>
      <w:r w:rsidR="008A05A7">
        <w:t xml:space="preserve">and other </w:t>
      </w:r>
      <w:r w:rsidR="002C7101">
        <w:t>providers</w:t>
      </w:r>
      <w:r w:rsidR="008A05A7">
        <w:t xml:space="preserve"> </w:t>
      </w:r>
      <w:r w:rsidR="00274997">
        <w:t xml:space="preserve">since </w:t>
      </w:r>
      <w:r w:rsidR="00516580">
        <w:t>2012 and</w:t>
      </w:r>
      <w:r w:rsidR="00274997">
        <w:t xml:space="preserve"> integrated into regular CRS reporting in 2017</w:t>
      </w:r>
      <w:r>
        <w:t>.  The data collected from DAC members includes only private finance mobilized by DAC country development finance institutions and banks</w:t>
      </w:r>
      <w:r w:rsidR="008A05A7">
        <w:t>. While data from multilateral development banks is not available at the same level of disaggregation due to confidentiality constraints, some multilateral data, e.g. from the GEF, is available</w:t>
      </w:r>
      <w:r>
        <w:t xml:space="preserve">.  Private finance is marked with a Rio marker if the DAC member activity that was responsible for mobilizing the private finance was marked with the Rio marker applying the ‘principal’ and ‘significant’ Rio marker methodology.  As estimated by the OECD, private finance mobilized by official providers more than quadrupled in 2020, from USD 165 million in 2020 to USD 750 million in 2021. </w:t>
      </w:r>
    </w:p>
    <w:p w14:paraId="25253598" w14:textId="1F85C164" w:rsidR="006C68AA" w:rsidRDefault="006C68AA" w:rsidP="00D816EA">
      <w:pPr>
        <w:jc w:val="both"/>
      </w:pPr>
    </w:p>
    <w:p w14:paraId="43805072" w14:textId="2365E677" w:rsidR="009B4C99" w:rsidRPr="009D4A7C" w:rsidRDefault="006C68AA" w:rsidP="009B4C99">
      <w:pPr>
        <w:jc w:val="both"/>
      </w:pPr>
      <w:r w:rsidRPr="006C68AA">
        <w:rPr>
          <w:b/>
          <w:bCs/>
        </w:rPr>
        <w:t>Opportunity for reporting</w:t>
      </w:r>
      <w:r>
        <w:t xml:space="preserve">.  OECD member countries may draw on the data used to report to the OECD DAC for reporting private finance mobilized by bilateral development finance institutions. </w:t>
      </w:r>
      <w:proofErr w:type="gramStart"/>
      <w:r w:rsidR="009B4C99">
        <w:t>Similar to</w:t>
      </w:r>
      <w:proofErr w:type="gramEnd"/>
      <w:r w:rsidR="009B4C99">
        <w:t xml:space="preserve"> private philanthropic funds, countries could apply an attribution factor to private finance mobilized by official development finance where biodiversity is a significant, rather than principal, objective. For example, countries may opt to apply a 40 percent attribution factor for private funds that significantly target biodiversity objectives, and a 100 percent attribution factor for private funds that primarily target biodiversity objectives. </w:t>
      </w:r>
    </w:p>
    <w:p w14:paraId="6958E381" w14:textId="2C9B027A" w:rsidR="006C68AA" w:rsidRDefault="006C68AA" w:rsidP="00D816EA">
      <w:pPr>
        <w:jc w:val="both"/>
      </w:pPr>
      <w:r>
        <w:t xml:space="preserve"> </w:t>
      </w:r>
    </w:p>
    <w:p w14:paraId="74288DFB" w14:textId="77777777" w:rsidR="00CE7C10" w:rsidRDefault="00CE7C10" w:rsidP="00D816EA">
      <w:pPr>
        <w:jc w:val="both"/>
      </w:pPr>
    </w:p>
    <w:p w14:paraId="52A56287" w14:textId="39257252" w:rsidR="009765CD" w:rsidRDefault="006C68AA" w:rsidP="00D816EA">
      <w:pPr>
        <w:jc w:val="both"/>
      </w:pPr>
      <w:r>
        <w:rPr>
          <w:b/>
          <w:bCs/>
        </w:rPr>
        <w:t>Critical gaps</w:t>
      </w:r>
      <w:r w:rsidR="00D57EB1">
        <w:t xml:space="preserve">. </w:t>
      </w:r>
      <w:r w:rsidR="00274997">
        <w:t xml:space="preserve">While the data may capture those projects/interventions with an explicit objective of biodiversity conservation (i.e. aligning with the Principal Rio marker) it may not adequately capture financial flows to projects/interventions where biodiversity may not have been the primary objective, such as investments in agriculture, but have a significant biodiversity benefit.  Due to confidentiality concerns, </w:t>
      </w:r>
      <w:r w:rsidR="008A05A7">
        <w:t xml:space="preserve">not </w:t>
      </w:r>
      <w:proofErr w:type="gramStart"/>
      <w:r w:rsidR="008A05A7">
        <w:t>all of</w:t>
      </w:r>
      <w:proofErr w:type="gramEnd"/>
      <w:r w:rsidR="008A05A7">
        <w:t xml:space="preserve"> </w:t>
      </w:r>
      <w:r w:rsidR="00274997">
        <w:t>the data on private finance mobilized by official providers is publicly available</w:t>
      </w:r>
      <w:r w:rsidR="00520589">
        <w:t>.</w:t>
      </w:r>
      <w:r w:rsidR="00DD7D42">
        <w:t xml:space="preserve"> </w:t>
      </w:r>
      <w:r w:rsidR="00CE7C10">
        <w:t xml:space="preserve">  </w:t>
      </w:r>
      <w:r>
        <w:t xml:space="preserve">In addition, countries that are not OECD member countries will need to rely on other sources of information for reporting.  </w:t>
      </w:r>
    </w:p>
    <w:p w14:paraId="6C9F7892" w14:textId="3CE16F80" w:rsidR="00FF040A" w:rsidRDefault="00FF040A" w:rsidP="00D816EA">
      <w:pPr>
        <w:jc w:val="both"/>
      </w:pPr>
    </w:p>
    <w:p w14:paraId="2F7F6215" w14:textId="47879499" w:rsidR="00FF040A" w:rsidRDefault="00FF040A" w:rsidP="00D816EA">
      <w:pPr>
        <w:jc w:val="both"/>
      </w:pPr>
      <w:r>
        <w:t>For non-OECD countries, ‘on</w:t>
      </w:r>
      <w:r w:rsidR="0065464C">
        <w:t>-</w:t>
      </w:r>
      <w:r>
        <w:t>the</w:t>
      </w:r>
      <w:r w:rsidR="0065464C">
        <w:t>-</w:t>
      </w:r>
      <w:r>
        <w:t>ground’ information c</w:t>
      </w:r>
      <w:r w:rsidR="00814F8D">
        <w:t xml:space="preserve">ould </w:t>
      </w:r>
      <w:r>
        <w:t xml:space="preserve">be collected for development </w:t>
      </w:r>
      <w:r w:rsidR="00814F8D">
        <w:t xml:space="preserve">finance </w:t>
      </w:r>
      <w:r w:rsidR="00516580">
        <w:t>institutions</w:t>
      </w:r>
      <w:r>
        <w:t xml:space="preserve"> that do not report to the OECD’s Creditor Reporting System and reported directly to the CBD.  </w:t>
      </w:r>
      <w:r w:rsidR="002213FB">
        <w:t xml:space="preserve">In addition, private finance mobilized by official development finance is just one subset of the broader blended finance approach.  </w:t>
      </w:r>
      <w:r w:rsidR="00504385">
        <w:t>While the OECD’s CRS provides useful information on private finance mobilized specifically through ODF, it excludes the mobilization of private capital through domestic or non-ODF institutions.</w:t>
      </w:r>
      <w:r w:rsidR="00F156EA">
        <w:t xml:space="preserve"> Countries could collect this information directly from public development entities and private philanthropies, exercising caution not to double count with other mechanisms. </w:t>
      </w:r>
      <w:r w:rsidR="00504385">
        <w:t xml:space="preserve"> </w:t>
      </w:r>
      <w:r w:rsidR="002213FB">
        <w:t xml:space="preserve"> </w:t>
      </w:r>
    </w:p>
    <w:p w14:paraId="7E590F05" w14:textId="39A23950" w:rsidR="00655568" w:rsidRDefault="00655568" w:rsidP="00D816EA">
      <w:pPr>
        <w:jc w:val="both"/>
      </w:pPr>
    </w:p>
    <w:p w14:paraId="274DAA86" w14:textId="63EB7DF8" w:rsidR="00346A2B" w:rsidRDefault="00346A2B" w:rsidP="00D816EA">
      <w:pPr>
        <w:pStyle w:val="Heading2"/>
        <w:jc w:val="both"/>
      </w:pPr>
      <w:r>
        <w:t>Conservation NGOs</w:t>
      </w:r>
    </w:p>
    <w:p w14:paraId="518C9293" w14:textId="18DFECF8" w:rsidR="00346A2B" w:rsidRDefault="00346A2B" w:rsidP="00346A2B"/>
    <w:p w14:paraId="61929838" w14:textId="357F8889" w:rsidR="00346A2B" w:rsidRDefault="00346A2B" w:rsidP="00C0692F">
      <w:pPr>
        <w:jc w:val="both"/>
      </w:pPr>
      <w:r>
        <w:lastRenderedPageBreak/>
        <w:t xml:space="preserve">Recent assessments of private finance for biodiversity from conservation NGOs draw on data provided in publicly available annual financial reports.  Revenues from the public sector and philanthropic foundations are subtracted to avoid double counting.  Expenditures from these NGOs are not disaggregated at the national level, and instead provides a global estimate of expenditures. </w:t>
      </w:r>
    </w:p>
    <w:p w14:paraId="641D2281" w14:textId="4CC1A7B9" w:rsidR="00346A2B" w:rsidRDefault="00346A2B" w:rsidP="00C0692F">
      <w:pPr>
        <w:jc w:val="both"/>
      </w:pPr>
    </w:p>
    <w:p w14:paraId="3C4C3D86" w14:textId="4C22CBA3" w:rsidR="00346A2B" w:rsidRPr="00346A2B" w:rsidRDefault="006C68AA" w:rsidP="00C0692F">
      <w:pPr>
        <w:jc w:val="both"/>
      </w:pPr>
      <w:r w:rsidRPr="006C68AA">
        <w:rPr>
          <w:b/>
          <w:bCs/>
        </w:rPr>
        <w:t>Opportunity for reporting</w:t>
      </w:r>
      <w:r>
        <w:t xml:space="preserve">.  </w:t>
      </w:r>
      <w:r w:rsidR="00444E1B">
        <w:t xml:space="preserve">Since data on conservation NGOs is </w:t>
      </w:r>
      <w:r w:rsidR="00346A2B">
        <w:t xml:space="preserve">readily available through public annual </w:t>
      </w:r>
      <w:r w:rsidR="00444E1B">
        <w:t xml:space="preserve">financial </w:t>
      </w:r>
      <w:r w:rsidR="00346A2B">
        <w:t xml:space="preserve">reports, countries may be able to conduct desk research to identify the program expenditures for conservation NGOs registered in their country.  For conservation NGOs that </w:t>
      </w:r>
      <w:r w:rsidR="007552F6">
        <w:t xml:space="preserve">obtain funding </w:t>
      </w:r>
      <w:r w:rsidR="00346A2B">
        <w:t xml:space="preserve">solely </w:t>
      </w:r>
      <w:r w:rsidR="007552F6">
        <w:t xml:space="preserve">from </w:t>
      </w:r>
      <w:r w:rsidR="00346A2B">
        <w:t>within the boundaries of a reporting country, this expenditure data can be reported as domestic expenditures</w:t>
      </w:r>
      <w:r w:rsidR="00C0692F">
        <w:t xml:space="preserve"> provided that </w:t>
      </w:r>
      <w:r w:rsidR="00444E1B">
        <w:t xml:space="preserve">any </w:t>
      </w:r>
      <w:r w:rsidR="00C0692F">
        <w:t xml:space="preserve">public revenue is </w:t>
      </w:r>
      <w:r w:rsidR="00444E1B">
        <w:t>subtracted to eliminate double counting with public expenditures.</w:t>
      </w:r>
      <w:r w:rsidR="00346A2B">
        <w:t xml:space="preserve">  For conservation NGOs that </w:t>
      </w:r>
      <w:r w:rsidR="007552F6">
        <w:t xml:space="preserve">receive funding from </w:t>
      </w:r>
      <w:r w:rsidR="00346A2B">
        <w:t>internation</w:t>
      </w:r>
      <w:r w:rsidR="007552F6">
        <w:t>al sources</w:t>
      </w:r>
      <w:r w:rsidR="00346A2B">
        <w:t xml:space="preserve">, countries would need to subtract </w:t>
      </w:r>
      <w:r w:rsidR="00444E1B">
        <w:t>the</w:t>
      </w:r>
      <w:r w:rsidR="007552F6">
        <w:t xml:space="preserve"> funding</w:t>
      </w:r>
      <w:r w:rsidR="00346A2B">
        <w:t xml:space="preserve"> these </w:t>
      </w:r>
      <w:r w:rsidR="00444E1B">
        <w:t xml:space="preserve">conservation </w:t>
      </w:r>
      <w:r w:rsidR="00346A2B">
        <w:t xml:space="preserve">NGOs receive from </w:t>
      </w:r>
      <w:r w:rsidR="007552F6">
        <w:t xml:space="preserve">international philanthropic </w:t>
      </w:r>
      <w:r w:rsidR="00444E1B">
        <w:t>f</w:t>
      </w:r>
      <w:r w:rsidR="00346A2B">
        <w:t xml:space="preserve">oundations that </w:t>
      </w:r>
      <w:r w:rsidR="00EA41F2">
        <w:t>report</w:t>
      </w:r>
      <w:r w:rsidR="00346A2B">
        <w:t xml:space="preserve"> to the OECD</w:t>
      </w:r>
      <w:r>
        <w:t>, if the country elects to draw from the OECD CRS to report international development-related philanthropic finance</w:t>
      </w:r>
      <w:r w:rsidR="00346A2B">
        <w:t>.</w:t>
      </w:r>
      <w:r>
        <w:t xml:space="preserve">  Otherwise, the country can decide whether to report finance channeled through conservation NGOs in aggregate, or separately</w:t>
      </w:r>
      <w:r w:rsidR="00637320">
        <w:t xml:space="preserve"> from international private philanthropy</w:t>
      </w:r>
      <w:r>
        <w:t xml:space="preserve">. </w:t>
      </w:r>
      <w:r w:rsidR="00346A2B">
        <w:t xml:space="preserve">  </w:t>
      </w:r>
    </w:p>
    <w:p w14:paraId="6077C08A" w14:textId="77777777" w:rsidR="00346A2B" w:rsidRPr="00346A2B" w:rsidRDefault="00346A2B" w:rsidP="00346A2B"/>
    <w:p w14:paraId="1F7D8DB4" w14:textId="29C5D193" w:rsidR="00655568" w:rsidRDefault="00655568" w:rsidP="00D816EA">
      <w:pPr>
        <w:pStyle w:val="Heading2"/>
        <w:jc w:val="both"/>
      </w:pPr>
      <w:r>
        <w:t>Biodiversity Offsets</w:t>
      </w:r>
      <w:r w:rsidR="00637320">
        <w:t xml:space="preserve"> and Credits</w:t>
      </w:r>
    </w:p>
    <w:p w14:paraId="5FCA29DA" w14:textId="69B48887" w:rsidR="00063C72" w:rsidRDefault="00063C72" w:rsidP="00D816EA">
      <w:pPr>
        <w:jc w:val="both"/>
      </w:pPr>
    </w:p>
    <w:p w14:paraId="49EDBDEA" w14:textId="004DD188" w:rsidR="00173C2E" w:rsidRDefault="000B61AA" w:rsidP="00D816EA">
      <w:pPr>
        <w:jc w:val="both"/>
      </w:pPr>
      <w:r w:rsidRPr="000B61AA">
        <w:t xml:space="preserve">Biodiversity </w:t>
      </w:r>
      <w:r w:rsidR="00227B63">
        <w:t xml:space="preserve">offsets </w:t>
      </w:r>
      <w:r w:rsidR="00EB3BF3">
        <w:t xml:space="preserve">and compensation mechanisms </w:t>
      </w:r>
      <w:r w:rsidR="00227B63">
        <w:t>can be implemented in response to regulatory requirements, financial performance requirements (i.e. safeguards), and voluntary corporate policies.</w:t>
      </w:r>
      <w:r w:rsidR="00527D5E">
        <w:t xml:space="preserve">  </w:t>
      </w:r>
      <w:r w:rsidR="0030550C">
        <w:t>According to the IUCN’s Global Inventory of Biodiversity Offsets Policies (GIBOP), a global database of biodiversity compensation policies including offset policies, 42 countries currently have regulatory requirements for biodiversity offsets, 66 countries have established provisions to enable and facilitate voluntary offsets, and 29 countries have undertaken initial exploration of offset policy options. The remaining 59 countries tracked in the data</w:t>
      </w:r>
      <w:r w:rsidR="00033EF9">
        <w:t>base have no identified provisions for biodiversity offsets, largely representative of low- and middle- income countries.</w:t>
      </w:r>
      <w:r w:rsidR="000152C7">
        <w:t xml:space="preserve"> Of the 42 countries with regulatory requirements, 33 countries have only implemented a limited number of offsets, or no offsets at all</w:t>
      </w:r>
      <w:r w:rsidR="00DA0DCE">
        <w:t xml:space="preserve"> (Deutz et al., 2020)</w:t>
      </w:r>
      <w:r w:rsidR="000152C7">
        <w:t>.</w:t>
      </w:r>
    </w:p>
    <w:p w14:paraId="7876BD2E" w14:textId="7E44781B" w:rsidR="00173C2E" w:rsidRDefault="00173C2E" w:rsidP="00D816EA">
      <w:pPr>
        <w:jc w:val="both"/>
      </w:pPr>
    </w:p>
    <w:p w14:paraId="2FF95D7E" w14:textId="20DDD743" w:rsidR="00173C2E" w:rsidRDefault="00EB3BF3" w:rsidP="00173C2E">
      <w:pPr>
        <w:jc w:val="both"/>
      </w:pPr>
      <w:r>
        <w:t>Under</w:t>
      </w:r>
      <w:r w:rsidR="00173C2E">
        <w:t xml:space="preserve"> regulatory frameworks</w:t>
      </w:r>
      <w:r>
        <w:t>, biodiversity offsets</w:t>
      </w:r>
      <w:r w:rsidR="00173C2E">
        <w:t xml:space="preserve"> can be implemented either through </w:t>
      </w:r>
      <w:r w:rsidR="008D0713">
        <w:t xml:space="preserve">a) </w:t>
      </w:r>
      <w:r w:rsidR="00173C2E">
        <w:t xml:space="preserve">permittee-responsible projects, where the project proponent (i.e. the permittee or project developer) is responsible for the offset project, </w:t>
      </w:r>
      <w:r w:rsidR="008D0713">
        <w:t>b)</w:t>
      </w:r>
      <w:r w:rsidR="00173C2E">
        <w:t xml:space="preserve"> third-party offset projects, where the permittee or developer purchases a ‘credit’ from a mitigation ‘bank’ that has been established by an independent third party, or </w:t>
      </w:r>
      <w:r w:rsidR="008D0713">
        <w:t xml:space="preserve">c) </w:t>
      </w:r>
      <w:r w:rsidR="00173C2E">
        <w:t>compensation fund (also known as in-lieu fee program)</w:t>
      </w:r>
      <w:r w:rsidR="008D0713">
        <w:t xml:space="preserve"> paid into by the project proponent</w:t>
      </w:r>
      <w:r w:rsidR="00173C2E">
        <w:t>.</w:t>
      </w:r>
    </w:p>
    <w:p w14:paraId="0C84860A" w14:textId="77777777" w:rsidR="00173C2E" w:rsidRDefault="00173C2E" w:rsidP="00173C2E">
      <w:pPr>
        <w:jc w:val="both"/>
      </w:pPr>
    </w:p>
    <w:p w14:paraId="23C0A151" w14:textId="2C1009A5" w:rsidR="00173C2E" w:rsidRDefault="00173C2E" w:rsidP="00D816EA">
      <w:pPr>
        <w:jc w:val="both"/>
      </w:pPr>
      <w:r>
        <w:t>Expenditures for biodiversity offsets under financial performance standards and voluntary corporate policies are not known.  Reports indicate that few offset projects have been implemented to meet financial performance standards and voluntary corporate policy objectives, however, with only 22 offsets implemented to meet financial performance standards and 20 implemented as voluntary corporate policy initiatives as of 2018</w:t>
      </w:r>
      <w:r w:rsidR="00DA0DCE">
        <w:t xml:space="preserve"> (Bull and Strange, 2018)</w:t>
      </w:r>
      <w:r>
        <w:t>.</w:t>
      </w:r>
    </w:p>
    <w:p w14:paraId="2A86DFE4" w14:textId="77777777" w:rsidR="00173C2E" w:rsidRDefault="00173C2E" w:rsidP="00D816EA">
      <w:pPr>
        <w:jc w:val="both"/>
      </w:pPr>
    </w:p>
    <w:p w14:paraId="6C586118" w14:textId="7997E5ED" w:rsidR="00DA0DCE" w:rsidRDefault="000E2CBF" w:rsidP="00D816EA">
      <w:pPr>
        <w:jc w:val="both"/>
      </w:pPr>
      <w:r>
        <w:lastRenderedPageBreak/>
        <w:t xml:space="preserve">Deutz et al. (2020) estimated the annual offset expenditure in five of the nine countries with regulatory requirements that are actively implementing offsets (estimates were not readily available for Canada, France, Spain, and the Netherlands).  </w:t>
      </w:r>
      <w:r w:rsidR="00172E2A">
        <w:t xml:space="preserve">These estimates </w:t>
      </w:r>
      <w:proofErr w:type="gramStart"/>
      <w:r w:rsidR="00172E2A">
        <w:t>draw</w:t>
      </w:r>
      <w:proofErr w:type="gramEnd"/>
      <w:r w:rsidR="00172E2A">
        <w:t xml:space="preserve"> from a variety of studies and government reports, and report authors acknowledge that data is </w:t>
      </w:r>
      <w:r w:rsidR="00516580">
        <w:t>incomplete,</w:t>
      </w:r>
      <w:r w:rsidR="00172E2A">
        <w:t xml:space="preserve"> </w:t>
      </w:r>
      <w:r w:rsidR="00516580">
        <w:t>with</w:t>
      </w:r>
      <w:r w:rsidR="00172E2A">
        <w:t xml:space="preserve"> estimates extrapolated from available data. </w:t>
      </w:r>
      <w:r w:rsidR="00534932">
        <w:t xml:space="preserve">These expenditures are reflected in the table below. It is important to note, however, that these expenditures are classified as public-private financial flows and </w:t>
      </w:r>
      <w:r w:rsidR="00637320">
        <w:t xml:space="preserve">not disaggregated by funding </w:t>
      </w:r>
      <w:proofErr w:type="gramStart"/>
      <w:r w:rsidR="00637320">
        <w:t>source</w:t>
      </w:r>
      <w:proofErr w:type="gramEnd"/>
      <w:r w:rsidR="00534932">
        <w:t xml:space="preserve">.  </w:t>
      </w:r>
    </w:p>
    <w:p w14:paraId="489AC505" w14:textId="74852D0D" w:rsidR="00BC42EC" w:rsidRDefault="00BC42EC" w:rsidP="00D816EA">
      <w:pPr>
        <w:jc w:val="both"/>
      </w:pPr>
    </w:p>
    <w:p w14:paraId="42E767BE" w14:textId="5400EEF0" w:rsidR="00FD3E2E" w:rsidRPr="00FD3E2E" w:rsidRDefault="00FD3E2E" w:rsidP="00FD3E2E">
      <w:pPr>
        <w:pStyle w:val="Caption"/>
      </w:pPr>
      <w:r w:rsidRPr="00FD3E2E">
        <w:t xml:space="preserve">Table </w:t>
      </w:r>
      <w:fldSimple w:instr=" SEQ Table \* ARABIC ">
        <w:r w:rsidR="00540223">
          <w:rPr>
            <w:noProof/>
          </w:rPr>
          <w:t>4</w:t>
        </w:r>
      </w:fldSimple>
      <w:r w:rsidRPr="00FD3E2E">
        <w:t xml:space="preserve"> Current State of Biodiversity Offsets and Expenditures (2019)</w:t>
      </w:r>
    </w:p>
    <w:tbl>
      <w:tblPr>
        <w:tblW w:w="5900" w:type="dxa"/>
        <w:jc w:val="center"/>
        <w:tblLook w:val="04A0" w:firstRow="1" w:lastRow="0" w:firstColumn="1" w:lastColumn="0" w:noHBand="0" w:noVBand="1"/>
      </w:tblPr>
      <w:tblGrid>
        <w:gridCol w:w="2720"/>
        <w:gridCol w:w="3180"/>
      </w:tblGrid>
      <w:tr w:rsidR="00FD3E2E" w:rsidRPr="00FD3E2E" w14:paraId="2C6A3F07" w14:textId="77777777" w:rsidTr="00FD3E2E">
        <w:trPr>
          <w:trHeight w:val="624"/>
          <w:jc w:val="center"/>
        </w:trPr>
        <w:tc>
          <w:tcPr>
            <w:tcW w:w="2720" w:type="dxa"/>
            <w:tcBorders>
              <w:top w:val="single" w:sz="4" w:space="0" w:color="auto"/>
              <w:left w:val="single" w:sz="4" w:space="0" w:color="auto"/>
              <w:bottom w:val="single" w:sz="4" w:space="0" w:color="auto"/>
              <w:right w:val="single" w:sz="4" w:space="0" w:color="auto"/>
            </w:tcBorders>
            <w:shd w:val="clear" w:color="000000" w:fill="A5A5A5"/>
            <w:vAlign w:val="bottom"/>
            <w:hideMark/>
          </w:tcPr>
          <w:p w14:paraId="3C656014" w14:textId="77777777" w:rsidR="00FD3E2E" w:rsidRPr="00FD3E2E" w:rsidRDefault="00FD3E2E" w:rsidP="00FD3E2E">
            <w:pPr>
              <w:rPr>
                <w:rFonts w:ascii="Calibri" w:eastAsia="Times New Roman" w:hAnsi="Calibri" w:cs="Calibri"/>
                <w:b/>
                <w:bCs/>
                <w:color w:val="FFFFFF"/>
              </w:rPr>
            </w:pPr>
            <w:r w:rsidRPr="00FD3E2E">
              <w:rPr>
                <w:rFonts w:ascii="Calibri" w:eastAsia="Times New Roman" w:hAnsi="Calibri" w:cs="Calibri"/>
                <w:b/>
                <w:bCs/>
                <w:color w:val="FFFFFF"/>
              </w:rPr>
              <w:t>Country and Year of Estimate</w:t>
            </w:r>
          </w:p>
        </w:tc>
        <w:tc>
          <w:tcPr>
            <w:tcW w:w="3180" w:type="dxa"/>
            <w:tcBorders>
              <w:top w:val="single" w:sz="4" w:space="0" w:color="auto"/>
              <w:left w:val="nil"/>
              <w:bottom w:val="single" w:sz="4" w:space="0" w:color="auto"/>
              <w:right w:val="single" w:sz="4" w:space="0" w:color="auto"/>
            </w:tcBorders>
            <w:shd w:val="clear" w:color="000000" w:fill="A5A5A5"/>
            <w:vAlign w:val="bottom"/>
            <w:hideMark/>
          </w:tcPr>
          <w:p w14:paraId="1823B1D7" w14:textId="3D789237" w:rsidR="00FD3E2E" w:rsidRPr="00FD3E2E" w:rsidRDefault="00FD3E2E" w:rsidP="00FD3E2E">
            <w:pPr>
              <w:rPr>
                <w:rFonts w:ascii="Calibri" w:eastAsia="Times New Roman" w:hAnsi="Calibri" w:cs="Calibri"/>
                <w:b/>
                <w:bCs/>
                <w:color w:val="FFFFFF"/>
              </w:rPr>
            </w:pPr>
            <w:r w:rsidRPr="00FD3E2E">
              <w:rPr>
                <w:rFonts w:ascii="Calibri" w:eastAsia="Times New Roman" w:hAnsi="Calibri" w:cs="Calibri"/>
                <w:b/>
                <w:bCs/>
                <w:color w:val="FFFFFF"/>
              </w:rPr>
              <w:t xml:space="preserve">Annual Offset Expenditure </w:t>
            </w:r>
            <w:r w:rsidRPr="00FD3E2E">
              <w:rPr>
                <w:rFonts w:ascii="Calibri" w:eastAsia="Times New Roman" w:hAnsi="Calibri" w:cs="Calibri"/>
                <w:b/>
                <w:bCs/>
                <w:color w:val="FFFFFF"/>
              </w:rPr>
              <w:br/>
            </w:r>
            <w:r w:rsidRPr="00FD3E2E">
              <w:rPr>
                <w:rFonts w:ascii="Calibri" w:eastAsia="Times New Roman" w:hAnsi="Calibri" w:cs="Calibri"/>
                <w:b/>
                <w:bCs/>
                <w:color w:val="FFFFFF"/>
                <w:sz w:val="20"/>
                <w:szCs w:val="20"/>
              </w:rPr>
              <w:t>(USD /year, adjusted to 2019)</w:t>
            </w:r>
          </w:p>
        </w:tc>
      </w:tr>
      <w:tr w:rsidR="00FD3E2E" w:rsidRPr="00FD3E2E" w14:paraId="6AE6AFF3"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0300B2AF" w14:textId="77777777" w:rsidR="00FD3E2E" w:rsidRPr="00FD3E2E" w:rsidRDefault="00FD3E2E" w:rsidP="00FD3E2E">
            <w:pPr>
              <w:rPr>
                <w:rFonts w:ascii="Calibri" w:eastAsia="Times New Roman" w:hAnsi="Calibri" w:cs="Calibri"/>
                <w:color w:val="000000"/>
              </w:rPr>
            </w:pPr>
            <w:r w:rsidRPr="00FD3E2E">
              <w:rPr>
                <w:rFonts w:ascii="Calibri" w:eastAsia="Times New Roman" w:hAnsi="Calibri" w:cs="Calibri"/>
                <w:color w:val="000000"/>
              </w:rPr>
              <w:t>Australia (2017)</w:t>
            </w:r>
          </w:p>
        </w:tc>
        <w:tc>
          <w:tcPr>
            <w:tcW w:w="3180" w:type="dxa"/>
            <w:tcBorders>
              <w:top w:val="nil"/>
              <w:left w:val="nil"/>
              <w:bottom w:val="single" w:sz="4" w:space="0" w:color="auto"/>
              <w:right w:val="single" w:sz="4" w:space="0" w:color="auto"/>
            </w:tcBorders>
            <w:shd w:val="clear" w:color="auto" w:fill="auto"/>
            <w:noWrap/>
            <w:vAlign w:val="bottom"/>
            <w:hideMark/>
          </w:tcPr>
          <w:p w14:paraId="4CD38D75" w14:textId="31363497" w:rsidR="00FD3E2E" w:rsidRPr="00FD3E2E" w:rsidRDefault="00272356" w:rsidP="00FD3E2E">
            <w:pPr>
              <w:jc w:val="right"/>
              <w:rPr>
                <w:rFonts w:ascii="Calibri" w:eastAsia="Times New Roman" w:hAnsi="Calibri" w:cs="Calibri"/>
                <w:color w:val="000000"/>
              </w:rPr>
            </w:pPr>
            <w:r>
              <w:rPr>
                <w:rFonts w:ascii="Calibri" w:eastAsia="Times New Roman" w:hAnsi="Calibri" w:cs="Calibri"/>
                <w:color w:val="000000"/>
              </w:rPr>
              <w:t>7 million</w:t>
            </w:r>
          </w:p>
        </w:tc>
      </w:tr>
      <w:tr w:rsidR="00FD3E2E" w:rsidRPr="00FD3E2E" w14:paraId="08FE2884"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2EF8E415" w14:textId="77777777" w:rsidR="00FD3E2E" w:rsidRPr="00FD3E2E" w:rsidRDefault="00FD3E2E" w:rsidP="00FD3E2E">
            <w:pPr>
              <w:rPr>
                <w:rFonts w:ascii="Calibri" w:eastAsia="Times New Roman" w:hAnsi="Calibri" w:cs="Calibri"/>
                <w:color w:val="000000"/>
              </w:rPr>
            </w:pPr>
            <w:r w:rsidRPr="00FD3E2E">
              <w:rPr>
                <w:rFonts w:ascii="Calibri" w:eastAsia="Times New Roman" w:hAnsi="Calibri" w:cs="Calibri"/>
                <w:color w:val="000000"/>
              </w:rPr>
              <w:t>Brazil (2016)</w:t>
            </w:r>
          </w:p>
        </w:tc>
        <w:tc>
          <w:tcPr>
            <w:tcW w:w="3180" w:type="dxa"/>
            <w:tcBorders>
              <w:top w:val="nil"/>
              <w:left w:val="nil"/>
              <w:bottom w:val="single" w:sz="4" w:space="0" w:color="auto"/>
              <w:right w:val="single" w:sz="4" w:space="0" w:color="auto"/>
            </w:tcBorders>
            <w:shd w:val="clear" w:color="auto" w:fill="auto"/>
            <w:noWrap/>
            <w:vAlign w:val="bottom"/>
            <w:hideMark/>
          </w:tcPr>
          <w:p w14:paraId="1D52B533" w14:textId="73E66C32" w:rsidR="00FD3E2E" w:rsidRPr="00FD3E2E" w:rsidRDefault="00272356" w:rsidP="00FD3E2E">
            <w:pPr>
              <w:jc w:val="right"/>
              <w:rPr>
                <w:rFonts w:ascii="Calibri" w:eastAsia="Times New Roman" w:hAnsi="Calibri" w:cs="Calibri"/>
                <w:color w:val="000000"/>
              </w:rPr>
            </w:pPr>
            <w:r>
              <w:rPr>
                <w:rFonts w:ascii="Calibri" w:eastAsia="Times New Roman" w:hAnsi="Calibri" w:cs="Calibri"/>
                <w:color w:val="000000"/>
              </w:rPr>
              <w:t>4 million</w:t>
            </w:r>
          </w:p>
        </w:tc>
      </w:tr>
      <w:tr w:rsidR="00FD3E2E" w:rsidRPr="00FD3E2E" w14:paraId="59345A97"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19651244" w14:textId="77777777" w:rsidR="00FD3E2E" w:rsidRPr="00FD3E2E" w:rsidRDefault="00FD3E2E" w:rsidP="00FD3E2E">
            <w:pPr>
              <w:rPr>
                <w:rFonts w:ascii="Calibri" w:eastAsia="Times New Roman" w:hAnsi="Calibri" w:cs="Calibri"/>
                <w:color w:val="000000"/>
              </w:rPr>
            </w:pPr>
            <w:r w:rsidRPr="00FD3E2E">
              <w:rPr>
                <w:rFonts w:ascii="Calibri" w:eastAsia="Times New Roman" w:hAnsi="Calibri" w:cs="Calibri"/>
                <w:color w:val="000000"/>
              </w:rPr>
              <w:t>Germany (2010)</w:t>
            </w:r>
          </w:p>
        </w:tc>
        <w:tc>
          <w:tcPr>
            <w:tcW w:w="3180" w:type="dxa"/>
            <w:tcBorders>
              <w:top w:val="nil"/>
              <w:left w:val="nil"/>
              <w:bottom w:val="single" w:sz="4" w:space="0" w:color="auto"/>
              <w:right w:val="single" w:sz="4" w:space="0" w:color="auto"/>
            </w:tcBorders>
            <w:shd w:val="clear" w:color="auto" w:fill="auto"/>
            <w:noWrap/>
            <w:vAlign w:val="bottom"/>
            <w:hideMark/>
          </w:tcPr>
          <w:p w14:paraId="557A8B06" w14:textId="1AD00433" w:rsidR="00FD3E2E" w:rsidRPr="00FD3E2E" w:rsidRDefault="00272356" w:rsidP="00FD3E2E">
            <w:pPr>
              <w:jc w:val="right"/>
              <w:rPr>
                <w:rFonts w:ascii="Calibri" w:eastAsia="Times New Roman" w:hAnsi="Calibri" w:cs="Calibri"/>
                <w:color w:val="000000"/>
              </w:rPr>
            </w:pPr>
            <w:r>
              <w:rPr>
                <w:rFonts w:ascii="Calibri" w:eastAsia="Times New Roman" w:hAnsi="Calibri" w:cs="Calibri"/>
                <w:color w:val="000000"/>
              </w:rPr>
              <w:t>1400-4400 million</w:t>
            </w:r>
          </w:p>
        </w:tc>
      </w:tr>
      <w:tr w:rsidR="00FD3E2E" w:rsidRPr="00FD3E2E" w14:paraId="5040A951"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488444E5" w14:textId="77777777" w:rsidR="00FD3E2E" w:rsidRPr="00FD3E2E" w:rsidRDefault="00FD3E2E" w:rsidP="00FD3E2E">
            <w:pPr>
              <w:rPr>
                <w:rFonts w:ascii="Calibri" w:eastAsia="Times New Roman" w:hAnsi="Calibri" w:cs="Calibri"/>
                <w:color w:val="000000"/>
              </w:rPr>
            </w:pPr>
            <w:r w:rsidRPr="00FD3E2E">
              <w:rPr>
                <w:rFonts w:ascii="Calibri" w:eastAsia="Times New Roman" w:hAnsi="Calibri" w:cs="Calibri"/>
                <w:color w:val="000000"/>
              </w:rPr>
              <w:t>Mexico (2011)</w:t>
            </w:r>
          </w:p>
        </w:tc>
        <w:tc>
          <w:tcPr>
            <w:tcW w:w="3180" w:type="dxa"/>
            <w:tcBorders>
              <w:top w:val="nil"/>
              <w:left w:val="nil"/>
              <w:bottom w:val="single" w:sz="4" w:space="0" w:color="auto"/>
              <w:right w:val="single" w:sz="4" w:space="0" w:color="auto"/>
            </w:tcBorders>
            <w:shd w:val="clear" w:color="auto" w:fill="auto"/>
            <w:noWrap/>
            <w:vAlign w:val="bottom"/>
            <w:hideMark/>
          </w:tcPr>
          <w:p w14:paraId="1553F091" w14:textId="4E58BDDC" w:rsidR="00FD3E2E" w:rsidRPr="00FD3E2E" w:rsidRDefault="00272356" w:rsidP="00FD3E2E">
            <w:pPr>
              <w:jc w:val="right"/>
              <w:rPr>
                <w:rFonts w:ascii="Calibri" w:eastAsia="Times New Roman" w:hAnsi="Calibri" w:cs="Calibri"/>
                <w:color w:val="000000"/>
              </w:rPr>
            </w:pPr>
            <w:r>
              <w:rPr>
                <w:rFonts w:ascii="Calibri" w:eastAsia="Times New Roman" w:hAnsi="Calibri" w:cs="Calibri"/>
                <w:color w:val="000000"/>
              </w:rPr>
              <w:t>80 million</w:t>
            </w:r>
          </w:p>
        </w:tc>
      </w:tr>
      <w:tr w:rsidR="00FD3E2E" w:rsidRPr="00FD3E2E" w14:paraId="7C8E7892"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5BAC5C92" w14:textId="77777777" w:rsidR="00FD3E2E" w:rsidRPr="00FD3E2E" w:rsidRDefault="00FD3E2E" w:rsidP="00FD3E2E">
            <w:pPr>
              <w:rPr>
                <w:rFonts w:ascii="Calibri" w:eastAsia="Times New Roman" w:hAnsi="Calibri" w:cs="Calibri"/>
                <w:color w:val="000000"/>
              </w:rPr>
            </w:pPr>
            <w:r w:rsidRPr="00FD3E2E">
              <w:rPr>
                <w:rFonts w:ascii="Calibri" w:eastAsia="Times New Roman" w:hAnsi="Calibri" w:cs="Calibri"/>
                <w:color w:val="000000"/>
              </w:rPr>
              <w:t>United States (2007, 2017)</w:t>
            </w:r>
          </w:p>
        </w:tc>
        <w:tc>
          <w:tcPr>
            <w:tcW w:w="3180" w:type="dxa"/>
            <w:tcBorders>
              <w:top w:val="nil"/>
              <w:left w:val="nil"/>
              <w:bottom w:val="single" w:sz="4" w:space="0" w:color="auto"/>
              <w:right w:val="single" w:sz="4" w:space="0" w:color="auto"/>
            </w:tcBorders>
            <w:shd w:val="clear" w:color="auto" w:fill="auto"/>
            <w:noWrap/>
            <w:vAlign w:val="bottom"/>
            <w:hideMark/>
          </w:tcPr>
          <w:p w14:paraId="7E682633" w14:textId="424B417D" w:rsidR="00FD3E2E" w:rsidRPr="00FD3E2E" w:rsidRDefault="00FD3E2E" w:rsidP="00FD3E2E">
            <w:pPr>
              <w:jc w:val="right"/>
              <w:rPr>
                <w:rFonts w:ascii="Calibri" w:eastAsia="Times New Roman" w:hAnsi="Calibri" w:cs="Calibri"/>
                <w:color w:val="000000"/>
              </w:rPr>
            </w:pPr>
            <w:r w:rsidRPr="00FD3E2E">
              <w:rPr>
                <w:rFonts w:ascii="Calibri" w:eastAsia="Times New Roman" w:hAnsi="Calibri" w:cs="Calibri"/>
                <w:color w:val="000000"/>
              </w:rPr>
              <w:t>4</w:t>
            </w:r>
            <w:r w:rsidR="00272356">
              <w:rPr>
                <w:rFonts w:ascii="Calibri" w:eastAsia="Times New Roman" w:hAnsi="Calibri" w:cs="Calibri"/>
                <w:color w:val="000000"/>
              </w:rPr>
              <w:t>,800 million</w:t>
            </w:r>
          </w:p>
        </w:tc>
      </w:tr>
      <w:tr w:rsidR="00FD3E2E" w:rsidRPr="00FD3E2E" w14:paraId="52424AD4" w14:textId="77777777" w:rsidTr="00FD3E2E">
        <w:trPr>
          <w:trHeight w:val="312"/>
          <w:jc w:val="center"/>
        </w:trPr>
        <w:tc>
          <w:tcPr>
            <w:tcW w:w="2720" w:type="dxa"/>
            <w:tcBorders>
              <w:top w:val="nil"/>
              <w:left w:val="single" w:sz="4" w:space="0" w:color="auto"/>
              <w:bottom w:val="single" w:sz="4" w:space="0" w:color="auto"/>
              <w:right w:val="single" w:sz="4" w:space="0" w:color="auto"/>
            </w:tcBorders>
            <w:shd w:val="clear" w:color="000000" w:fill="A5A5A5"/>
            <w:noWrap/>
            <w:vAlign w:val="bottom"/>
            <w:hideMark/>
          </w:tcPr>
          <w:p w14:paraId="00B47799" w14:textId="77777777" w:rsidR="00FD3E2E" w:rsidRPr="00FD3E2E" w:rsidRDefault="00FD3E2E" w:rsidP="00FD3E2E">
            <w:pPr>
              <w:rPr>
                <w:rFonts w:ascii="Calibri" w:eastAsia="Times New Roman" w:hAnsi="Calibri" w:cs="Calibri"/>
                <w:b/>
                <w:bCs/>
                <w:color w:val="FFFFFF"/>
              </w:rPr>
            </w:pPr>
            <w:r w:rsidRPr="00FD3E2E">
              <w:rPr>
                <w:rFonts w:ascii="Calibri" w:eastAsia="Times New Roman" w:hAnsi="Calibri" w:cs="Calibri"/>
                <w:b/>
                <w:bCs/>
                <w:color w:val="FFFFFF"/>
              </w:rPr>
              <w:t>Total</w:t>
            </w:r>
          </w:p>
        </w:tc>
        <w:tc>
          <w:tcPr>
            <w:tcW w:w="3180" w:type="dxa"/>
            <w:tcBorders>
              <w:top w:val="nil"/>
              <w:left w:val="nil"/>
              <w:bottom w:val="single" w:sz="4" w:space="0" w:color="auto"/>
              <w:right w:val="single" w:sz="4" w:space="0" w:color="auto"/>
            </w:tcBorders>
            <w:shd w:val="clear" w:color="000000" w:fill="A5A5A5"/>
            <w:noWrap/>
            <w:vAlign w:val="bottom"/>
            <w:hideMark/>
          </w:tcPr>
          <w:p w14:paraId="265CD41E" w14:textId="576E6194" w:rsidR="00FD3E2E" w:rsidRPr="00FD3E2E" w:rsidRDefault="00FD3E2E" w:rsidP="00FD3E2E">
            <w:pPr>
              <w:jc w:val="right"/>
              <w:rPr>
                <w:rFonts w:ascii="Calibri" w:eastAsia="Times New Roman" w:hAnsi="Calibri" w:cs="Calibri"/>
                <w:b/>
                <w:bCs/>
                <w:color w:val="FFFFFF"/>
              </w:rPr>
            </w:pPr>
            <w:r w:rsidRPr="00FD3E2E">
              <w:rPr>
                <w:rFonts w:ascii="Calibri" w:eastAsia="Times New Roman" w:hAnsi="Calibri" w:cs="Calibri"/>
                <w:b/>
                <w:bCs/>
                <w:color w:val="FFFFFF"/>
              </w:rPr>
              <w:t>6.3-9.2</w:t>
            </w:r>
            <w:r w:rsidR="00272356">
              <w:rPr>
                <w:rFonts w:ascii="Calibri" w:eastAsia="Times New Roman" w:hAnsi="Calibri" w:cs="Calibri"/>
                <w:b/>
                <w:bCs/>
                <w:color w:val="FFFFFF"/>
              </w:rPr>
              <w:t xml:space="preserve"> billion</w:t>
            </w:r>
          </w:p>
        </w:tc>
      </w:tr>
    </w:tbl>
    <w:p w14:paraId="341E3C91" w14:textId="2BC89713" w:rsidR="00BC42EC" w:rsidRPr="003B67FE" w:rsidRDefault="00FD3E2E" w:rsidP="00FD3E2E">
      <w:pPr>
        <w:ind w:left="1710"/>
        <w:rPr>
          <w:i/>
          <w:iCs/>
        </w:rPr>
      </w:pPr>
      <w:r w:rsidRPr="003B67FE">
        <w:rPr>
          <w:i/>
          <w:iCs/>
        </w:rPr>
        <w:t>Source: Deutz et al. (20</w:t>
      </w:r>
      <w:r w:rsidR="003B67FE">
        <w:rPr>
          <w:i/>
          <w:iCs/>
        </w:rPr>
        <w:t>20</w:t>
      </w:r>
      <w:r w:rsidRPr="003B67FE">
        <w:rPr>
          <w:i/>
          <w:iCs/>
        </w:rPr>
        <w:t>)</w:t>
      </w:r>
    </w:p>
    <w:p w14:paraId="44355AD6" w14:textId="77777777" w:rsidR="00227B63" w:rsidRDefault="00227B63" w:rsidP="00D816EA">
      <w:pPr>
        <w:jc w:val="both"/>
      </w:pPr>
    </w:p>
    <w:p w14:paraId="4DE6984E" w14:textId="7D31ACFA" w:rsidR="00063C72" w:rsidRDefault="00C046A5" w:rsidP="00D816EA">
      <w:pPr>
        <w:jc w:val="both"/>
      </w:pPr>
      <w:r>
        <w:t>In 2017, Ecosystem Marketplace, an initiative of the nonprofit Forest Trends, released a report on the State of Biodiversity Mitigation: Markets and Compensation for Global Infrastructure Development, based on information supplied by participants in a market survey</w:t>
      </w:r>
      <w:r w:rsidR="00DA0DCE">
        <w:t xml:space="preserve"> (Bennett et al., 2017)</w:t>
      </w:r>
      <w:r>
        <w:t>.</w:t>
      </w:r>
      <w:r w:rsidR="00DA0DCE">
        <w:t xml:space="preserve"> </w:t>
      </w:r>
      <w:r w:rsidR="003E5D2A">
        <w:t>The</w:t>
      </w:r>
      <w:r w:rsidR="00173C2E">
        <w:t xml:space="preserve"> report estimates that </w:t>
      </w:r>
      <w:r w:rsidR="00EB2C59">
        <w:t xml:space="preserve">the global value of compliance and voluntary projects for biodiversity offsets and compensation activity amounted to USD 2.6 and 7.3 billion in 2016.  </w:t>
      </w:r>
      <w:r w:rsidR="003E5D2A">
        <w:t>This figure, however, accounts for both private and public sector expenditures in offsets and compensatory mitigation.</w:t>
      </w:r>
      <w:r w:rsidR="00172E2A">
        <w:t xml:space="preserve"> The report estimates that </w:t>
      </w:r>
      <w:r w:rsidR="00A94F9B">
        <w:t>nearly two-thirds (</w:t>
      </w:r>
      <w:r w:rsidR="00172E2A">
        <w:t>63 percent</w:t>
      </w:r>
      <w:r w:rsidR="00A94F9B">
        <w:t>)</w:t>
      </w:r>
      <w:r w:rsidR="00172E2A">
        <w:t xml:space="preserve"> </w:t>
      </w:r>
      <w:r w:rsidR="00A94F9B">
        <w:t xml:space="preserve">of the costs of these conservation efforts were paid by </w:t>
      </w:r>
      <w:r w:rsidR="00172E2A">
        <w:t>the private sector, with the remaining from the public sector.  The top buyers were transportation and shipping (public sector), property and real estate developers, energy developers (both production, generation, and distribution), and mining and materials.</w:t>
      </w:r>
      <w:r w:rsidR="00A94F9B">
        <w:t xml:space="preserve">  The private sector plays an important role on both the demand side (through regulatory requirements), and the supply side </w:t>
      </w:r>
      <w:r w:rsidR="009B49F9">
        <w:t xml:space="preserve">as </w:t>
      </w:r>
      <w:r w:rsidR="00A94F9B">
        <w:t xml:space="preserve">mitigation banking </w:t>
      </w:r>
      <w:r w:rsidR="009B49F9">
        <w:t xml:space="preserve">investors. </w:t>
      </w:r>
    </w:p>
    <w:p w14:paraId="5D87F2D5" w14:textId="437BB6DC" w:rsidR="00A94F9B" w:rsidRDefault="00A94F9B" w:rsidP="00D816EA">
      <w:pPr>
        <w:jc w:val="both"/>
      </w:pPr>
    </w:p>
    <w:p w14:paraId="7C22FBD2" w14:textId="6D078BA4" w:rsidR="00A94F9B" w:rsidRDefault="00A94F9B" w:rsidP="00D816EA">
      <w:pPr>
        <w:jc w:val="both"/>
      </w:pPr>
      <w:r>
        <w:t xml:space="preserve">This report provides estimates of compensatory mitigation by third parties, including through financial compensation and </w:t>
      </w:r>
      <w:proofErr w:type="gramStart"/>
      <w:r>
        <w:t>mitigation banking</w:t>
      </w:r>
      <w:proofErr w:type="gramEnd"/>
      <w:r w:rsidR="009B49F9">
        <w:t xml:space="preserve">.  Information on permittee-responsible offsets is </w:t>
      </w:r>
      <w:r w:rsidR="00516580">
        <w:t>lacking yet</w:t>
      </w:r>
      <w:r w:rsidR="009B49F9">
        <w:t xml:space="preserve"> </w:t>
      </w:r>
      <w:proofErr w:type="gramStart"/>
      <w:r w:rsidR="009B49F9">
        <w:t>comprise</w:t>
      </w:r>
      <w:proofErr w:type="gramEnd"/>
      <w:r w:rsidR="009B49F9">
        <w:t xml:space="preserve"> a vast majority of the overall global compensatory mitigation activity (above 90 percent).  </w:t>
      </w:r>
      <w:r w:rsidR="00066D9A">
        <w:t xml:space="preserve">While </w:t>
      </w:r>
      <w:r w:rsidR="00516580">
        <w:t>public registries</w:t>
      </w:r>
      <w:r w:rsidR="00066D9A">
        <w:t xml:space="preserve"> tracking project data and transactions for third party mitigation are now largely available for compliance mitigation banking and financial compensation systems, </w:t>
      </w:r>
      <w:r w:rsidR="009B49F9">
        <w:t xml:space="preserve">permittee-responsible offsets operate with less public transparency </w:t>
      </w:r>
      <w:r w:rsidR="00FC5B27">
        <w:t xml:space="preserve">and </w:t>
      </w:r>
      <w:r w:rsidR="009B49F9">
        <w:t>transaction</w:t>
      </w:r>
      <w:r w:rsidR="00FC5B27">
        <w:t>s</w:t>
      </w:r>
      <w:r w:rsidR="009B49F9">
        <w:t xml:space="preserve"> are simply unavailable. </w:t>
      </w:r>
      <w:r w:rsidR="00066D9A">
        <w:t xml:space="preserve">In addition, the report cites that </w:t>
      </w:r>
      <w:r w:rsidR="00FC5B27">
        <w:t xml:space="preserve">while financial compensation funds </w:t>
      </w:r>
      <w:r w:rsidR="00FC5B27" w:rsidRPr="00FC5B27">
        <w:rPr>
          <w:i/>
          <w:iCs/>
        </w:rPr>
        <w:t xml:space="preserve">collected </w:t>
      </w:r>
      <w:r w:rsidR="00FC5B27">
        <w:t xml:space="preserve">over USD 1 billion in 2016, data on compensation fund expenditures was difficult to obtain, and a number of these funds have yet to spend the funds </w:t>
      </w:r>
      <w:r w:rsidR="00FC5B27">
        <w:lastRenderedPageBreak/>
        <w:t>collected, despite the negative impacts to biodiversity having already occurred.</w:t>
      </w:r>
      <w:r w:rsidR="00DA0DCE">
        <w:t>, (Bennet et all, 2017, p. 19).</w:t>
      </w:r>
    </w:p>
    <w:p w14:paraId="4AF7E77C" w14:textId="299E4DD2" w:rsidR="00046FEA" w:rsidRDefault="00046FEA" w:rsidP="00D56B3E">
      <w:pPr>
        <w:tabs>
          <w:tab w:val="left" w:pos="6347"/>
        </w:tabs>
        <w:jc w:val="both"/>
      </w:pPr>
    </w:p>
    <w:p w14:paraId="07920347" w14:textId="5FD57C61" w:rsidR="00046FEA" w:rsidRDefault="00172E2A" w:rsidP="00D816EA">
      <w:pPr>
        <w:jc w:val="both"/>
      </w:pPr>
      <w:r>
        <w:t xml:space="preserve">In addition to these reports that draw on </w:t>
      </w:r>
      <w:r w:rsidR="00D56B3E">
        <w:t>survey data, there are efforts underway at the</w:t>
      </w:r>
      <w:r w:rsidR="00884CE9">
        <w:t xml:space="preserve"> </w:t>
      </w:r>
      <w:r w:rsidR="00046FEA">
        <w:t>OECD</w:t>
      </w:r>
      <w:r w:rsidR="00D56B3E">
        <w:t xml:space="preserve"> to expand reporting to the</w:t>
      </w:r>
      <w:r w:rsidR="00046FEA">
        <w:t xml:space="preserve"> Policy Instruments for the Environment (PINE) database</w:t>
      </w:r>
      <w:r w:rsidR="00D56B3E">
        <w:t>.  The OECD</w:t>
      </w:r>
      <w:r w:rsidR="00046FEA">
        <w:t xml:space="preserve"> has </w:t>
      </w:r>
      <w:r w:rsidR="008C77EC">
        <w:t>recently</w:t>
      </w:r>
      <w:r w:rsidR="00046FEA">
        <w:t xml:space="preserve"> introduced </w:t>
      </w:r>
      <w:r w:rsidR="004B3F2C">
        <w:t xml:space="preserve">the option for </w:t>
      </w:r>
      <w:r w:rsidR="00046FEA">
        <w:t xml:space="preserve">national governments to report on whether they have </w:t>
      </w:r>
      <w:r w:rsidR="00884CE9">
        <w:t xml:space="preserve">a regulatory framework in place for </w:t>
      </w:r>
      <w:r w:rsidR="00046FEA">
        <w:t xml:space="preserve">biodiversity offsets domestically. </w:t>
      </w:r>
      <w:r w:rsidR="004B3F2C">
        <w:t xml:space="preserve">  In 2020/21, the OECD disseminated a survey to around 50 countries to collect data on biodiversity offsets for the first time, with 25 countries responding.  The PINE database will soon be updated with this information, but very few countries provided data on the finance mobilized by </w:t>
      </w:r>
      <w:proofErr w:type="gramStart"/>
      <w:r w:rsidR="004B3F2C">
        <w:t>these biodiversity</w:t>
      </w:r>
      <w:proofErr w:type="gramEnd"/>
      <w:r w:rsidR="004B3F2C">
        <w:t xml:space="preserve"> offset policies.  Should reporting improve, the OECD PINE database may be a source of information for countries to draw from to report on this policy instrument.  </w:t>
      </w:r>
    </w:p>
    <w:p w14:paraId="1C118A21" w14:textId="67ECD540" w:rsidR="00FE309E" w:rsidRDefault="00FE309E" w:rsidP="00D816EA">
      <w:pPr>
        <w:jc w:val="both"/>
      </w:pPr>
    </w:p>
    <w:p w14:paraId="07F184CC" w14:textId="7C5A9052" w:rsidR="00727C08" w:rsidRDefault="00727C08" w:rsidP="00D816EA">
      <w:pPr>
        <w:jc w:val="both"/>
      </w:pPr>
    </w:p>
    <w:p w14:paraId="7526283D" w14:textId="2ECC01E1" w:rsidR="0005506B" w:rsidRDefault="004B3F2C" w:rsidP="00D816EA">
      <w:pPr>
        <w:jc w:val="both"/>
      </w:pPr>
      <w:r w:rsidRPr="004B3F2C">
        <w:rPr>
          <w:b/>
          <w:bCs/>
        </w:rPr>
        <w:t>Limitations.</w:t>
      </w:r>
      <w:r>
        <w:t xml:space="preserve">  No </w:t>
      </w:r>
      <w:r w:rsidR="008B6F1A">
        <w:t xml:space="preserve">public </w:t>
      </w:r>
      <w:r>
        <w:t>dataset exists to measure expenditures on biodiversity offsets and compensatory mitigation programs</w:t>
      </w:r>
      <w:r w:rsidR="008B6F1A">
        <w:t xml:space="preserve"> at the national level</w:t>
      </w:r>
      <w:r>
        <w:t xml:space="preserve">, and due to confidentiality concern with market participants, it is unlikely that market participants would be willing to provide that information.  In addition, while a </w:t>
      </w:r>
      <w:r w:rsidR="00CF03B5">
        <w:t>number</w:t>
      </w:r>
      <w:r>
        <w:t xml:space="preserve"> of these programs </w:t>
      </w:r>
      <w:r w:rsidR="00CF03B5">
        <w:t>are national</w:t>
      </w:r>
      <w:r>
        <w:t xml:space="preserve">, the remainder operate </w:t>
      </w:r>
      <w:proofErr w:type="gramStart"/>
      <w:r>
        <w:t>a the</w:t>
      </w:r>
      <w:proofErr w:type="gramEnd"/>
      <w:r>
        <w:t xml:space="preserve"> regional, state, provincial, or community level.  Thus, establishing a national reporting framework that collects all expenditures in these national and subnational programs may be challenging.  In addition, the public and private sector participates in these markets as infrastructure developers, and any data collection on transaction values would need to be disaggregated to avoid double counting.  </w:t>
      </w:r>
      <w:r w:rsidR="00643673">
        <w:t>In addition, for countries with funds for financial compensation, caution must be exercised to avoid double counting with public expenditures</w:t>
      </w:r>
      <w:r w:rsidR="00CF03B5">
        <w:t xml:space="preserve"> of these funds</w:t>
      </w:r>
      <w:r w:rsidR="00643673">
        <w:t xml:space="preserve">. </w:t>
      </w:r>
    </w:p>
    <w:p w14:paraId="326011B0" w14:textId="77777777" w:rsidR="00637320" w:rsidRDefault="00637320" w:rsidP="00D816EA">
      <w:pPr>
        <w:jc w:val="both"/>
      </w:pPr>
    </w:p>
    <w:p w14:paraId="28C084B0" w14:textId="2393A7A9" w:rsidR="00637320" w:rsidRDefault="00637320" w:rsidP="00D816EA">
      <w:pPr>
        <w:jc w:val="both"/>
      </w:pPr>
      <w:r w:rsidRPr="00637320">
        <w:rPr>
          <w:b/>
          <w:bCs/>
        </w:rPr>
        <w:t>Opportunity for reporting.</w:t>
      </w:r>
      <w:r>
        <w:t xml:space="preserve">  As reporting </w:t>
      </w:r>
      <w:r w:rsidR="008D0713">
        <w:t xml:space="preserve">coverage </w:t>
      </w:r>
      <w:r>
        <w:t xml:space="preserve">improves, the OECD PINE database </w:t>
      </w:r>
      <w:r w:rsidR="00B82261">
        <w:t>may serve as</w:t>
      </w:r>
      <w:r>
        <w:t xml:space="preserve"> an important source of information to report on private expenditures for biodiversity offset</w:t>
      </w:r>
      <w:r w:rsidR="00B82261">
        <w:t>s and other economic instruments</w:t>
      </w:r>
      <w:r>
        <w:t xml:space="preserve">.  The database offers a structured, harmonized approach </w:t>
      </w:r>
      <w:r w:rsidR="008D0713">
        <w:t>to collecting quantitative and qualitative information at the national level.  The database could be modified to distinguish between compliance and voluntary programs. For countries with compliance programs, the PINE database could further distinguish private sector payments into public compensation funds (e.g. through in-lieu fee programs) from funding to purchase compliance credits</w:t>
      </w:r>
      <w:r w:rsidR="000236CF">
        <w:t xml:space="preserve"> through markets</w:t>
      </w:r>
      <w:r w:rsidR="008D0713">
        <w:t xml:space="preserve">.  This distinction is important to capture as funding received by public compensation funds would </w:t>
      </w:r>
      <w:r w:rsidR="00BB7FA7">
        <w:t xml:space="preserve">not be considered private funding for </w:t>
      </w:r>
      <w:proofErr w:type="gramStart"/>
      <w:r w:rsidR="00BB7FA7">
        <w:t>biodiversity, and</w:t>
      </w:r>
      <w:proofErr w:type="gramEnd"/>
      <w:r w:rsidR="00BB7FA7">
        <w:t xml:space="preserve"> would only be considered public funding</w:t>
      </w:r>
      <w:r w:rsidR="008D0713">
        <w:t xml:space="preserve"> </w:t>
      </w:r>
      <w:r w:rsidR="00BB7FA7">
        <w:t xml:space="preserve">for biodiversity if those funds are expended on biodiversity (and captured through the D.2 headline indicator). </w:t>
      </w:r>
      <w:r w:rsidR="000236CF">
        <w:t xml:space="preserve">It is recommended that reporting on private funding for biodiversity offsets should be distinct from reporting on other biodiversity-related funding mechanisms, as investments in these offset markets are driven by compliance obligations to offset an adverse impact to biodiversity, and do not result in a net-positive biodiversity outcome.  In fact, it is recommended that private funding is disaggregated across all funding mechanisms to more accurately track trends and outcomes over time.  </w:t>
      </w:r>
    </w:p>
    <w:p w14:paraId="0C43D3DF" w14:textId="7A7636B0" w:rsidR="00046FEA" w:rsidRDefault="00046FEA" w:rsidP="00D816EA">
      <w:pPr>
        <w:jc w:val="both"/>
      </w:pPr>
    </w:p>
    <w:p w14:paraId="60F7F22B" w14:textId="26180CAA" w:rsidR="00046FEA" w:rsidRDefault="00A96798" w:rsidP="002C2E11">
      <w:pPr>
        <w:pStyle w:val="Heading2"/>
      </w:pPr>
      <w:r w:rsidRPr="00A96798">
        <w:lastRenderedPageBreak/>
        <w:t>Forest and Land Use Carbon Finance</w:t>
      </w:r>
      <w:r>
        <w:t xml:space="preserve">   </w:t>
      </w:r>
    </w:p>
    <w:p w14:paraId="0DCDEED1" w14:textId="304F7F27" w:rsidR="00A4073E" w:rsidRDefault="00A4073E" w:rsidP="00A4073E"/>
    <w:p w14:paraId="74CDC0A0" w14:textId="6648596E" w:rsidR="00A4073E" w:rsidRPr="00A4073E" w:rsidRDefault="00A4073E" w:rsidP="00F63B97">
      <w:pPr>
        <w:jc w:val="both"/>
      </w:pPr>
      <w:r>
        <w:t>Recent estimates of biodiversity-related climate finance have drawn from studies by Ecosystem Marketplace that assess the market value of forest and land use projects in voluntary and compliance markets</w:t>
      </w:r>
      <w:r w:rsidR="00F63B97">
        <w:t xml:space="preserve">, along with disbursements for non-market REDD+ funding (reducing emissions from deforestation and forest degradation). </w:t>
      </w:r>
    </w:p>
    <w:p w14:paraId="39C1D73E" w14:textId="5C6B425C" w:rsidR="002C2E11" w:rsidRDefault="002C2E11" w:rsidP="002C2E11"/>
    <w:p w14:paraId="19DD9F49" w14:textId="6D324E47" w:rsidR="002C2E11" w:rsidRDefault="00117148" w:rsidP="00C13CC7">
      <w:pPr>
        <w:jc w:val="both"/>
      </w:pPr>
      <w:r>
        <w:t>For nearly 20 years, E</w:t>
      </w:r>
      <w:r w:rsidR="00A4073E">
        <w:t>cosystem Marketplace, a non-profit initiative of Forest Trends,</w:t>
      </w:r>
      <w:r>
        <w:t xml:space="preserve"> has been conducting an annual assessment of voluntary carbon markets through a standardized reporting and transparency platform, with data disclosed by a growing network of project developers, investors, and intermediaries across the globe.  EM’s flagship report, the State of the Voluntary Carbon Markets, reports on carbon credit trends including pricing, volumes, project types, buyers and sellers.  EM maintains a database of voluntary disclosures from over 270 respondents with both nature-based and technological carbon projects in over 100 countries.  Information on project registrations, credit issuances and retirements come from the major registries including ACR, Clean Development Mechanism, Climate Action Reserve, Gold Standard, Verra’s V</w:t>
      </w:r>
      <w:r w:rsidR="00275E20">
        <w:t>erified</w:t>
      </w:r>
      <w:r>
        <w:t xml:space="preserve"> Carbon Standard, and other registries</w:t>
      </w:r>
      <w:r w:rsidR="008643F0">
        <w:t xml:space="preserve"> (</w:t>
      </w:r>
      <w:r w:rsidR="008643F0" w:rsidRPr="008643F0">
        <w:t>Forest Trends’ Ecosystem Marketplace</w:t>
      </w:r>
      <w:r w:rsidR="008643F0">
        <w:t xml:space="preserve">, </w:t>
      </w:r>
      <w:r w:rsidR="008643F0" w:rsidRPr="008643F0">
        <w:t>2023</w:t>
      </w:r>
      <w:r w:rsidR="008643F0">
        <w:t>)</w:t>
      </w:r>
    </w:p>
    <w:p w14:paraId="198C0F20" w14:textId="37A5A73C" w:rsidR="001436AF" w:rsidRDefault="001436AF" w:rsidP="00C13CC7">
      <w:pPr>
        <w:jc w:val="both"/>
      </w:pPr>
    </w:p>
    <w:p w14:paraId="690D6C28" w14:textId="42912DA6" w:rsidR="001436AF" w:rsidRDefault="001436AF" w:rsidP="00C13CC7">
      <w:pPr>
        <w:jc w:val="both"/>
      </w:pPr>
      <w:r>
        <w:t xml:space="preserve">The annual survey monitors trends in VCM transactions for credits that have been certified with “beyond-carbon” environmental and social benefits associated with the VCM project. </w:t>
      </w:r>
      <w:proofErr w:type="gramStart"/>
      <w:r>
        <w:t>A number of</w:t>
      </w:r>
      <w:proofErr w:type="gramEnd"/>
      <w:r>
        <w:t xml:space="preserve"> carbon credit standards are responding to buyer interest in forest and landscape carbon credits that provide these co-benefits and align with the Sustainable Development </w:t>
      </w:r>
      <w:r w:rsidR="00516580">
        <w:t>Goals and</w:t>
      </w:r>
      <w:r>
        <w:t xml:space="preserve"> are willing to pay a premium on the marketplace. Verra’s VCS credits, for example, can be certified with the Climate, Community, and Biodiversity Standards (CCB), SD </w:t>
      </w:r>
      <w:proofErr w:type="spellStart"/>
      <w:r>
        <w:t>VISta</w:t>
      </w:r>
      <w:proofErr w:type="spellEnd"/>
      <w:r>
        <w:t>, and Social Carbon, and fetch</w:t>
      </w:r>
      <w:r w:rsidR="00286D31">
        <w:t>ed</w:t>
      </w:r>
      <w:r>
        <w:t xml:space="preserve"> a premium of up to 78 percent in 2022.  The table below reflects trends in credit transactions with and without these co-benefits.  </w:t>
      </w:r>
    </w:p>
    <w:p w14:paraId="0049A4E1" w14:textId="2446E990" w:rsidR="001436AF" w:rsidRDefault="001436AF" w:rsidP="00C13CC7">
      <w:pPr>
        <w:jc w:val="both"/>
      </w:pPr>
    </w:p>
    <w:p w14:paraId="0F6595AF" w14:textId="532D1621" w:rsidR="001436AF" w:rsidRDefault="001436AF" w:rsidP="001436AF">
      <w:pPr>
        <w:pStyle w:val="Caption"/>
      </w:pPr>
      <w:r>
        <w:t xml:space="preserve">Table </w:t>
      </w:r>
      <w:fldSimple w:instr=" SEQ Table \* ARABIC ">
        <w:r w:rsidR="00540223">
          <w:rPr>
            <w:noProof/>
          </w:rPr>
          <w:t>5</w:t>
        </w:r>
      </w:fldSimple>
      <w:r>
        <w:t xml:space="preserve">  Volumes, value, and prices for Voluntary Carbon Market Transactions, with and without co-benefits (2023-2023)</w:t>
      </w:r>
    </w:p>
    <w:p w14:paraId="4F7B0F06" w14:textId="61605D52" w:rsidR="001436AF" w:rsidRPr="002C2E11" w:rsidRDefault="001436AF" w:rsidP="00C13CC7">
      <w:pPr>
        <w:jc w:val="both"/>
      </w:pPr>
      <w:r w:rsidRPr="001436AF">
        <w:rPr>
          <w:noProof/>
        </w:rPr>
        <w:drawing>
          <wp:inline distT="0" distB="0" distL="0" distR="0" wp14:anchorId="48E907D4" wp14:editId="4063A816">
            <wp:extent cx="5943600" cy="2591435"/>
            <wp:effectExtent l="0" t="0" r="0" b="0"/>
            <wp:docPr id="8" name="Picture 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computer screen&#10;&#10;Description automatically generated"/>
                    <pic:cNvPicPr/>
                  </pic:nvPicPr>
                  <pic:blipFill>
                    <a:blip r:embed="rId28"/>
                    <a:stretch>
                      <a:fillRect/>
                    </a:stretch>
                  </pic:blipFill>
                  <pic:spPr>
                    <a:xfrm>
                      <a:off x="0" y="0"/>
                      <a:ext cx="5943600" cy="2591435"/>
                    </a:xfrm>
                    <a:prstGeom prst="rect">
                      <a:avLst/>
                    </a:prstGeom>
                  </pic:spPr>
                </pic:pic>
              </a:graphicData>
            </a:graphic>
          </wp:inline>
        </w:drawing>
      </w:r>
    </w:p>
    <w:p w14:paraId="2F0469C7" w14:textId="009BBFA2" w:rsidR="00286D31" w:rsidRDefault="001436AF" w:rsidP="00D816EA">
      <w:pPr>
        <w:jc w:val="both"/>
      </w:pPr>
      <w:r w:rsidRPr="003F0DAA">
        <w:rPr>
          <w:i/>
          <w:iCs/>
        </w:rPr>
        <w:lastRenderedPageBreak/>
        <w:t xml:space="preserve">Source: </w:t>
      </w:r>
      <w:r w:rsidR="00EB6F8B">
        <w:rPr>
          <w:i/>
          <w:iCs/>
        </w:rPr>
        <w:t xml:space="preserve">Forest Trends’ </w:t>
      </w:r>
      <w:r w:rsidRPr="003F0DAA">
        <w:rPr>
          <w:i/>
          <w:iCs/>
        </w:rPr>
        <w:t>Ecosystem Marketplace (2023)</w:t>
      </w:r>
      <w:r w:rsidR="003F0DAA" w:rsidRPr="003F0DAA">
        <w:rPr>
          <w:i/>
          <w:iCs/>
        </w:rPr>
        <w:t xml:space="preserve">. Reflects all VCM transactions, not only from forest and land use projects. </w:t>
      </w:r>
    </w:p>
    <w:p w14:paraId="11B80F92" w14:textId="72136830" w:rsidR="00A4073E" w:rsidRDefault="00286D31" w:rsidP="00D816EA">
      <w:pPr>
        <w:jc w:val="both"/>
      </w:pPr>
      <w:r>
        <w:t>This</w:t>
      </w:r>
      <w:r w:rsidR="00B4619A">
        <w:t xml:space="preserve"> annual</w:t>
      </w:r>
      <w:r>
        <w:t xml:space="preserve"> data on VCM transactions </w:t>
      </w:r>
      <w:r w:rsidR="00942460">
        <w:t xml:space="preserve">of forest and land use carbon finance </w:t>
      </w:r>
      <w:r>
        <w:t xml:space="preserve">with co-benefit certifications could serve as a useful global indicator to measure and monitor private </w:t>
      </w:r>
      <w:r w:rsidR="00B82261">
        <w:t xml:space="preserve">climate </w:t>
      </w:r>
      <w:r>
        <w:t xml:space="preserve">finance </w:t>
      </w:r>
      <w:r w:rsidR="00B82261">
        <w:t xml:space="preserve">with </w:t>
      </w:r>
      <w:r>
        <w:t>biodiversity</w:t>
      </w:r>
      <w:r w:rsidR="00B82261">
        <w:t xml:space="preserve"> benefits</w:t>
      </w:r>
      <w:r>
        <w:t xml:space="preserve"> in global </w:t>
      </w:r>
      <w:r w:rsidR="00B43AC2">
        <w:t xml:space="preserve">voluntary </w:t>
      </w:r>
      <w:r>
        <w:t>carbon markets.</w:t>
      </w:r>
    </w:p>
    <w:p w14:paraId="30347E8C" w14:textId="68E79F31" w:rsidR="00B4619A" w:rsidRDefault="00B4619A" w:rsidP="00D816EA">
      <w:pPr>
        <w:jc w:val="both"/>
      </w:pPr>
    </w:p>
    <w:p w14:paraId="18D30EF1" w14:textId="6EF42C6E" w:rsidR="00B4619A" w:rsidRDefault="00B4619A" w:rsidP="00D816EA">
      <w:pPr>
        <w:jc w:val="both"/>
      </w:pPr>
      <w:r>
        <w:t xml:space="preserve">In addition, the EM report on the State of Forest Carbon Finance, released in 2017 and again in 2021, provide broad insights into the global voluntary and compliance </w:t>
      </w:r>
      <w:r w:rsidR="004016E4">
        <w:t xml:space="preserve">forest carbon </w:t>
      </w:r>
      <w:r>
        <w:t xml:space="preserve">markets </w:t>
      </w:r>
      <w:r w:rsidR="004016E4">
        <w:t>and REDD+ finance</w:t>
      </w:r>
      <w:r w:rsidR="00B43AC2">
        <w:t xml:space="preserve"> and could serve as a global indicator for forest carbon finance more broadly</w:t>
      </w:r>
      <w:r w:rsidR="004016E4">
        <w:t>, but it is unknown whether data exists to at a granular level to quantify national-level private finance for forest carbon credits with biodiversity co</w:t>
      </w:r>
      <w:r w:rsidR="0039470C">
        <w:t>-</w:t>
      </w:r>
      <w:r w:rsidR="004016E4">
        <w:t>benefits.</w:t>
      </w:r>
    </w:p>
    <w:p w14:paraId="7985B32E" w14:textId="1937E519" w:rsidR="001436AF" w:rsidRDefault="001436AF" w:rsidP="00D816EA">
      <w:pPr>
        <w:jc w:val="both"/>
      </w:pPr>
    </w:p>
    <w:p w14:paraId="0A624948" w14:textId="01698EDD" w:rsidR="00476157" w:rsidRDefault="001436AF" w:rsidP="00D816EA">
      <w:pPr>
        <w:jc w:val="both"/>
      </w:pPr>
      <w:r w:rsidRPr="001436AF">
        <w:rPr>
          <w:b/>
          <w:bCs/>
        </w:rPr>
        <w:t>Limitations.</w:t>
      </w:r>
      <w:r>
        <w:t xml:space="preserve">  The data in the publicly available annual report</w:t>
      </w:r>
      <w:r w:rsidR="00F244D4">
        <w:t xml:space="preserve"> </w:t>
      </w:r>
      <w:r>
        <w:t xml:space="preserve">is not disaggregated by </w:t>
      </w:r>
      <w:proofErr w:type="gramStart"/>
      <w:r>
        <w:t>public</w:t>
      </w:r>
      <w:proofErr w:type="gramEnd"/>
      <w:r>
        <w:t xml:space="preserve"> versus private buyers. </w:t>
      </w:r>
      <w:r w:rsidR="00AD2187">
        <w:t>Private</w:t>
      </w:r>
      <w:r w:rsidR="00085665">
        <w:t xml:space="preserve"> sector </w:t>
      </w:r>
      <w:proofErr w:type="gramStart"/>
      <w:r w:rsidR="00085665">
        <w:t>companies</w:t>
      </w:r>
      <w:proofErr w:type="gramEnd"/>
      <w:r w:rsidR="00085665">
        <w:t xml:space="preserve"> </w:t>
      </w:r>
      <w:r w:rsidR="00DE4C8D">
        <w:t>however, account for a vast majority of the purchases of forest and land-use credits, above 96 percent according to recent estimates (</w:t>
      </w:r>
      <w:r w:rsidR="00ED7ACE">
        <w:t xml:space="preserve">Forest Trends’ </w:t>
      </w:r>
      <w:r w:rsidR="00DE4C8D">
        <w:t>Ecosystem Marketplace, 2021).</w:t>
      </w:r>
      <w:r w:rsidR="0039470C">
        <w:t xml:space="preserve">  In addition, this data is not disaggregated at the national level except for countries with compliance markets such as the United States (i.e. California) and Australia.  Therefore, this data may not be suitable for countries to draw from to report under the CBD’s national reporting tool.  </w:t>
      </w:r>
    </w:p>
    <w:p w14:paraId="147C4000" w14:textId="77777777" w:rsidR="001436AF" w:rsidRDefault="001436AF" w:rsidP="00D816EA">
      <w:pPr>
        <w:jc w:val="both"/>
      </w:pPr>
    </w:p>
    <w:p w14:paraId="7FC349B3" w14:textId="04CC6EDB" w:rsidR="00655568" w:rsidRDefault="00063C72" w:rsidP="00D816EA">
      <w:pPr>
        <w:pStyle w:val="Heading2"/>
        <w:jc w:val="both"/>
      </w:pPr>
      <w:r>
        <w:t>Sustainable Supply Chains</w:t>
      </w:r>
      <w:bookmarkStart w:id="10" w:name="_Hlk155605140"/>
    </w:p>
    <w:p w14:paraId="65168E14" w14:textId="2D556F68" w:rsidR="003927D0" w:rsidRDefault="003927D0" w:rsidP="00D816EA">
      <w:pPr>
        <w:jc w:val="both"/>
      </w:pPr>
    </w:p>
    <w:p w14:paraId="76771460" w14:textId="6DB427A3" w:rsidR="006E1AFA" w:rsidRDefault="00A6728F" w:rsidP="00D816EA">
      <w:pPr>
        <w:jc w:val="both"/>
      </w:pPr>
      <w:r>
        <w:t xml:space="preserve"> </w:t>
      </w:r>
      <w:r w:rsidR="0058746F">
        <w:t xml:space="preserve">The OECD (2020) report </w:t>
      </w:r>
      <w:r>
        <w:t xml:space="preserve">drew on data from the </w:t>
      </w:r>
      <w:proofErr w:type="spellStart"/>
      <w:r>
        <w:t>Programme</w:t>
      </w:r>
      <w:proofErr w:type="spellEnd"/>
      <w:r>
        <w:t xml:space="preserve"> for the Endorsement of Forest Certification (PEFC) and the Forest Stewardship Council (FSC) to estimate expenditures on sustainable supply chains. </w:t>
      </w:r>
      <w:r w:rsidR="0058746F">
        <w:t>They were the two largest forest certifications schemes that have explicit objectives on biodiversity. Investments in sustainable forestry were estimated to be USD 2.3 - 2.8 billion per year.</w:t>
      </w:r>
      <w:r w:rsidR="006E1AFA">
        <w:t xml:space="preserve"> </w:t>
      </w:r>
      <w:r>
        <w:t xml:space="preserve"> The </w:t>
      </w:r>
      <w:r w:rsidR="006E1AFA">
        <w:t>Deutz et al. report (2020)</w:t>
      </w:r>
      <w:r>
        <w:t xml:space="preserve"> estimated expenditures in sustainable supply chains by applying an assumed proportion of the market </w:t>
      </w:r>
      <w:r w:rsidR="00A34BE6">
        <w:t>value was used to finance biodiversity-related conservation measures (e.g. 1-1.5 percent of market value</w:t>
      </w:r>
      <w:r w:rsidR="0058746F">
        <w:t>)</w:t>
      </w:r>
      <w:r w:rsidR="006E1AFA">
        <w:t xml:space="preserve">, based on OECD’s report, to additional sectors such as sustainable palm oil and fisheries. </w:t>
      </w:r>
      <w:r w:rsidR="007B35F8">
        <w:t xml:space="preserve">A similar methodology was applied by the UNEP (2023) study on financial flows for nature-based solutions to estimate finance for sustainable supply </w:t>
      </w:r>
      <w:r w:rsidR="00516580">
        <w:t>chains and</w:t>
      </w:r>
      <w:r w:rsidR="007B35F8">
        <w:t xml:space="preserve"> included additional natural resource</w:t>
      </w:r>
      <w:r w:rsidR="00F00889">
        <w:t>-</w:t>
      </w:r>
      <w:r w:rsidR="007B35F8">
        <w:t xml:space="preserve">based markets such as palm oil, soy, coffee, and cocoa products. </w:t>
      </w:r>
    </w:p>
    <w:p w14:paraId="5DDD9D40" w14:textId="77777777" w:rsidR="006E1AFA" w:rsidRDefault="006E1AFA" w:rsidP="00D816EA">
      <w:pPr>
        <w:jc w:val="both"/>
      </w:pPr>
    </w:p>
    <w:p w14:paraId="419FAFF7" w14:textId="280B9AF2" w:rsidR="003927D0" w:rsidRDefault="006E1AFA" w:rsidP="00D816EA">
      <w:pPr>
        <w:jc w:val="both"/>
      </w:pPr>
      <w:r w:rsidRPr="006E1AFA">
        <w:rPr>
          <w:b/>
          <w:bCs/>
        </w:rPr>
        <w:t>Limitations.</w:t>
      </w:r>
      <w:r>
        <w:t xml:space="preserve">  </w:t>
      </w:r>
      <w:r w:rsidR="007B35F8">
        <w:t>Current estimates of</w:t>
      </w:r>
      <w:r>
        <w:t xml:space="preserve"> private expenditures in sustainable supply chains ha</w:t>
      </w:r>
      <w:r w:rsidR="00E100D3">
        <w:t>ve</w:t>
      </w:r>
      <w:r>
        <w:t xml:space="preserve"> depended on crude </w:t>
      </w:r>
      <w:r w:rsidR="007B35F8">
        <w:t>measurements drawing from global market value estimates.  Given the number of certification standards that cover a wide range of issues such as water protection, soil conservation, community rights, and worker safety alongside biodiversity objectives, it is difficult to know how investments in obtaining and maintaining sustainability certification benefits biodiversity. In addition, there is no centralized data source to monitor and track investments across the multitude of natural</w:t>
      </w:r>
      <w:r w:rsidR="00E100D3">
        <w:t xml:space="preserve"> </w:t>
      </w:r>
      <w:r w:rsidR="007B35F8">
        <w:t>resource</w:t>
      </w:r>
      <w:r w:rsidR="00E100D3">
        <w:t>-</w:t>
      </w:r>
      <w:r w:rsidR="007B35F8">
        <w:t xml:space="preserve">based supply chains.  </w:t>
      </w:r>
      <w:r w:rsidR="00E100D3">
        <w:t>Several</w:t>
      </w:r>
      <w:r w:rsidR="007B35F8">
        <w:t xml:space="preserve"> studies have conducted global estimates that may prove valuable to monitoring trends in sustainable commodities over time, but </w:t>
      </w:r>
      <w:r w:rsidR="00C941A0">
        <w:t xml:space="preserve">these studies do not lend themselves to a national or global indicator that can be tracked on a regular basis. </w:t>
      </w:r>
    </w:p>
    <w:p w14:paraId="6043F6CD" w14:textId="6BA3AC63" w:rsidR="006F118B" w:rsidRDefault="006F118B" w:rsidP="00D816EA">
      <w:pPr>
        <w:jc w:val="both"/>
      </w:pPr>
    </w:p>
    <w:p w14:paraId="01193ED7" w14:textId="7AB60A3D" w:rsidR="006F118B" w:rsidRDefault="006F118B" w:rsidP="00D816EA">
      <w:pPr>
        <w:jc w:val="both"/>
      </w:pPr>
      <w:r w:rsidRPr="006F118B">
        <w:rPr>
          <w:b/>
          <w:bCs/>
        </w:rPr>
        <w:t xml:space="preserve">Opportunity for reporting.  </w:t>
      </w:r>
      <w:r>
        <w:t xml:space="preserve">As shown in private finance estimates for biodiversity in the European Union (see Box 3), the methodology used in the OECD (2020) and Deutz et al. (2020) estimates could be applied at the national level using available data on the market value of sustainable commodities from national statistical offices and the share of certified commodities. Although the information available may not be inclusive of </w:t>
      </w:r>
      <w:proofErr w:type="gramStart"/>
      <w:r>
        <w:t>all natural</w:t>
      </w:r>
      <w:proofErr w:type="gramEnd"/>
      <w:r>
        <w:t xml:space="preserve"> </w:t>
      </w:r>
      <w:r w:rsidR="00516580">
        <w:t>resource-based</w:t>
      </w:r>
      <w:r>
        <w:t xml:space="preserve"> commodities, countries could report </w:t>
      </w:r>
      <w:r w:rsidR="00670B8E">
        <w:t xml:space="preserve">information on a case study that captures a portion of these commodities most relevant to a country’s economy. </w:t>
      </w:r>
      <w:r>
        <w:t xml:space="preserve">  </w:t>
      </w:r>
    </w:p>
    <w:p w14:paraId="1B285438" w14:textId="77777777" w:rsidR="000236CF" w:rsidRDefault="000236CF" w:rsidP="00D816EA">
      <w:pPr>
        <w:jc w:val="both"/>
      </w:pPr>
    </w:p>
    <w:p w14:paraId="1E3BD4BD" w14:textId="6BCBB825" w:rsidR="000236CF" w:rsidRDefault="000236CF" w:rsidP="00D816EA">
      <w:pPr>
        <w:jc w:val="both"/>
      </w:pPr>
      <w:r w:rsidRPr="00271AF7">
        <w:rPr>
          <w:b/>
          <w:bCs/>
        </w:rPr>
        <w:t>Alternative to reporting on investments in sustainable supply chains.</w:t>
      </w:r>
      <w:r w:rsidRPr="00271AF7">
        <w:t xml:space="preserve"> An alternative method to reporting private funding for sustainable commodity production could be </w:t>
      </w:r>
      <w:proofErr w:type="gramStart"/>
      <w:r w:rsidRPr="00271AF7">
        <w:t>through the use of</w:t>
      </w:r>
      <w:proofErr w:type="gramEnd"/>
      <w:r w:rsidRPr="00271AF7">
        <w:t xml:space="preserve"> green financial products aligned with established biodiversity-related sustainable finance taxonomies.  Rather than calculating market share of certified commodities with crude </w:t>
      </w:r>
      <w:r w:rsidR="00271AF7">
        <w:t xml:space="preserve">global </w:t>
      </w:r>
      <w:r w:rsidRPr="00271AF7">
        <w:t>estimates, countries could establish frameworks that define biodiversity-related sustainable activities in relevant sectors such as forestry, fisheries, and agriculture</w:t>
      </w:r>
      <w:r w:rsidR="00271AF7">
        <w:t xml:space="preserve"> and estimate the value of invested capital towards companies implementing these sustainable activities</w:t>
      </w:r>
      <w:r w:rsidRPr="00271AF7">
        <w:t>.</w:t>
      </w:r>
      <w:r w:rsidR="00B1394F">
        <w:t xml:space="preserve">  </w:t>
      </w:r>
      <w:r>
        <w:t xml:space="preserve"> </w:t>
      </w:r>
    </w:p>
    <w:bookmarkEnd w:id="10"/>
    <w:p w14:paraId="126B50BD" w14:textId="3A05219A" w:rsidR="00117891" w:rsidRDefault="00117891" w:rsidP="00D816EA">
      <w:pPr>
        <w:jc w:val="both"/>
      </w:pPr>
    </w:p>
    <w:p w14:paraId="71E6DA99" w14:textId="536A88DA" w:rsidR="00117891" w:rsidRDefault="00117891" w:rsidP="00D816EA">
      <w:pPr>
        <w:pStyle w:val="Heading2"/>
        <w:jc w:val="both"/>
      </w:pPr>
      <w:r>
        <w:t>Green Financial Products</w:t>
      </w:r>
    </w:p>
    <w:p w14:paraId="358F3CDA" w14:textId="531E50E2" w:rsidR="00723CC5" w:rsidRDefault="00723CC5" w:rsidP="00723CC5"/>
    <w:p w14:paraId="4D11D833" w14:textId="19AF1205" w:rsidR="00723CC5" w:rsidRPr="000D2874" w:rsidRDefault="00723CC5" w:rsidP="00723CC5">
      <w:pPr>
        <w:rPr>
          <w:b/>
          <w:bCs/>
          <w:i/>
          <w:iCs/>
        </w:rPr>
      </w:pPr>
      <w:r w:rsidRPr="000D2874">
        <w:rPr>
          <w:b/>
          <w:bCs/>
          <w:i/>
          <w:iCs/>
        </w:rPr>
        <w:t>State of Private Investment in Conservation (SOPIC) Report – Ecosystem Marketplace</w:t>
      </w:r>
    </w:p>
    <w:p w14:paraId="77DB8177" w14:textId="3B02AE8A" w:rsidR="002A7467" w:rsidRDefault="002A7467" w:rsidP="00D816EA">
      <w:pPr>
        <w:jc w:val="both"/>
      </w:pPr>
    </w:p>
    <w:p w14:paraId="356BFC5D" w14:textId="6D90FE6F" w:rsidR="0040466C" w:rsidRDefault="00133F77" w:rsidP="00D816EA">
      <w:pPr>
        <w:jc w:val="both"/>
      </w:pPr>
      <w:r>
        <w:t>Private i</w:t>
      </w:r>
      <w:r w:rsidR="00CF7D62">
        <w:t xml:space="preserve">mpact investing has been gaining momentum as investors increasingly seek ways to align financial goals with environmental and social outcomes.  </w:t>
      </w:r>
      <w:r w:rsidR="0040466C">
        <w:t>Recent estimates</w:t>
      </w:r>
      <w:r w:rsidR="00723CC5">
        <w:t xml:space="preserve"> by Ecosystem Marketplace, through their State of Private Investment in Conservation (SOPIC) report,</w:t>
      </w:r>
      <w:r w:rsidR="0040466C">
        <w:t xml:space="preserve"> suggest that investments in conservation </w:t>
      </w:r>
      <w:proofErr w:type="gramStart"/>
      <w:r w:rsidR="0040466C">
        <w:t>is</w:t>
      </w:r>
      <w:proofErr w:type="gramEnd"/>
      <w:r w:rsidR="0040466C">
        <w:t xml:space="preserve"> growing, with total committed private capital as of 2016 climbing to USD 8.2 billion in tracked capital from 2004 to 2015, an increase of 62 percent from estimates as of 2014</w:t>
      </w:r>
      <w:r w:rsidR="00E12E83">
        <w:t xml:space="preserve"> (Hamrick, 2016)</w:t>
      </w:r>
      <w:r w:rsidR="0040466C">
        <w:t>.</w:t>
      </w:r>
      <w:r w:rsidR="00E12E83">
        <w:t xml:space="preserve"> </w:t>
      </w:r>
      <w:r w:rsidR="005A699C">
        <w:t xml:space="preserve">This total amounted to committed capital of USD 1.6 billion per year in 2014 and 2015.  </w:t>
      </w:r>
      <w:r w:rsidR="00A776D3">
        <w:t>This estimate was drawn from a survey of 128 banks, companies, fund managers, family offices, foundations, and NGOs directly investing in conservation</w:t>
      </w:r>
      <w:r w:rsidR="005E592C">
        <w:t xml:space="preserve">. The report </w:t>
      </w:r>
      <w:r w:rsidR="00516580">
        <w:t>defines conservation</w:t>
      </w:r>
      <w:r w:rsidR="00A776D3">
        <w:t xml:space="preserve"> investment</w:t>
      </w:r>
      <w:r w:rsidR="005E592C">
        <w:t xml:space="preserve">s </w:t>
      </w:r>
      <w:r w:rsidR="00A776D3">
        <w:t xml:space="preserve">as investments intended to return </w:t>
      </w:r>
      <w:proofErr w:type="gramStart"/>
      <w:r w:rsidR="00A776D3">
        <w:t>principal</w:t>
      </w:r>
      <w:proofErr w:type="gramEnd"/>
      <w:r w:rsidR="00A776D3">
        <w:t xml:space="preserve"> or generate profit while also intentionally resulting in a positive impact on natural resources and ecosystems.  The survey focused on three groups of conservation-oriented investments: sustainable food and fiber production, habitat conservation, and water quality and quantity protection. </w:t>
      </w:r>
    </w:p>
    <w:p w14:paraId="6BD05CEB" w14:textId="33899051" w:rsidR="005A699C" w:rsidRDefault="005A699C" w:rsidP="00D816EA">
      <w:pPr>
        <w:jc w:val="both"/>
      </w:pPr>
    </w:p>
    <w:p w14:paraId="3F725176" w14:textId="482FDD59" w:rsidR="005A699C" w:rsidRDefault="005A699C" w:rsidP="00D816EA">
      <w:pPr>
        <w:jc w:val="both"/>
      </w:pPr>
      <w:r>
        <w:t xml:space="preserve">A bulk of investments (over two-thirds) are accounted for by the top 10 investors, with </w:t>
      </w:r>
      <w:proofErr w:type="gramStart"/>
      <w:r w:rsidR="005E592C">
        <w:t>a majority</w:t>
      </w:r>
      <w:r>
        <w:t xml:space="preserve"> of</w:t>
      </w:r>
      <w:proofErr w:type="gramEnd"/>
      <w:r>
        <w:t xml:space="preserve"> commitments (</w:t>
      </w:r>
      <w:r w:rsidR="002F4C40">
        <w:t>over three-quarters) directed towards sustainable forestry and sustainable agriculture investments. Only a small fraction (one-sixth) of capital was directed towards habitat conservation</w:t>
      </w:r>
      <w:r w:rsidR="005E592C">
        <w:t>,</w:t>
      </w:r>
      <w:r w:rsidR="002F4C40">
        <w:t xml:space="preserve"> largely in the United States, with the remainder targeted towards water quality and quantity investments. </w:t>
      </w:r>
    </w:p>
    <w:p w14:paraId="41D99E10" w14:textId="38DC8C33" w:rsidR="005A699C" w:rsidRDefault="005A699C" w:rsidP="00D816EA">
      <w:pPr>
        <w:jc w:val="both"/>
      </w:pPr>
    </w:p>
    <w:p w14:paraId="7FFB5066" w14:textId="0A51222F" w:rsidR="00CF1FAC" w:rsidRDefault="00CF1FAC" w:rsidP="00D816EA">
      <w:pPr>
        <w:jc w:val="both"/>
      </w:pPr>
      <w:proofErr w:type="gramStart"/>
      <w:r>
        <w:t>A number of</w:t>
      </w:r>
      <w:proofErr w:type="gramEnd"/>
      <w:r>
        <w:t xml:space="preserve"> investments identified through this survey relied on blended public-private finance for the up-front costs of an investment.  The capital structure of a fund could blend private investor equity, philanthropic debt capital, and tax equity capital from public tax credit programs.  </w:t>
      </w:r>
    </w:p>
    <w:p w14:paraId="659914F4" w14:textId="77777777" w:rsidR="000E1941" w:rsidRDefault="000E1941" w:rsidP="00D816EA">
      <w:pPr>
        <w:jc w:val="both"/>
      </w:pPr>
    </w:p>
    <w:p w14:paraId="2B59EA7F" w14:textId="01DE3BCE" w:rsidR="005A699C" w:rsidRDefault="005A699C" w:rsidP="005A699C">
      <w:pPr>
        <w:pStyle w:val="Caption"/>
      </w:pPr>
      <w:r>
        <w:lastRenderedPageBreak/>
        <w:t xml:space="preserve">Figure </w:t>
      </w:r>
      <w:fldSimple w:instr=" SEQ Figure \* ARABIC ">
        <w:r w:rsidR="00540223">
          <w:rPr>
            <w:noProof/>
          </w:rPr>
          <w:t>5</w:t>
        </w:r>
      </w:fldSimple>
      <w:r>
        <w:t xml:space="preserve"> Private Capital Committed to Conservation Investments Across All Tracked Years, 2004-2015</w:t>
      </w:r>
    </w:p>
    <w:p w14:paraId="6F764CE7" w14:textId="6F1138CA" w:rsidR="005A699C" w:rsidRDefault="005A699C" w:rsidP="005A699C">
      <w:r w:rsidRPr="005A699C">
        <w:rPr>
          <w:noProof/>
        </w:rPr>
        <w:drawing>
          <wp:inline distT="0" distB="0" distL="0" distR="0" wp14:anchorId="02BC7E7E" wp14:editId="3CB7AAA0">
            <wp:extent cx="5959353" cy="2340429"/>
            <wp:effectExtent l="0" t="0" r="3810" b="3175"/>
            <wp:docPr id="5" name="Picture 5" descr="A graph with green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with green and white text&#10;&#10;Description automatically generated"/>
                    <pic:cNvPicPr/>
                  </pic:nvPicPr>
                  <pic:blipFill>
                    <a:blip r:embed="rId29"/>
                    <a:stretch>
                      <a:fillRect/>
                    </a:stretch>
                  </pic:blipFill>
                  <pic:spPr>
                    <a:xfrm>
                      <a:off x="0" y="0"/>
                      <a:ext cx="6018405" cy="2363620"/>
                    </a:xfrm>
                    <a:prstGeom prst="rect">
                      <a:avLst/>
                    </a:prstGeom>
                  </pic:spPr>
                </pic:pic>
              </a:graphicData>
            </a:graphic>
          </wp:inline>
        </w:drawing>
      </w:r>
    </w:p>
    <w:p w14:paraId="1BCFD535" w14:textId="71A664D3" w:rsidR="0040466C" w:rsidRPr="005A699C" w:rsidRDefault="005A699C" w:rsidP="00D816EA">
      <w:pPr>
        <w:jc w:val="both"/>
        <w:rPr>
          <w:i/>
          <w:iCs/>
        </w:rPr>
      </w:pPr>
      <w:r w:rsidRPr="005A699C">
        <w:rPr>
          <w:i/>
          <w:iCs/>
        </w:rPr>
        <w:t xml:space="preserve">Source: Hamrick, 2016.  </w:t>
      </w:r>
    </w:p>
    <w:p w14:paraId="3BA640C9" w14:textId="77777777" w:rsidR="005A699C" w:rsidRDefault="005A699C" w:rsidP="00D816EA">
      <w:pPr>
        <w:jc w:val="both"/>
      </w:pPr>
    </w:p>
    <w:p w14:paraId="31893E75" w14:textId="6CECB5E5" w:rsidR="00A739BB" w:rsidRDefault="00D85268" w:rsidP="00D816EA">
      <w:pPr>
        <w:jc w:val="both"/>
      </w:pPr>
      <w:r>
        <w:t>S</w:t>
      </w:r>
      <w:r w:rsidR="00A739BB">
        <w:t xml:space="preserve">urvey respondents include funding flows from philanthropic donors, thus using this data to monitor trends in private investment in conservation may </w:t>
      </w:r>
      <w:proofErr w:type="gramStart"/>
      <w:r w:rsidR="00A739BB">
        <w:t>double count</w:t>
      </w:r>
      <w:proofErr w:type="gramEnd"/>
      <w:r w:rsidR="00A739BB">
        <w:t xml:space="preserve"> the data reported to the OECD through the CRS for international development related private philanthropy.  </w:t>
      </w:r>
      <w:r w:rsidR="001868C6">
        <w:t xml:space="preserve">To correct for this, </w:t>
      </w:r>
      <w:r w:rsidR="00A739BB">
        <w:t xml:space="preserve">Deutz et al. </w:t>
      </w:r>
      <w:r w:rsidR="008F7789">
        <w:t>(</w:t>
      </w:r>
      <w:r w:rsidR="00A739BB">
        <w:t>2020</w:t>
      </w:r>
      <w:r w:rsidR="008F7789">
        <w:t>)</w:t>
      </w:r>
      <w:r w:rsidR="00A739BB">
        <w:t xml:space="preserve"> applied a proportion of this global estimate to </w:t>
      </w:r>
      <w:r w:rsidR="008F7789">
        <w:t xml:space="preserve">isolate </w:t>
      </w:r>
      <w:r w:rsidR="00A739BB">
        <w:t xml:space="preserve">private equity </w:t>
      </w:r>
      <w:r w:rsidR="008F7789">
        <w:t xml:space="preserve">investments, </w:t>
      </w:r>
      <w:r w:rsidR="00A739BB">
        <w:t xml:space="preserve">based on the ratio of respondents who were private investors (56 percent of survey respondents), which </w:t>
      </w:r>
      <w:r w:rsidR="005E592C">
        <w:t>amounted to a</w:t>
      </w:r>
      <w:r w:rsidR="00A739BB">
        <w:t xml:space="preserve"> lower estimate of private equity impact investing</w:t>
      </w:r>
      <w:r w:rsidR="005E592C">
        <w:t xml:space="preserve"> of USD 2.3 billion in 2019</w:t>
      </w:r>
      <w:r w:rsidR="00A739BB">
        <w:t xml:space="preserve">. </w:t>
      </w:r>
    </w:p>
    <w:p w14:paraId="1BC7D663" w14:textId="5C785214" w:rsidR="000D2874" w:rsidRDefault="000D2874" w:rsidP="00D816EA">
      <w:pPr>
        <w:jc w:val="both"/>
      </w:pPr>
    </w:p>
    <w:p w14:paraId="0EF1B95D" w14:textId="3093839E" w:rsidR="000D2874" w:rsidRPr="00D85268" w:rsidRDefault="000D2874" w:rsidP="00D816EA">
      <w:pPr>
        <w:jc w:val="both"/>
        <w:rPr>
          <w:b/>
          <w:bCs/>
        </w:rPr>
      </w:pPr>
      <w:r w:rsidRPr="00D85268">
        <w:rPr>
          <w:b/>
          <w:bCs/>
        </w:rPr>
        <w:t xml:space="preserve">Global Impact Investing Network (GINN) </w:t>
      </w:r>
    </w:p>
    <w:p w14:paraId="40595E2F" w14:textId="77777777" w:rsidR="00CF7D62" w:rsidRDefault="00CF7D62" w:rsidP="00D816EA">
      <w:pPr>
        <w:jc w:val="both"/>
      </w:pPr>
    </w:p>
    <w:p w14:paraId="72A63C99" w14:textId="55F175FE" w:rsidR="001F2D7D" w:rsidRDefault="002A7467" w:rsidP="00D816EA">
      <w:pPr>
        <w:jc w:val="both"/>
      </w:pPr>
      <w:r>
        <w:t xml:space="preserve">The Global Impact Investing Network (GIIN) is a US-based nonprofit member organization </w:t>
      </w:r>
      <w:r w:rsidR="00865A94">
        <w:t>whose mission is to improve</w:t>
      </w:r>
      <w:r>
        <w:t xml:space="preserve"> the scale and effectiveness of impact investing.  </w:t>
      </w:r>
      <w:r w:rsidR="001F2D7D">
        <w:t>The GINN defines impact investing as investments made with the intention to generate positive, measurable social and environmental impacts alongside a financial return, acknowledging that due to the self-reporting nature of their data, there is some subjectivity in how organizations classify their investments as impact investment</w:t>
      </w:r>
      <w:r w:rsidR="00495640">
        <w:t xml:space="preserve"> (Mudaliar and </w:t>
      </w:r>
      <w:proofErr w:type="spellStart"/>
      <w:r w:rsidR="00495640">
        <w:t>Dithrich</w:t>
      </w:r>
      <w:proofErr w:type="spellEnd"/>
      <w:r w:rsidR="00495640">
        <w:t>, 2020)</w:t>
      </w:r>
      <w:r w:rsidR="001F2D7D">
        <w:t>.</w:t>
      </w:r>
      <w:r w:rsidR="00495640">
        <w:t xml:space="preserve"> </w:t>
      </w:r>
      <w:r w:rsidR="00865A94">
        <w:t>The GINN estimates the overall size of the impact investing industry to be USD 502 billion as of the end of 2018 from a database of over 1,300 impact investor organizations.</w:t>
      </w:r>
    </w:p>
    <w:p w14:paraId="4D377CC9" w14:textId="77777777" w:rsidR="001F2D7D" w:rsidRDefault="001F2D7D" w:rsidP="00D816EA">
      <w:pPr>
        <w:jc w:val="both"/>
      </w:pPr>
    </w:p>
    <w:p w14:paraId="13A6C470" w14:textId="2B8E27D1" w:rsidR="00C10BE5" w:rsidRDefault="002A7467" w:rsidP="00D816EA">
      <w:pPr>
        <w:jc w:val="both"/>
      </w:pPr>
      <w:proofErr w:type="gramStart"/>
      <w:r>
        <w:t>The GINN</w:t>
      </w:r>
      <w:proofErr w:type="gramEnd"/>
      <w:r>
        <w:t xml:space="preserve"> produces an annual impact investor survey that</w:t>
      </w:r>
      <w:r w:rsidR="00C10BE5">
        <w:t>, as of 2023,</w:t>
      </w:r>
      <w:r>
        <w:t xml:space="preserve"> captures data from 294 of the world’s leading impact investors, who collectively manage USD 404 billion of assets. </w:t>
      </w:r>
      <w:r w:rsidR="00087F30">
        <w:t xml:space="preserve"> </w:t>
      </w:r>
      <w:r w:rsidR="00FC641D">
        <w:t>The survey quantifies and assesses trends in assets under management (AUM) by</w:t>
      </w:r>
      <w:r w:rsidR="00C10BE5">
        <w:t>, among other criteria,</w:t>
      </w:r>
      <w:r w:rsidR="00FC641D">
        <w:t xml:space="preserve"> </w:t>
      </w:r>
      <w:proofErr w:type="gramStart"/>
      <w:r w:rsidR="00FC641D">
        <w:t>sector</w:t>
      </w:r>
      <w:proofErr w:type="gramEnd"/>
      <w:r w:rsidR="00FC641D">
        <w:t xml:space="preserve"> of investment. </w:t>
      </w:r>
      <w:r w:rsidR="00C10BE5">
        <w:t xml:space="preserve">In the 2018 Annual Impact Investor survey, nearly USD 7 billion of AUM was allocated for conservation, or 3 percent of the total AUM of USD 228.1 billion in 2018, representing 16 percent of survey respondents. </w:t>
      </w:r>
    </w:p>
    <w:p w14:paraId="439B6451" w14:textId="77777777" w:rsidR="00633D63" w:rsidRDefault="00633D63" w:rsidP="00D816EA">
      <w:pPr>
        <w:jc w:val="both"/>
      </w:pPr>
    </w:p>
    <w:p w14:paraId="7D2E6538" w14:textId="500AF552" w:rsidR="001868C6" w:rsidRDefault="00633D63" w:rsidP="001868C6">
      <w:pPr>
        <w:jc w:val="both"/>
      </w:pPr>
      <w:r w:rsidRPr="008B6F1A">
        <w:rPr>
          <w:b/>
          <w:bCs/>
        </w:rPr>
        <w:lastRenderedPageBreak/>
        <w:t>Limitations.</w:t>
      </w:r>
      <w:r>
        <w:t xml:space="preserve">  While both the SOPIC Report and the GINN Annual Investor Survey provide valuable information on the state and trends of the impact investment activity, information on biodiversity</w:t>
      </w:r>
      <w:r w:rsidR="005E592C">
        <w:t>-related</w:t>
      </w:r>
      <w:r>
        <w:t xml:space="preserve"> investment objectives is limited and not provided at the level of disaggregation needed for countries to draw on for national reporting. In addition, the GINN, as of 2020, no longer includes </w:t>
      </w:r>
      <w:r w:rsidR="00AF4E5B">
        <w:t xml:space="preserve">a distinct </w:t>
      </w:r>
      <w:r>
        <w:t>category of ‘conservation’ in its annual survey, further limiting its use</w:t>
      </w:r>
      <w:r w:rsidR="00495640">
        <w:t xml:space="preserve"> (Hand et al., 2020)</w:t>
      </w:r>
      <w:r>
        <w:t xml:space="preserve">. </w:t>
      </w:r>
    </w:p>
    <w:p w14:paraId="4F72309E" w14:textId="6ABFF177" w:rsidR="008F7789" w:rsidRDefault="008F7789" w:rsidP="001868C6">
      <w:pPr>
        <w:jc w:val="both"/>
      </w:pPr>
    </w:p>
    <w:p w14:paraId="609F5ACA" w14:textId="7960BFE6" w:rsidR="008F7789" w:rsidRDefault="008F7789" w:rsidP="001868C6">
      <w:pPr>
        <w:jc w:val="both"/>
        <w:rPr>
          <w:b/>
          <w:bCs/>
        </w:rPr>
      </w:pPr>
      <w:r w:rsidRPr="008F7789">
        <w:rPr>
          <w:b/>
          <w:bCs/>
        </w:rPr>
        <w:t>Climate Bonds Initiative</w:t>
      </w:r>
    </w:p>
    <w:p w14:paraId="0FAED2AB" w14:textId="40D4A431" w:rsidR="008F7789" w:rsidRDefault="008F7789" w:rsidP="001868C6">
      <w:pPr>
        <w:jc w:val="both"/>
        <w:rPr>
          <w:b/>
          <w:bCs/>
        </w:rPr>
      </w:pPr>
    </w:p>
    <w:p w14:paraId="375F5A20" w14:textId="6DAAA7AB" w:rsidR="006E1F78" w:rsidRDefault="00A72691" w:rsidP="001868C6">
      <w:pPr>
        <w:jc w:val="both"/>
      </w:pPr>
      <w:r w:rsidRPr="00A72691">
        <w:t>The Climate Bonds Initiative (CBI) is a</w:t>
      </w:r>
      <w:r>
        <w:t xml:space="preserve">n international organization that has developed a climate bond standard and certification scheme for the issuance of green debt.  The CBI has developed a </w:t>
      </w:r>
      <w:r w:rsidR="00FB3213">
        <w:t>t</w:t>
      </w:r>
      <w:r>
        <w:t xml:space="preserve">axonomy to screen bonds to determine whether assets or projects underlying an investment are eligible for green or climate finance, and thus eligible to be awarded a certification identifying the investment as such.  The </w:t>
      </w:r>
      <w:r w:rsidR="00FB3213">
        <w:t>t</w:t>
      </w:r>
      <w:r>
        <w:t xml:space="preserve">axonomy is a traffic light system that indicates to what extent an asset or project is aligned with a </w:t>
      </w:r>
      <w:proofErr w:type="gramStart"/>
      <w:r>
        <w:t>1.5 degree</w:t>
      </w:r>
      <w:proofErr w:type="gramEnd"/>
      <w:r>
        <w:t xml:space="preserve"> decarbonization trajectory.  Although this taxonomy and certification standard are climate-aligned, there are </w:t>
      </w:r>
      <w:proofErr w:type="gramStart"/>
      <w:r>
        <w:t>a number of</w:t>
      </w:r>
      <w:proofErr w:type="gramEnd"/>
      <w:r>
        <w:t xml:space="preserve"> eligible projects with biodiversity benefits such as nature-based water infrastructure (e.g. water storage from aquatic ecosystems, restoration of riparian wetlands, and water treatment by natural filtration systems), and </w:t>
      </w:r>
      <w:r w:rsidR="006E1F78">
        <w:t xml:space="preserve">land use and marine resources (e.g. natural ecosystem protection and restoration).  </w:t>
      </w:r>
      <w:r>
        <w:t xml:space="preserve"> </w:t>
      </w:r>
      <w:r w:rsidR="006E1F78">
        <w:t>Of the nearly $485 billion in green bonds issued in 2020, for example, USD 26 billion, or 5 percent of the total amount issued was for land use projects and USD 33 billion, or 7 percent of total amount issued, was for water projects.</w:t>
      </w:r>
      <w:r w:rsidR="006E1F78">
        <w:rPr>
          <w:rStyle w:val="FootnoteReference"/>
        </w:rPr>
        <w:footnoteReference w:id="13"/>
      </w:r>
      <w:r w:rsidR="006E1F78">
        <w:t xml:space="preserve">  </w:t>
      </w:r>
      <w:r w:rsidR="00E64879">
        <w:t xml:space="preserve">It may be possible for countries to draw on this database to identify private issuers of certified green labeled bonds under the water and land use sectors as a proxy for green bond investments in biodiversity.  </w:t>
      </w:r>
    </w:p>
    <w:p w14:paraId="2051E838" w14:textId="77777777" w:rsidR="00992ADA" w:rsidRDefault="00992ADA" w:rsidP="001868C6">
      <w:pPr>
        <w:jc w:val="both"/>
      </w:pPr>
    </w:p>
    <w:p w14:paraId="07632419" w14:textId="2605AFC5" w:rsidR="00992ADA" w:rsidRPr="00A72691" w:rsidRDefault="00992ADA" w:rsidP="001868C6">
      <w:pPr>
        <w:jc w:val="both"/>
      </w:pPr>
      <w:r>
        <w:t>In addition to the green financial mechanisms included in current global estimates for private biodiversity funding, several other return-based investment mechanisms are being implemented to achieve both financial return and conservation objectives.  These mechanisms</w:t>
      </w:r>
      <w:r w:rsidR="00954705">
        <w:t>,</w:t>
      </w:r>
      <w:r>
        <w:t xml:space="preserve"> includ</w:t>
      </w:r>
      <w:r w:rsidR="00954705">
        <w:t>ing</w:t>
      </w:r>
      <w:r>
        <w:t xml:space="preserve"> microfinance institutions, peer-to-peer investing and crowdfunding</w:t>
      </w:r>
      <w:r w:rsidR="00C7502A">
        <w:t>, incubators and venture capital</w:t>
      </w:r>
      <w:r w:rsidR="00954705">
        <w:t xml:space="preserve">, may not be captured in the above approaches to tracking sustainable biodiversity finance.  As the finance and investment sector evolves and expands its offerings of biodiversity-related sustainable finance mechanisms, countries should adapt their reporting to the CBD on the funding these mechanisms are generating.   </w:t>
      </w:r>
    </w:p>
    <w:p w14:paraId="62785073" w14:textId="3CB33CFF" w:rsidR="00F15FC9" w:rsidRDefault="00F15FC9" w:rsidP="001868C6">
      <w:pPr>
        <w:jc w:val="both"/>
      </w:pPr>
    </w:p>
    <w:p w14:paraId="4DF5C9D1" w14:textId="2D0E3A31" w:rsidR="00F15FC9" w:rsidRDefault="00F15FC9" w:rsidP="00F15FC9">
      <w:pPr>
        <w:pStyle w:val="Heading2"/>
        <w:jc w:val="both"/>
      </w:pPr>
      <w:r>
        <w:t>Payments for Ecosystem Services and Water Quality Trading Mechanisms</w:t>
      </w:r>
    </w:p>
    <w:p w14:paraId="15DB3568" w14:textId="159C94D3" w:rsidR="00A62853" w:rsidRDefault="00A62853" w:rsidP="00A62853"/>
    <w:p w14:paraId="3306256A" w14:textId="38595D8F" w:rsidR="00A62853" w:rsidRDefault="00A62853" w:rsidP="00FB6747">
      <w:pPr>
        <w:jc w:val="both"/>
      </w:pPr>
      <w:r>
        <w:t>Global estimates of private financial flows for payments for ecosystem services and water quality trading mechanisms, specifically payments for watershed services, rely on the literature</w:t>
      </w:r>
      <w:r w:rsidR="00684877">
        <w:t>. OECD (2020) drew from a 2016 Forest Trends Study (Bennett and Ruef, 2016)</w:t>
      </w:r>
      <w:r w:rsidR="005B01AD">
        <w:t xml:space="preserve">, which estimated user-driven watershed investments from the private sector amounted to USD 15.4 million in 2015.  These private investors include food and beverage companies, private water utilities, energy generation entities, and finance and insurance companies (120 buyers in total).  This same study </w:t>
      </w:r>
      <w:r w:rsidR="005B01AD">
        <w:lastRenderedPageBreak/>
        <w:t xml:space="preserve">found that water quality trading and offset mechanisms fetched nearly USD 32 million in transaction value in 2015, which the OECD (2020) assumes is largely from the private sector.  </w:t>
      </w:r>
    </w:p>
    <w:p w14:paraId="57670ACB" w14:textId="2715FFCA" w:rsidR="00170068" w:rsidRDefault="00170068" w:rsidP="00FB6747">
      <w:pPr>
        <w:jc w:val="both"/>
      </w:pPr>
    </w:p>
    <w:p w14:paraId="1202AD65" w14:textId="76F8DBF1" w:rsidR="00170068" w:rsidRDefault="00170068" w:rsidP="00FB6747">
      <w:pPr>
        <w:jc w:val="both"/>
      </w:pPr>
      <w:r>
        <w:t xml:space="preserve">There is, however, no global database that provides national-level information on transactions suitable to report on this financing instrument.  For private entities engaging in these transactions, countries will be required to collect the information directly from those private entities, or private entities may </w:t>
      </w:r>
      <w:proofErr w:type="spellStart"/>
      <w:proofErr w:type="gramStart"/>
      <w:r>
        <w:t>chose</w:t>
      </w:r>
      <w:proofErr w:type="spellEnd"/>
      <w:proofErr w:type="gramEnd"/>
      <w:r>
        <w:t xml:space="preserve"> to disclose this information in corporate sustainability reports which can be compiled by countries. </w:t>
      </w:r>
    </w:p>
    <w:p w14:paraId="441A9FCA" w14:textId="4C70F04F" w:rsidR="00170068" w:rsidRDefault="00170068" w:rsidP="00FB6747">
      <w:pPr>
        <w:jc w:val="both"/>
      </w:pPr>
    </w:p>
    <w:p w14:paraId="23BFDE11" w14:textId="1AFFD120" w:rsidR="00170068" w:rsidRDefault="00170068" w:rsidP="00FB6747">
      <w:pPr>
        <w:jc w:val="both"/>
      </w:pPr>
      <w:r>
        <w:t xml:space="preserve">The OECD PINE database </w:t>
      </w:r>
      <w:r w:rsidR="00043A53">
        <w:t xml:space="preserve">recently introduced the possibility of reporting on payments for ecosystem service programs.  A survey was distributed in 2020/21 requesting data on these schemes. Across the ten countries that provided information, PES channeled USD 10.1 billion per year in 2017-2019, on average.  To the extent that respondents provided information on private finance, this information could be useful to report on these private financial flows to the CBD (OECD, 2021).  </w:t>
      </w:r>
    </w:p>
    <w:p w14:paraId="1F64E7BF" w14:textId="77777777" w:rsidR="005621D1" w:rsidRDefault="005621D1" w:rsidP="00FB6747">
      <w:pPr>
        <w:jc w:val="both"/>
      </w:pPr>
    </w:p>
    <w:p w14:paraId="7C27B200" w14:textId="233A6B83" w:rsidR="005621D1" w:rsidRPr="00A62853" w:rsidRDefault="005621D1" w:rsidP="00FB6747">
      <w:pPr>
        <w:jc w:val="both"/>
      </w:pPr>
      <w:r>
        <w:rPr>
          <w:noProof/>
        </w:rPr>
        <w:lastRenderedPageBreak/>
        <mc:AlternateContent>
          <mc:Choice Requires="wps">
            <w:drawing>
              <wp:inline distT="0" distB="0" distL="0" distR="0" wp14:anchorId="133B4D05" wp14:editId="4C545D84">
                <wp:extent cx="5943600" cy="6445210"/>
                <wp:effectExtent l="0" t="0" r="19050" b="13335"/>
                <wp:docPr id="559764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445210"/>
                        </a:xfrm>
                        <a:prstGeom prst="rect">
                          <a:avLst/>
                        </a:prstGeom>
                        <a:solidFill>
                          <a:schemeClr val="bg1">
                            <a:lumMod val="95000"/>
                          </a:schemeClr>
                        </a:solidFill>
                        <a:ln w="9525">
                          <a:solidFill>
                            <a:srgbClr val="000000"/>
                          </a:solidFill>
                          <a:miter lim="800000"/>
                          <a:headEnd/>
                          <a:tailEnd/>
                        </a:ln>
                      </wps:spPr>
                      <wps:txbx>
                        <w:txbxContent>
                          <w:p w14:paraId="3805FAE9" w14:textId="77777777" w:rsidR="005621D1" w:rsidRPr="009A11FD" w:rsidRDefault="005621D1" w:rsidP="005621D1">
                            <w:pPr>
                              <w:rPr>
                                <w:b/>
                                <w:bCs/>
                              </w:rPr>
                            </w:pPr>
                            <w:r w:rsidRPr="009A11FD">
                              <w:rPr>
                                <w:b/>
                                <w:bCs/>
                              </w:rPr>
                              <w:t>Box 2.  Estimating Private Financial Flows to Biodiversity in the Netherlands</w:t>
                            </w:r>
                          </w:p>
                          <w:p w14:paraId="587794E9" w14:textId="77777777" w:rsidR="005621D1" w:rsidRDefault="005621D1" w:rsidP="005621D1"/>
                          <w:p w14:paraId="7E98876E" w14:textId="77777777" w:rsidR="005621D1" w:rsidRDefault="005621D1" w:rsidP="005621D1">
                            <w:pPr>
                              <w:jc w:val="both"/>
                            </w:pPr>
                            <w:r>
                              <w:t xml:space="preserve">In 2021,  Climate Risk Services, an advisory firm in the Netherlands, conducted an analysis to map and estimate private financial flows to biodiversity from Dutch financial institutions.  </w:t>
                            </w:r>
                          </w:p>
                          <w:p w14:paraId="3C909088" w14:textId="77777777" w:rsidR="005621D1" w:rsidRDefault="005621D1" w:rsidP="005621D1">
                            <w:pPr>
                              <w:jc w:val="both"/>
                            </w:pPr>
                            <w:r>
                              <w:t>The report estimates financial flows from Dutch Financial institutions by:</w:t>
                            </w:r>
                          </w:p>
                          <w:p w14:paraId="110577C4" w14:textId="77777777" w:rsidR="005621D1" w:rsidRDefault="005621D1" w:rsidP="005621D1">
                            <w:pPr>
                              <w:jc w:val="both"/>
                            </w:pPr>
                          </w:p>
                          <w:p w14:paraId="19D06330" w14:textId="77777777" w:rsidR="005621D1" w:rsidRDefault="005621D1" w:rsidP="005621D1">
                            <w:pPr>
                              <w:pStyle w:val="ListParagraph"/>
                              <w:numPr>
                                <w:ilvl w:val="0"/>
                                <w:numId w:val="27"/>
                              </w:numPr>
                              <w:jc w:val="both"/>
                            </w:pPr>
                            <w:r>
                              <w:t>Analyzing annual reports and websites of financial institutions</w:t>
                            </w:r>
                          </w:p>
                          <w:p w14:paraId="6A79D8C4" w14:textId="77777777" w:rsidR="005621D1" w:rsidRDefault="005621D1" w:rsidP="005621D1">
                            <w:pPr>
                              <w:pStyle w:val="ListParagraph"/>
                              <w:numPr>
                                <w:ilvl w:val="0"/>
                                <w:numId w:val="27"/>
                              </w:numPr>
                              <w:jc w:val="both"/>
                            </w:pPr>
                            <w:r>
                              <w:t>Developing and distributing a questionnaire to 15 financial institutions (including the top 10 asset owners and top 5 banks)</w:t>
                            </w:r>
                          </w:p>
                          <w:p w14:paraId="5F7DB71C" w14:textId="77777777" w:rsidR="005621D1" w:rsidRDefault="005621D1" w:rsidP="005621D1">
                            <w:pPr>
                              <w:pStyle w:val="ListParagraph"/>
                              <w:numPr>
                                <w:ilvl w:val="0"/>
                                <w:numId w:val="27"/>
                              </w:numPr>
                              <w:jc w:val="both"/>
                            </w:pPr>
                            <w:r>
                              <w:t>Consulting the Bloomberg and Refinitiv (Thomas Reuters) databases</w:t>
                            </w:r>
                          </w:p>
                          <w:p w14:paraId="74E69A31" w14:textId="77777777" w:rsidR="005621D1" w:rsidRDefault="005621D1" w:rsidP="005621D1">
                            <w:pPr>
                              <w:pStyle w:val="ListParagraph"/>
                              <w:numPr>
                                <w:ilvl w:val="0"/>
                                <w:numId w:val="27"/>
                              </w:numPr>
                              <w:jc w:val="both"/>
                            </w:pPr>
                            <w:r>
                              <w:t>Consulting the Climate Bonds Initiative databased</w:t>
                            </w:r>
                          </w:p>
                          <w:p w14:paraId="4DB62EA7" w14:textId="77777777" w:rsidR="005621D1" w:rsidRDefault="005621D1" w:rsidP="005621D1">
                            <w:pPr>
                              <w:pStyle w:val="ListParagraph"/>
                              <w:numPr>
                                <w:ilvl w:val="0"/>
                                <w:numId w:val="27"/>
                              </w:numPr>
                              <w:jc w:val="both"/>
                            </w:pPr>
                            <w:r>
                              <w:t>Approaching 40 biodiversity-related private equity funds on whether they have Dutch investors</w:t>
                            </w:r>
                          </w:p>
                          <w:p w14:paraId="6128A963" w14:textId="77777777" w:rsidR="005621D1" w:rsidRDefault="005621D1" w:rsidP="005621D1">
                            <w:pPr>
                              <w:jc w:val="both"/>
                            </w:pPr>
                          </w:p>
                          <w:p w14:paraId="6FF72A4E" w14:textId="77777777" w:rsidR="005621D1" w:rsidRDefault="005621D1" w:rsidP="005621D1">
                            <w:pPr>
                              <w:jc w:val="both"/>
                            </w:pPr>
                            <w:r>
                              <w:t xml:space="preserve">Based on this methodology, the report estimates that Dutch financial institutions directed between EUR 302 and 536 million in private financing to biodiversity in 2020.  This estimate includes EUR 155-310 million in green bonds (the report applies a 0.5-1.0 percent range to estimate biodiversity-related investments), EUR 68-88 million in biodiversity-related private equity funds (funds dedicated to projects that benefit nature and biodiversity), sustainability-linked loans (no estimate provided), and EUR 3 million in investments in sustainable forestry (the report applies a 1.0 percent attribution to the total investment of EUR 300 million). </w:t>
                            </w:r>
                          </w:p>
                          <w:p w14:paraId="781EEF63" w14:textId="77777777" w:rsidR="005621D1" w:rsidRDefault="005621D1" w:rsidP="005621D1">
                            <w:pPr>
                              <w:jc w:val="both"/>
                            </w:pPr>
                          </w:p>
                          <w:p w14:paraId="55D2AF4F" w14:textId="77777777" w:rsidR="005621D1" w:rsidRDefault="005621D1" w:rsidP="005621D1">
                            <w:pPr>
                              <w:jc w:val="both"/>
                            </w:pPr>
                            <w:r>
                              <w:t xml:space="preserve">The report acknowledges that these estimates are based on assumptions related to the share of green bonds that is spent on biodiversity. Lacking more detailed and transparent information on the ‘use of proceeds’, and on the environmental impacts realized through the use of these proceeds, it is not possible to determine whether these financing instruments have positive outcomes on biodiversity.  New regulations in the EU such as the Sustainable Finance Disclosure Regulation and EU Taxonomy Regulation will improve the tracking and reporting by financial market participants and companies by requiring that they assess whether their economic activities are ‘sustainable’ according to technical screening criteria in development. See Box 4 for more information on the EU Taxonomy Regulation. </w:t>
                            </w:r>
                          </w:p>
                          <w:p w14:paraId="0E9C5DC4" w14:textId="77777777" w:rsidR="005621D1" w:rsidRDefault="005621D1" w:rsidP="005621D1"/>
                          <w:p w14:paraId="1FC5E98B" w14:textId="77777777" w:rsidR="005621D1" w:rsidRDefault="005621D1" w:rsidP="005621D1"/>
                          <w:p w14:paraId="069D3BF6" w14:textId="77777777" w:rsidR="005621D1" w:rsidRDefault="005621D1" w:rsidP="005621D1">
                            <w:r>
                              <w:t>Source: Mulder, G. 2021. Mapping Dutch Financial Flows to Biodiversity.</w:t>
                            </w:r>
                          </w:p>
                        </w:txbxContent>
                      </wps:txbx>
                      <wps:bodyPr rot="0" vert="horz" wrap="square" lIns="91440" tIns="45720" rIns="91440" bIns="45720" anchor="t" anchorCtr="0">
                        <a:noAutofit/>
                      </wps:bodyPr>
                    </wps:wsp>
                  </a:graphicData>
                </a:graphic>
              </wp:inline>
            </w:drawing>
          </mc:Choice>
          <mc:Fallback>
            <w:pict>
              <v:shape w14:anchorId="133B4D05" id="_x0000_s1029" type="#_x0000_t202" style="width:468pt;height:5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" fillcolor="#f2f2f2 [3052]">
                <v:textbox>
                  <w:txbxContent>
                    <w:p w14:paraId="3805FAE9" w14:textId="77777777" w:rsidR="005621D1" w:rsidRPr="009A11FD" w:rsidRDefault="005621D1" w:rsidP="005621D1">
                      <w:pPr>
                        <w:rPr>
                          <w:b/>
                          <w:bCs/>
                        </w:rPr>
                      </w:pPr>
                      <w:r w:rsidRPr="009A11FD">
                        <w:rPr>
                          <w:b/>
                          <w:bCs/>
                        </w:rPr>
                        <w:t>Box 2.  Estimating Private Financial Flows to Biodiversity in the Netherlands</w:t>
                      </w:r>
                    </w:p>
                    <w:p w14:paraId="587794E9" w14:textId="77777777" w:rsidR="005621D1" w:rsidRDefault="005621D1" w:rsidP="005621D1"/>
                    <w:p w14:paraId="7E98876E" w14:textId="77777777" w:rsidR="005621D1" w:rsidRDefault="005621D1" w:rsidP="005621D1">
                      <w:pPr>
                        <w:jc w:val="both"/>
                      </w:pPr>
                      <w:r>
                        <w:t xml:space="preserve">In 2021,  Climate Risk Services, an advisory firm in the Netherlands, conducted an analysis to map and estimate private financial flows to biodiversity from Dutch financial institutions.  </w:t>
                      </w:r>
                    </w:p>
                    <w:p w14:paraId="3C909088" w14:textId="77777777" w:rsidR="005621D1" w:rsidRDefault="005621D1" w:rsidP="005621D1">
                      <w:pPr>
                        <w:jc w:val="both"/>
                      </w:pPr>
                      <w:r>
                        <w:t>The report estimates financial flows from Dutch Financial institutions by:</w:t>
                      </w:r>
                    </w:p>
                    <w:p w14:paraId="110577C4" w14:textId="77777777" w:rsidR="005621D1" w:rsidRDefault="005621D1" w:rsidP="005621D1">
                      <w:pPr>
                        <w:jc w:val="both"/>
                      </w:pPr>
                    </w:p>
                    <w:p w14:paraId="19D06330" w14:textId="77777777" w:rsidR="005621D1" w:rsidRDefault="005621D1" w:rsidP="005621D1">
                      <w:pPr>
                        <w:pStyle w:val="ListParagraph"/>
                        <w:numPr>
                          <w:ilvl w:val="0"/>
                          <w:numId w:val="27"/>
                        </w:numPr>
                        <w:jc w:val="both"/>
                      </w:pPr>
                      <w:r>
                        <w:t>Analyzing annual reports and websites of financial institutions</w:t>
                      </w:r>
                    </w:p>
                    <w:p w14:paraId="6A79D8C4" w14:textId="77777777" w:rsidR="005621D1" w:rsidRDefault="005621D1" w:rsidP="005621D1">
                      <w:pPr>
                        <w:pStyle w:val="ListParagraph"/>
                        <w:numPr>
                          <w:ilvl w:val="0"/>
                          <w:numId w:val="27"/>
                        </w:numPr>
                        <w:jc w:val="both"/>
                      </w:pPr>
                      <w:r>
                        <w:t>Developing and distributing a questionnaire to 15 financial institutions (including the top 10 asset owners and top 5 banks)</w:t>
                      </w:r>
                    </w:p>
                    <w:p w14:paraId="5F7DB71C" w14:textId="77777777" w:rsidR="005621D1" w:rsidRDefault="005621D1" w:rsidP="005621D1">
                      <w:pPr>
                        <w:pStyle w:val="ListParagraph"/>
                        <w:numPr>
                          <w:ilvl w:val="0"/>
                          <w:numId w:val="27"/>
                        </w:numPr>
                        <w:jc w:val="both"/>
                      </w:pPr>
                      <w:r>
                        <w:t>Consulting the Bloomberg and Refinitiv (Thomas Reuters) databases</w:t>
                      </w:r>
                    </w:p>
                    <w:p w14:paraId="74E69A31" w14:textId="77777777" w:rsidR="005621D1" w:rsidRDefault="005621D1" w:rsidP="005621D1">
                      <w:pPr>
                        <w:pStyle w:val="ListParagraph"/>
                        <w:numPr>
                          <w:ilvl w:val="0"/>
                          <w:numId w:val="27"/>
                        </w:numPr>
                        <w:jc w:val="both"/>
                      </w:pPr>
                      <w:r>
                        <w:t>Consulting the Climate Bonds Initiative databased</w:t>
                      </w:r>
                    </w:p>
                    <w:p w14:paraId="4DB62EA7" w14:textId="77777777" w:rsidR="005621D1" w:rsidRDefault="005621D1" w:rsidP="005621D1">
                      <w:pPr>
                        <w:pStyle w:val="ListParagraph"/>
                        <w:numPr>
                          <w:ilvl w:val="0"/>
                          <w:numId w:val="27"/>
                        </w:numPr>
                        <w:jc w:val="both"/>
                      </w:pPr>
                      <w:r>
                        <w:t>Approaching 40 biodiversity-related private equity funds on whether they have Dutch investors</w:t>
                      </w:r>
                    </w:p>
                    <w:p w14:paraId="6128A963" w14:textId="77777777" w:rsidR="005621D1" w:rsidRDefault="005621D1" w:rsidP="005621D1">
                      <w:pPr>
                        <w:jc w:val="both"/>
                      </w:pPr>
                    </w:p>
                    <w:p w14:paraId="6FF72A4E" w14:textId="77777777" w:rsidR="005621D1" w:rsidRDefault="005621D1" w:rsidP="005621D1">
                      <w:pPr>
                        <w:jc w:val="both"/>
                      </w:pPr>
                      <w:r>
                        <w:t xml:space="preserve">Based on this methodology, the report estimates that Dutch financial institutions directed between EUR 302 and 536 million in private financing to biodiversity in 2020.  This estimate includes EUR 155-310 million in green bonds (the report applies a 0.5-1.0 percent range to estimate biodiversity-related investments), EUR 68-88 million in biodiversity-related private equity funds (funds dedicated to projects that benefit nature and biodiversity), sustainability-linked loans (no estimate provided), and EUR 3 million in investments in sustainable forestry (the report applies a 1.0 percent attribution to the total investment of EUR 300 million). </w:t>
                      </w:r>
                    </w:p>
                    <w:p w14:paraId="781EEF63" w14:textId="77777777" w:rsidR="005621D1" w:rsidRDefault="005621D1" w:rsidP="005621D1">
                      <w:pPr>
                        <w:jc w:val="both"/>
                      </w:pPr>
                    </w:p>
                    <w:p w14:paraId="55D2AF4F" w14:textId="77777777" w:rsidR="005621D1" w:rsidRDefault="005621D1" w:rsidP="005621D1">
                      <w:pPr>
                        <w:jc w:val="both"/>
                      </w:pPr>
                      <w:r>
                        <w:t xml:space="preserve">The report acknowledges that these estimates are based on assumptions related to the share of green bonds that is spent on biodiversity. Lacking more detailed and transparent information on the ‘use of proceeds’, and on the environmental impacts realized through the use of these proceeds, it is not possible to determine whether these financing instruments have positive outcomes on biodiversity.  New regulations in the EU such as the Sustainable Finance Disclosure Regulation and EU Taxonomy Regulation will improve the tracking and reporting by financial market participants and companies by requiring that they assess whether their economic activities are ‘sustainable’ according to technical screening criteria in development. See Box 4 for more information on the EU Taxonomy Regulation. </w:t>
                      </w:r>
                    </w:p>
                    <w:p w14:paraId="0E9C5DC4" w14:textId="77777777" w:rsidR="005621D1" w:rsidRDefault="005621D1" w:rsidP="005621D1"/>
                    <w:p w14:paraId="1FC5E98B" w14:textId="77777777" w:rsidR="005621D1" w:rsidRDefault="005621D1" w:rsidP="005621D1"/>
                    <w:p w14:paraId="069D3BF6" w14:textId="77777777" w:rsidR="005621D1" w:rsidRDefault="005621D1" w:rsidP="005621D1">
                      <w:r>
                        <w:t>Source: Mulder, G. 2021. Mapping Dutch Financial Flows to Biodiversity.</w:t>
                      </w:r>
                    </w:p>
                  </w:txbxContent>
                </v:textbox>
                <w10:anchorlock/>
              </v:shape>
            </w:pict>
          </mc:Fallback>
        </mc:AlternateContent>
      </w:r>
    </w:p>
    <w:p w14:paraId="4337C7B9" w14:textId="77777777" w:rsidR="00F15FC9" w:rsidRDefault="00F15FC9" w:rsidP="00FB6747">
      <w:pPr>
        <w:jc w:val="both"/>
      </w:pPr>
    </w:p>
    <w:p w14:paraId="7077200C" w14:textId="1F52C71C" w:rsidR="00F21DB3" w:rsidRDefault="008205BF" w:rsidP="00F21DB3">
      <w:pPr>
        <w:pStyle w:val="Heading1"/>
      </w:pPr>
      <w:bookmarkStart w:id="11" w:name="_Toc172018358"/>
      <w:r>
        <w:t xml:space="preserve">Section </w:t>
      </w:r>
      <w:r w:rsidR="00083F6F">
        <w:t>Nine</w:t>
      </w:r>
      <w:r>
        <w:t xml:space="preserve">: </w:t>
      </w:r>
      <w:r w:rsidR="00427456">
        <w:t xml:space="preserve">Other </w:t>
      </w:r>
      <w:r w:rsidR="00F156EA">
        <w:t>M</w:t>
      </w:r>
      <w:r w:rsidR="00427456">
        <w:t xml:space="preserve">easurement </w:t>
      </w:r>
      <w:r w:rsidR="00F156EA">
        <w:t>A</w:t>
      </w:r>
      <w:r w:rsidR="00427456">
        <w:t xml:space="preserve">pproaches for </w:t>
      </w:r>
      <w:r w:rsidR="00F156EA">
        <w:t>P</w:t>
      </w:r>
      <w:r w:rsidR="00427456">
        <w:t xml:space="preserve">rivate </w:t>
      </w:r>
      <w:r w:rsidR="00F156EA">
        <w:t>F</w:t>
      </w:r>
      <w:r w:rsidR="00427456">
        <w:t>unding</w:t>
      </w:r>
      <w:bookmarkEnd w:id="11"/>
      <w:r w:rsidR="00A23409">
        <w:t xml:space="preserve"> </w:t>
      </w:r>
    </w:p>
    <w:p w14:paraId="44DD9FA0" w14:textId="6872BD45" w:rsidR="00E81A34" w:rsidRDefault="00E81A34" w:rsidP="001868C6">
      <w:pPr>
        <w:jc w:val="both"/>
      </w:pPr>
    </w:p>
    <w:p w14:paraId="31A450DC" w14:textId="22B12524" w:rsidR="00E81A34" w:rsidRDefault="00E81A34" w:rsidP="00E81A34">
      <w:pPr>
        <w:jc w:val="both"/>
      </w:pPr>
      <w:r>
        <w:t xml:space="preserve">As highlighted in the above </w:t>
      </w:r>
      <w:r w:rsidR="00021E97">
        <w:t xml:space="preserve">global assessments of private finance for </w:t>
      </w:r>
      <w:r w:rsidR="00516580">
        <w:t>biodiversity, very</w:t>
      </w:r>
      <w:r w:rsidR="000550FC">
        <w:t xml:space="preserve"> little data is available at the level of disaggregation needed for countries to draw from for national reporting.  As noted in the literature, not all countries have programs or policies in place to channel private finance for biodiversity, such as </w:t>
      </w:r>
      <w:r w:rsidR="003F6425">
        <w:t xml:space="preserve">for biodiversity offsets, water quality trading, and other mechanisms that are largely regulatory-driven.  </w:t>
      </w:r>
      <w:r w:rsidR="000550FC">
        <w:t xml:space="preserve">In addition, some of the data, such as </w:t>
      </w:r>
      <w:r w:rsidR="000550FC">
        <w:lastRenderedPageBreak/>
        <w:t xml:space="preserve">the OECD DAC statistics, are not available for all Parties to the CBD to draw from for national reporting.  Because of this, </w:t>
      </w:r>
      <w:r>
        <w:t xml:space="preserve">there is likely not a ‘one-size-fits-all’ approach for Parties to report on </w:t>
      </w:r>
      <w:r w:rsidR="00650372">
        <w:t>private funding for biodiversity</w:t>
      </w:r>
      <w:r>
        <w:t xml:space="preserve">. Instead, a menu of options may be more suitable for countries to select based on their national </w:t>
      </w:r>
      <w:r w:rsidR="00ED6065">
        <w:t>circumstances and</w:t>
      </w:r>
      <w:r w:rsidR="003F6425">
        <w:t xml:space="preserve"> may</w:t>
      </w:r>
      <w:r>
        <w:t xml:space="preserve"> enable the most robust reporting of private finance for biodiversity. For example, Parties may elect to draw on the OECD’s private philanthropy estimates for international private philanthropic flows, unless perhaps that Party has participated in the UNDP’s BIOFIN initiative and has collected information on private expenditures</w:t>
      </w:r>
      <w:r w:rsidR="00ED6065">
        <w:t xml:space="preserve">. </w:t>
      </w:r>
      <w:r w:rsidR="003F6425">
        <w:t xml:space="preserve">Likewise, </w:t>
      </w:r>
      <w:r>
        <w:t xml:space="preserve">Parties that have </w:t>
      </w:r>
      <w:r w:rsidR="00ED6065">
        <w:t>established</w:t>
      </w:r>
      <w:r>
        <w:t xml:space="preserve"> environmental protection expenditure accounting within their national statistical offices may want to draw on </w:t>
      </w:r>
      <w:r w:rsidR="0099238C">
        <w:t>those accounts</w:t>
      </w:r>
      <w:r>
        <w:t xml:space="preserve"> to report private domestic expenditures for biodiversity. </w:t>
      </w:r>
      <w:r w:rsidR="00585113">
        <w:t>These</w:t>
      </w:r>
      <w:r w:rsidR="003F6425">
        <w:t xml:space="preserve"> </w:t>
      </w:r>
      <w:r>
        <w:t>existing source</w:t>
      </w:r>
      <w:r w:rsidR="003F6425">
        <w:t>s</w:t>
      </w:r>
      <w:r>
        <w:t xml:space="preserve"> of data could serve as an initial reporting metric and be expanded over time to better capture all private domestic financial flows to </w:t>
      </w:r>
      <w:r w:rsidR="00866828">
        <w:t>biodiversity and</w:t>
      </w:r>
      <w:r w:rsidR="00585113">
        <w:t xml:space="preserve"> are explored further below</w:t>
      </w:r>
      <w:r>
        <w:t xml:space="preserve">.  </w:t>
      </w:r>
    </w:p>
    <w:p w14:paraId="09712472" w14:textId="548FEDD3" w:rsidR="002B28A0" w:rsidRDefault="002B28A0" w:rsidP="00E81A34">
      <w:pPr>
        <w:jc w:val="both"/>
      </w:pPr>
    </w:p>
    <w:p w14:paraId="0D22CB2F" w14:textId="0B1640AC" w:rsidR="002B28A0" w:rsidRDefault="002B28A0" w:rsidP="002B28A0">
      <w:pPr>
        <w:pStyle w:val="Heading2"/>
        <w:jc w:val="both"/>
      </w:pPr>
      <w:r>
        <w:t>UNDP – BIOFIN Expenditure Review – Domestic/International Private Financial Flows</w:t>
      </w:r>
      <w:bookmarkStart w:id="12" w:name="_Hlk155605183"/>
    </w:p>
    <w:p w14:paraId="0AD979E2" w14:textId="77777777" w:rsidR="002B28A0" w:rsidRDefault="002B28A0" w:rsidP="002B28A0">
      <w:pPr>
        <w:jc w:val="both"/>
      </w:pPr>
    </w:p>
    <w:p w14:paraId="5425823B" w14:textId="382B2310" w:rsidR="002B28A0" w:rsidRDefault="002B28A0" w:rsidP="002B28A0">
      <w:pPr>
        <w:jc w:val="both"/>
      </w:pPr>
      <w:r>
        <w:t>To date, over 30 developing countries have implemented UNDP’s Biodiversity Finance Initiative (BIOFIN) to conduct national expenditure reviews. These expenditure reviews aim to understand how much the public and private sector is spending on biodiversity conservation, assess the financing gap to achieve biodiversity targets, and develop a finance plan to close their biodiversity financing gap.</w:t>
      </w:r>
    </w:p>
    <w:p w14:paraId="69ECE305" w14:textId="3FCE1839" w:rsidR="00FF040A" w:rsidRDefault="00FF040A" w:rsidP="002B28A0">
      <w:pPr>
        <w:jc w:val="both"/>
      </w:pPr>
    </w:p>
    <w:p w14:paraId="608421A4" w14:textId="1309F96F" w:rsidR="00FF040A" w:rsidRDefault="00FF040A" w:rsidP="002B28A0">
      <w:pPr>
        <w:jc w:val="both"/>
      </w:pPr>
      <w:r>
        <w:t xml:space="preserve">The biodiversity expenditure review </w:t>
      </w:r>
      <w:r w:rsidR="00417AC9">
        <w:t xml:space="preserve">captures expenditures whose purpose is to have a positive impact or reduce or eliminate pressures on biodiversity.  They include expenditures that have biodiversity as their ‘primary purpose as well as secondary expenditures where biodiversity is clearly </w:t>
      </w:r>
      <w:proofErr w:type="gramStart"/>
      <w:r w:rsidR="00417AC9">
        <w:t>identifies</w:t>
      </w:r>
      <w:proofErr w:type="gramEnd"/>
      <w:r w:rsidR="00417AC9">
        <w:t xml:space="preserve"> as an objective, derived from the CBD definition and objectives.  Expenditures are classified using the BIOFIN Workbook methodology and assigned an attribution factor for those activities with primary objectives other than biodiversity.  While comprehensive expenditures from the private sector is difficult, the data collection process is an opportunity for governments to engage with the private sector to begin collecting this information.  </w:t>
      </w:r>
    </w:p>
    <w:p w14:paraId="3E01F4F0" w14:textId="77777777" w:rsidR="002B28A0" w:rsidRDefault="002B28A0" w:rsidP="002B28A0">
      <w:pPr>
        <w:jc w:val="both"/>
      </w:pPr>
    </w:p>
    <w:p w14:paraId="6C1E7D6B" w14:textId="77F3CC31" w:rsidR="002B28A0" w:rsidRDefault="0041627D" w:rsidP="002B28A0">
      <w:pPr>
        <w:jc w:val="both"/>
      </w:pPr>
      <w:r>
        <w:t xml:space="preserve">Some countries have estimated private financial flows through a biodiversity expenditure review, and some have institutionalized this practice into government processes.  </w:t>
      </w:r>
      <w:r w:rsidR="002B28A0">
        <w:t xml:space="preserve">To the extent that biodiversity expenditure reviews in countries implementing the BIOFIN </w:t>
      </w:r>
      <w:proofErr w:type="spellStart"/>
      <w:r w:rsidR="002B28A0">
        <w:t>programme</w:t>
      </w:r>
      <w:proofErr w:type="spellEnd"/>
      <w:r w:rsidR="002B28A0">
        <w:t xml:space="preserve"> have quantified private sector expenditures for biodiversity protection, these measures could serve as a reporting mechanism for indicator D3. It is not known how frequently these expenditure reviews will be conducted, however, and may only provide a snapshot of private funding rather than trends over time.  These estimates may also not be disaggregated by domestic/international </w:t>
      </w:r>
      <w:proofErr w:type="gramStart"/>
      <w:r w:rsidR="002B28A0">
        <w:t>flows of finance</w:t>
      </w:r>
      <w:proofErr w:type="gramEnd"/>
      <w:r w:rsidR="002B28A0">
        <w:t xml:space="preserve">.    </w:t>
      </w:r>
    </w:p>
    <w:p w14:paraId="79D62F41" w14:textId="5F13C2A2" w:rsidR="00ED6065" w:rsidRDefault="00ED6065" w:rsidP="00E81A34">
      <w:pPr>
        <w:jc w:val="both"/>
      </w:pPr>
    </w:p>
    <w:p w14:paraId="141EB9B7" w14:textId="3AC3E722" w:rsidR="00FF040A" w:rsidRDefault="00FF040A" w:rsidP="00E81A34">
      <w:pPr>
        <w:jc w:val="both"/>
      </w:pPr>
      <w:proofErr w:type="gramStart"/>
      <w:r>
        <w:t>The BIOFIN</w:t>
      </w:r>
      <w:proofErr w:type="gramEnd"/>
      <w:r>
        <w:t xml:space="preserve"> Methodology is continuously improving over time and can serve as a platform</w:t>
      </w:r>
      <w:r w:rsidR="00417AC9">
        <w:t xml:space="preserve"> for countries to identify, collect, and categorize private expenditures for biodiversity. </w:t>
      </w:r>
    </w:p>
    <w:p w14:paraId="14D3E539" w14:textId="77777777" w:rsidR="00E81A34" w:rsidRDefault="00E81A34" w:rsidP="001868C6">
      <w:pPr>
        <w:jc w:val="both"/>
      </w:pPr>
    </w:p>
    <w:bookmarkEnd w:id="12"/>
    <w:p w14:paraId="34E2FD78" w14:textId="7435CDFB" w:rsidR="00117891" w:rsidRDefault="00274009" w:rsidP="00274009">
      <w:pPr>
        <w:pStyle w:val="Heading2"/>
      </w:pPr>
      <w:r>
        <w:lastRenderedPageBreak/>
        <w:t>System of Environmental Economic Accounts</w:t>
      </w:r>
      <w:r w:rsidR="004F7CEB">
        <w:t xml:space="preserve"> – Environmental Activities</w:t>
      </w:r>
    </w:p>
    <w:p w14:paraId="40DBA918" w14:textId="45F2E319" w:rsidR="00274009" w:rsidRDefault="00274009" w:rsidP="00D816EA">
      <w:pPr>
        <w:jc w:val="both"/>
      </w:pPr>
    </w:p>
    <w:p w14:paraId="2ED46AE7" w14:textId="4304CAF1" w:rsidR="00156117" w:rsidRDefault="00274009" w:rsidP="00274009">
      <w:pPr>
        <w:jc w:val="both"/>
      </w:pPr>
      <w:r>
        <w:t>Under the System of Environmental-Economic Accounting – Central Framework (SEEA Central Framework)</w:t>
      </w:r>
      <w:r w:rsidR="00156117">
        <w:rPr>
          <w:rStyle w:val="FootnoteReference"/>
        </w:rPr>
        <w:footnoteReference w:id="14"/>
      </w:r>
      <w:r>
        <w:t xml:space="preserve"> adopted by the United Nations Statistical Commission in 2012, countries are requested to report on environmental economic activities</w:t>
      </w:r>
      <w:r w:rsidR="004F7CEB">
        <w:t>, encompassing those economic activities whose primary purpose is to reduce or eliminate pressures on the environment or to make more efficient use of natural resources.</w:t>
      </w:r>
      <w:r>
        <w:t xml:space="preserve"> </w:t>
      </w:r>
      <w:r w:rsidR="004F7CEB">
        <w:t xml:space="preserve">Environmental protection activities include those activities whose primary purpose is to prevent, reduce, or eliminate pollution and other forms of degradation of the environment.  Resource management activities include those activities whose primary purpose is preserving and maintaining the stock of natural resources, thereby safeguarding against resource depletion. While these resource management activities may result in secondary benefits to the environment, such as protecting wildlife and natural habitats, these activities are not classified as environmental protection because their primary purpose is one of resource efficiency.  </w:t>
      </w:r>
    </w:p>
    <w:p w14:paraId="3301A5D3" w14:textId="77777777" w:rsidR="00156117" w:rsidRDefault="00156117" w:rsidP="00274009">
      <w:pPr>
        <w:jc w:val="both"/>
      </w:pPr>
    </w:p>
    <w:p w14:paraId="0E72626C" w14:textId="614356E8" w:rsidR="00274009" w:rsidRDefault="000F3520" w:rsidP="00274009">
      <w:pPr>
        <w:jc w:val="both"/>
      </w:pPr>
      <w:r>
        <w:t xml:space="preserve">These activities are classified in the SEEA-CF within the structure of the Classification of Environmental Activities (CEA).  The CEA is a functional classification for environmental activities, products, expenditures, and other transactions.  </w:t>
      </w:r>
      <w:r w:rsidR="00274009">
        <w:t xml:space="preserve">Figure 4 below describes the broad structure for the </w:t>
      </w:r>
      <w:r>
        <w:t>CEA both for environmental protection (EP) and resource management (RM) activities</w:t>
      </w:r>
      <w:r w:rsidR="00274009">
        <w:t xml:space="preserve">. </w:t>
      </w:r>
      <w:r w:rsidR="007802D2">
        <w:t>Detailed classes and definitions for EP activities</w:t>
      </w:r>
      <w:r>
        <w:t xml:space="preserve"> </w:t>
      </w:r>
      <w:r w:rsidR="007802D2">
        <w:t xml:space="preserve">are consistent with </w:t>
      </w:r>
      <w:r>
        <w:t>the Classification of Environmental Protection Activities</w:t>
      </w:r>
      <w:r w:rsidR="00156117">
        <w:t xml:space="preserve"> (CEPA 2000)</w:t>
      </w:r>
      <w:r w:rsidR="007802D2">
        <w:t>.</w:t>
      </w:r>
      <w:r w:rsidR="00156117">
        <w:rPr>
          <w:rStyle w:val="FootnoteReference"/>
        </w:rPr>
        <w:footnoteReference w:id="15"/>
      </w:r>
      <w:r w:rsidR="007802D2">
        <w:t xml:space="preserve">  </w:t>
      </w:r>
      <w:r w:rsidR="00156117">
        <w:t>Classifications of RM activities, the Classification of Resource Management Activities (</w:t>
      </w:r>
      <w:proofErr w:type="spellStart"/>
      <w:r w:rsidR="00156117">
        <w:t>CReMA</w:t>
      </w:r>
      <w:proofErr w:type="spellEnd"/>
      <w:r w:rsidR="00156117">
        <w:t xml:space="preserve">), which is not an international statistical classification, is used in the EU to complement CEPA and was established in 2008.  </w:t>
      </w:r>
      <w:r w:rsidR="00274009">
        <w:t xml:space="preserve"> </w:t>
      </w:r>
    </w:p>
    <w:p w14:paraId="553687B9" w14:textId="77777777" w:rsidR="00274009" w:rsidRDefault="00274009" w:rsidP="00274009">
      <w:pPr>
        <w:jc w:val="both"/>
      </w:pPr>
    </w:p>
    <w:p w14:paraId="2801B0C8" w14:textId="21B4B32F" w:rsidR="00274009" w:rsidRDefault="00274009" w:rsidP="00274009">
      <w:pPr>
        <w:pStyle w:val="Caption"/>
      </w:pPr>
      <w:r>
        <w:lastRenderedPageBreak/>
        <w:t xml:space="preserve">Figure </w:t>
      </w:r>
      <w:fldSimple w:instr=" SEQ Figure \* ARABIC ">
        <w:r w:rsidR="00540223">
          <w:rPr>
            <w:noProof/>
          </w:rPr>
          <w:t>6</w:t>
        </w:r>
      </w:fldSimple>
      <w:r>
        <w:t xml:space="preserve"> SEEA-CF</w:t>
      </w:r>
    </w:p>
    <w:p w14:paraId="63E7A3B3" w14:textId="77777777" w:rsidR="00274009" w:rsidRDefault="00274009" w:rsidP="00274009">
      <w:pPr>
        <w:jc w:val="center"/>
      </w:pPr>
      <w:r w:rsidRPr="00124384">
        <w:rPr>
          <w:noProof/>
        </w:rPr>
        <w:drawing>
          <wp:inline distT="0" distB="0" distL="0" distR="0" wp14:anchorId="245D788F" wp14:editId="30E6CC3C">
            <wp:extent cx="4922947" cy="3505504"/>
            <wp:effectExtent l="0" t="0" r="0" b="0"/>
            <wp:docPr id="9" name="Picture 9" descr="A screen 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 shot of a document&#10;&#10;Description automatically generated"/>
                    <pic:cNvPicPr/>
                  </pic:nvPicPr>
                  <pic:blipFill>
                    <a:blip r:embed="rId30"/>
                    <a:stretch>
                      <a:fillRect/>
                    </a:stretch>
                  </pic:blipFill>
                  <pic:spPr>
                    <a:xfrm>
                      <a:off x="0" y="0"/>
                      <a:ext cx="4922947" cy="3505504"/>
                    </a:xfrm>
                    <a:prstGeom prst="rect">
                      <a:avLst/>
                    </a:prstGeom>
                  </pic:spPr>
                </pic:pic>
              </a:graphicData>
            </a:graphic>
          </wp:inline>
        </w:drawing>
      </w:r>
    </w:p>
    <w:p w14:paraId="487FE8F6" w14:textId="77777777" w:rsidR="00274009" w:rsidRPr="007F5172" w:rsidRDefault="00274009" w:rsidP="00274009">
      <w:pPr>
        <w:ind w:firstLine="720"/>
        <w:jc w:val="both"/>
        <w:rPr>
          <w:lang w:val="fr-FR"/>
        </w:rPr>
      </w:pPr>
      <w:proofErr w:type="gramStart"/>
      <w:r w:rsidRPr="007F5172">
        <w:rPr>
          <w:lang w:val="fr-FR"/>
        </w:rPr>
        <w:t>Source:</w:t>
      </w:r>
      <w:proofErr w:type="gramEnd"/>
      <w:r w:rsidRPr="007F5172">
        <w:rPr>
          <w:lang w:val="fr-FR"/>
        </w:rPr>
        <w:t xml:space="preserve"> </w:t>
      </w:r>
      <w:hyperlink r:id="rId31" w:history="1">
        <w:r w:rsidRPr="007F5172">
          <w:rPr>
            <w:rStyle w:val="Hyperlink"/>
            <w:lang w:val="fr-FR"/>
          </w:rPr>
          <w:t>https://seea.un.org/sites/seea.un.org/files/seea_cf_final_en.pdf</w:t>
        </w:r>
      </w:hyperlink>
    </w:p>
    <w:p w14:paraId="42F16CCD" w14:textId="77777777" w:rsidR="00274009" w:rsidRPr="007F5172" w:rsidRDefault="00274009" w:rsidP="00274009">
      <w:pPr>
        <w:jc w:val="both"/>
        <w:rPr>
          <w:lang w:val="fr-FR"/>
        </w:rPr>
      </w:pPr>
    </w:p>
    <w:p w14:paraId="42E7BDE7" w14:textId="4EEFBB1E" w:rsidR="00274009" w:rsidRDefault="00274009" w:rsidP="00274009">
      <w:pPr>
        <w:jc w:val="both"/>
      </w:pPr>
      <w:r>
        <w:t xml:space="preserve">Under the CEPA classification, protection of biodiversity and landscapes (CEPA 6) refers to measures and activities aimed at the protection and rehabilitation of fauna and flora species, ecosystems and habitats as well as the protection and rehabilitation of natural and semi-natural landscapes.  The classification acknowledges that it is not always practical to separate ‘biodiversity’ from ‘landscape protection’, as both have clear linkages to biodiversity preservation.  This classification excludes </w:t>
      </w:r>
      <w:proofErr w:type="gramStart"/>
      <w:r>
        <w:t>expenditures</w:t>
      </w:r>
      <w:proofErr w:type="gramEnd"/>
      <w:r>
        <w:t xml:space="preserve"> on historic monuments or built landscapes, weed control on agricultural land, certain forest fire prevention activities, and establishing and maintaining green space along roads and recreational structures. </w:t>
      </w:r>
      <w:r w:rsidR="00536AAF">
        <w:t xml:space="preserve">Specific activities and measures covered under CEPA Class 6 on protection of biodiversity and landscape </w:t>
      </w:r>
      <w:proofErr w:type="gramStart"/>
      <w:r w:rsidR="00536AAF">
        <w:t>includes</w:t>
      </w:r>
      <w:proofErr w:type="gramEnd"/>
      <w:r w:rsidR="00536AAF">
        <w:t>:</w:t>
      </w:r>
    </w:p>
    <w:p w14:paraId="5DEA49C2" w14:textId="001C8BD8" w:rsidR="00536AAF" w:rsidRDefault="00536AAF" w:rsidP="00274009">
      <w:pPr>
        <w:jc w:val="both"/>
      </w:pPr>
    </w:p>
    <w:p w14:paraId="622D9451" w14:textId="29F9CAB6" w:rsidR="00536AAF" w:rsidRDefault="00536AAF" w:rsidP="00536AAF">
      <w:pPr>
        <w:pStyle w:val="ListParagraph"/>
        <w:numPr>
          <w:ilvl w:val="0"/>
          <w:numId w:val="25"/>
        </w:numPr>
        <w:jc w:val="both"/>
      </w:pPr>
      <w:r w:rsidRPr="001C4067">
        <w:rPr>
          <w:b/>
          <w:bCs/>
        </w:rPr>
        <w:t>Protection and rehabilitation of species and habitats</w:t>
      </w:r>
      <w:r>
        <w:t xml:space="preserve"> </w:t>
      </w:r>
      <w:r w:rsidR="005C276B">
        <w:t xml:space="preserve">(for example: reintroducing/repopulating species, creating gene banks, conserving genetic heritage, controlling invasive alien species, </w:t>
      </w:r>
      <w:proofErr w:type="spellStart"/>
      <w:r w:rsidR="005C276B">
        <w:t>renaturalisation</w:t>
      </w:r>
      <w:proofErr w:type="spellEnd"/>
      <w:r w:rsidR="005C276B">
        <w:t xml:space="preserve"> of </w:t>
      </w:r>
      <w:r w:rsidR="00516580">
        <w:t>riverbanks</w:t>
      </w:r>
      <w:r w:rsidR="005C276B">
        <w:t>, producing fishing nets with reduced by-catch)</w:t>
      </w:r>
    </w:p>
    <w:p w14:paraId="05AE5E82" w14:textId="60ACEE4A" w:rsidR="00536AAF" w:rsidRDefault="00536AAF" w:rsidP="00536AAF">
      <w:pPr>
        <w:pStyle w:val="ListParagraph"/>
        <w:numPr>
          <w:ilvl w:val="0"/>
          <w:numId w:val="25"/>
        </w:numPr>
        <w:jc w:val="both"/>
      </w:pPr>
      <w:r w:rsidRPr="001C4067">
        <w:rPr>
          <w:b/>
          <w:bCs/>
        </w:rPr>
        <w:t xml:space="preserve">Protection of natural and semi-natural landscapes </w:t>
      </w:r>
      <w:r w:rsidR="005C276B">
        <w:t xml:space="preserve">(for example: preserving </w:t>
      </w:r>
      <w:r w:rsidR="00516580">
        <w:t>legally protected</w:t>
      </w:r>
      <w:r w:rsidR="005C276B">
        <w:t xml:space="preserve"> natural objects, environmental rehabilitation of abandoned mining sites, burying electricity lines, maintaining traditional agricultural landscapes, renaturation of artificial lakes and bogs)</w:t>
      </w:r>
    </w:p>
    <w:p w14:paraId="06113199" w14:textId="7479BB03" w:rsidR="00536AAF" w:rsidRDefault="00536AAF" w:rsidP="00536AAF">
      <w:pPr>
        <w:pStyle w:val="ListParagraph"/>
        <w:numPr>
          <w:ilvl w:val="0"/>
          <w:numId w:val="25"/>
        </w:numPr>
        <w:jc w:val="both"/>
      </w:pPr>
      <w:r w:rsidRPr="001C4067">
        <w:rPr>
          <w:b/>
          <w:bCs/>
        </w:rPr>
        <w:t>Measurement, control, laboratories and the like</w:t>
      </w:r>
      <w:r w:rsidR="001C4067">
        <w:t xml:space="preserve"> (for example: censuses, inventories, and databases of flora and fauna)</w:t>
      </w:r>
    </w:p>
    <w:p w14:paraId="07AA769E" w14:textId="413DF36E" w:rsidR="00536AAF" w:rsidRDefault="00536AAF" w:rsidP="00536AAF">
      <w:pPr>
        <w:pStyle w:val="ListParagraph"/>
        <w:numPr>
          <w:ilvl w:val="0"/>
          <w:numId w:val="25"/>
        </w:numPr>
        <w:jc w:val="both"/>
      </w:pPr>
      <w:r w:rsidRPr="001C4067">
        <w:rPr>
          <w:b/>
          <w:bCs/>
        </w:rPr>
        <w:lastRenderedPageBreak/>
        <w:t>Other activities aimed at protecting biodiversity and landscapes</w:t>
      </w:r>
      <w:r w:rsidR="001C4067" w:rsidRPr="001C4067">
        <w:rPr>
          <w:b/>
          <w:bCs/>
        </w:rPr>
        <w:t xml:space="preserve"> </w:t>
      </w:r>
      <w:r w:rsidR="001C4067">
        <w:t>(for example: education, training, information provision and general administration activities</w:t>
      </w:r>
    </w:p>
    <w:p w14:paraId="4F6D210E" w14:textId="77777777" w:rsidR="00274009" w:rsidRDefault="00274009" w:rsidP="00274009">
      <w:pPr>
        <w:jc w:val="both"/>
      </w:pPr>
    </w:p>
    <w:p w14:paraId="289A03A2" w14:textId="24424040" w:rsidR="00274009" w:rsidRDefault="00274009" w:rsidP="00274009">
      <w:pPr>
        <w:jc w:val="both"/>
      </w:pPr>
      <w:r>
        <w:t>Under the Classification of Resource Management Activities (</w:t>
      </w:r>
      <w:proofErr w:type="spellStart"/>
      <w:r>
        <w:t>CReMA</w:t>
      </w:r>
      <w:proofErr w:type="spellEnd"/>
      <w:r>
        <w:t xml:space="preserve">), all actions and activities aimed at preserving and maintaining the stock of natural resources, and hence safeguarding against depletion, are included.  These activities, for example, could include the reduction of the intake through in-process modifications (e.g. efficiency improvements), the use of alternative resources, replenishment of stocks, and measurement and monitoring activities for effective natural resource management.  These activities support the more sustainable use of biodiversity generally, which may have positive impacts on biodiversity through reducing pressures related to biodiversity depletion and landscape degradation.  </w:t>
      </w:r>
    </w:p>
    <w:p w14:paraId="1CA79F2F" w14:textId="65928FEF" w:rsidR="00536AAF" w:rsidRDefault="00536AAF" w:rsidP="00274009">
      <w:pPr>
        <w:jc w:val="both"/>
      </w:pPr>
    </w:p>
    <w:p w14:paraId="42A8B710" w14:textId="48073CF6" w:rsidR="00536AAF" w:rsidRDefault="00536AAF" w:rsidP="00274009">
      <w:pPr>
        <w:jc w:val="both"/>
      </w:pPr>
      <w:r>
        <w:t xml:space="preserve">Environmental Protection Expenditure Accounts are presented in </w:t>
      </w:r>
      <w:proofErr w:type="gramStart"/>
      <w:r>
        <w:t>a number of</w:t>
      </w:r>
      <w:proofErr w:type="gramEnd"/>
      <w:r>
        <w:t xml:space="preserve"> tables, including national expenditures by users and type of product.  Users are defined as industry users (specialist, non-specialist, and other industry producers of environmental protection specific services), households, general government, and non-profit institutions serving households.</w:t>
      </w:r>
      <w:r w:rsidR="00230EE8">
        <w:t xml:space="preserve">  These expenditure accounts within national statistical accounts theoretically account for all financial flows </w:t>
      </w:r>
      <w:r w:rsidR="00B7589A">
        <w:t xml:space="preserve">for environmental protection </w:t>
      </w:r>
      <w:r w:rsidR="00230EE8">
        <w:t xml:space="preserve">within an economy. </w:t>
      </w:r>
      <w:r>
        <w:t xml:space="preserve">   </w:t>
      </w:r>
    </w:p>
    <w:p w14:paraId="58DDB65F" w14:textId="4CAA3EB1" w:rsidR="00532CB7" w:rsidRDefault="00532CB7" w:rsidP="00274009">
      <w:pPr>
        <w:jc w:val="both"/>
      </w:pPr>
    </w:p>
    <w:p w14:paraId="1079AF25" w14:textId="0E7AF512" w:rsidR="00492A04" w:rsidRDefault="00492A04" w:rsidP="00274009">
      <w:pPr>
        <w:jc w:val="both"/>
      </w:pPr>
      <w:r>
        <w:rPr>
          <w:b/>
          <w:bCs/>
        </w:rPr>
        <w:t>Opportunities and</w:t>
      </w:r>
      <w:r w:rsidR="0036546D">
        <w:rPr>
          <w:b/>
          <w:bCs/>
        </w:rPr>
        <w:t xml:space="preserve"> limitations</w:t>
      </w:r>
      <w:r>
        <w:rPr>
          <w:b/>
          <w:bCs/>
        </w:rPr>
        <w:t xml:space="preserve"> for reporting</w:t>
      </w:r>
      <w:r w:rsidR="00532CB7">
        <w:t xml:space="preserve">.  </w:t>
      </w:r>
      <w:r w:rsidR="00CA6D0C">
        <w:t xml:space="preserve">It is estimated that 92 countries implement SEEA accounts, with 52 implementing EPEA accounts.  </w:t>
      </w:r>
      <w:r w:rsidR="00230EE8">
        <w:t xml:space="preserve">Although the level of detail in these accounts varies, and information on expenditures for biodiversity and landscape protection may not be available.  </w:t>
      </w:r>
      <w:r w:rsidR="00532CB7">
        <w:t xml:space="preserve">For those more advanced countries already </w:t>
      </w:r>
      <w:r w:rsidR="001315F5">
        <w:t>compiling</w:t>
      </w:r>
      <w:r w:rsidR="00532CB7">
        <w:t xml:space="preserve"> environmental economic account</w:t>
      </w:r>
      <w:r w:rsidR="001315F5">
        <w:t>s</w:t>
      </w:r>
      <w:r w:rsidR="00532CB7">
        <w:t>,</w:t>
      </w:r>
      <w:r w:rsidR="0097419D">
        <w:t xml:space="preserve"> statistics </w:t>
      </w:r>
      <w:r w:rsidR="001315F5">
        <w:t>from</w:t>
      </w:r>
      <w:r w:rsidR="0097419D">
        <w:t xml:space="preserve"> environmental protection expenditure </w:t>
      </w:r>
      <w:r w:rsidR="00B65160">
        <w:t xml:space="preserve">and resource management </w:t>
      </w:r>
      <w:r w:rsidR="0097419D">
        <w:t xml:space="preserve">accounts could be drawn from for reporting to the CBD.  Specifically, countries could report on expenditures by </w:t>
      </w:r>
      <w:r w:rsidR="0036546D">
        <w:t xml:space="preserve">industry users classified under CEPA 6 for biodiversity and landscape protection.  </w:t>
      </w:r>
    </w:p>
    <w:p w14:paraId="7D20D1C6" w14:textId="77777777" w:rsidR="00492A04" w:rsidRDefault="00492A04" w:rsidP="00274009">
      <w:pPr>
        <w:jc w:val="both"/>
      </w:pPr>
    </w:p>
    <w:p w14:paraId="55532412" w14:textId="2BF2AF93" w:rsidR="0097419D" w:rsidRDefault="00492A04" w:rsidP="00274009">
      <w:pPr>
        <w:jc w:val="both"/>
      </w:pPr>
      <w:r>
        <w:t xml:space="preserve">There are, however, a few challenges with using these accounts to measure and monitor private finance for biodiversity. </w:t>
      </w:r>
      <w:r w:rsidR="001315F5">
        <w:t xml:space="preserve">The scope of </w:t>
      </w:r>
      <w:r>
        <w:t>the biodiversity and landscape protection class</w:t>
      </w:r>
      <w:r w:rsidR="001315F5">
        <w:t xml:space="preserve"> is quite narrow and will likely significantly underreport expenditures on biodiversity by the private sector.</w:t>
      </w:r>
      <w:r>
        <w:t xml:space="preserve"> Further, while reporting under the CEPA class six of the EP group may capture expenditures </w:t>
      </w:r>
      <w:r w:rsidR="00516580">
        <w:t>whose</w:t>
      </w:r>
      <w:r>
        <w:t xml:space="preserve"> primary purpose is biodiversity and landscape protection, it does not represent expenditures with secondary purposes related to biodiversity, such as expenditures for the sustainable use of biodiversity resources, which are classified under a separate system, the </w:t>
      </w:r>
      <w:proofErr w:type="spellStart"/>
      <w:r>
        <w:t>C</w:t>
      </w:r>
      <w:r w:rsidR="00516580">
        <w:t>R</w:t>
      </w:r>
      <w:r>
        <w:t>eMA</w:t>
      </w:r>
      <w:proofErr w:type="spellEnd"/>
      <w:r>
        <w:t xml:space="preserve">.  </w:t>
      </w:r>
      <w:r w:rsidR="001315F5">
        <w:t xml:space="preserve">Despite this limitation and given the lack of available data to support reporting on these expenditures, the EPEA accounts could serve as a starting point for countries to begin reporting </w:t>
      </w:r>
      <w:r>
        <w:t xml:space="preserve">private expenditure data </w:t>
      </w:r>
      <w:r w:rsidR="001315F5">
        <w:t>to the CB</w:t>
      </w:r>
      <w:r>
        <w:t>D</w:t>
      </w:r>
      <w:r w:rsidR="001315F5">
        <w:t xml:space="preserve">. </w:t>
      </w:r>
    </w:p>
    <w:p w14:paraId="62270A2E" w14:textId="0EBE70E3" w:rsidR="006F4379" w:rsidRDefault="006F4379" w:rsidP="00274009">
      <w:pPr>
        <w:jc w:val="both"/>
      </w:pPr>
    </w:p>
    <w:p w14:paraId="1CD70593" w14:textId="572AC8E4" w:rsidR="00CA6D0C" w:rsidRDefault="00CA6D0C" w:rsidP="00274009">
      <w:pPr>
        <w:jc w:val="both"/>
      </w:pPr>
      <w:r>
        <w:t>Efforts</w:t>
      </w:r>
      <w:r w:rsidR="006F4379">
        <w:t xml:space="preserve"> are underway to update and merge CEPA and </w:t>
      </w:r>
      <w:proofErr w:type="spellStart"/>
      <w:r w:rsidR="006F4379">
        <w:t>CReMA</w:t>
      </w:r>
      <w:proofErr w:type="spellEnd"/>
      <w:r w:rsidR="006F4379">
        <w:t xml:space="preserve"> into one integrated classification of environmental-economic accounts.</w:t>
      </w:r>
      <w:r w:rsidR="00997389">
        <w:rPr>
          <w:rStyle w:val="FootnoteReference"/>
        </w:rPr>
        <w:footnoteReference w:id="16"/>
      </w:r>
      <w:r w:rsidR="006F4379">
        <w:t xml:space="preserve">  Eurostat, the European Union’s statistical division and custodian of CEPA, has been leading work on a new classification system, the Classification of Environmental Purposes (CEP), with the goal of obtaining adoption as an international statistical </w:t>
      </w:r>
      <w:r w:rsidR="006F4379">
        <w:lastRenderedPageBreak/>
        <w:t xml:space="preserve">classification </w:t>
      </w:r>
      <w:r w:rsidR="0097419D">
        <w:t>by the UN Statistical Commission</w:t>
      </w:r>
      <w:r w:rsidR="00B7589A">
        <w:t xml:space="preserve"> in 2024</w:t>
      </w:r>
      <w:r w:rsidR="0097419D">
        <w:t>.</w:t>
      </w:r>
      <w:r w:rsidR="006F4379">
        <w:t xml:space="preserve"> </w:t>
      </w:r>
      <w:r>
        <w:t xml:space="preserve">  The scope of the classification of environmental activities are defined </w:t>
      </w:r>
      <w:proofErr w:type="gramStart"/>
      <w:r>
        <w:t>on the basis of</w:t>
      </w:r>
      <w:proofErr w:type="gramEnd"/>
      <w:r>
        <w:t xml:space="preserve"> SEEA-CF (chapter IV) and takes into account advancements since its adoption in 2012.  This updated classification introduces the concept of ‘characteristic environmental activities’ and ‘non-characteristic environmental </w:t>
      </w:r>
      <w:proofErr w:type="gramStart"/>
      <w:r>
        <w:t>activities</w:t>
      </w:r>
      <w:r w:rsidR="002D580D">
        <w:t>’</w:t>
      </w:r>
      <w:proofErr w:type="gramEnd"/>
      <w:r w:rsidR="002D580D">
        <w:t>.  Characteristic</w:t>
      </w:r>
      <w:r w:rsidR="00985AEB">
        <w:t xml:space="preserve"> activities represent those </w:t>
      </w:r>
      <w:r w:rsidR="00B7589A">
        <w:t>whose</w:t>
      </w:r>
      <w:r w:rsidR="00985AEB">
        <w:t xml:space="preserve"> primary purpose is environmental protection</w:t>
      </w:r>
      <w:r w:rsidR="00D86256">
        <w:t xml:space="preserve"> or the efficient use of natural resources.  Non-characteristic activities are those which do not directly serve an environmental purpose, but whose use provides an environmental benefit. The classification of non-characteristic activities enables those activities with secondary objectives to be represented in environmental protection accounts.  </w:t>
      </w:r>
      <w:r w:rsidR="00D81550">
        <w:t xml:space="preserve">As the UN Statistics Division aims to provide more granular data on financial flows that are relevant for biodiversity, these accounts may allow for more comprehensive reporting on private biodiversity financial flows in the future. </w:t>
      </w:r>
    </w:p>
    <w:p w14:paraId="3500A2C4" w14:textId="77777777" w:rsidR="00D81550" w:rsidRDefault="00D81550" w:rsidP="00274009">
      <w:pPr>
        <w:jc w:val="both"/>
      </w:pPr>
    </w:p>
    <w:p w14:paraId="403C0242" w14:textId="51ED351D" w:rsidR="00CA6D0C" w:rsidRDefault="00CA6D0C" w:rsidP="00274009">
      <w:pPr>
        <w:jc w:val="both"/>
      </w:pPr>
      <w:r>
        <w:t>In addition, policies in some jurisdictions, such as the EU (Regulation (EU) 691/2011), establish a legal framework for compiling environmental economic accounts.</w:t>
      </w:r>
      <w:r w:rsidR="002D580D">
        <w:t xml:space="preserve"> </w:t>
      </w:r>
      <w:r w:rsidR="00F6402A">
        <w:t xml:space="preserve">Whether a country has established a legal framework for establishing these accounts could serve as a complementary indicator to monitor progress towards identifying and tracking private financial flows (see Section </w:t>
      </w:r>
      <w:r w:rsidR="0036559F">
        <w:t>Nine</w:t>
      </w:r>
      <w:r w:rsidR="00F6402A">
        <w:t>).</w:t>
      </w:r>
      <w:r>
        <w:t xml:space="preserve"> </w:t>
      </w:r>
    </w:p>
    <w:p w14:paraId="5349405E" w14:textId="77777777" w:rsidR="005621D1" w:rsidRDefault="005621D1" w:rsidP="00274009">
      <w:pPr>
        <w:jc w:val="both"/>
      </w:pPr>
    </w:p>
    <w:p w14:paraId="11FF06B5" w14:textId="3184B558" w:rsidR="00274009" w:rsidRDefault="005621D1" w:rsidP="00D816EA">
      <w:pPr>
        <w:jc w:val="both"/>
      </w:pPr>
      <w:r>
        <w:rPr>
          <w:noProof/>
        </w:rPr>
        <w:lastRenderedPageBreak/>
        <mc:AlternateContent>
          <mc:Choice Requires="wps">
            <w:drawing>
              <wp:inline distT="0" distB="0" distL="0" distR="0" wp14:anchorId="2E26D706" wp14:editId="2313C18C">
                <wp:extent cx="5882640" cy="8389620"/>
                <wp:effectExtent l="0" t="0" r="22860" b="11430"/>
                <wp:docPr id="2021042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640" cy="8389620"/>
                        </a:xfrm>
                        <a:prstGeom prst="rect">
                          <a:avLst/>
                        </a:prstGeom>
                        <a:solidFill>
                          <a:schemeClr val="bg1">
                            <a:lumMod val="95000"/>
                          </a:schemeClr>
                        </a:solidFill>
                        <a:ln w="9525">
                          <a:solidFill>
                            <a:srgbClr val="000000"/>
                          </a:solidFill>
                          <a:miter lim="800000"/>
                          <a:headEnd/>
                          <a:tailEnd/>
                        </a:ln>
                      </wps:spPr>
                      <wps:txbx>
                        <w:txbxContent>
                          <w:p w14:paraId="0F12B52B" w14:textId="77777777" w:rsidR="005621D1" w:rsidRDefault="005621D1" w:rsidP="005621D1">
                            <w:pPr>
                              <w:rPr>
                                <w:b/>
                                <w:bCs/>
                              </w:rPr>
                            </w:pPr>
                            <w:r>
                              <w:rPr>
                                <w:b/>
                                <w:bCs/>
                              </w:rPr>
                              <w:t>Box 3. European Commission Biodiversity Financing and Tracking</w:t>
                            </w:r>
                          </w:p>
                          <w:p w14:paraId="5BBCEC64" w14:textId="77777777" w:rsidR="005621D1" w:rsidRDefault="005621D1" w:rsidP="005621D1">
                            <w:pPr>
                              <w:rPr>
                                <w:b/>
                                <w:bCs/>
                              </w:rPr>
                            </w:pPr>
                          </w:p>
                          <w:p w14:paraId="79C593E3" w14:textId="77777777" w:rsidR="005621D1" w:rsidRDefault="005621D1" w:rsidP="005621D1">
                            <w:pPr>
                              <w:jc w:val="both"/>
                            </w:pPr>
                            <w:r w:rsidRPr="004C7144">
                              <w:t xml:space="preserve">In 2022, the European Commission </w:t>
                            </w:r>
                            <w:r>
                              <w:t xml:space="preserve">commissioned a report to evaluate the biodiversity expenditure tracking methodology used by the Commission and estimate current levels of financial expenditures from the EU, including from private sources. Drawing on the classification of finance mechanisms in OECD (2020), the report estimates private spending from: </w:t>
                            </w:r>
                          </w:p>
                          <w:p w14:paraId="2BC76A52" w14:textId="77777777" w:rsidR="005621D1" w:rsidRDefault="005621D1" w:rsidP="005621D1">
                            <w:pPr>
                              <w:pStyle w:val="ListParagraph"/>
                              <w:numPr>
                                <w:ilvl w:val="0"/>
                                <w:numId w:val="29"/>
                              </w:numPr>
                              <w:jc w:val="both"/>
                            </w:pPr>
                            <w:r>
                              <w:t>philanthropic foundations;</w:t>
                            </w:r>
                          </w:p>
                          <w:p w14:paraId="1C469333" w14:textId="77777777" w:rsidR="005621D1" w:rsidRDefault="005621D1" w:rsidP="005621D1">
                            <w:pPr>
                              <w:pStyle w:val="ListParagraph"/>
                              <w:numPr>
                                <w:ilvl w:val="0"/>
                                <w:numId w:val="29"/>
                              </w:numPr>
                              <w:jc w:val="both"/>
                            </w:pPr>
                            <w:r>
                              <w:t>non-governmental organisations;</w:t>
                            </w:r>
                          </w:p>
                          <w:p w14:paraId="5A89C2F9" w14:textId="77777777" w:rsidR="005621D1" w:rsidRDefault="005621D1" w:rsidP="005621D1">
                            <w:pPr>
                              <w:pStyle w:val="ListParagraph"/>
                              <w:numPr>
                                <w:ilvl w:val="0"/>
                                <w:numId w:val="29"/>
                              </w:numPr>
                              <w:jc w:val="both"/>
                            </w:pPr>
                            <w:r>
                              <w:t xml:space="preserve">contributions linked to financial flows for sustainable commodities; and </w:t>
                            </w:r>
                          </w:p>
                          <w:p w14:paraId="7209B42E" w14:textId="77777777" w:rsidR="005621D1" w:rsidRDefault="005621D1" w:rsidP="005621D1">
                            <w:pPr>
                              <w:pStyle w:val="ListParagraph"/>
                              <w:numPr>
                                <w:ilvl w:val="0"/>
                                <w:numId w:val="29"/>
                              </w:numPr>
                              <w:jc w:val="both"/>
                            </w:pPr>
                            <w:r>
                              <w:t>private sector finance (green bonds, mobilized co-financing, and EGSS database)</w:t>
                            </w:r>
                          </w:p>
                          <w:p w14:paraId="79522DDC" w14:textId="77777777" w:rsidR="005621D1" w:rsidRDefault="005621D1" w:rsidP="005621D1">
                            <w:pPr>
                              <w:pStyle w:val="ListParagraph"/>
                              <w:jc w:val="both"/>
                            </w:pPr>
                          </w:p>
                          <w:p w14:paraId="60B65984" w14:textId="77777777" w:rsidR="005621D1" w:rsidRDefault="005621D1" w:rsidP="005621D1">
                            <w:pPr>
                              <w:jc w:val="both"/>
                            </w:pPr>
                            <w:r>
                              <w:t xml:space="preserve">Desk research revealed significant gaps and inconsistencies across the monitoring and tracking methodologies, stating that “data is currently of insufficient quality to justify its use in a quantitative assessment” (p. 99), resulting in a wide range of difficulties including double counting and inconsistencies across databases. </w:t>
                            </w:r>
                          </w:p>
                          <w:p w14:paraId="4E94FBE3" w14:textId="77777777" w:rsidR="005621D1" w:rsidRDefault="005621D1" w:rsidP="005621D1">
                            <w:pPr>
                              <w:jc w:val="both"/>
                            </w:pPr>
                          </w:p>
                          <w:p w14:paraId="449012A0" w14:textId="77777777" w:rsidR="005621D1" w:rsidRDefault="005621D1" w:rsidP="005621D1">
                            <w:pPr>
                              <w:jc w:val="both"/>
                            </w:pPr>
                            <w:r>
                              <w:t>For philanthropic foundations, estimates were drawn from biennial/triennial reports made by the European Foundation Center (EFC), where foundation spending is classified by theme, four of which had biodiversity relevance. An attribution percentage of 40 was applied for themes that had biodiversity relevance but were not the primary purpose.</w:t>
                            </w:r>
                          </w:p>
                          <w:p w14:paraId="662751D3" w14:textId="77777777" w:rsidR="005621D1" w:rsidRDefault="005621D1" w:rsidP="005621D1">
                            <w:pPr>
                              <w:jc w:val="both"/>
                            </w:pPr>
                          </w:p>
                          <w:p w14:paraId="0D7AF35B" w14:textId="77777777" w:rsidR="005621D1" w:rsidRDefault="005621D1" w:rsidP="005621D1">
                            <w:pPr>
                              <w:jc w:val="both"/>
                            </w:pPr>
                            <w:r>
                              <w:t>For non-governmental organisations, the authors draw from the same EFC report as well as publicly available national reports from the three largest NGOs with environmental and biodiversity objectives (Friends of Earth Europe, WWF Europe, and Rewilding Europe).</w:t>
                            </w:r>
                          </w:p>
                          <w:p w14:paraId="40D6AC85" w14:textId="77777777" w:rsidR="005621D1" w:rsidRDefault="005621D1" w:rsidP="005621D1">
                            <w:pPr>
                              <w:jc w:val="both"/>
                            </w:pPr>
                          </w:p>
                          <w:p w14:paraId="06A54894" w14:textId="77777777" w:rsidR="005621D1" w:rsidRDefault="005621D1" w:rsidP="005621D1">
                            <w:pPr>
                              <w:jc w:val="both"/>
                            </w:pPr>
                            <w:r>
                              <w:t>For sustainable commodities, authors drew data on EU total roundwood production from Eurostat and share of certified forest products (either FSC or PEFC) from UNECE, and applied the same methodology as OECD (2020) and Deutz et al. (2020): it assumed that 1-1.5 percent of the sustainable market valuation is reinvested into biodiversity initiatives in that sector.</w:t>
                            </w:r>
                          </w:p>
                          <w:p w14:paraId="0DDE1C94" w14:textId="77777777" w:rsidR="005621D1" w:rsidRDefault="005621D1" w:rsidP="005621D1">
                            <w:pPr>
                              <w:jc w:val="both"/>
                            </w:pPr>
                          </w:p>
                          <w:p w14:paraId="1CFAFFD5" w14:textId="77777777" w:rsidR="005621D1" w:rsidRDefault="005621D1" w:rsidP="005621D1">
                            <w:pPr>
                              <w:jc w:val="both"/>
                            </w:pPr>
                            <w:r>
                              <w:t xml:space="preserve">The study also provided high level estimates of private sector financing, including private co-financing leveraged by the European Investment Bank’s European Fund for Strategic Investments. The study applied a proportion of total private finance to biodiversity based on reported themes of investment for environment, resource efficiency, and sustainable agriculture, forestry, fisheries, and aquaculture.  Green bond financing of biodiversity in Europe was calculated using data from the Climate Bonds Interactive Data Platform for water and land use categories, applying a 40 percent attribution factor and isolating expenditures from the private sector. And finally, the report estimated output value of environmental goods and services using the Eurostat’s EGSS database, applying 100 percent to CEPA 6 category of goods and services (protection of biodiversity and landscapes) and 40 percent to the CEPA 4 category (protection and remediation of soil, groundwater, and surface water). </w:t>
                            </w:r>
                          </w:p>
                          <w:p w14:paraId="64354C58" w14:textId="77777777" w:rsidR="005621D1" w:rsidRDefault="005621D1" w:rsidP="005621D1"/>
                          <w:p w14:paraId="6BBEAE1F" w14:textId="77777777" w:rsidR="005621D1" w:rsidRPr="000A11CA" w:rsidRDefault="005621D1" w:rsidP="005621D1">
                            <w:pPr>
                              <w:rPr>
                                <w:i/>
                                <w:iCs/>
                              </w:rPr>
                            </w:pPr>
                            <w:r w:rsidRPr="000A11CA">
                              <w:rPr>
                                <w:i/>
                                <w:iCs/>
                              </w:rPr>
                              <w:t xml:space="preserve">Source: </w:t>
                            </w:r>
                            <w:r>
                              <w:rPr>
                                <w:i/>
                                <w:iCs/>
                              </w:rPr>
                              <w:t>Nesbit and Whiteoak (2022)</w:t>
                            </w:r>
                          </w:p>
                        </w:txbxContent>
                      </wps:txbx>
                      <wps:bodyPr rot="0" vert="horz" wrap="square" lIns="91440" tIns="45720" rIns="91440" bIns="45720" anchor="t" anchorCtr="0">
                        <a:noAutofit/>
                      </wps:bodyPr>
                    </wps:wsp>
                  </a:graphicData>
                </a:graphic>
              </wp:inline>
            </w:drawing>
          </mc:Choice>
          <mc:Fallback>
            <w:pict>
              <v:shape w14:anchorId="2E26D706" id="_x0000_s1030" type="#_x0000_t202" style="width:463.2pt;height:6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" fillcolor="#f2f2f2 [3052]">
                <v:textbox>
                  <w:txbxContent>
                    <w:p w14:paraId="0F12B52B" w14:textId="77777777" w:rsidR="005621D1" w:rsidRDefault="005621D1" w:rsidP="005621D1">
                      <w:pPr>
                        <w:rPr>
                          <w:b/>
                          <w:bCs/>
                        </w:rPr>
                      </w:pPr>
                      <w:r>
                        <w:rPr>
                          <w:b/>
                          <w:bCs/>
                        </w:rPr>
                        <w:t>Box 3. European Commission Biodiversity Financing and Tracking</w:t>
                      </w:r>
                    </w:p>
                    <w:p w14:paraId="5BBCEC64" w14:textId="77777777" w:rsidR="005621D1" w:rsidRDefault="005621D1" w:rsidP="005621D1">
                      <w:pPr>
                        <w:rPr>
                          <w:b/>
                          <w:bCs/>
                        </w:rPr>
                      </w:pPr>
                    </w:p>
                    <w:p w14:paraId="79C593E3" w14:textId="77777777" w:rsidR="005621D1" w:rsidRDefault="005621D1" w:rsidP="005621D1">
                      <w:pPr>
                        <w:jc w:val="both"/>
                      </w:pPr>
                      <w:r w:rsidRPr="004C7144">
                        <w:t xml:space="preserve">In 2022, the European Commission </w:t>
                      </w:r>
                      <w:r>
                        <w:t xml:space="preserve">commissioned a report to evaluate the biodiversity expenditure tracking methodology used by the Commission and estimate current levels of financial expenditures from the EU, including from private sources. Drawing on the classification of finance mechanisms in OECD (2020), the report estimates private spending from: </w:t>
                      </w:r>
                    </w:p>
                    <w:p w14:paraId="2BC76A52" w14:textId="77777777" w:rsidR="005621D1" w:rsidRDefault="005621D1" w:rsidP="005621D1">
                      <w:pPr>
                        <w:pStyle w:val="ListParagraph"/>
                        <w:numPr>
                          <w:ilvl w:val="0"/>
                          <w:numId w:val="29"/>
                        </w:numPr>
                        <w:jc w:val="both"/>
                      </w:pPr>
                      <w:r>
                        <w:t>philanthropic foundations;</w:t>
                      </w:r>
                    </w:p>
                    <w:p w14:paraId="1C469333" w14:textId="77777777" w:rsidR="005621D1" w:rsidRDefault="005621D1" w:rsidP="005621D1">
                      <w:pPr>
                        <w:pStyle w:val="ListParagraph"/>
                        <w:numPr>
                          <w:ilvl w:val="0"/>
                          <w:numId w:val="29"/>
                        </w:numPr>
                        <w:jc w:val="both"/>
                      </w:pPr>
                      <w:r>
                        <w:t>non-governmental organisations;</w:t>
                      </w:r>
                    </w:p>
                    <w:p w14:paraId="5A89C2F9" w14:textId="77777777" w:rsidR="005621D1" w:rsidRDefault="005621D1" w:rsidP="005621D1">
                      <w:pPr>
                        <w:pStyle w:val="ListParagraph"/>
                        <w:numPr>
                          <w:ilvl w:val="0"/>
                          <w:numId w:val="29"/>
                        </w:numPr>
                        <w:jc w:val="both"/>
                      </w:pPr>
                      <w:r>
                        <w:t xml:space="preserve">contributions linked to financial flows for sustainable commodities; and </w:t>
                      </w:r>
                    </w:p>
                    <w:p w14:paraId="7209B42E" w14:textId="77777777" w:rsidR="005621D1" w:rsidRDefault="005621D1" w:rsidP="005621D1">
                      <w:pPr>
                        <w:pStyle w:val="ListParagraph"/>
                        <w:numPr>
                          <w:ilvl w:val="0"/>
                          <w:numId w:val="29"/>
                        </w:numPr>
                        <w:jc w:val="both"/>
                      </w:pPr>
                      <w:r>
                        <w:t>private sector finance (green bonds, mobilized co-financing, and EGSS database)</w:t>
                      </w:r>
                    </w:p>
                    <w:p w14:paraId="79522DDC" w14:textId="77777777" w:rsidR="005621D1" w:rsidRDefault="005621D1" w:rsidP="005621D1">
                      <w:pPr>
                        <w:pStyle w:val="ListParagraph"/>
                        <w:jc w:val="both"/>
                      </w:pPr>
                    </w:p>
                    <w:p w14:paraId="60B65984" w14:textId="77777777" w:rsidR="005621D1" w:rsidRDefault="005621D1" w:rsidP="005621D1">
                      <w:pPr>
                        <w:jc w:val="both"/>
                      </w:pPr>
                      <w:r>
                        <w:t xml:space="preserve">Desk research revealed significant gaps and inconsistencies across the monitoring and tracking methodologies, stating that “data is currently of insufficient quality to justify its use in a quantitative assessment” (p. 99), resulting in a wide range of difficulties including double counting and inconsistencies across databases. </w:t>
                      </w:r>
                    </w:p>
                    <w:p w14:paraId="4E94FBE3" w14:textId="77777777" w:rsidR="005621D1" w:rsidRDefault="005621D1" w:rsidP="005621D1">
                      <w:pPr>
                        <w:jc w:val="both"/>
                      </w:pPr>
                    </w:p>
                    <w:p w14:paraId="449012A0" w14:textId="77777777" w:rsidR="005621D1" w:rsidRDefault="005621D1" w:rsidP="005621D1">
                      <w:pPr>
                        <w:jc w:val="both"/>
                      </w:pPr>
                      <w:r>
                        <w:t>For philanthropic foundations, estimates were drawn from biennial/triennial reports made by the European Foundation Center (EFC), where foundation spending is classified by theme, four of which had biodiversity relevance. An attribution percentage of 40 was applied for themes that had biodiversity relevance but were not the primary purpose.</w:t>
                      </w:r>
                    </w:p>
                    <w:p w14:paraId="662751D3" w14:textId="77777777" w:rsidR="005621D1" w:rsidRDefault="005621D1" w:rsidP="005621D1">
                      <w:pPr>
                        <w:jc w:val="both"/>
                      </w:pPr>
                    </w:p>
                    <w:p w14:paraId="0D7AF35B" w14:textId="77777777" w:rsidR="005621D1" w:rsidRDefault="005621D1" w:rsidP="005621D1">
                      <w:pPr>
                        <w:jc w:val="both"/>
                      </w:pPr>
                      <w:r>
                        <w:t>For non-governmental organisations, the authors draw from the same EFC report as well as publicly available national reports from the three largest NGOs with environmental and biodiversity objectives (Friends of Earth Europe, WWF Europe, and Rewilding Europe).</w:t>
                      </w:r>
                    </w:p>
                    <w:p w14:paraId="40D6AC85" w14:textId="77777777" w:rsidR="005621D1" w:rsidRDefault="005621D1" w:rsidP="005621D1">
                      <w:pPr>
                        <w:jc w:val="both"/>
                      </w:pPr>
                    </w:p>
                    <w:p w14:paraId="06A54894" w14:textId="77777777" w:rsidR="005621D1" w:rsidRDefault="005621D1" w:rsidP="005621D1">
                      <w:pPr>
                        <w:jc w:val="both"/>
                      </w:pPr>
                      <w:r>
                        <w:t>For sustainable commodities, authors drew data on EU total roundwood production from Eurostat and share of certified forest products (either FSC or PEFC) from UNECE, and applied the same methodology as OECD (2020) and Deutz et al. (2020): it assumed that 1-1.5 percent of the sustainable market valuation is reinvested into biodiversity initiatives in that sector.</w:t>
                      </w:r>
                    </w:p>
                    <w:p w14:paraId="0DDE1C94" w14:textId="77777777" w:rsidR="005621D1" w:rsidRDefault="005621D1" w:rsidP="005621D1">
                      <w:pPr>
                        <w:jc w:val="both"/>
                      </w:pPr>
                    </w:p>
                    <w:p w14:paraId="1CFAFFD5" w14:textId="77777777" w:rsidR="005621D1" w:rsidRDefault="005621D1" w:rsidP="005621D1">
                      <w:pPr>
                        <w:jc w:val="both"/>
                      </w:pPr>
                      <w:r>
                        <w:t xml:space="preserve">The study also provided high level estimates of private sector financing, including private co-financing leveraged by the European Investment Bank’s European Fund for Strategic Investments. The study applied a proportion of total private finance to biodiversity based on reported themes of investment for environment, resource efficiency, and sustainable agriculture, forestry, fisheries, and aquaculture.  Green bond financing of biodiversity in Europe was calculated using data from the Climate Bonds Interactive Data Platform for water and land use categories, applying a 40 percent attribution factor and isolating expenditures from the private sector. And finally, the report estimated output value of environmental goods and services using the Eurostat’s EGSS database, applying 100 percent to CEPA 6 category of goods and services (protection of biodiversity and landscapes) and 40 percent to the CEPA 4 category (protection and remediation of soil, groundwater, and surface water). </w:t>
                      </w:r>
                    </w:p>
                    <w:p w14:paraId="64354C58" w14:textId="77777777" w:rsidR="005621D1" w:rsidRDefault="005621D1" w:rsidP="005621D1"/>
                    <w:p w14:paraId="6BBEAE1F" w14:textId="77777777" w:rsidR="005621D1" w:rsidRPr="000A11CA" w:rsidRDefault="005621D1" w:rsidP="005621D1">
                      <w:pPr>
                        <w:rPr>
                          <w:i/>
                          <w:iCs/>
                        </w:rPr>
                      </w:pPr>
                      <w:r w:rsidRPr="000A11CA">
                        <w:rPr>
                          <w:i/>
                          <w:iCs/>
                        </w:rPr>
                        <w:t xml:space="preserve">Source: </w:t>
                      </w:r>
                      <w:r>
                        <w:rPr>
                          <w:i/>
                          <w:iCs/>
                        </w:rPr>
                        <w:t>Nesbit and Whiteoak (2022)</w:t>
                      </w:r>
                    </w:p>
                  </w:txbxContent>
                </v:textbox>
                <w10:anchorlock/>
              </v:shape>
            </w:pict>
          </mc:Fallback>
        </mc:AlternateContent>
      </w:r>
    </w:p>
    <w:p w14:paraId="327E9863" w14:textId="2B3ED5CE" w:rsidR="00F21DB3" w:rsidRDefault="008205BF" w:rsidP="00F21DB3">
      <w:pPr>
        <w:pStyle w:val="Heading1"/>
      </w:pPr>
      <w:bookmarkStart w:id="13" w:name="_Toc172018359"/>
      <w:r>
        <w:lastRenderedPageBreak/>
        <w:t xml:space="preserve">Section </w:t>
      </w:r>
      <w:r w:rsidR="00083F6F">
        <w:t>Ten</w:t>
      </w:r>
      <w:r>
        <w:t xml:space="preserve">: </w:t>
      </w:r>
      <w:r w:rsidR="00F21DB3">
        <w:t xml:space="preserve">Possible </w:t>
      </w:r>
      <w:r w:rsidR="00F156EA">
        <w:t>W</w:t>
      </w:r>
      <w:r w:rsidR="00F21DB3">
        <w:t xml:space="preserve">ork </w:t>
      </w:r>
      <w:r w:rsidR="00F156EA">
        <w:t>P</w:t>
      </w:r>
      <w:r w:rsidR="00F21DB3">
        <w:t xml:space="preserve">rogrammes to </w:t>
      </w:r>
      <w:r w:rsidR="00F156EA">
        <w:t>Enhance National Reporting</w:t>
      </w:r>
      <w:bookmarkEnd w:id="13"/>
    </w:p>
    <w:p w14:paraId="7F4F9786" w14:textId="2B74FAD3" w:rsidR="00C01BFD" w:rsidRDefault="00C01BFD" w:rsidP="00C01BFD"/>
    <w:p w14:paraId="41C72FF8" w14:textId="791F9D79" w:rsidR="00C01BFD" w:rsidRPr="00C01BFD" w:rsidRDefault="00C01BFD" w:rsidP="00C01BFD">
      <w:r>
        <w:t>While existing data is insufficient</w:t>
      </w:r>
      <w:r w:rsidR="00572BFB">
        <w:t xml:space="preserve"> to comprehensively report on private finance for biodiversity at the national level</w:t>
      </w:r>
      <w:r>
        <w:t xml:space="preserve">, </w:t>
      </w:r>
      <w:r w:rsidR="00572BFB">
        <w:t xml:space="preserve">several </w:t>
      </w:r>
      <w:r>
        <w:t xml:space="preserve">work </w:t>
      </w:r>
      <w:proofErr w:type="spellStart"/>
      <w:r>
        <w:t>programme</w:t>
      </w:r>
      <w:proofErr w:type="spellEnd"/>
      <w:r>
        <w:t xml:space="preserve"> could be designed to enable countries</w:t>
      </w:r>
      <w:r w:rsidR="0036559F">
        <w:t xml:space="preserve"> and private entities</w:t>
      </w:r>
      <w:r>
        <w:t xml:space="preserve"> to collect this information in the future. </w:t>
      </w:r>
    </w:p>
    <w:p w14:paraId="6DF2C4DE" w14:textId="77777777" w:rsidR="00B01A3F" w:rsidRDefault="00B01A3F" w:rsidP="00D816EA">
      <w:pPr>
        <w:jc w:val="both"/>
      </w:pPr>
    </w:p>
    <w:p w14:paraId="63F1ABB0" w14:textId="759441C9" w:rsidR="00067E36" w:rsidRDefault="0008531E" w:rsidP="00D816EA">
      <w:pPr>
        <w:jc w:val="both"/>
      </w:pPr>
      <w:r>
        <w:t>As discussed, there remain critical gaps in identifying, monitoring, and reporting on private finance for biodiversity</w:t>
      </w:r>
      <w:r w:rsidR="00F13EEE">
        <w:t>, b</w:t>
      </w:r>
      <w:r w:rsidR="003C2425">
        <w:t>oth for</w:t>
      </w:r>
      <w:r w:rsidR="00F13EEE">
        <w:t xml:space="preserve"> domestic and international flows</w:t>
      </w:r>
      <w:r>
        <w:t xml:space="preserve">. This is </w:t>
      </w:r>
      <w:r w:rsidR="00FB3213">
        <w:t>partly</w:t>
      </w:r>
      <w:r>
        <w:t xml:space="preserve"> due to a lack of formal reporting frameworks</w:t>
      </w:r>
      <w:r w:rsidR="00462D9C">
        <w:t xml:space="preserve"> and standards</w:t>
      </w:r>
      <w:r w:rsidR="0036559F">
        <w:t xml:space="preserve">. </w:t>
      </w:r>
      <w:r w:rsidR="00FB3213">
        <w:t>While corporate</w:t>
      </w:r>
      <w:r>
        <w:t xml:space="preserve"> disclosure frameworks</w:t>
      </w:r>
      <w:r w:rsidR="0036559F">
        <w:t xml:space="preserve">, </w:t>
      </w:r>
      <w:r>
        <w:t xml:space="preserve">national statistical </w:t>
      </w:r>
      <w:r w:rsidR="0036559F">
        <w:t xml:space="preserve">accounts, and biodiversity expenditure </w:t>
      </w:r>
      <w:r>
        <w:t>framework</w:t>
      </w:r>
      <w:r w:rsidR="0036559F">
        <w:t>s collect important information on biodiversity-related activities, they</w:t>
      </w:r>
      <w:r w:rsidR="00082441">
        <w:t xml:space="preserve"> likely</w:t>
      </w:r>
      <w:r w:rsidR="0036559F">
        <w:t xml:space="preserve"> do not </w:t>
      </w:r>
      <w:r>
        <w:t xml:space="preserve">collect granular information on biodiversity expenditures to adequately account for </w:t>
      </w:r>
      <w:r w:rsidR="00A25CA9">
        <w:t>all biodiversity-related expenditures and funding</w:t>
      </w:r>
      <w:r>
        <w:t xml:space="preserve">.  In the near term, there are some reporting and data collection efforts that will enable </w:t>
      </w:r>
      <w:r w:rsidR="0036559F">
        <w:t>countries</w:t>
      </w:r>
      <w:r>
        <w:t xml:space="preserve"> to report, at least in part, on private finance</w:t>
      </w:r>
      <w:r w:rsidR="00D816EA">
        <w:t xml:space="preserve"> for biodiversity</w:t>
      </w:r>
      <w:r>
        <w:t>, including from the OECD’s Creditor Reporting System, from publicly available annual reports, and from</w:t>
      </w:r>
      <w:r w:rsidR="00D816EA">
        <w:t xml:space="preserve"> national statistical accounts. In the long term, however, countries will need to </w:t>
      </w:r>
      <w:r w:rsidR="00365101">
        <w:t xml:space="preserve">establish and/or </w:t>
      </w:r>
      <w:r w:rsidR="00D816EA">
        <w:t xml:space="preserve">strengthen reporting requirements for private entities and to develop and implement policies </w:t>
      </w:r>
      <w:r w:rsidR="00462D9C">
        <w:t>requir</w:t>
      </w:r>
      <w:r w:rsidR="0036559F">
        <w:t>ing</w:t>
      </w:r>
      <w:r w:rsidR="00D816EA">
        <w:t xml:space="preserve"> </w:t>
      </w:r>
      <w:r w:rsidR="00462D9C">
        <w:t>reporting on</w:t>
      </w:r>
      <w:r w:rsidR="00D816EA">
        <w:t xml:space="preserve"> private finance. Companies will also need to develop </w:t>
      </w:r>
      <w:proofErr w:type="gramStart"/>
      <w:r w:rsidR="00D816EA">
        <w:t>the skills</w:t>
      </w:r>
      <w:proofErr w:type="gramEnd"/>
      <w:r w:rsidR="00D816EA">
        <w:t xml:space="preserve">, organizational processes, and corporate policies to identify and report private finance for biodiversity.  </w:t>
      </w:r>
      <w:r w:rsidR="00365101">
        <w:t>This will require detailed frameworks</w:t>
      </w:r>
      <w:r w:rsidR="00FB3213">
        <w:t>, principles,</w:t>
      </w:r>
      <w:r w:rsidR="00365101">
        <w:t xml:space="preserve"> and guidance to enable consistent and transparent reporting.  </w:t>
      </w:r>
    </w:p>
    <w:p w14:paraId="39A37E78" w14:textId="50378A46" w:rsidR="00DA37AA" w:rsidRDefault="00DA37AA" w:rsidP="00D816EA">
      <w:pPr>
        <w:jc w:val="both"/>
      </w:pPr>
    </w:p>
    <w:p w14:paraId="23DC41CD" w14:textId="6380C670" w:rsidR="00C940E4" w:rsidRPr="005701B8" w:rsidRDefault="0036559F" w:rsidP="00366B29">
      <w:r>
        <w:t>This next section explores possible work programmes that the UNEP Secretariat to the Convention on Biological Diversity could develop to enable countries to enhance tracking and reporting of private finance for biodiversity.</w:t>
      </w:r>
    </w:p>
    <w:p w14:paraId="28699482" w14:textId="04ED853D" w:rsidR="00A25CA9" w:rsidRDefault="00A25CA9" w:rsidP="00A25CA9">
      <w:pPr>
        <w:jc w:val="both"/>
      </w:pPr>
    </w:p>
    <w:p w14:paraId="52991F60" w14:textId="236D57A9" w:rsidR="00A25CA9" w:rsidRDefault="00B8574B" w:rsidP="00A25CA9">
      <w:pPr>
        <w:pStyle w:val="Heading2"/>
        <w:jc w:val="both"/>
      </w:pPr>
      <w:r>
        <w:t>Establish national</w:t>
      </w:r>
      <w:r w:rsidR="00A25CA9">
        <w:t xml:space="preserve"> </w:t>
      </w:r>
      <w:r w:rsidR="003445F4">
        <w:t>biodiversity-related</w:t>
      </w:r>
      <w:r w:rsidR="00A25CA9">
        <w:t xml:space="preserve"> </w:t>
      </w:r>
      <w:r w:rsidR="004800A5">
        <w:t xml:space="preserve">sustainable </w:t>
      </w:r>
      <w:r w:rsidR="003D6580">
        <w:t>finance frameworks</w:t>
      </w:r>
      <w:r w:rsidR="00A25CA9">
        <w:t xml:space="preserve"> </w:t>
      </w:r>
      <w:r w:rsidR="00B7363F">
        <w:t xml:space="preserve">to </w:t>
      </w:r>
      <w:r>
        <w:t>align</w:t>
      </w:r>
      <w:r w:rsidR="005C66F3">
        <w:t xml:space="preserve"> </w:t>
      </w:r>
      <w:r w:rsidR="00220E97">
        <w:t>investments</w:t>
      </w:r>
      <w:r w:rsidR="00A25CA9">
        <w:t xml:space="preserve"> </w:t>
      </w:r>
      <w:r w:rsidR="00220E97">
        <w:t>in</w:t>
      </w:r>
      <w:r w:rsidR="00A25CA9">
        <w:t xml:space="preserve"> </w:t>
      </w:r>
      <w:r w:rsidR="00FB3213">
        <w:t xml:space="preserve">sustainable and transitional </w:t>
      </w:r>
      <w:r w:rsidR="00A25CA9">
        <w:t xml:space="preserve">biodiversity </w:t>
      </w:r>
      <w:r w:rsidR="00FB3213">
        <w:t>activities</w:t>
      </w:r>
    </w:p>
    <w:p w14:paraId="7DAB28AA" w14:textId="2A4402DC" w:rsidR="00365101" w:rsidRDefault="00365101" w:rsidP="00365101"/>
    <w:p w14:paraId="31C555EC" w14:textId="634BB9DF" w:rsidR="004B0263" w:rsidRDefault="00B7363F" w:rsidP="00220E97">
      <w:pPr>
        <w:jc w:val="both"/>
      </w:pPr>
      <w:r>
        <w:t xml:space="preserve">Investor demands, regulatory compliance, corporate sustainability objectives, and other drivers are increasing corporate disclosure </w:t>
      </w:r>
      <w:r w:rsidR="00B8574B">
        <w:t xml:space="preserve">requirements </w:t>
      </w:r>
      <w:r>
        <w:t xml:space="preserve">of environment, social, and governance </w:t>
      </w:r>
      <w:r w:rsidR="00986B3C">
        <w:t xml:space="preserve">(ESG) </w:t>
      </w:r>
      <w:r>
        <w:t xml:space="preserve">related risks, impacts, and dependencies.  Disclosing </w:t>
      </w:r>
      <w:r w:rsidR="009C6C53">
        <w:t>a company’s performance against</w:t>
      </w:r>
      <w:r>
        <w:t xml:space="preserve"> ESG </w:t>
      </w:r>
      <w:r w:rsidR="00B8574B">
        <w:t>metrics</w:t>
      </w:r>
      <w:r>
        <w:t xml:space="preserve"> creates transparency and accountability </w:t>
      </w:r>
      <w:r w:rsidR="00BB25A5">
        <w:t xml:space="preserve">of </w:t>
      </w:r>
      <w:r>
        <w:t xml:space="preserve">companies </w:t>
      </w:r>
      <w:r w:rsidR="009C6C53">
        <w:t xml:space="preserve">to customers, employees, policy makers, and investors. </w:t>
      </w:r>
      <w:r w:rsidR="00220E97">
        <w:t xml:space="preserve"> </w:t>
      </w:r>
      <w:r w:rsidR="00BB25A5">
        <w:t xml:space="preserve">Some of the most prominent </w:t>
      </w:r>
      <w:r w:rsidR="009F57A1">
        <w:t xml:space="preserve">voluntary </w:t>
      </w:r>
      <w:r w:rsidR="00BB25A5">
        <w:t>ESG</w:t>
      </w:r>
      <w:r w:rsidR="00365101">
        <w:t xml:space="preserve"> disclosure frameworks </w:t>
      </w:r>
      <w:r w:rsidR="009C6C53">
        <w:t xml:space="preserve">and standards </w:t>
      </w:r>
      <w:r w:rsidR="00BB25A5">
        <w:t>include</w:t>
      </w:r>
      <w:r w:rsidR="009C6C53">
        <w:t xml:space="preserve"> </w:t>
      </w:r>
      <w:r w:rsidR="00365101">
        <w:t xml:space="preserve">the </w:t>
      </w:r>
      <w:r>
        <w:t xml:space="preserve">Global Reporting Initiative (GRI), the Sustainability Accounting Standards Board (SASB), </w:t>
      </w:r>
      <w:r w:rsidR="00082441">
        <w:t xml:space="preserve">the Task force on Nature-related Finance Disclosures (TNFD), the International Sustainability Standards Board (ISSB), </w:t>
      </w:r>
      <w:r>
        <w:t xml:space="preserve">and the Task force on </w:t>
      </w:r>
      <w:r w:rsidR="00BB25A5">
        <w:t>Climate-related Financial Disclosures (TCFD)</w:t>
      </w:r>
      <w:r w:rsidR="009F57A1">
        <w:t xml:space="preserve">, as well as investor-aligned frameworks such as the United Nations Principles for Responsible Investment. </w:t>
      </w:r>
    </w:p>
    <w:p w14:paraId="513F9F8F" w14:textId="77777777" w:rsidR="004B0263" w:rsidRDefault="004B0263" w:rsidP="00220E97">
      <w:pPr>
        <w:jc w:val="both"/>
      </w:pPr>
    </w:p>
    <w:p w14:paraId="1CA98106" w14:textId="0CC32C76" w:rsidR="00161CA8" w:rsidRDefault="004B0263" w:rsidP="00220E97">
      <w:pPr>
        <w:jc w:val="both"/>
      </w:pPr>
      <w:r>
        <w:t xml:space="preserve">In addition to these voluntary reporting frameworks, </w:t>
      </w:r>
      <w:r w:rsidR="002D6721">
        <w:t>several</w:t>
      </w:r>
      <w:r>
        <w:t xml:space="preserve"> mandatory reporting requirements for companies are emerging around the globe.  The European Union’s Corporate Sustainability Reporting Directive (CSRD)</w:t>
      </w:r>
      <w:r w:rsidR="00986B3C">
        <w:t>,</w:t>
      </w:r>
      <w:r>
        <w:t xml:space="preserve"> for example, requires large companies to report on their social and environmental impacts according to the European Sustainability Reporting Standards (ESRS).  </w:t>
      </w:r>
      <w:r w:rsidR="00A42F0A">
        <w:t xml:space="preserve">The </w:t>
      </w:r>
      <w:r w:rsidR="00A42F0A">
        <w:lastRenderedPageBreak/>
        <w:t xml:space="preserve">EU’s Sustainable Finance Disclosure Regulation (SFRD) in turn requires financial market participants and financial advisors to disclose how they manage negative environmental and social impacts and risks of their investments.  </w:t>
      </w:r>
      <w:r>
        <w:t>The anticipated United State</w:t>
      </w:r>
      <w:r w:rsidR="00A42F0A">
        <w:t>s</w:t>
      </w:r>
      <w:r>
        <w:t xml:space="preserve"> Securities and Exchange Commission climate disclosure rules</w:t>
      </w:r>
      <w:r w:rsidR="00986B3C">
        <w:t xml:space="preserve"> will require companies to disclose climate-related risks based</w:t>
      </w:r>
      <w:r w:rsidR="002D6721">
        <w:t>,</w:t>
      </w:r>
      <w:r w:rsidR="00986B3C">
        <w:t xml:space="preserve"> in part</w:t>
      </w:r>
      <w:r w:rsidR="002D6721">
        <w:t>,</w:t>
      </w:r>
      <w:r w:rsidR="00986B3C">
        <w:t xml:space="preserve"> on recommendations from the TCFD.  </w:t>
      </w:r>
      <w:r>
        <w:t>The three leading Chinese Stock Exchanges recently announced mandatory sustainability reporting requirements on climate and nature related topics with reporting starting in 2026.  Other reporting jurisdictions include Australia, Brazil, Singapore, and the United Kingdom</w:t>
      </w:r>
      <w:r w:rsidR="00B33CF3">
        <w:t xml:space="preserve">. Although companies are generally not required to report on </w:t>
      </w:r>
      <w:r w:rsidR="00B33CF3" w:rsidRPr="002D6721">
        <w:rPr>
          <w:i/>
          <w:iCs/>
        </w:rPr>
        <w:t>expenditures</w:t>
      </w:r>
      <w:r w:rsidR="002D6721">
        <w:rPr>
          <w:i/>
          <w:iCs/>
        </w:rPr>
        <w:t xml:space="preserve"> and investments</w:t>
      </w:r>
      <w:r w:rsidR="00B33CF3">
        <w:t xml:space="preserve"> through these frameworks, the frameworks allow companies to identify and assess the impacts, dependencies, and risks of activities on biodiversity.</w:t>
      </w:r>
      <w:r w:rsidR="00C13D29">
        <w:t xml:space="preserve">  This information in turn influences investor decisions and the flow of capital to companies based on these disclosed impacts. </w:t>
      </w:r>
    </w:p>
    <w:p w14:paraId="5AEB9C80" w14:textId="77777777" w:rsidR="00161CA8" w:rsidRDefault="00161CA8" w:rsidP="00220E97">
      <w:pPr>
        <w:jc w:val="both"/>
      </w:pPr>
    </w:p>
    <w:p w14:paraId="23AD7B00" w14:textId="58D23D63" w:rsidR="0036559F" w:rsidRDefault="00F4227A" w:rsidP="00220E97">
      <w:pPr>
        <w:jc w:val="both"/>
      </w:pPr>
      <w:r>
        <w:t>To further align capital investments with climate, biodiversity, and other ESG objectives</w:t>
      </w:r>
      <w:r w:rsidR="00B33CF3">
        <w:t>,</w:t>
      </w:r>
      <w:r w:rsidR="005C66F3">
        <w:t xml:space="preserve"> </w:t>
      </w:r>
      <w:r w:rsidR="00B33CF3">
        <w:t xml:space="preserve">some countries are developing </w:t>
      </w:r>
      <w:r w:rsidR="005C66F3">
        <w:t xml:space="preserve">national </w:t>
      </w:r>
      <w:r w:rsidR="00B33CF3">
        <w:t>sustainable finance</w:t>
      </w:r>
      <w:r w:rsidR="005C66F3">
        <w:t xml:space="preserve"> taxonom</w:t>
      </w:r>
      <w:r w:rsidR="00B33CF3">
        <w:t>ies,</w:t>
      </w:r>
      <w:r w:rsidR="003445F4">
        <w:t xml:space="preserve"> </w:t>
      </w:r>
      <w:r w:rsidR="005C66F3">
        <w:t xml:space="preserve">or a classification system defining which economic activities </w:t>
      </w:r>
      <w:r w:rsidR="00350432">
        <w:t>align with or transitional towards environmental objectives</w:t>
      </w:r>
      <w:r w:rsidR="00B33CF3">
        <w:t xml:space="preserve"> </w:t>
      </w:r>
      <w:r w:rsidR="00012429">
        <w:t>The objective of a</w:t>
      </w:r>
      <w:r w:rsidR="00B33CF3">
        <w:t xml:space="preserve"> sustainable finance taxonomy aims to</w:t>
      </w:r>
      <w:r w:rsidR="005C66F3">
        <w:t xml:space="preserve"> guide </w:t>
      </w:r>
      <w:r w:rsidR="00012429">
        <w:t xml:space="preserve">investors, financial institutions, and businesses in understanding what activities contribute to environmental objectives such as biodiversity or climate change. </w:t>
      </w:r>
      <w:r w:rsidR="00FC7620">
        <w:t>Countries that undertake this exercise can outline the country-specific criteria and conditions they deem are suitable to align investments with activities that meet a country’s development, environmental and social goals.</w:t>
      </w:r>
      <w:r w:rsidR="003D6580">
        <w:t xml:space="preserve"> Recent work of the Sustainable Finance Working Group, rooted in the G20 Sustainable Finance Roadmap, can provide further guidance on developing a set of high-level principles on transition and sustainable finance. The Working Group defines transition finance as financial services supporting the whole-of economy transition towards lower and net-zero emissions and climate resilience, aligned with the goals of the Paris Agreement</w:t>
      </w:r>
      <w:r w:rsidR="00B16A5C">
        <w:t xml:space="preserve"> (G20, 2022). These guiding principles and the work of the Sustainable Finance Working Group could serve as a foundation to adapt a biodiversity-specific framework for sustainable financing</w:t>
      </w:r>
      <w:r w:rsidR="0074391F">
        <w:t xml:space="preserve"> that aligns with the KM-GBF</w:t>
      </w:r>
      <w:r w:rsidR="00B16A5C">
        <w:t xml:space="preserve">.  </w:t>
      </w:r>
    </w:p>
    <w:p w14:paraId="2FDC56C4" w14:textId="77777777" w:rsidR="0036559F" w:rsidRDefault="0036559F" w:rsidP="00220E97">
      <w:pPr>
        <w:jc w:val="both"/>
      </w:pPr>
    </w:p>
    <w:p w14:paraId="427FD471" w14:textId="632C7886" w:rsidR="00012429" w:rsidRDefault="003D6580" w:rsidP="00220E97">
      <w:pPr>
        <w:jc w:val="both"/>
      </w:pPr>
      <w:r>
        <w:t>Biodiversity-related s</w:t>
      </w:r>
      <w:r w:rsidR="00012429">
        <w:t xml:space="preserve">ustainable finance </w:t>
      </w:r>
      <w:r>
        <w:t xml:space="preserve">frameworks </w:t>
      </w:r>
      <w:r w:rsidR="00012429">
        <w:t xml:space="preserve">can enable </w:t>
      </w:r>
      <w:r w:rsidR="00B16A5C">
        <w:t xml:space="preserve">alignment and </w:t>
      </w:r>
      <w:r w:rsidR="00012429">
        <w:t>tracking of biodiversity-relevant private financial flows by:</w:t>
      </w:r>
    </w:p>
    <w:p w14:paraId="728568D8" w14:textId="77777777" w:rsidR="00012429" w:rsidRDefault="00012429" w:rsidP="00220E97">
      <w:pPr>
        <w:jc w:val="both"/>
      </w:pPr>
    </w:p>
    <w:p w14:paraId="6E18FABE" w14:textId="375303DA" w:rsidR="00012429" w:rsidRDefault="00012429" w:rsidP="00012429">
      <w:pPr>
        <w:pStyle w:val="ListParagraph"/>
        <w:numPr>
          <w:ilvl w:val="0"/>
          <w:numId w:val="34"/>
        </w:numPr>
        <w:jc w:val="both"/>
      </w:pPr>
      <w:r>
        <w:t>Identifying biodiversity-positive activities, such as investments in habitat restoration, sustainable forestry and agriculture practices, or pollution reduction technologies,</w:t>
      </w:r>
    </w:p>
    <w:p w14:paraId="2EC33B99" w14:textId="32F96BF4" w:rsidR="00012429" w:rsidRDefault="00012429" w:rsidP="00012429">
      <w:pPr>
        <w:pStyle w:val="ListParagraph"/>
        <w:numPr>
          <w:ilvl w:val="0"/>
          <w:numId w:val="34"/>
        </w:numPr>
        <w:jc w:val="both"/>
      </w:pPr>
      <w:r>
        <w:t>Tracking and reporting on biodiversity investments to measure progress and provide transparency to investors and stakeholders on environmental activities</w:t>
      </w:r>
      <w:r w:rsidR="0036559F">
        <w:t>,</w:t>
      </w:r>
    </w:p>
    <w:p w14:paraId="5F7F218C" w14:textId="46531855" w:rsidR="00012429" w:rsidRDefault="00012429" w:rsidP="00012429">
      <w:pPr>
        <w:pStyle w:val="ListParagraph"/>
        <w:numPr>
          <w:ilvl w:val="0"/>
          <w:numId w:val="34"/>
        </w:numPr>
        <w:jc w:val="both"/>
      </w:pPr>
      <w:r>
        <w:t xml:space="preserve">Providing a common language to classify biodiversity-related activities, which allows for comparison and </w:t>
      </w:r>
      <w:r w:rsidR="0036559F">
        <w:t>mitigates uncertainty and risk</w:t>
      </w:r>
      <w:r>
        <w:t xml:space="preserve"> for investors.</w:t>
      </w:r>
    </w:p>
    <w:p w14:paraId="6CACDBA6" w14:textId="1BD4F38E" w:rsidR="00B16A5C" w:rsidRDefault="00B16A5C" w:rsidP="00012429">
      <w:pPr>
        <w:pStyle w:val="ListParagraph"/>
        <w:numPr>
          <w:ilvl w:val="0"/>
          <w:numId w:val="34"/>
        </w:numPr>
        <w:jc w:val="both"/>
      </w:pPr>
      <w:r>
        <w:t>Reducing the risk of greenwashing.</w:t>
      </w:r>
    </w:p>
    <w:p w14:paraId="227B1989" w14:textId="77777777" w:rsidR="00012429" w:rsidRDefault="00012429" w:rsidP="00220E97">
      <w:pPr>
        <w:jc w:val="both"/>
      </w:pPr>
    </w:p>
    <w:p w14:paraId="79D94684" w14:textId="3C1896A1" w:rsidR="003D6580" w:rsidRDefault="005C66F3" w:rsidP="00220E97">
      <w:pPr>
        <w:jc w:val="both"/>
      </w:pPr>
      <w:r>
        <w:t xml:space="preserve">Existing examples of taxonomies that have been developed include the EU Taxonomy (see Box 4), the China Green Bond </w:t>
      </w:r>
      <w:r w:rsidR="00A73C19">
        <w:t>Guidelines</w:t>
      </w:r>
      <w:r>
        <w:t xml:space="preserve">, Colombia’s Green Taxonomy, South African Green </w:t>
      </w:r>
      <w:r>
        <w:lastRenderedPageBreak/>
        <w:t>Taxonomy, and the United Kingdom’s Green Taxonomy.</w:t>
      </w:r>
      <w:r w:rsidR="00A73C19">
        <w:rPr>
          <w:rStyle w:val="FootnoteReference"/>
        </w:rPr>
        <w:footnoteReference w:id="17"/>
      </w:r>
      <w:r>
        <w:t xml:space="preserve">  Other countries have taxonomies under development</w:t>
      </w:r>
      <w:r w:rsidR="0036559F">
        <w:t xml:space="preserve">.  A work </w:t>
      </w:r>
      <w:proofErr w:type="spellStart"/>
      <w:r w:rsidR="0036559F">
        <w:t>programme</w:t>
      </w:r>
      <w:proofErr w:type="spellEnd"/>
      <w:r w:rsidR="0036559F">
        <w:t xml:space="preserve"> established by the Secretariat or other UN agency could provide resources, technical expertise, and a unifying platform for countries establishing and implementing biodiversity-related </w:t>
      </w:r>
      <w:r w:rsidR="003D6580">
        <w:t xml:space="preserve">sustainable finance </w:t>
      </w:r>
      <w:r w:rsidR="0036559F">
        <w:t xml:space="preserve">frameworks. </w:t>
      </w:r>
      <w:r w:rsidR="00B64DA5">
        <w:t>A recent partnership launched between UNEP-FI, Principles for Responsible Investment, and the Climate Bonds Initiative will provide support to the development and implementation of sustainable finance taxonomies, including building consensus on definitions among standard setters, policymakers, and users, and providing tools for implementation.</w:t>
      </w:r>
      <w:r w:rsidR="007C5AC6">
        <w:rPr>
          <w:rStyle w:val="FootnoteReference"/>
        </w:rPr>
        <w:footnoteReference w:id="18"/>
      </w:r>
      <w:r w:rsidR="00B64DA5">
        <w:t xml:space="preserve">  Efforts to develop and standardize sustainable finance taxonomies </w:t>
      </w:r>
      <w:r w:rsidR="007E514F">
        <w:t>should ensure biodiversity</w:t>
      </w:r>
      <w:r w:rsidR="00F4227A">
        <w:t>-related</w:t>
      </w:r>
      <w:r w:rsidR="007E514F">
        <w:t xml:space="preserve"> </w:t>
      </w:r>
      <w:r w:rsidR="00F4227A">
        <w:t xml:space="preserve">activities are </w:t>
      </w:r>
      <w:r w:rsidR="007E514F">
        <w:t xml:space="preserve">clearly articulated to align with the KMGBF objectives. </w:t>
      </w:r>
      <w:r w:rsidR="003D6580">
        <w:t xml:space="preserve">Sustainable finance frameworks, including taxonomy-based approaches and principles-based approaches, can draw on </w:t>
      </w:r>
      <w:r w:rsidR="00350432">
        <w:t>progress</w:t>
      </w:r>
      <w:r w:rsidR="003D6580">
        <w:t xml:space="preserve"> in the climate finance sector.  </w:t>
      </w:r>
    </w:p>
    <w:p w14:paraId="66BAC79F" w14:textId="77777777" w:rsidR="00F70895" w:rsidRDefault="00F70895" w:rsidP="00220E97">
      <w:pPr>
        <w:jc w:val="both"/>
      </w:pPr>
    </w:p>
    <w:p w14:paraId="0B767FAD" w14:textId="33C44ACB" w:rsidR="00765DDC" w:rsidRPr="00365101" w:rsidRDefault="00F70895" w:rsidP="00220E97">
      <w:pPr>
        <w:jc w:val="both"/>
      </w:pPr>
      <w:r>
        <w:t>Recognizing the importance of developing clear definition</w:t>
      </w:r>
      <w:r w:rsidR="00F4227A">
        <w:t>s</w:t>
      </w:r>
      <w:r>
        <w:t xml:space="preserve"> and </w:t>
      </w:r>
      <w:r w:rsidR="00F4227A">
        <w:t xml:space="preserve">sustainable finance </w:t>
      </w:r>
      <w:r>
        <w:t>taxonom</w:t>
      </w:r>
      <w:r w:rsidR="00F4227A">
        <w:t>ies</w:t>
      </w:r>
      <w:r>
        <w:t xml:space="preserve"> to identify and classify private investments in biodiversity, </w:t>
      </w:r>
      <w:r w:rsidR="00765DDC" w:rsidRPr="00954705">
        <w:rPr>
          <w:b/>
          <w:bCs/>
        </w:rPr>
        <w:t xml:space="preserve">a complementary indicator </w:t>
      </w:r>
      <w:r w:rsidRPr="00954705">
        <w:rPr>
          <w:b/>
          <w:bCs/>
        </w:rPr>
        <w:t xml:space="preserve">on </w:t>
      </w:r>
      <w:r w:rsidR="00765DDC" w:rsidRPr="00954705">
        <w:rPr>
          <w:b/>
          <w:bCs/>
        </w:rPr>
        <w:t>private funding for biodiversity could ask countries whether they have</w:t>
      </w:r>
      <w:r w:rsidR="00161CA8" w:rsidRPr="00954705">
        <w:rPr>
          <w:b/>
          <w:bCs/>
        </w:rPr>
        <w:t xml:space="preserve"> </w:t>
      </w:r>
      <w:r w:rsidRPr="00954705">
        <w:rPr>
          <w:b/>
          <w:bCs/>
        </w:rPr>
        <w:t>developed</w:t>
      </w:r>
      <w:r w:rsidR="00161CA8" w:rsidRPr="00954705">
        <w:rPr>
          <w:b/>
          <w:bCs/>
        </w:rPr>
        <w:t xml:space="preserve"> or begun to develop, a biodiversity-related sustainable finance taxonomy</w:t>
      </w:r>
      <w:r w:rsidR="008A03BF">
        <w:rPr>
          <w:b/>
          <w:bCs/>
        </w:rPr>
        <w:t xml:space="preserve"> or similar guiding principles to identify transitional and sustainable activities for biodiversity</w:t>
      </w:r>
      <w:r w:rsidR="00765DDC">
        <w:t xml:space="preserve">. </w:t>
      </w:r>
    </w:p>
    <w:p w14:paraId="57558FAC" w14:textId="77777777" w:rsidR="00A25CA9" w:rsidRDefault="00A25CA9" w:rsidP="00220E97">
      <w:pPr>
        <w:jc w:val="both"/>
      </w:pPr>
    </w:p>
    <w:p w14:paraId="70FCFFE1" w14:textId="77777777" w:rsidR="00A25CA9" w:rsidRDefault="00A25CA9" w:rsidP="00A25CA9">
      <w:pPr>
        <w:jc w:val="both"/>
      </w:pPr>
      <w:r>
        <w:rPr>
          <w:noProof/>
        </w:rPr>
        <w:lastRenderedPageBreak/>
        <mc:AlternateContent>
          <mc:Choice Requires="wps">
            <w:drawing>
              <wp:inline distT="0" distB="0" distL="0" distR="0" wp14:anchorId="34F14237" wp14:editId="5FE47B27">
                <wp:extent cx="5996354" cy="1404620"/>
                <wp:effectExtent l="0" t="0" r="23495"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354" cy="1404620"/>
                        </a:xfrm>
                        <a:prstGeom prst="rect">
                          <a:avLst/>
                        </a:prstGeom>
                        <a:solidFill>
                          <a:schemeClr val="bg1">
                            <a:lumMod val="95000"/>
                          </a:schemeClr>
                        </a:solidFill>
                        <a:ln w="9525">
                          <a:solidFill>
                            <a:srgbClr val="000000"/>
                          </a:solidFill>
                          <a:miter lim="800000"/>
                          <a:headEnd/>
                          <a:tailEnd/>
                        </a:ln>
                      </wps:spPr>
                      <wps:txbx>
                        <w:txbxContent>
                          <w:p w14:paraId="26CEEE51" w14:textId="78B9E83C" w:rsidR="00A25CA9" w:rsidRDefault="00A25CA9" w:rsidP="00A25CA9">
                            <w:pPr>
                              <w:rPr>
                                <w:b/>
                                <w:bCs/>
                              </w:rPr>
                            </w:pPr>
                            <w:r w:rsidRPr="00A23409">
                              <w:rPr>
                                <w:b/>
                                <w:bCs/>
                              </w:rPr>
                              <w:t xml:space="preserve">Box </w:t>
                            </w:r>
                            <w:r w:rsidR="004C7144">
                              <w:rPr>
                                <w:b/>
                                <w:bCs/>
                              </w:rPr>
                              <w:t>4</w:t>
                            </w:r>
                            <w:r w:rsidRPr="00A23409">
                              <w:rPr>
                                <w:b/>
                                <w:bCs/>
                              </w:rPr>
                              <w:t xml:space="preserve">. The EU’s Sustainable Finance </w:t>
                            </w:r>
                            <w:r w:rsidR="006A2A8D">
                              <w:rPr>
                                <w:b/>
                                <w:bCs/>
                              </w:rPr>
                              <w:t xml:space="preserve">Agenda and </w:t>
                            </w:r>
                            <w:r w:rsidRPr="00A23409">
                              <w:rPr>
                                <w:b/>
                                <w:bCs/>
                              </w:rPr>
                              <w:t>Taxonomy Regulation</w:t>
                            </w:r>
                          </w:p>
                          <w:p w14:paraId="069F7E4B" w14:textId="2FBCA50A" w:rsidR="006A2A8D" w:rsidRDefault="006A2A8D" w:rsidP="00A25CA9">
                            <w:pPr>
                              <w:rPr>
                                <w:b/>
                                <w:bCs/>
                              </w:rPr>
                            </w:pPr>
                          </w:p>
                          <w:p w14:paraId="73144766" w14:textId="4255A4A3" w:rsidR="006A2A8D" w:rsidRPr="006A2A8D" w:rsidRDefault="006A2A8D" w:rsidP="0039778C">
                            <w:pPr>
                              <w:jc w:val="both"/>
                            </w:pPr>
                            <w:r w:rsidRPr="006A2A8D">
                              <w:t xml:space="preserve">The European Union’s Sustainable Finance Agenda </w:t>
                            </w:r>
                            <w:r>
                              <w:t xml:space="preserve">(SFA) </w:t>
                            </w:r>
                            <w:r w:rsidRPr="006A2A8D">
                              <w:t>aims to mobilize private finance to support the European Green Deal, a roadmap to achieve climate neutrality by 2050 among other environmental objectives.</w:t>
                            </w:r>
                            <w:r>
                              <w:t xml:space="preserve">  A core component of the SFA includes the EU Taxonomy Regulation</w:t>
                            </w:r>
                            <w:r w:rsidR="00D574C6">
                              <w:t xml:space="preserve"> (EU</w:t>
                            </w:r>
                            <w:r w:rsidR="00363B5E">
                              <w:t>)</w:t>
                            </w:r>
                            <w:r w:rsidR="00D574C6">
                              <w:t xml:space="preserve"> 2020/852</w:t>
                            </w:r>
                            <w:r>
                              <w:t xml:space="preserve">, which establishes a classification system for environmentally sustainable economic activities </w:t>
                            </w:r>
                            <w:r w:rsidR="00D574C6">
                              <w:t xml:space="preserve">that align with the EU’s net zero trajectory and other environmental goals. In addition, the taxonomy enables </w:t>
                            </w:r>
                            <w:r>
                              <w:t>increase</w:t>
                            </w:r>
                            <w:r w:rsidR="00D574C6">
                              <w:t>d</w:t>
                            </w:r>
                            <w:r>
                              <w:t xml:space="preserve"> transparency for investors</w:t>
                            </w:r>
                            <w:r w:rsidR="00363B5E">
                              <w:t>, facilitates sustainable investment,</w:t>
                            </w:r>
                            <w:r>
                              <w:t xml:space="preserve"> and prevent</w:t>
                            </w:r>
                            <w:r w:rsidR="00D574C6">
                              <w:t>s</w:t>
                            </w:r>
                            <w:r>
                              <w:t xml:space="preserve"> companies from ‘greenwashing’.  The Corporate Sustainability Reporting Directive (CSRD) </w:t>
                            </w:r>
                            <w:r w:rsidR="0039778C">
                              <w:t xml:space="preserve">establishes mandatory reporting rules </w:t>
                            </w:r>
                            <w:r>
                              <w:t xml:space="preserve">for certain companies operating in the EU </w:t>
                            </w:r>
                            <w:r w:rsidR="0039778C">
                              <w:t xml:space="preserve">to report on their environmental and social impact, providing transparency and accountability for investors and other stakeholders.  The EU Taxonomy Regulation provides criteria for companies reporting under the CSRD for identifying sustainability activities.  </w:t>
                            </w:r>
                          </w:p>
                          <w:p w14:paraId="6B996314" w14:textId="77777777" w:rsidR="00A25CA9" w:rsidRDefault="00A25CA9" w:rsidP="0039778C">
                            <w:pPr>
                              <w:jc w:val="both"/>
                            </w:pPr>
                          </w:p>
                          <w:p w14:paraId="767AE54E" w14:textId="24485235" w:rsidR="00A25CA9" w:rsidRDefault="00363B5E" w:rsidP="00A25CA9">
                            <w:r>
                              <w:t>The</w:t>
                            </w:r>
                            <w:r w:rsidR="00A25CA9">
                              <w:t xml:space="preserve"> six environmental objectives</w:t>
                            </w:r>
                            <w:r>
                              <w:t xml:space="preserve"> the EU Taxonomy Regulation covers are</w:t>
                            </w:r>
                            <w:r w:rsidR="00A25CA9">
                              <w:t>:</w:t>
                            </w:r>
                          </w:p>
                          <w:p w14:paraId="63BBE907" w14:textId="77777777" w:rsidR="00A25CA9" w:rsidRDefault="00A25CA9" w:rsidP="00A25CA9"/>
                          <w:p w14:paraId="3AE7AFF3" w14:textId="77777777" w:rsidR="00A25CA9" w:rsidRDefault="00A25CA9" w:rsidP="00A25CA9">
                            <w:pPr>
                              <w:pStyle w:val="ListParagraph"/>
                              <w:numPr>
                                <w:ilvl w:val="0"/>
                                <w:numId w:val="22"/>
                              </w:numPr>
                            </w:pPr>
                            <w:r>
                              <w:t>Climate change mitigation</w:t>
                            </w:r>
                          </w:p>
                          <w:p w14:paraId="6555C129" w14:textId="77777777" w:rsidR="00A25CA9" w:rsidRDefault="00A25CA9" w:rsidP="00A25CA9">
                            <w:pPr>
                              <w:pStyle w:val="ListParagraph"/>
                              <w:numPr>
                                <w:ilvl w:val="0"/>
                                <w:numId w:val="22"/>
                              </w:numPr>
                            </w:pPr>
                            <w:r>
                              <w:t>Climate change adaptation</w:t>
                            </w:r>
                          </w:p>
                          <w:p w14:paraId="25E03177" w14:textId="77777777" w:rsidR="00A25CA9" w:rsidRDefault="00A25CA9" w:rsidP="00A25CA9">
                            <w:pPr>
                              <w:pStyle w:val="ListParagraph"/>
                              <w:numPr>
                                <w:ilvl w:val="0"/>
                                <w:numId w:val="22"/>
                              </w:numPr>
                            </w:pPr>
                            <w:r>
                              <w:t>Sustainable use and protection of water and marine resources</w:t>
                            </w:r>
                          </w:p>
                          <w:p w14:paraId="24D66777" w14:textId="77777777" w:rsidR="00A25CA9" w:rsidRDefault="00A25CA9" w:rsidP="00A25CA9">
                            <w:pPr>
                              <w:pStyle w:val="ListParagraph"/>
                              <w:numPr>
                                <w:ilvl w:val="0"/>
                                <w:numId w:val="22"/>
                              </w:numPr>
                            </w:pPr>
                            <w:r>
                              <w:t>Transition to a circular economy</w:t>
                            </w:r>
                          </w:p>
                          <w:p w14:paraId="504C13C6" w14:textId="77777777" w:rsidR="00A25CA9" w:rsidRDefault="00A25CA9" w:rsidP="00A25CA9">
                            <w:pPr>
                              <w:pStyle w:val="ListParagraph"/>
                              <w:numPr>
                                <w:ilvl w:val="0"/>
                                <w:numId w:val="22"/>
                              </w:numPr>
                            </w:pPr>
                            <w:r>
                              <w:t>Pollution prevention and control</w:t>
                            </w:r>
                          </w:p>
                          <w:p w14:paraId="119F8114" w14:textId="77777777" w:rsidR="00A25CA9" w:rsidRDefault="00A25CA9" w:rsidP="00A25CA9">
                            <w:pPr>
                              <w:pStyle w:val="ListParagraph"/>
                              <w:numPr>
                                <w:ilvl w:val="0"/>
                                <w:numId w:val="22"/>
                              </w:numPr>
                            </w:pPr>
                            <w:r>
                              <w:t>Protection and restoration of biodiversity and ecosystems</w:t>
                            </w:r>
                          </w:p>
                          <w:p w14:paraId="2F279031" w14:textId="77777777" w:rsidR="00A25CA9" w:rsidRDefault="00A25CA9" w:rsidP="00A25CA9"/>
                          <w:p w14:paraId="1BD37CEC" w14:textId="77777777" w:rsidR="00A25CA9" w:rsidRDefault="00A25CA9" w:rsidP="00A25CA9">
                            <w:r>
                              <w:t>In addition, economic activities must meet additional overarching conditions:</w:t>
                            </w:r>
                          </w:p>
                          <w:p w14:paraId="1B6C2A66" w14:textId="77777777" w:rsidR="00A25CA9" w:rsidRDefault="00A25CA9" w:rsidP="00A25CA9"/>
                          <w:p w14:paraId="1FA35B88" w14:textId="77777777" w:rsidR="00A25CA9" w:rsidRDefault="00A25CA9" w:rsidP="00A25CA9">
                            <w:pPr>
                              <w:pStyle w:val="ListParagraph"/>
                              <w:numPr>
                                <w:ilvl w:val="0"/>
                                <w:numId w:val="23"/>
                              </w:numPr>
                            </w:pPr>
                            <w:r>
                              <w:t>Make a substantial contribution to at least one of the six environmental objectives</w:t>
                            </w:r>
                          </w:p>
                          <w:p w14:paraId="58FB2707" w14:textId="77777777" w:rsidR="00A25CA9" w:rsidRDefault="00A25CA9" w:rsidP="00A25CA9">
                            <w:pPr>
                              <w:pStyle w:val="ListParagraph"/>
                              <w:numPr>
                                <w:ilvl w:val="0"/>
                                <w:numId w:val="23"/>
                              </w:numPr>
                            </w:pPr>
                            <w:r>
                              <w:t>Do no significant harm to any of the other five environmental objectives</w:t>
                            </w:r>
                          </w:p>
                          <w:p w14:paraId="36152158" w14:textId="77777777" w:rsidR="00A25CA9" w:rsidRDefault="00A25CA9" w:rsidP="00A25CA9">
                            <w:pPr>
                              <w:pStyle w:val="ListParagraph"/>
                              <w:numPr>
                                <w:ilvl w:val="0"/>
                                <w:numId w:val="23"/>
                              </w:numPr>
                            </w:pPr>
                            <w:r>
                              <w:t>Comply with minimum safeguards</w:t>
                            </w:r>
                          </w:p>
                          <w:p w14:paraId="63ACF2BA" w14:textId="16B82610" w:rsidR="00A25CA9" w:rsidRDefault="00A25CA9" w:rsidP="00A25CA9">
                            <w:pPr>
                              <w:pStyle w:val="ListParagraph"/>
                              <w:numPr>
                                <w:ilvl w:val="0"/>
                                <w:numId w:val="23"/>
                              </w:numPr>
                            </w:pPr>
                            <w:r>
                              <w:t xml:space="preserve">Comply with the applicable technical screening criteria. </w:t>
                            </w:r>
                          </w:p>
                          <w:p w14:paraId="3198E51E" w14:textId="6FCBB9BB" w:rsidR="0039778C" w:rsidRDefault="0039778C" w:rsidP="0039778C"/>
                          <w:p w14:paraId="75A1397C" w14:textId="493E9F5B" w:rsidR="0039778C" w:rsidRDefault="0039778C" w:rsidP="0039778C">
                            <w:r>
                              <w:t>While early efforts focused on technical screening criteria for climate change mitigation and adaptation objectives, criteria for other environmental objectives</w:t>
                            </w:r>
                            <w:r w:rsidR="00A52F36">
                              <w:t xml:space="preserve"> such as biodiversity </w:t>
                            </w:r>
                            <w:r w:rsidR="00B83853">
                              <w:t>were recently published</w:t>
                            </w:r>
                            <w:r>
                              <w:t xml:space="preserve">.  </w:t>
                            </w:r>
                          </w:p>
                          <w:p w14:paraId="7CE8A787" w14:textId="77777777" w:rsidR="00A25CA9" w:rsidRDefault="00A25CA9" w:rsidP="00A25CA9"/>
                          <w:p w14:paraId="046FDDB5" w14:textId="6DDF93E0" w:rsidR="00A25CA9" w:rsidRDefault="00B83853" w:rsidP="00A25CA9">
                            <w:r>
                              <w:t xml:space="preserve">Reference: </w:t>
                            </w:r>
                            <w:hyperlink r:id="rId32" w:history="1">
                              <w:r>
                                <w:rPr>
                                  <w:rStyle w:val="Hyperlink"/>
                                </w:rPr>
                                <w:t>EU taxonomy for sustainable activities - European Commission (europa.eu)</w:t>
                              </w:r>
                            </w:hyperlink>
                          </w:p>
                        </w:txbxContent>
                      </wps:txbx>
                      <wps:bodyPr rot="0" vert="horz" wrap="square" lIns="91440" tIns="45720" rIns="91440" bIns="45720" anchor="t" anchorCtr="0">
                        <a:spAutoFit/>
                      </wps:bodyPr>
                    </wps:wsp>
                  </a:graphicData>
                </a:graphic>
              </wp:inline>
            </w:drawing>
          </mc:Choice>
          <mc:Fallback>
            <w:pict>
              <v:shape w14:anchorId="34F14237" id="_x0000_s1031" type="#_x0000_t202" style="width:472.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" fillcolor="#f2f2f2 [3052]">
                <v:textbox style="mso-fit-shape-to-text:t">
                  <w:txbxContent>
                    <w:p w14:paraId="26CEEE51" w14:textId="78B9E83C" w:rsidR="00A25CA9" w:rsidRDefault="00A25CA9" w:rsidP="00A25CA9">
                      <w:pPr>
                        <w:rPr>
                          <w:b/>
                          <w:bCs/>
                        </w:rPr>
                      </w:pPr>
                      <w:r w:rsidRPr="00A23409">
                        <w:rPr>
                          <w:b/>
                          <w:bCs/>
                        </w:rPr>
                        <w:t xml:space="preserve">Box </w:t>
                      </w:r>
                      <w:r w:rsidR="004C7144">
                        <w:rPr>
                          <w:b/>
                          <w:bCs/>
                        </w:rPr>
                        <w:t>4</w:t>
                      </w:r>
                      <w:r w:rsidRPr="00A23409">
                        <w:rPr>
                          <w:b/>
                          <w:bCs/>
                        </w:rPr>
                        <w:t xml:space="preserve">. The EU’s Sustainable Finance </w:t>
                      </w:r>
                      <w:r w:rsidR="006A2A8D">
                        <w:rPr>
                          <w:b/>
                          <w:bCs/>
                        </w:rPr>
                        <w:t xml:space="preserve">Agenda and </w:t>
                      </w:r>
                      <w:r w:rsidRPr="00A23409">
                        <w:rPr>
                          <w:b/>
                          <w:bCs/>
                        </w:rPr>
                        <w:t>Taxonomy Regulation</w:t>
                      </w:r>
                    </w:p>
                    <w:p w14:paraId="069F7E4B" w14:textId="2FBCA50A" w:rsidR="006A2A8D" w:rsidRDefault="006A2A8D" w:rsidP="00A25CA9">
                      <w:pPr>
                        <w:rPr>
                          <w:b/>
                          <w:bCs/>
                        </w:rPr>
                      </w:pPr>
                    </w:p>
                    <w:p w14:paraId="73144766" w14:textId="4255A4A3" w:rsidR="006A2A8D" w:rsidRPr="006A2A8D" w:rsidRDefault="006A2A8D" w:rsidP="0039778C">
                      <w:pPr>
                        <w:jc w:val="both"/>
                      </w:pPr>
                      <w:r w:rsidRPr="006A2A8D">
                        <w:t xml:space="preserve">The European Union’s Sustainable Finance Agenda </w:t>
                      </w:r>
                      <w:r>
                        <w:t xml:space="preserve">(SFA) </w:t>
                      </w:r>
                      <w:r w:rsidRPr="006A2A8D">
                        <w:t>aims to mobilize private finance to support the European Green Deal, a roadmap to achieve climate neutrality by 2050 among other environmental objectives.</w:t>
                      </w:r>
                      <w:r>
                        <w:t xml:space="preserve">  A core component of the SFA includes the EU Taxonomy Regulation</w:t>
                      </w:r>
                      <w:r w:rsidR="00D574C6">
                        <w:t xml:space="preserve"> (EU</w:t>
                      </w:r>
                      <w:r w:rsidR="00363B5E">
                        <w:t>)</w:t>
                      </w:r>
                      <w:r w:rsidR="00D574C6">
                        <w:t xml:space="preserve"> 2020/852</w:t>
                      </w:r>
                      <w:r>
                        <w:t xml:space="preserve">, which establishes a classification system for environmentally sustainable economic activities </w:t>
                      </w:r>
                      <w:r w:rsidR="00D574C6">
                        <w:t xml:space="preserve">that align with the EU’s net zero trajectory and other environmental goals. In addition, the taxonomy enables </w:t>
                      </w:r>
                      <w:r>
                        <w:t>increase</w:t>
                      </w:r>
                      <w:r w:rsidR="00D574C6">
                        <w:t>d</w:t>
                      </w:r>
                      <w:r>
                        <w:t xml:space="preserve"> transparency for investors</w:t>
                      </w:r>
                      <w:r w:rsidR="00363B5E">
                        <w:t>, facilitates sustainable investment,</w:t>
                      </w:r>
                      <w:r>
                        <w:t xml:space="preserve"> and prevent</w:t>
                      </w:r>
                      <w:r w:rsidR="00D574C6">
                        <w:t>s</w:t>
                      </w:r>
                      <w:r>
                        <w:t xml:space="preserve"> companies from ‘greenwashing’.  The Corporate Sustainability Reporting Directive (CSRD) </w:t>
                      </w:r>
                      <w:r w:rsidR="0039778C">
                        <w:t xml:space="preserve">establishes mandatory reporting rules </w:t>
                      </w:r>
                      <w:r>
                        <w:t xml:space="preserve">for certain companies operating in the EU </w:t>
                      </w:r>
                      <w:r w:rsidR="0039778C">
                        <w:t xml:space="preserve">to report on their environmental and social impact, providing transparency and accountability for investors and other stakeholders.  The EU Taxonomy Regulation provides criteria for companies reporting under the CSRD for identifying sustainability activities.  </w:t>
                      </w:r>
                    </w:p>
                    <w:p w14:paraId="6B996314" w14:textId="77777777" w:rsidR="00A25CA9" w:rsidRDefault="00A25CA9" w:rsidP="0039778C">
                      <w:pPr>
                        <w:jc w:val="both"/>
                      </w:pPr>
                    </w:p>
                    <w:p w14:paraId="767AE54E" w14:textId="24485235" w:rsidR="00A25CA9" w:rsidRDefault="00363B5E" w:rsidP="00A25CA9">
                      <w:r>
                        <w:t>The</w:t>
                      </w:r>
                      <w:r w:rsidR="00A25CA9">
                        <w:t xml:space="preserve"> six environmental objectives</w:t>
                      </w:r>
                      <w:r>
                        <w:t xml:space="preserve"> the EU Taxonomy Regulation covers are</w:t>
                      </w:r>
                      <w:r w:rsidR="00A25CA9">
                        <w:t>:</w:t>
                      </w:r>
                    </w:p>
                    <w:p w14:paraId="63BBE907" w14:textId="77777777" w:rsidR="00A25CA9" w:rsidRDefault="00A25CA9" w:rsidP="00A25CA9"/>
                    <w:p w14:paraId="3AE7AFF3" w14:textId="77777777" w:rsidR="00A25CA9" w:rsidRDefault="00A25CA9" w:rsidP="00A25CA9">
                      <w:pPr>
                        <w:pStyle w:val="ListParagraph"/>
                        <w:numPr>
                          <w:ilvl w:val="0"/>
                          <w:numId w:val="22"/>
                        </w:numPr>
                      </w:pPr>
                      <w:r>
                        <w:t>Climate change mitigation</w:t>
                      </w:r>
                    </w:p>
                    <w:p w14:paraId="6555C129" w14:textId="77777777" w:rsidR="00A25CA9" w:rsidRDefault="00A25CA9" w:rsidP="00A25CA9">
                      <w:pPr>
                        <w:pStyle w:val="ListParagraph"/>
                        <w:numPr>
                          <w:ilvl w:val="0"/>
                          <w:numId w:val="22"/>
                        </w:numPr>
                      </w:pPr>
                      <w:r>
                        <w:t>Climate change adaptation</w:t>
                      </w:r>
                    </w:p>
                    <w:p w14:paraId="25E03177" w14:textId="77777777" w:rsidR="00A25CA9" w:rsidRDefault="00A25CA9" w:rsidP="00A25CA9">
                      <w:pPr>
                        <w:pStyle w:val="ListParagraph"/>
                        <w:numPr>
                          <w:ilvl w:val="0"/>
                          <w:numId w:val="22"/>
                        </w:numPr>
                      </w:pPr>
                      <w:r>
                        <w:t>Sustainable use and protection of water and marine resources</w:t>
                      </w:r>
                    </w:p>
                    <w:p w14:paraId="24D66777" w14:textId="77777777" w:rsidR="00A25CA9" w:rsidRDefault="00A25CA9" w:rsidP="00A25CA9">
                      <w:pPr>
                        <w:pStyle w:val="ListParagraph"/>
                        <w:numPr>
                          <w:ilvl w:val="0"/>
                          <w:numId w:val="22"/>
                        </w:numPr>
                      </w:pPr>
                      <w:r>
                        <w:t>Transition to a circular economy</w:t>
                      </w:r>
                    </w:p>
                    <w:p w14:paraId="504C13C6" w14:textId="77777777" w:rsidR="00A25CA9" w:rsidRDefault="00A25CA9" w:rsidP="00A25CA9">
                      <w:pPr>
                        <w:pStyle w:val="ListParagraph"/>
                        <w:numPr>
                          <w:ilvl w:val="0"/>
                          <w:numId w:val="22"/>
                        </w:numPr>
                      </w:pPr>
                      <w:r>
                        <w:t>Pollution prevention and control</w:t>
                      </w:r>
                    </w:p>
                    <w:p w14:paraId="119F8114" w14:textId="77777777" w:rsidR="00A25CA9" w:rsidRDefault="00A25CA9" w:rsidP="00A25CA9">
                      <w:pPr>
                        <w:pStyle w:val="ListParagraph"/>
                        <w:numPr>
                          <w:ilvl w:val="0"/>
                          <w:numId w:val="22"/>
                        </w:numPr>
                      </w:pPr>
                      <w:r>
                        <w:t>Protection and restoration of biodiversity and ecosystems</w:t>
                      </w:r>
                    </w:p>
                    <w:p w14:paraId="2F279031" w14:textId="77777777" w:rsidR="00A25CA9" w:rsidRDefault="00A25CA9" w:rsidP="00A25CA9"/>
                    <w:p w14:paraId="1BD37CEC" w14:textId="77777777" w:rsidR="00A25CA9" w:rsidRDefault="00A25CA9" w:rsidP="00A25CA9">
                      <w:r>
                        <w:t>In addition, economic activities must meet additional overarching conditions:</w:t>
                      </w:r>
                    </w:p>
                    <w:p w14:paraId="1B6C2A66" w14:textId="77777777" w:rsidR="00A25CA9" w:rsidRDefault="00A25CA9" w:rsidP="00A25CA9"/>
                    <w:p w14:paraId="1FA35B88" w14:textId="77777777" w:rsidR="00A25CA9" w:rsidRDefault="00A25CA9" w:rsidP="00A25CA9">
                      <w:pPr>
                        <w:pStyle w:val="ListParagraph"/>
                        <w:numPr>
                          <w:ilvl w:val="0"/>
                          <w:numId w:val="23"/>
                        </w:numPr>
                      </w:pPr>
                      <w:r>
                        <w:t>Make a substantial contribution to at least one of the six environmental objectives</w:t>
                      </w:r>
                    </w:p>
                    <w:p w14:paraId="58FB2707" w14:textId="77777777" w:rsidR="00A25CA9" w:rsidRDefault="00A25CA9" w:rsidP="00A25CA9">
                      <w:pPr>
                        <w:pStyle w:val="ListParagraph"/>
                        <w:numPr>
                          <w:ilvl w:val="0"/>
                          <w:numId w:val="23"/>
                        </w:numPr>
                      </w:pPr>
                      <w:r>
                        <w:t>Do no significant harm to any of the other five environmental objectives</w:t>
                      </w:r>
                    </w:p>
                    <w:p w14:paraId="36152158" w14:textId="77777777" w:rsidR="00A25CA9" w:rsidRDefault="00A25CA9" w:rsidP="00A25CA9">
                      <w:pPr>
                        <w:pStyle w:val="ListParagraph"/>
                        <w:numPr>
                          <w:ilvl w:val="0"/>
                          <w:numId w:val="23"/>
                        </w:numPr>
                      </w:pPr>
                      <w:r>
                        <w:t>Comply with minimum safeguards</w:t>
                      </w:r>
                    </w:p>
                    <w:p w14:paraId="63ACF2BA" w14:textId="16B82610" w:rsidR="00A25CA9" w:rsidRDefault="00A25CA9" w:rsidP="00A25CA9">
                      <w:pPr>
                        <w:pStyle w:val="ListParagraph"/>
                        <w:numPr>
                          <w:ilvl w:val="0"/>
                          <w:numId w:val="23"/>
                        </w:numPr>
                      </w:pPr>
                      <w:r>
                        <w:t xml:space="preserve">Comply with the applicable technical screening criteria. </w:t>
                      </w:r>
                    </w:p>
                    <w:p w14:paraId="3198E51E" w14:textId="6FCBB9BB" w:rsidR="0039778C" w:rsidRDefault="0039778C" w:rsidP="0039778C"/>
                    <w:p w14:paraId="75A1397C" w14:textId="493E9F5B" w:rsidR="0039778C" w:rsidRDefault="0039778C" w:rsidP="0039778C">
                      <w:r>
                        <w:t>While early efforts focused on technical screening criteria for climate change mitigation and adaptation objectives, criteria for other environmental objectives</w:t>
                      </w:r>
                      <w:r w:rsidR="00A52F36">
                        <w:t xml:space="preserve"> such as biodiversity </w:t>
                      </w:r>
                      <w:r w:rsidR="00B83853">
                        <w:t>were recently published</w:t>
                      </w:r>
                      <w:r>
                        <w:t xml:space="preserve">.  </w:t>
                      </w:r>
                    </w:p>
                    <w:p w14:paraId="7CE8A787" w14:textId="77777777" w:rsidR="00A25CA9" w:rsidRDefault="00A25CA9" w:rsidP="00A25CA9"/>
                    <w:p w14:paraId="046FDDB5" w14:textId="6DDF93E0" w:rsidR="00A25CA9" w:rsidRDefault="00B83853" w:rsidP="00A25CA9">
                      <w:r>
                        <w:t xml:space="preserve">Reference: </w:t>
                      </w:r>
                      <w:hyperlink r:id="rId33" w:history="1">
                        <w:r>
                          <w:rPr>
                            <w:rStyle w:val="Hyperlink"/>
                          </w:rPr>
                          <w:t>EU taxonomy for sustainable activities - European Commission (europa.eu)</w:t>
                        </w:r>
                      </w:hyperlink>
                    </w:p>
                  </w:txbxContent>
                </v:textbox>
                <w10:anchorlock/>
              </v:shape>
            </w:pict>
          </mc:Fallback>
        </mc:AlternateContent>
      </w:r>
    </w:p>
    <w:p w14:paraId="74CFF99B" w14:textId="77777777" w:rsidR="00425CC5" w:rsidRDefault="00425CC5" w:rsidP="005111FF">
      <w:pPr>
        <w:jc w:val="both"/>
      </w:pPr>
    </w:p>
    <w:p w14:paraId="5B92057B" w14:textId="0BE935A0" w:rsidR="00A25CA9" w:rsidRDefault="00A25CA9" w:rsidP="00425CC5">
      <w:pPr>
        <w:ind w:left="360"/>
        <w:jc w:val="both"/>
      </w:pPr>
    </w:p>
    <w:p w14:paraId="4606C97E" w14:textId="77777777" w:rsidR="001F27F2" w:rsidRDefault="001F27F2" w:rsidP="00425CC5">
      <w:pPr>
        <w:ind w:left="360"/>
        <w:jc w:val="both"/>
      </w:pPr>
    </w:p>
    <w:p w14:paraId="1FBE9D5D" w14:textId="77777777" w:rsidR="001F27F2" w:rsidRDefault="001F27F2" w:rsidP="00425CC5">
      <w:pPr>
        <w:ind w:left="360"/>
        <w:jc w:val="both"/>
      </w:pPr>
    </w:p>
    <w:p w14:paraId="36735F5E" w14:textId="77777777" w:rsidR="001F27F2" w:rsidRDefault="001F27F2" w:rsidP="00425CC5">
      <w:pPr>
        <w:ind w:left="360"/>
        <w:jc w:val="both"/>
      </w:pPr>
    </w:p>
    <w:p w14:paraId="53172660" w14:textId="77777777" w:rsidR="00161CA8" w:rsidRDefault="00161CA8" w:rsidP="00425CC5">
      <w:pPr>
        <w:ind w:left="360"/>
        <w:jc w:val="both"/>
      </w:pPr>
    </w:p>
    <w:p w14:paraId="79D0A215" w14:textId="168D2D91" w:rsidR="00A25CA9" w:rsidRDefault="00A25CA9" w:rsidP="00A25CA9">
      <w:pPr>
        <w:pStyle w:val="Heading2"/>
        <w:jc w:val="both"/>
      </w:pPr>
      <w:r>
        <w:lastRenderedPageBreak/>
        <w:t>Develop global indicators collated from responses to national reporting template</w:t>
      </w:r>
    </w:p>
    <w:p w14:paraId="53E6E741" w14:textId="77777777" w:rsidR="00A25CA9" w:rsidRDefault="00A25CA9" w:rsidP="00A25CA9">
      <w:pPr>
        <w:jc w:val="both"/>
      </w:pPr>
    </w:p>
    <w:p w14:paraId="5C428A8B" w14:textId="47A9DB43" w:rsidR="00A25CA9" w:rsidRDefault="00161CA8" w:rsidP="00A25CA9">
      <w:pPr>
        <w:jc w:val="both"/>
      </w:pPr>
      <w:r>
        <w:t>Additional complementary indicators could be developed to assess</w:t>
      </w:r>
      <w:r w:rsidR="00A25CA9">
        <w:t xml:space="preserve"> whether countries have programs and policies in place to incentivize priva</w:t>
      </w:r>
      <w:r w:rsidR="001F27F2">
        <w:t>te investment in biodiversity and enhance tracking and reporting of biodiversity-related investments</w:t>
      </w:r>
      <w:r w:rsidR="00A25CA9">
        <w:t>. These indicat</w:t>
      </w:r>
      <w:r>
        <w:t xml:space="preserve">ors </w:t>
      </w:r>
      <w:r w:rsidR="00A25CA9">
        <w:t>could build on the indicators for Target 18 related to scaling positive incentives for biodiversity by explicitly collecting information on those policies that are known to drive private sector investments in biodiversity</w:t>
      </w:r>
      <w:r w:rsidR="001F27F2">
        <w:t xml:space="preserve"> (e.g. sustainable commodities and biodiversity offsets)</w:t>
      </w:r>
      <w:r w:rsidR="00A25CA9">
        <w:t xml:space="preserve">. </w:t>
      </w:r>
      <w:r>
        <w:t xml:space="preserve"> The</w:t>
      </w:r>
      <w:r w:rsidR="001F27F2">
        <w:t>se indicators</w:t>
      </w:r>
      <w:r>
        <w:t xml:space="preserve"> could also collect additional information on how countries are creating an enabling environment for identifying, tracking, and reporting private funding for biodiversity, which could enhance quantitative reporting in the future. </w:t>
      </w:r>
      <w:r w:rsidR="00A25CA9">
        <w:t xml:space="preserve"> </w:t>
      </w:r>
    </w:p>
    <w:p w14:paraId="592D4B13" w14:textId="77777777" w:rsidR="008A0983" w:rsidRDefault="008A0983" w:rsidP="00A25CA9">
      <w:pPr>
        <w:jc w:val="both"/>
      </w:pPr>
    </w:p>
    <w:p w14:paraId="661D9886" w14:textId="76DB3EFE" w:rsidR="008A0983" w:rsidRDefault="008A0983" w:rsidP="00A25CA9">
      <w:pPr>
        <w:jc w:val="both"/>
      </w:pPr>
      <w:r>
        <w:t>Example questions include:</w:t>
      </w:r>
    </w:p>
    <w:p w14:paraId="7FC9DFD7" w14:textId="77777777" w:rsidR="00A25CA9" w:rsidRDefault="00A25CA9" w:rsidP="00A25CA9">
      <w:pPr>
        <w:jc w:val="both"/>
      </w:pPr>
    </w:p>
    <w:p w14:paraId="7E9D4A24" w14:textId="674DFC11" w:rsidR="00A25CA9" w:rsidRDefault="00A25CA9" w:rsidP="00432BC0">
      <w:pPr>
        <w:tabs>
          <w:tab w:val="left" w:pos="810"/>
        </w:tabs>
        <w:ind w:left="360"/>
        <w:jc w:val="both"/>
      </w:pPr>
      <w:r>
        <w:t xml:space="preserve">1. Does your country have a </w:t>
      </w:r>
      <w:r w:rsidR="00F13E4E">
        <w:t>national or sub-national regulatory framework for compensatory mitigation</w:t>
      </w:r>
      <w:r>
        <w:t xml:space="preserve">?  </w:t>
      </w:r>
    </w:p>
    <w:p w14:paraId="73323DD6" w14:textId="77777777" w:rsidR="00A25CA9" w:rsidRDefault="00A25CA9" w:rsidP="00432BC0">
      <w:pPr>
        <w:tabs>
          <w:tab w:val="left" w:pos="810"/>
        </w:tabs>
        <w:ind w:left="360"/>
        <w:jc w:val="both"/>
      </w:pPr>
    </w:p>
    <w:p w14:paraId="697B3732" w14:textId="027FC6DA" w:rsidR="00A25CA9" w:rsidRDefault="00A25CA9" w:rsidP="00432BC0">
      <w:pPr>
        <w:tabs>
          <w:tab w:val="left" w:pos="810"/>
        </w:tabs>
        <w:ind w:left="360"/>
        <w:jc w:val="both"/>
      </w:pPr>
      <w:r>
        <w:t xml:space="preserve">2. </w:t>
      </w:r>
      <w:r w:rsidR="00954705">
        <w:t xml:space="preserve">Has your country established a legal framework for developing and maintaining environmental economic accounts for environmental </w:t>
      </w:r>
      <w:r w:rsidR="00242A7E">
        <w:t>purposes?</w:t>
      </w:r>
      <w:r w:rsidR="00954705">
        <w:t xml:space="preserve">  </w:t>
      </w:r>
    </w:p>
    <w:p w14:paraId="37016E21" w14:textId="77777777" w:rsidR="00A25CA9" w:rsidRDefault="00A25CA9" w:rsidP="00432BC0">
      <w:pPr>
        <w:tabs>
          <w:tab w:val="left" w:pos="810"/>
        </w:tabs>
        <w:ind w:left="360"/>
        <w:jc w:val="both"/>
      </w:pPr>
    </w:p>
    <w:p w14:paraId="62773214" w14:textId="11DB92F1" w:rsidR="00A25CA9" w:rsidRDefault="00A25CA9" w:rsidP="00432BC0">
      <w:pPr>
        <w:tabs>
          <w:tab w:val="left" w:pos="810"/>
        </w:tabs>
        <w:ind w:left="360"/>
        <w:jc w:val="both"/>
      </w:pPr>
      <w:r>
        <w:t xml:space="preserve">3. Has your country regulated financial institutions to create investment obligations for </w:t>
      </w:r>
      <w:r w:rsidR="001F27F2">
        <w:t>biodiversity-relevant</w:t>
      </w:r>
      <w:r>
        <w:t xml:space="preserve"> financial products?</w:t>
      </w:r>
    </w:p>
    <w:p w14:paraId="68DF0517" w14:textId="77777777" w:rsidR="00A25CA9" w:rsidRDefault="00A25CA9" w:rsidP="00432BC0">
      <w:pPr>
        <w:tabs>
          <w:tab w:val="left" w:pos="810"/>
        </w:tabs>
        <w:ind w:left="360"/>
        <w:jc w:val="both"/>
      </w:pPr>
    </w:p>
    <w:p w14:paraId="4ED32510" w14:textId="0C761FCC" w:rsidR="00A25CA9" w:rsidRDefault="00617876" w:rsidP="00432BC0">
      <w:pPr>
        <w:tabs>
          <w:tab w:val="left" w:pos="810"/>
        </w:tabs>
        <w:ind w:left="360"/>
        <w:jc w:val="both"/>
      </w:pPr>
      <w:r>
        <w:t>4</w:t>
      </w:r>
      <w:r w:rsidR="00A25CA9">
        <w:t xml:space="preserve">. Are policies in place to encourage companies to develop and implement </w:t>
      </w:r>
      <w:r w:rsidR="001F27F2">
        <w:t>biodiversity-relevant</w:t>
      </w:r>
      <w:r w:rsidR="00A25CA9">
        <w:t xml:space="preserve"> procurement policies and standards?  </w:t>
      </w:r>
    </w:p>
    <w:p w14:paraId="1541AB42" w14:textId="77777777" w:rsidR="00A25CA9" w:rsidRDefault="00A25CA9" w:rsidP="00432BC0">
      <w:pPr>
        <w:tabs>
          <w:tab w:val="left" w:pos="810"/>
        </w:tabs>
        <w:ind w:left="360"/>
        <w:jc w:val="both"/>
      </w:pPr>
    </w:p>
    <w:p w14:paraId="1353D1A8" w14:textId="04225B06" w:rsidR="00A25CA9" w:rsidRPr="00242A7E" w:rsidRDefault="00617876" w:rsidP="00432BC0">
      <w:pPr>
        <w:tabs>
          <w:tab w:val="left" w:pos="810"/>
        </w:tabs>
        <w:ind w:left="360"/>
        <w:jc w:val="both"/>
      </w:pPr>
      <w:r>
        <w:t>5</w:t>
      </w:r>
      <w:proofErr w:type="gramStart"/>
      <w:r w:rsidR="00A25CA9" w:rsidRPr="00242A7E">
        <w:t>.  Has</w:t>
      </w:r>
      <w:proofErr w:type="gramEnd"/>
      <w:r w:rsidR="00A25CA9" w:rsidRPr="00242A7E">
        <w:t xml:space="preserve"> your country </w:t>
      </w:r>
      <w:r w:rsidR="005C66F3" w:rsidRPr="00242A7E">
        <w:t xml:space="preserve">developed, or </w:t>
      </w:r>
      <w:r w:rsidR="00A25CA9" w:rsidRPr="00242A7E">
        <w:t>begun the process of developing a</w:t>
      </w:r>
      <w:r w:rsidR="003445F4" w:rsidRPr="00242A7E">
        <w:t xml:space="preserve"> biodiversity-relevant</w:t>
      </w:r>
      <w:r w:rsidR="00A25CA9" w:rsidRPr="00242A7E">
        <w:t xml:space="preserve"> </w:t>
      </w:r>
      <w:r w:rsidR="00730B2F" w:rsidRPr="00242A7E">
        <w:t>sustainable finance</w:t>
      </w:r>
      <w:r w:rsidR="00A25CA9" w:rsidRPr="00242A7E">
        <w:t xml:space="preserve"> taxonomy </w:t>
      </w:r>
      <w:r w:rsidR="006E56B0">
        <w:t xml:space="preserve">or principles </w:t>
      </w:r>
      <w:r w:rsidR="00A25CA9" w:rsidRPr="00242A7E">
        <w:t xml:space="preserve">to identify, mobilize, and report on economic activities that contribute to achieving your </w:t>
      </w:r>
      <w:r w:rsidR="006E56B0">
        <w:t xml:space="preserve">biodiversity </w:t>
      </w:r>
      <w:r w:rsidR="00A25CA9" w:rsidRPr="00242A7E">
        <w:t>objectives and commitments?</w:t>
      </w:r>
      <w:r w:rsidR="001F27F2">
        <w:rPr>
          <w:rStyle w:val="FootnoteReference"/>
        </w:rPr>
        <w:footnoteReference w:id="19"/>
      </w:r>
    </w:p>
    <w:p w14:paraId="2E821786" w14:textId="4FCD4193" w:rsidR="005111FF" w:rsidRDefault="005111FF" w:rsidP="00432BC0">
      <w:pPr>
        <w:tabs>
          <w:tab w:val="left" w:pos="810"/>
        </w:tabs>
        <w:ind w:left="360"/>
        <w:jc w:val="both"/>
      </w:pPr>
    </w:p>
    <w:p w14:paraId="105992B3" w14:textId="58AF433D" w:rsidR="005111FF" w:rsidRDefault="00617876" w:rsidP="00432BC0">
      <w:pPr>
        <w:tabs>
          <w:tab w:val="left" w:pos="810"/>
        </w:tabs>
        <w:ind w:left="360"/>
        <w:jc w:val="both"/>
      </w:pPr>
      <w:r>
        <w:t>6</w:t>
      </w:r>
      <w:proofErr w:type="gramStart"/>
      <w:r w:rsidR="005111FF">
        <w:t>.  Does</w:t>
      </w:r>
      <w:proofErr w:type="gramEnd"/>
      <w:r w:rsidR="005111FF">
        <w:t xml:space="preserve"> your country have regulations in place that establish mandatory disclosure rules for financial market </w:t>
      </w:r>
      <w:r w:rsidR="009D7A47">
        <w:t xml:space="preserve">and non-financial </w:t>
      </w:r>
      <w:r w:rsidR="005111FF">
        <w:t>participants?</w:t>
      </w:r>
    </w:p>
    <w:p w14:paraId="14ED4568" w14:textId="23B70B48" w:rsidR="00617876" w:rsidRDefault="00617876" w:rsidP="00432BC0">
      <w:pPr>
        <w:tabs>
          <w:tab w:val="left" w:pos="810"/>
        </w:tabs>
        <w:ind w:left="360"/>
        <w:jc w:val="both"/>
      </w:pPr>
    </w:p>
    <w:p w14:paraId="146D69AB" w14:textId="0FC0C5D2" w:rsidR="00617876" w:rsidRDefault="00617876" w:rsidP="00432BC0">
      <w:pPr>
        <w:tabs>
          <w:tab w:val="left" w:pos="810"/>
        </w:tabs>
        <w:ind w:left="360"/>
        <w:jc w:val="both"/>
      </w:pPr>
      <w:r>
        <w:t xml:space="preserve">7. Does your country require the collection of data on </w:t>
      </w:r>
      <w:r w:rsidR="00FE63B8">
        <w:t xml:space="preserve">private </w:t>
      </w:r>
      <w:r>
        <w:t>biodiversity investments, and must these investments be disaggregated by gender and other relevant demographics?</w:t>
      </w:r>
    </w:p>
    <w:p w14:paraId="71FDB1A7" w14:textId="77777777" w:rsidR="00FE63B8" w:rsidRDefault="00FE63B8" w:rsidP="00432BC0">
      <w:pPr>
        <w:tabs>
          <w:tab w:val="left" w:pos="810"/>
        </w:tabs>
        <w:ind w:left="360"/>
        <w:jc w:val="both"/>
      </w:pPr>
    </w:p>
    <w:p w14:paraId="4E9944E4" w14:textId="091D9A2D" w:rsidR="00FE63B8" w:rsidRPr="00EE693A" w:rsidRDefault="00FE63B8" w:rsidP="00432BC0">
      <w:pPr>
        <w:tabs>
          <w:tab w:val="left" w:pos="810"/>
        </w:tabs>
        <w:ind w:left="360"/>
        <w:jc w:val="both"/>
      </w:pPr>
      <w:r>
        <w:t>8. Does your country have a legal framework that ensures private biodiversity investments do not contribute to human rights violations, particularly for indigenous peoples and local communities?</w:t>
      </w:r>
    </w:p>
    <w:p w14:paraId="0CBAEADC" w14:textId="62DA6273" w:rsidR="00A25CA9" w:rsidRDefault="00A25CA9" w:rsidP="00425CC5">
      <w:pPr>
        <w:ind w:left="360"/>
        <w:jc w:val="both"/>
      </w:pPr>
    </w:p>
    <w:p w14:paraId="6EFFBE86" w14:textId="42BD3E64" w:rsidR="00E81A34" w:rsidRDefault="00E81A34" w:rsidP="00E81A34">
      <w:pPr>
        <w:pStyle w:val="Heading2"/>
      </w:pPr>
      <w:r>
        <w:lastRenderedPageBreak/>
        <w:t xml:space="preserve">Enhance voluntary reporting on private sector </w:t>
      </w:r>
      <w:r w:rsidR="00D86F21">
        <w:t xml:space="preserve">biodiversity </w:t>
      </w:r>
      <w:r>
        <w:t>pledges</w:t>
      </w:r>
    </w:p>
    <w:p w14:paraId="2A1B4CF2" w14:textId="7463AD2A" w:rsidR="000D4EC6" w:rsidRDefault="000D4EC6" w:rsidP="000D4EC6"/>
    <w:p w14:paraId="560E64ED" w14:textId="77777777" w:rsidR="000D4EC6" w:rsidRPr="000D4EC6" w:rsidRDefault="000D4EC6" w:rsidP="000D4EC6">
      <w:pPr>
        <w:rPr>
          <w:b/>
          <w:bCs/>
        </w:rPr>
      </w:pPr>
      <w:r w:rsidRPr="000D4EC6">
        <w:rPr>
          <w:b/>
          <w:bCs/>
        </w:rPr>
        <w:t>Campaign for Nature Pledge Tracker – International Private Philanthropy</w:t>
      </w:r>
    </w:p>
    <w:p w14:paraId="0142C20D" w14:textId="77777777" w:rsidR="000D4EC6" w:rsidRDefault="000D4EC6" w:rsidP="000D4EC6">
      <w:pPr>
        <w:jc w:val="both"/>
      </w:pPr>
    </w:p>
    <w:p w14:paraId="791B1A0D" w14:textId="77777777" w:rsidR="000D4EC6" w:rsidRDefault="000D4EC6" w:rsidP="000D4EC6">
      <w:pPr>
        <w:jc w:val="both"/>
      </w:pPr>
      <w:r>
        <w:t xml:space="preserve">A group of NGOs, led by the Campaign for Nature and the World Wildlife Fund, have developed a first-of-its kind comprehensive tracker of publicly announced international biodiversity finance commitments since 2020 (“pledge tracker”).  These commitments have been made by governments, philanthropies, companies and investors aimed at reaching the Target 19 goal of increasing total biodiversity related international financial resources from developed countries to developing countries by at least USD 20 billion per year by 2025, and by at least USD 30 billion per year by 2030.  While governments account for </w:t>
      </w:r>
      <w:proofErr w:type="gramStart"/>
      <w:r>
        <w:t>the majority of</w:t>
      </w:r>
      <w:proofErr w:type="gramEnd"/>
      <w:r>
        <w:t xml:space="preserve"> the commitments (over 80 percent of the annual commitment amount), pledges have also been made by philanthropies, corporations, and investors. Combined, these pledges represent approximately USD 8 billion per year, with annual estimates calculated by translating aggregate commitments into average annual amounts during the term of the KMGBF.</w:t>
      </w:r>
    </w:p>
    <w:p w14:paraId="1FC360CF" w14:textId="77777777" w:rsidR="000D4EC6" w:rsidRDefault="000D4EC6" w:rsidP="000D4EC6">
      <w:pPr>
        <w:jc w:val="both"/>
      </w:pPr>
    </w:p>
    <w:p w14:paraId="25659C6C" w14:textId="77777777" w:rsidR="000D4EC6" w:rsidRDefault="000D4EC6" w:rsidP="000D4EC6">
      <w:pPr>
        <w:jc w:val="both"/>
      </w:pPr>
      <w:r>
        <w:t xml:space="preserve">The </w:t>
      </w:r>
      <w:proofErr w:type="gramStart"/>
      <w:r>
        <w:t>below table</w:t>
      </w:r>
      <w:proofErr w:type="gramEnd"/>
      <w:r>
        <w:t xml:space="preserve"> provides information on the philanthropic, investor and corporate commitments that have been publicly announced for international biodiversity finance, as reported in the pledge tracker. </w:t>
      </w:r>
    </w:p>
    <w:p w14:paraId="462EB00E" w14:textId="77777777" w:rsidR="000D4EC6" w:rsidRPr="00FE0C8C" w:rsidRDefault="000D4EC6" w:rsidP="000D4EC6">
      <w:pPr>
        <w:jc w:val="both"/>
      </w:pPr>
    </w:p>
    <w:p w14:paraId="0824D43E" w14:textId="17B567DF" w:rsidR="000D4EC6" w:rsidRPr="00FE0C8C" w:rsidRDefault="000D4EC6" w:rsidP="000D4EC6">
      <w:pPr>
        <w:pStyle w:val="Caption"/>
      </w:pPr>
      <w:r w:rsidRPr="00FE0C8C">
        <w:t xml:space="preserve">Table </w:t>
      </w:r>
      <w:fldSimple w:instr=" SEQ Table \* ARABIC ">
        <w:r w:rsidR="00540223">
          <w:rPr>
            <w:noProof/>
          </w:rPr>
          <w:t>6</w:t>
        </w:r>
      </w:fldSimple>
      <w:r w:rsidRPr="00FE0C8C">
        <w:t xml:space="preserve"> Summary of Public Pledges from Philanthropies and Corporate and Investor Commitments</w:t>
      </w:r>
      <w:r>
        <w:t xml:space="preserve"> from the Campaign for Nature Pledge Tracker</w:t>
      </w:r>
    </w:p>
    <w:tbl>
      <w:tblPr>
        <w:tblW w:w="0" w:type="auto"/>
        <w:tblLayout w:type="fixed"/>
        <w:tblLook w:val="04A0" w:firstRow="1" w:lastRow="0" w:firstColumn="1" w:lastColumn="0" w:noHBand="0" w:noVBand="1"/>
      </w:tblPr>
      <w:tblGrid>
        <w:gridCol w:w="2834"/>
        <w:gridCol w:w="3641"/>
        <w:gridCol w:w="1433"/>
        <w:gridCol w:w="1442"/>
      </w:tblGrid>
      <w:tr w:rsidR="000D4EC6" w:rsidRPr="00E05AE1" w14:paraId="79F2DCD3" w14:textId="77777777" w:rsidTr="00E6057B">
        <w:trPr>
          <w:trHeight w:val="600"/>
        </w:trPr>
        <w:tc>
          <w:tcPr>
            <w:tcW w:w="2834"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07EF091F"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Actor</w:t>
            </w:r>
          </w:p>
        </w:tc>
        <w:tc>
          <w:tcPr>
            <w:tcW w:w="3641" w:type="dxa"/>
            <w:tcBorders>
              <w:top w:val="single" w:sz="4" w:space="0" w:color="auto"/>
              <w:left w:val="nil"/>
              <w:bottom w:val="single" w:sz="4" w:space="0" w:color="auto"/>
              <w:right w:val="single" w:sz="4" w:space="0" w:color="auto"/>
            </w:tcBorders>
            <w:shd w:val="clear" w:color="000000" w:fill="5B9BD5"/>
            <w:vAlign w:val="bottom"/>
            <w:hideMark/>
          </w:tcPr>
          <w:p w14:paraId="783D9F62"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Commitment</w:t>
            </w:r>
          </w:p>
        </w:tc>
        <w:tc>
          <w:tcPr>
            <w:tcW w:w="1433" w:type="dxa"/>
            <w:tcBorders>
              <w:top w:val="single" w:sz="4" w:space="0" w:color="auto"/>
              <w:left w:val="nil"/>
              <w:bottom w:val="single" w:sz="4" w:space="0" w:color="auto"/>
              <w:right w:val="single" w:sz="4" w:space="0" w:color="auto"/>
            </w:tcBorders>
            <w:shd w:val="clear" w:color="000000" w:fill="5B9BD5"/>
            <w:vAlign w:val="bottom"/>
            <w:hideMark/>
          </w:tcPr>
          <w:p w14:paraId="6F186A7C"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Annual (USD MM)</w:t>
            </w:r>
          </w:p>
        </w:tc>
        <w:tc>
          <w:tcPr>
            <w:tcW w:w="1442" w:type="dxa"/>
            <w:tcBorders>
              <w:top w:val="single" w:sz="4" w:space="0" w:color="auto"/>
              <w:left w:val="nil"/>
              <w:bottom w:val="single" w:sz="4" w:space="0" w:color="auto"/>
              <w:right w:val="single" w:sz="4" w:space="0" w:color="auto"/>
            </w:tcBorders>
            <w:shd w:val="clear" w:color="000000" w:fill="5B9BD5"/>
            <w:noWrap/>
            <w:vAlign w:val="bottom"/>
            <w:hideMark/>
          </w:tcPr>
          <w:p w14:paraId="16BA08DE"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Total (USD MM)</w:t>
            </w:r>
          </w:p>
        </w:tc>
      </w:tr>
      <w:tr w:rsidR="000D4EC6" w:rsidRPr="00E05AE1" w14:paraId="48C3F2F6" w14:textId="77777777" w:rsidTr="00E6057B">
        <w:trPr>
          <w:trHeight w:val="360"/>
        </w:trPr>
        <w:tc>
          <w:tcPr>
            <w:tcW w:w="935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750E82FC"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Donors</w:t>
            </w:r>
          </w:p>
        </w:tc>
      </w:tr>
      <w:tr w:rsidR="000D4EC6" w:rsidRPr="00E05AE1" w14:paraId="2EC21499" w14:textId="77777777" w:rsidTr="00E6057B">
        <w:trPr>
          <w:trHeight w:val="233"/>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204C931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Bezos Earth Fund</w:t>
            </w:r>
          </w:p>
        </w:tc>
        <w:tc>
          <w:tcPr>
            <w:tcW w:w="3641" w:type="dxa"/>
            <w:tcBorders>
              <w:top w:val="nil"/>
              <w:left w:val="nil"/>
              <w:bottom w:val="single" w:sz="4" w:space="0" w:color="auto"/>
              <w:right w:val="single" w:sz="4" w:space="0" w:color="auto"/>
            </w:tcBorders>
            <w:shd w:val="clear" w:color="auto" w:fill="auto"/>
            <w:vAlign w:val="bottom"/>
            <w:hideMark/>
          </w:tcPr>
          <w:p w14:paraId="34B4D83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Restore nature, protect food systems</w:t>
            </w:r>
          </w:p>
        </w:tc>
        <w:tc>
          <w:tcPr>
            <w:tcW w:w="1433" w:type="dxa"/>
            <w:tcBorders>
              <w:top w:val="nil"/>
              <w:left w:val="nil"/>
              <w:bottom w:val="single" w:sz="4" w:space="0" w:color="auto"/>
              <w:right w:val="single" w:sz="4" w:space="0" w:color="auto"/>
            </w:tcBorders>
            <w:shd w:val="clear" w:color="auto" w:fill="auto"/>
            <w:noWrap/>
            <w:vAlign w:val="bottom"/>
            <w:hideMark/>
          </w:tcPr>
          <w:p w14:paraId="18D87D0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200</w:t>
            </w:r>
          </w:p>
        </w:tc>
        <w:tc>
          <w:tcPr>
            <w:tcW w:w="1442" w:type="dxa"/>
            <w:tcBorders>
              <w:top w:val="nil"/>
              <w:left w:val="nil"/>
              <w:bottom w:val="single" w:sz="4" w:space="0" w:color="auto"/>
              <w:right w:val="single" w:sz="4" w:space="0" w:color="auto"/>
            </w:tcBorders>
            <w:shd w:val="clear" w:color="auto" w:fill="auto"/>
            <w:noWrap/>
            <w:vAlign w:val="bottom"/>
            <w:hideMark/>
          </w:tcPr>
          <w:p w14:paraId="4441E384" w14:textId="2BD0E528"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2,000 </w:t>
            </w:r>
          </w:p>
        </w:tc>
      </w:tr>
      <w:tr w:rsidR="000D4EC6" w:rsidRPr="00E05AE1" w14:paraId="3FDD5A2E" w14:textId="77777777" w:rsidTr="00E6057B">
        <w:trPr>
          <w:trHeight w:val="458"/>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669CFCA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Group of 11 Foundations</w:t>
            </w:r>
          </w:p>
        </w:tc>
        <w:tc>
          <w:tcPr>
            <w:tcW w:w="3641" w:type="dxa"/>
            <w:tcBorders>
              <w:top w:val="nil"/>
              <w:left w:val="nil"/>
              <w:bottom w:val="single" w:sz="4" w:space="0" w:color="auto"/>
              <w:right w:val="single" w:sz="4" w:space="0" w:color="auto"/>
            </w:tcBorders>
            <w:shd w:val="clear" w:color="auto" w:fill="auto"/>
            <w:vAlign w:val="bottom"/>
            <w:hideMark/>
          </w:tcPr>
          <w:p w14:paraId="2F95B96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Protecting our Planet Challenge</w:t>
            </w:r>
          </w:p>
        </w:tc>
        <w:tc>
          <w:tcPr>
            <w:tcW w:w="1433" w:type="dxa"/>
            <w:tcBorders>
              <w:top w:val="nil"/>
              <w:left w:val="nil"/>
              <w:bottom w:val="single" w:sz="4" w:space="0" w:color="auto"/>
              <w:right w:val="single" w:sz="4" w:space="0" w:color="auto"/>
            </w:tcBorders>
            <w:shd w:val="clear" w:color="auto" w:fill="auto"/>
            <w:noWrap/>
            <w:vAlign w:val="bottom"/>
            <w:hideMark/>
          </w:tcPr>
          <w:p w14:paraId="1DF5C43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500</w:t>
            </w:r>
          </w:p>
        </w:tc>
        <w:tc>
          <w:tcPr>
            <w:tcW w:w="1442" w:type="dxa"/>
            <w:tcBorders>
              <w:top w:val="nil"/>
              <w:left w:val="nil"/>
              <w:bottom w:val="single" w:sz="4" w:space="0" w:color="auto"/>
              <w:right w:val="single" w:sz="4" w:space="0" w:color="auto"/>
            </w:tcBorders>
            <w:shd w:val="clear" w:color="auto" w:fill="auto"/>
            <w:noWrap/>
            <w:vAlign w:val="bottom"/>
            <w:hideMark/>
          </w:tcPr>
          <w:p w14:paraId="78751CC3" w14:textId="2959394D"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5,000 </w:t>
            </w:r>
          </w:p>
        </w:tc>
      </w:tr>
      <w:tr w:rsidR="000D4EC6" w:rsidRPr="00E05AE1" w14:paraId="17565D7F" w14:textId="77777777" w:rsidTr="00E6057B">
        <w:trPr>
          <w:trHeight w:val="4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29D95B9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Group of 13 Climate Philanthropies</w:t>
            </w:r>
          </w:p>
        </w:tc>
        <w:tc>
          <w:tcPr>
            <w:tcW w:w="3641" w:type="dxa"/>
            <w:tcBorders>
              <w:top w:val="nil"/>
              <w:left w:val="nil"/>
              <w:bottom w:val="single" w:sz="4" w:space="0" w:color="auto"/>
              <w:right w:val="single" w:sz="4" w:space="0" w:color="auto"/>
            </w:tcBorders>
            <w:shd w:val="clear" w:color="auto" w:fill="auto"/>
            <w:vAlign w:val="bottom"/>
            <w:hideMark/>
          </w:tcPr>
          <w:p w14:paraId="129AC71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Forests, People, Climate collaborative</w:t>
            </w:r>
          </w:p>
        </w:tc>
        <w:tc>
          <w:tcPr>
            <w:tcW w:w="1433" w:type="dxa"/>
            <w:tcBorders>
              <w:top w:val="nil"/>
              <w:left w:val="nil"/>
              <w:bottom w:val="single" w:sz="4" w:space="0" w:color="auto"/>
              <w:right w:val="single" w:sz="4" w:space="0" w:color="auto"/>
            </w:tcBorders>
            <w:shd w:val="clear" w:color="auto" w:fill="auto"/>
            <w:noWrap/>
            <w:vAlign w:val="bottom"/>
            <w:hideMark/>
          </w:tcPr>
          <w:p w14:paraId="56D5333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156</w:t>
            </w:r>
          </w:p>
        </w:tc>
        <w:tc>
          <w:tcPr>
            <w:tcW w:w="1442" w:type="dxa"/>
            <w:tcBorders>
              <w:top w:val="nil"/>
              <w:left w:val="nil"/>
              <w:bottom w:val="single" w:sz="4" w:space="0" w:color="auto"/>
              <w:right w:val="single" w:sz="4" w:space="0" w:color="auto"/>
            </w:tcBorders>
            <w:shd w:val="clear" w:color="auto" w:fill="auto"/>
            <w:noWrap/>
            <w:vAlign w:val="bottom"/>
            <w:hideMark/>
          </w:tcPr>
          <w:p w14:paraId="4C19DD94"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780 </w:t>
            </w:r>
          </w:p>
        </w:tc>
      </w:tr>
      <w:tr w:rsidR="000D4EC6" w:rsidRPr="00E05AE1" w14:paraId="24855C69" w14:textId="77777777" w:rsidTr="00E6057B">
        <w:trPr>
          <w:trHeight w:val="251"/>
        </w:trPr>
        <w:tc>
          <w:tcPr>
            <w:tcW w:w="2834" w:type="dxa"/>
            <w:tcBorders>
              <w:top w:val="nil"/>
              <w:left w:val="single" w:sz="4" w:space="0" w:color="auto"/>
              <w:bottom w:val="single" w:sz="4" w:space="0" w:color="auto"/>
              <w:right w:val="nil"/>
            </w:tcBorders>
            <w:shd w:val="clear" w:color="auto" w:fill="auto"/>
            <w:noWrap/>
            <w:vAlign w:val="bottom"/>
            <w:hideMark/>
          </w:tcPr>
          <w:p w14:paraId="674D85BC"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Donor Total</w:t>
            </w:r>
          </w:p>
        </w:tc>
        <w:tc>
          <w:tcPr>
            <w:tcW w:w="3641" w:type="dxa"/>
            <w:tcBorders>
              <w:top w:val="nil"/>
              <w:left w:val="nil"/>
              <w:bottom w:val="single" w:sz="4" w:space="0" w:color="auto"/>
              <w:right w:val="nil"/>
            </w:tcBorders>
            <w:shd w:val="clear" w:color="auto" w:fill="auto"/>
            <w:noWrap/>
            <w:vAlign w:val="bottom"/>
            <w:hideMark/>
          </w:tcPr>
          <w:p w14:paraId="24106AC5"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w:t>
            </w:r>
          </w:p>
        </w:tc>
        <w:tc>
          <w:tcPr>
            <w:tcW w:w="1433" w:type="dxa"/>
            <w:tcBorders>
              <w:top w:val="nil"/>
              <w:left w:val="nil"/>
              <w:bottom w:val="single" w:sz="4" w:space="0" w:color="auto"/>
              <w:right w:val="nil"/>
            </w:tcBorders>
            <w:shd w:val="clear" w:color="auto" w:fill="auto"/>
            <w:noWrap/>
            <w:vAlign w:val="bottom"/>
            <w:hideMark/>
          </w:tcPr>
          <w:p w14:paraId="24DCC981"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856</w:t>
            </w:r>
          </w:p>
        </w:tc>
        <w:tc>
          <w:tcPr>
            <w:tcW w:w="1442" w:type="dxa"/>
            <w:tcBorders>
              <w:top w:val="nil"/>
              <w:left w:val="nil"/>
              <w:bottom w:val="single" w:sz="4" w:space="0" w:color="auto"/>
              <w:right w:val="single" w:sz="4" w:space="0" w:color="auto"/>
            </w:tcBorders>
            <w:shd w:val="clear" w:color="auto" w:fill="auto"/>
            <w:noWrap/>
            <w:vAlign w:val="bottom"/>
            <w:hideMark/>
          </w:tcPr>
          <w:p w14:paraId="452B2DB5"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xml:space="preserve">7,780 </w:t>
            </w:r>
          </w:p>
        </w:tc>
      </w:tr>
      <w:tr w:rsidR="000D4EC6" w:rsidRPr="00E05AE1" w14:paraId="75ECCDE4" w14:textId="77777777" w:rsidTr="00E6057B">
        <w:trPr>
          <w:trHeight w:val="320"/>
        </w:trPr>
        <w:tc>
          <w:tcPr>
            <w:tcW w:w="935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2B36F1F3"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Company/Investor</w:t>
            </w:r>
          </w:p>
        </w:tc>
      </w:tr>
      <w:tr w:rsidR="000D4EC6" w:rsidRPr="00E05AE1" w14:paraId="0DAEA902" w14:textId="77777777" w:rsidTr="00E6057B">
        <w:trPr>
          <w:trHeight w:val="305"/>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18A3A32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Apple</w:t>
            </w:r>
          </w:p>
        </w:tc>
        <w:tc>
          <w:tcPr>
            <w:tcW w:w="3641" w:type="dxa"/>
            <w:tcBorders>
              <w:top w:val="nil"/>
              <w:left w:val="nil"/>
              <w:bottom w:val="single" w:sz="4" w:space="0" w:color="auto"/>
              <w:right w:val="single" w:sz="4" w:space="0" w:color="auto"/>
            </w:tcBorders>
            <w:shd w:val="clear" w:color="auto" w:fill="auto"/>
            <w:vAlign w:val="bottom"/>
            <w:hideMark/>
          </w:tcPr>
          <w:p w14:paraId="58B61A34"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Expanded Restore Fund</w:t>
            </w:r>
          </w:p>
        </w:tc>
        <w:tc>
          <w:tcPr>
            <w:tcW w:w="1433" w:type="dxa"/>
            <w:tcBorders>
              <w:top w:val="nil"/>
              <w:left w:val="nil"/>
              <w:bottom w:val="single" w:sz="4" w:space="0" w:color="auto"/>
              <w:right w:val="single" w:sz="4" w:space="0" w:color="auto"/>
            </w:tcBorders>
            <w:shd w:val="clear" w:color="auto" w:fill="auto"/>
            <w:noWrap/>
            <w:vAlign w:val="bottom"/>
            <w:hideMark/>
          </w:tcPr>
          <w:p w14:paraId="5D182856" w14:textId="0D1519CA"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57 </w:t>
            </w:r>
          </w:p>
        </w:tc>
        <w:tc>
          <w:tcPr>
            <w:tcW w:w="1442" w:type="dxa"/>
            <w:tcBorders>
              <w:top w:val="nil"/>
              <w:left w:val="nil"/>
              <w:bottom w:val="single" w:sz="4" w:space="0" w:color="auto"/>
              <w:right w:val="single" w:sz="4" w:space="0" w:color="auto"/>
            </w:tcBorders>
            <w:shd w:val="clear" w:color="auto" w:fill="auto"/>
            <w:noWrap/>
            <w:vAlign w:val="bottom"/>
            <w:hideMark/>
          </w:tcPr>
          <w:p w14:paraId="02D05738" w14:textId="5E586DED"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400 </w:t>
            </w:r>
          </w:p>
        </w:tc>
      </w:tr>
      <w:tr w:rsidR="000D4EC6" w:rsidRPr="00E05AE1" w14:paraId="1A0EE713"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009664E9"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Astra Zeneca</w:t>
            </w:r>
          </w:p>
        </w:tc>
        <w:tc>
          <w:tcPr>
            <w:tcW w:w="3641" w:type="dxa"/>
            <w:tcBorders>
              <w:top w:val="nil"/>
              <w:left w:val="nil"/>
              <w:bottom w:val="single" w:sz="4" w:space="0" w:color="auto"/>
              <w:right w:val="single" w:sz="4" w:space="0" w:color="auto"/>
            </w:tcBorders>
            <w:shd w:val="clear" w:color="auto" w:fill="auto"/>
            <w:vAlign w:val="bottom"/>
            <w:hideMark/>
          </w:tcPr>
          <w:p w14:paraId="24A9E51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AZ Forest tree planting program</w:t>
            </w:r>
          </w:p>
        </w:tc>
        <w:tc>
          <w:tcPr>
            <w:tcW w:w="1433" w:type="dxa"/>
            <w:tcBorders>
              <w:top w:val="nil"/>
              <w:left w:val="nil"/>
              <w:bottom w:val="single" w:sz="4" w:space="0" w:color="auto"/>
              <w:right w:val="single" w:sz="4" w:space="0" w:color="auto"/>
            </w:tcBorders>
            <w:shd w:val="clear" w:color="auto" w:fill="auto"/>
            <w:noWrap/>
            <w:vAlign w:val="bottom"/>
            <w:hideMark/>
          </w:tcPr>
          <w:p w14:paraId="24C63770"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57 </w:t>
            </w:r>
          </w:p>
        </w:tc>
        <w:tc>
          <w:tcPr>
            <w:tcW w:w="1442" w:type="dxa"/>
            <w:tcBorders>
              <w:top w:val="nil"/>
              <w:left w:val="nil"/>
              <w:bottom w:val="single" w:sz="4" w:space="0" w:color="auto"/>
              <w:right w:val="single" w:sz="4" w:space="0" w:color="auto"/>
            </w:tcBorders>
            <w:shd w:val="clear" w:color="auto" w:fill="auto"/>
            <w:noWrap/>
            <w:vAlign w:val="bottom"/>
            <w:hideMark/>
          </w:tcPr>
          <w:p w14:paraId="63499CBD" w14:textId="67438C6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400 </w:t>
            </w:r>
          </w:p>
        </w:tc>
      </w:tr>
      <w:tr w:rsidR="000D4EC6" w:rsidRPr="00E05AE1" w14:paraId="0979CD34" w14:textId="77777777" w:rsidTr="00E6057B">
        <w:trPr>
          <w:trHeight w:val="71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8C38EFB"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Climate Asset Management</w:t>
            </w:r>
          </w:p>
        </w:tc>
        <w:tc>
          <w:tcPr>
            <w:tcW w:w="3641" w:type="dxa"/>
            <w:tcBorders>
              <w:top w:val="nil"/>
              <w:left w:val="nil"/>
              <w:bottom w:val="single" w:sz="4" w:space="0" w:color="auto"/>
              <w:right w:val="single" w:sz="4" w:space="0" w:color="auto"/>
            </w:tcBorders>
            <w:shd w:val="clear" w:color="auto" w:fill="auto"/>
            <w:vAlign w:val="bottom"/>
            <w:hideMark/>
          </w:tcPr>
          <w:p w14:paraId="11510D2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Natural Capital and Nature Based Carbon Strategies</w:t>
            </w:r>
          </w:p>
        </w:tc>
        <w:tc>
          <w:tcPr>
            <w:tcW w:w="1433" w:type="dxa"/>
            <w:tcBorders>
              <w:top w:val="nil"/>
              <w:left w:val="nil"/>
              <w:bottom w:val="single" w:sz="4" w:space="0" w:color="auto"/>
              <w:right w:val="single" w:sz="4" w:space="0" w:color="auto"/>
            </w:tcBorders>
            <w:shd w:val="clear" w:color="auto" w:fill="auto"/>
            <w:noWrap/>
            <w:vAlign w:val="bottom"/>
            <w:hideMark/>
          </w:tcPr>
          <w:p w14:paraId="6D733097"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130 </w:t>
            </w:r>
          </w:p>
        </w:tc>
        <w:tc>
          <w:tcPr>
            <w:tcW w:w="1442" w:type="dxa"/>
            <w:tcBorders>
              <w:top w:val="nil"/>
              <w:left w:val="nil"/>
              <w:bottom w:val="single" w:sz="4" w:space="0" w:color="auto"/>
              <w:right w:val="single" w:sz="4" w:space="0" w:color="auto"/>
            </w:tcBorders>
            <w:shd w:val="clear" w:color="auto" w:fill="auto"/>
            <w:noWrap/>
            <w:vAlign w:val="bottom"/>
            <w:hideMark/>
          </w:tcPr>
          <w:p w14:paraId="771C085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650 </w:t>
            </w:r>
          </w:p>
        </w:tc>
      </w:tr>
      <w:tr w:rsidR="000D4EC6" w:rsidRPr="00E05AE1" w14:paraId="75D7EB11" w14:textId="77777777" w:rsidTr="00E6057B">
        <w:trPr>
          <w:trHeight w:val="359"/>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20C1E94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Kering and L’OCCITANE</w:t>
            </w:r>
          </w:p>
        </w:tc>
        <w:tc>
          <w:tcPr>
            <w:tcW w:w="3641" w:type="dxa"/>
            <w:tcBorders>
              <w:top w:val="nil"/>
              <w:left w:val="nil"/>
              <w:bottom w:val="single" w:sz="4" w:space="0" w:color="auto"/>
              <w:right w:val="single" w:sz="4" w:space="0" w:color="auto"/>
            </w:tcBorders>
            <w:shd w:val="clear" w:color="auto" w:fill="auto"/>
            <w:vAlign w:val="bottom"/>
            <w:hideMark/>
          </w:tcPr>
          <w:p w14:paraId="4A1F3B2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Climate Fund for Nature</w:t>
            </w:r>
          </w:p>
        </w:tc>
        <w:tc>
          <w:tcPr>
            <w:tcW w:w="1433" w:type="dxa"/>
            <w:tcBorders>
              <w:top w:val="nil"/>
              <w:left w:val="nil"/>
              <w:bottom w:val="single" w:sz="4" w:space="0" w:color="auto"/>
              <w:right w:val="single" w:sz="4" w:space="0" w:color="auto"/>
            </w:tcBorders>
            <w:shd w:val="clear" w:color="auto" w:fill="auto"/>
            <w:noWrap/>
            <w:vAlign w:val="bottom"/>
            <w:hideMark/>
          </w:tcPr>
          <w:p w14:paraId="2B2C683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30 </w:t>
            </w:r>
          </w:p>
        </w:tc>
        <w:tc>
          <w:tcPr>
            <w:tcW w:w="1442" w:type="dxa"/>
            <w:tcBorders>
              <w:top w:val="nil"/>
              <w:left w:val="nil"/>
              <w:bottom w:val="single" w:sz="4" w:space="0" w:color="auto"/>
              <w:right w:val="single" w:sz="4" w:space="0" w:color="auto"/>
            </w:tcBorders>
            <w:shd w:val="clear" w:color="auto" w:fill="auto"/>
            <w:noWrap/>
            <w:vAlign w:val="bottom"/>
            <w:hideMark/>
          </w:tcPr>
          <w:p w14:paraId="61A79A50"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150 </w:t>
            </w:r>
          </w:p>
        </w:tc>
      </w:tr>
      <w:tr w:rsidR="000D4EC6" w:rsidRPr="00E05AE1" w14:paraId="0CB2DCDF"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7761DC9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Kering</w:t>
            </w:r>
          </w:p>
        </w:tc>
        <w:tc>
          <w:tcPr>
            <w:tcW w:w="3641" w:type="dxa"/>
            <w:tcBorders>
              <w:top w:val="nil"/>
              <w:left w:val="nil"/>
              <w:bottom w:val="single" w:sz="4" w:space="0" w:color="auto"/>
              <w:right w:val="single" w:sz="4" w:space="0" w:color="auto"/>
            </w:tcBorders>
            <w:shd w:val="clear" w:color="auto" w:fill="auto"/>
            <w:vAlign w:val="bottom"/>
            <w:hideMark/>
          </w:tcPr>
          <w:p w14:paraId="0059738B"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Regenerative Fund for Nature</w:t>
            </w:r>
          </w:p>
        </w:tc>
        <w:tc>
          <w:tcPr>
            <w:tcW w:w="1433" w:type="dxa"/>
            <w:tcBorders>
              <w:top w:val="nil"/>
              <w:left w:val="nil"/>
              <w:bottom w:val="single" w:sz="4" w:space="0" w:color="auto"/>
              <w:right w:val="single" w:sz="4" w:space="0" w:color="auto"/>
            </w:tcBorders>
            <w:shd w:val="clear" w:color="auto" w:fill="auto"/>
            <w:noWrap/>
            <w:vAlign w:val="bottom"/>
            <w:hideMark/>
          </w:tcPr>
          <w:p w14:paraId="02B23C65"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 </w:t>
            </w:r>
          </w:p>
        </w:tc>
        <w:tc>
          <w:tcPr>
            <w:tcW w:w="1442" w:type="dxa"/>
            <w:tcBorders>
              <w:top w:val="nil"/>
              <w:left w:val="nil"/>
              <w:bottom w:val="single" w:sz="4" w:space="0" w:color="auto"/>
              <w:right w:val="single" w:sz="4" w:space="0" w:color="auto"/>
            </w:tcBorders>
            <w:shd w:val="clear" w:color="auto" w:fill="auto"/>
            <w:noWrap/>
            <w:vAlign w:val="bottom"/>
            <w:hideMark/>
          </w:tcPr>
          <w:p w14:paraId="0AC39835"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 </w:t>
            </w:r>
          </w:p>
        </w:tc>
      </w:tr>
      <w:tr w:rsidR="000D4EC6" w:rsidRPr="00E05AE1" w14:paraId="07FA692A" w14:textId="77777777" w:rsidTr="00E6057B">
        <w:trPr>
          <w:trHeight w:val="53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4D0105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lastRenderedPageBreak/>
              <w:t>L’Oreal</w:t>
            </w:r>
          </w:p>
        </w:tc>
        <w:tc>
          <w:tcPr>
            <w:tcW w:w="3641" w:type="dxa"/>
            <w:tcBorders>
              <w:top w:val="nil"/>
              <w:left w:val="nil"/>
              <w:bottom w:val="single" w:sz="4" w:space="0" w:color="auto"/>
              <w:right w:val="single" w:sz="4" w:space="0" w:color="auto"/>
            </w:tcBorders>
            <w:shd w:val="clear" w:color="auto" w:fill="auto"/>
            <w:vAlign w:val="bottom"/>
            <w:hideMark/>
          </w:tcPr>
          <w:p w14:paraId="7D10D4E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L’Oreal Fund for Nature Regeneration</w:t>
            </w:r>
          </w:p>
        </w:tc>
        <w:tc>
          <w:tcPr>
            <w:tcW w:w="1433" w:type="dxa"/>
            <w:tcBorders>
              <w:top w:val="nil"/>
              <w:left w:val="nil"/>
              <w:bottom w:val="single" w:sz="4" w:space="0" w:color="auto"/>
              <w:right w:val="single" w:sz="4" w:space="0" w:color="auto"/>
            </w:tcBorders>
            <w:shd w:val="clear" w:color="auto" w:fill="auto"/>
            <w:noWrap/>
            <w:vAlign w:val="bottom"/>
            <w:hideMark/>
          </w:tcPr>
          <w:p w14:paraId="09C58A7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 </w:t>
            </w:r>
          </w:p>
        </w:tc>
        <w:tc>
          <w:tcPr>
            <w:tcW w:w="1442" w:type="dxa"/>
            <w:tcBorders>
              <w:top w:val="nil"/>
              <w:left w:val="nil"/>
              <w:bottom w:val="single" w:sz="4" w:space="0" w:color="auto"/>
              <w:right w:val="single" w:sz="4" w:space="0" w:color="auto"/>
            </w:tcBorders>
            <w:shd w:val="clear" w:color="auto" w:fill="auto"/>
            <w:noWrap/>
            <w:vAlign w:val="bottom"/>
            <w:hideMark/>
          </w:tcPr>
          <w:p w14:paraId="7A5E1FE4"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53 </w:t>
            </w:r>
          </w:p>
        </w:tc>
      </w:tr>
      <w:tr w:rsidR="000D4EC6" w:rsidRPr="00E05AE1" w14:paraId="25BC643B" w14:textId="77777777" w:rsidTr="00E6057B">
        <w:trPr>
          <w:trHeight w:val="422"/>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2CA1232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Mirova</w:t>
            </w:r>
          </w:p>
        </w:tc>
        <w:tc>
          <w:tcPr>
            <w:tcW w:w="3641" w:type="dxa"/>
            <w:tcBorders>
              <w:top w:val="nil"/>
              <w:left w:val="nil"/>
              <w:bottom w:val="single" w:sz="4" w:space="0" w:color="auto"/>
              <w:right w:val="single" w:sz="4" w:space="0" w:color="auto"/>
            </w:tcBorders>
            <w:shd w:val="clear" w:color="auto" w:fill="auto"/>
            <w:vAlign w:val="bottom"/>
            <w:hideMark/>
          </w:tcPr>
          <w:p w14:paraId="3CCDB60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LDN, ASO, AGRI3 Funds</w:t>
            </w:r>
          </w:p>
        </w:tc>
        <w:tc>
          <w:tcPr>
            <w:tcW w:w="1433" w:type="dxa"/>
            <w:tcBorders>
              <w:top w:val="nil"/>
              <w:left w:val="nil"/>
              <w:bottom w:val="single" w:sz="4" w:space="0" w:color="auto"/>
              <w:right w:val="single" w:sz="4" w:space="0" w:color="auto"/>
            </w:tcBorders>
            <w:shd w:val="clear" w:color="auto" w:fill="auto"/>
            <w:noWrap/>
            <w:vAlign w:val="bottom"/>
            <w:hideMark/>
          </w:tcPr>
          <w:p w14:paraId="3ACC185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84 </w:t>
            </w:r>
          </w:p>
        </w:tc>
        <w:tc>
          <w:tcPr>
            <w:tcW w:w="1442" w:type="dxa"/>
            <w:tcBorders>
              <w:top w:val="nil"/>
              <w:left w:val="nil"/>
              <w:bottom w:val="single" w:sz="4" w:space="0" w:color="auto"/>
              <w:right w:val="single" w:sz="4" w:space="0" w:color="auto"/>
            </w:tcBorders>
            <w:shd w:val="clear" w:color="auto" w:fill="auto"/>
            <w:noWrap/>
            <w:vAlign w:val="bottom"/>
            <w:hideMark/>
          </w:tcPr>
          <w:p w14:paraId="42CF4CA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420 </w:t>
            </w:r>
          </w:p>
        </w:tc>
      </w:tr>
      <w:tr w:rsidR="000D4EC6" w:rsidRPr="00E05AE1" w14:paraId="393A03AC"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75E02C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New Forests</w:t>
            </w:r>
          </w:p>
        </w:tc>
        <w:tc>
          <w:tcPr>
            <w:tcW w:w="3641" w:type="dxa"/>
            <w:tcBorders>
              <w:top w:val="nil"/>
              <w:left w:val="nil"/>
              <w:bottom w:val="single" w:sz="4" w:space="0" w:color="auto"/>
              <w:right w:val="single" w:sz="4" w:space="0" w:color="auto"/>
            </w:tcBorders>
            <w:shd w:val="clear" w:color="auto" w:fill="auto"/>
            <w:vAlign w:val="bottom"/>
            <w:hideMark/>
          </w:tcPr>
          <w:p w14:paraId="7C9E445E"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African Forestry Impact Platform</w:t>
            </w:r>
          </w:p>
        </w:tc>
        <w:tc>
          <w:tcPr>
            <w:tcW w:w="1433" w:type="dxa"/>
            <w:tcBorders>
              <w:top w:val="nil"/>
              <w:left w:val="nil"/>
              <w:bottom w:val="single" w:sz="4" w:space="0" w:color="auto"/>
              <w:right w:val="single" w:sz="4" w:space="0" w:color="auto"/>
            </w:tcBorders>
            <w:shd w:val="clear" w:color="auto" w:fill="auto"/>
            <w:noWrap/>
            <w:vAlign w:val="bottom"/>
            <w:hideMark/>
          </w:tcPr>
          <w:p w14:paraId="5EB1B87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40 </w:t>
            </w:r>
          </w:p>
        </w:tc>
        <w:tc>
          <w:tcPr>
            <w:tcW w:w="1442" w:type="dxa"/>
            <w:tcBorders>
              <w:top w:val="nil"/>
              <w:left w:val="nil"/>
              <w:bottom w:val="single" w:sz="4" w:space="0" w:color="auto"/>
              <w:right w:val="single" w:sz="4" w:space="0" w:color="auto"/>
            </w:tcBorders>
            <w:shd w:val="clear" w:color="auto" w:fill="auto"/>
            <w:noWrap/>
            <w:vAlign w:val="bottom"/>
            <w:hideMark/>
          </w:tcPr>
          <w:p w14:paraId="62FDAF4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200 </w:t>
            </w:r>
          </w:p>
        </w:tc>
      </w:tr>
      <w:tr w:rsidR="000D4EC6" w:rsidRPr="00E05AE1" w14:paraId="02C79478"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01AB9EE7"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Sky</w:t>
            </w:r>
          </w:p>
        </w:tc>
        <w:tc>
          <w:tcPr>
            <w:tcW w:w="3641" w:type="dxa"/>
            <w:tcBorders>
              <w:top w:val="nil"/>
              <w:left w:val="nil"/>
              <w:bottom w:val="single" w:sz="4" w:space="0" w:color="auto"/>
              <w:right w:val="single" w:sz="4" w:space="0" w:color="auto"/>
            </w:tcBorders>
            <w:shd w:val="clear" w:color="auto" w:fill="auto"/>
            <w:vAlign w:val="bottom"/>
            <w:hideMark/>
          </w:tcPr>
          <w:p w14:paraId="2FFBA6F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Sky Ocean Ventures Fund</w:t>
            </w:r>
          </w:p>
        </w:tc>
        <w:tc>
          <w:tcPr>
            <w:tcW w:w="1433" w:type="dxa"/>
            <w:tcBorders>
              <w:top w:val="nil"/>
              <w:left w:val="nil"/>
              <w:bottom w:val="single" w:sz="4" w:space="0" w:color="auto"/>
              <w:right w:val="single" w:sz="4" w:space="0" w:color="auto"/>
            </w:tcBorders>
            <w:shd w:val="clear" w:color="auto" w:fill="auto"/>
            <w:noWrap/>
            <w:vAlign w:val="bottom"/>
            <w:hideMark/>
          </w:tcPr>
          <w:p w14:paraId="6441EBB0"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6 </w:t>
            </w:r>
          </w:p>
        </w:tc>
        <w:tc>
          <w:tcPr>
            <w:tcW w:w="1442" w:type="dxa"/>
            <w:tcBorders>
              <w:top w:val="nil"/>
              <w:left w:val="nil"/>
              <w:bottom w:val="single" w:sz="4" w:space="0" w:color="auto"/>
              <w:right w:val="single" w:sz="4" w:space="0" w:color="auto"/>
            </w:tcBorders>
            <w:shd w:val="clear" w:color="auto" w:fill="auto"/>
            <w:noWrap/>
            <w:vAlign w:val="bottom"/>
            <w:hideMark/>
          </w:tcPr>
          <w:p w14:paraId="4FFB9D1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31 </w:t>
            </w:r>
          </w:p>
        </w:tc>
      </w:tr>
      <w:tr w:rsidR="000D4EC6" w:rsidRPr="00E05AE1" w14:paraId="7C0E2911"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3D9769C7"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SWEN Capital Partners</w:t>
            </w:r>
          </w:p>
        </w:tc>
        <w:tc>
          <w:tcPr>
            <w:tcW w:w="3641" w:type="dxa"/>
            <w:tcBorders>
              <w:top w:val="nil"/>
              <w:left w:val="nil"/>
              <w:bottom w:val="single" w:sz="4" w:space="0" w:color="auto"/>
              <w:right w:val="single" w:sz="4" w:space="0" w:color="auto"/>
            </w:tcBorders>
            <w:shd w:val="clear" w:color="auto" w:fill="auto"/>
            <w:vAlign w:val="bottom"/>
            <w:hideMark/>
          </w:tcPr>
          <w:p w14:paraId="74C1DB3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Blue Ocean Fund</w:t>
            </w:r>
          </w:p>
        </w:tc>
        <w:tc>
          <w:tcPr>
            <w:tcW w:w="1433" w:type="dxa"/>
            <w:tcBorders>
              <w:top w:val="nil"/>
              <w:left w:val="nil"/>
              <w:bottom w:val="single" w:sz="4" w:space="0" w:color="auto"/>
              <w:right w:val="single" w:sz="4" w:space="0" w:color="auto"/>
            </w:tcBorders>
            <w:shd w:val="clear" w:color="auto" w:fill="auto"/>
            <w:noWrap/>
            <w:vAlign w:val="bottom"/>
            <w:hideMark/>
          </w:tcPr>
          <w:p w14:paraId="4C04FC9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32 </w:t>
            </w:r>
          </w:p>
        </w:tc>
        <w:tc>
          <w:tcPr>
            <w:tcW w:w="1442" w:type="dxa"/>
            <w:tcBorders>
              <w:top w:val="nil"/>
              <w:left w:val="nil"/>
              <w:bottom w:val="single" w:sz="4" w:space="0" w:color="auto"/>
              <w:right w:val="single" w:sz="4" w:space="0" w:color="auto"/>
            </w:tcBorders>
            <w:shd w:val="clear" w:color="auto" w:fill="auto"/>
            <w:noWrap/>
            <w:vAlign w:val="bottom"/>
            <w:hideMark/>
          </w:tcPr>
          <w:p w14:paraId="765A2A1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160 </w:t>
            </w:r>
          </w:p>
        </w:tc>
      </w:tr>
      <w:tr w:rsidR="000D4EC6" w:rsidRPr="00E05AE1" w14:paraId="248D87D9"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64A7AAB"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Unilever</w:t>
            </w:r>
          </w:p>
        </w:tc>
        <w:tc>
          <w:tcPr>
            <w:tcW w:w="3641" w:type="dxa"/>
            <w:tcBorders>
              <w:top w:val="nil"/>
              <w:left w:val="nil"/>
              <w:bottom w:val="single" w:sz="4" w:space="0" w:color="auto"/>
              <w:right w:val="single" w:sz="4" w:space="0" w:color="auto"/>
            </w:tcBorders>
            <w:shd w:val="clear" w:color="auto" w:fill="auto"/>
            <w:vAlign w:val="bottom"/>
            <w:hideMark/>
          </w:tcPr>
          <w:p w14:paraId="3250D7F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Climate and Nature Fund</w:t>
            </w:r>
          </w:p>
        </w:tc>
        <w:tc>
          <w:tcPr>
            <w:tcW w:w="1433" w:type="dxa"/>
            <w:tcBorders>
              <w:top w:val="nil"/>
              <w:left w:val="nil"/>
              <w:bottom w:val="single" w:sz="4" w:space="0" w:color="auto"/>
              <w:right w:val="single" w:sz="4" w:space="0" w:color="auto"/>
            </w:tcBorders>
            <w:shd w:val="clear" w:color="auto" w:fill="auto"/>
            <w:noWrap/>
            <w:vAlign w:val="bottom"/>
            <w:hideMark/>
          </w:tcPr>
          <w:p w14:paraId="6279595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100 </w:t>
            </w:r>
          </w:p>
        </w:tc>
        <w:tc>
          <w:tcPr>
            <w:tcW w:w="1442" w:type="dxa"/>
            <w:tcBorders>
              <w:top w:val="nil"/>
              <w:left w:val="nil"/>
              <w:bottom w:val="single" w:sz="4" w:space="0" w:color="auto"/>
              <w:right w:val="single" w:sz="4" w:space="0" w:color="auto"/>
            </w:tcBorders>
            <w:shd w:val="clear" w:color="auto" w:fill="auto"/>
            <w:noWrap/>
            <w:vAlign w:val="bottom"/>
            <w:hideMark/>
          </w:tcPr>
          <w:p w14:paraId="64657D87"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1,000 </w:t>
            </w:r>
          </w:p>
        </w:tc>
      </w:tr>
      <w:tr w:rsidR="000D4EC6" w:rsidRPr="00E05AE1" w14:paraId="2B8839CA" w14:textId="77777777" w:rsidTr="00E6057B">
        <w:trPr>
          <w:trHeight w:val="68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64A1679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Various</w:t>
            </w:r>
            <w:r w:rsidRPr="00E05AE1">
              <w:rPr>
                <w:rFonts w:ascii="Calibri" w:eastAsia="Times New Roman" w:hAnsi="Calibri" w:cs="Calibri"/>
                <w:color w:val="000000"/>
                <w:sz w:val="22"/>
                <w:szCs w:val="22"/>
                <w:vertAlign w:val="superscript"/>
              </w:rPr>
              <w:t>1</w:t>
            </w:r>
          </w:p>
        </w:tc>
        <w:tc>
          <w:tcPr>
            <w:tcW w:w="3641" w:type="dxa"/>
            <w:tcBorders>
              <w:top w:val="nil"/>
              <w:left w:val="nil"/>
              <w:bottom w:val="single" w:sz="4" w:space="0" w:color="auto"/>
              <w:right w:val="single" w:sz="4" w:space="0" w:color="auto"/>
            </w:tcBorders>
            <w:shd w:val="clear" w:color="auto" w:fill="auto"/>
            <w:vAlign w:val="bottom"/>
            <w:hideMark/>
          </w:tcPr>
          <w:p w14:paraId="1F0F40C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Barbados $150 MM Debt Conversion</w:t>
            </w:r>
          </w:p>
        </w:tc>
        <w:tc>
          <w:tcPr>
            <w:tcW w:w="1433" w:type="dxa"/>
            <w:tcBorders>
              <w:top w:val="nil"/>
              <w:left w:val="nil"/>
              <w:bottom w:val="single" w:sz="4" w:space="0" w:color="auto"/>
              <w:right w:val="single" w:sz="4" w:space="0" w:color="auto"/>
            </w:tcBorders>
            <w:shd w:val="clear" w:color="auto" w:fill="auto"/>
            <w:noWrap/>
            <w:vAlign w:val="bottom"/>
            <w:hideMark/>
          </w:tcPr>
          <w:p w14:paraId="2734EBF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2 </w:t>
            </w:r>
          </w:p>
        </w:tc>
        <w:tc>
          <w:tcPr>
            <w:tcW w:w="1442" w:type="dxa"/>
            <w:tcBorders>
              <w:top w:val="nil"/>
              <w:left w:val="nil"/>
              <w:bottom w:val="single" w:sz="4" w:space="0" w:color="auto"/>
              <w:right w:val="single" w:sz="4" w:space="0" w:color="auto"/>
            </w:tcBorders>
            <w:shd w:val="clear" w:color="auto" w:fill="auto"/>
            <w:noWrap/>
            <w:vAlign w:val="bottom"/>
            <w:hideMark/>
          </w:tcPr>
          <w:p w14:paraId="344DE64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40 </w:t>
            </w:r>
          </w:p>
        </w:tc>
      </w:tr>
      <w:tr w:rsidR="000D4EC6" w:rsidRPr="00E05AE1" w14:paraId="5306B059"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241DC7D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Various</w:t>
            </w:r>
            <w:r w:rsidRPr="00E05AE1">
              <w:rPr>
                <w:rFonts w:ascii="Calibri" w:eastAsia="Times New Roman" w:hAnsi="Calibri" w:cs="Calibri"/>
                <w:color w:val="000000"/>
                <w:sz w:val="22"/>
                <w:szCs w:val="22"/>
                <w:vertAlign w:val="superscript"/>
              </w:rPr>
              <w:t>1</w:t>
            </w:r>
          </w:p>
        </w:tc>
        <w:tc>
          <w:tcPr>
            <w:tcW w:w="3641" w:type="dxa"/>
            <w:tcBorders>
              <w:top w:val="nil"/>
              <w:left w:val="nil"/>
              <w:bottom w:val="single" w:sz="4" w:space="0" w:color="auto"/>
              <w:right w:val="single" w:sz="4" w:space="0" w:color="auto"/>
            </w:tcBorders>
            <w:shd w:val="clear" w:color="auto" w:fill="auto"/>
            <w:vAlign w:val="bottom"/>
            <w:hideMark/>
          </w:tcPr>
          <w:p w14:paraId="258915B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Belize $553 MM Debt Conversion</w:t>
            </w:r>
          </w:p>
        </w:tc>
        <w:tc>
          <w:tcPr>
            <w:tcW w:w="1433" w:type="dxa"/>
            <w:tcBorders>
              <w:top w:val="nil"/>
              <w:left w:val="nil"/>
              <w:bottom w:val="single" w:sz="4" w:space="0" w:color="auto"/>
              <w:right w:val="single" w:sz="4" w:space="0" w:color="auto"/>
            </w:tcBorders>
            <w:shd w:val="clear" w:color="auto" w:fill="auto"/>
            <w:noWrap/>
            <w:vAlign w:val="bottom"/>
            <w:hideMark/>
          </w:tcPr>
          <w:p w14:paraId="171302A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4 </w:t>
            </w:r>
          </w:p>
        </w:tc>
        <w:tc>
          <w:tcPr>
            <w:tcW w:w="1442" w:type="dxa"/>
            <w:tcBorders>
              <w:top w:val="nil"/>
              <w:left w:val="nil"/>
              <w:bottom w:val="single" w:sz="4" w:space="0" w:color="auto"/>
              <w:right w:val="single" w:sz="4" w:space="0" w:color="auto"/>
            </w:tcBorders>
            <w:shd w:val="clear" w:color="auto" w:fill="auto"/>
            <w:noWrap/>
            <w:vAlign w:val="bottom"/>
            <w:hideMark/>
          </w:tcPr>
          <w:p w14:paraId="4F5A374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107 </w:t>
            </w:r>
          </w:p>
        </w:tc>
      </w:tr>
      <w:tr w:rsidR="000D4EC6" w:rsidRPr="00E05AE1" w14:paraId="64390210"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2A82A3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Various</w:t>
            </w:r>
            <w:r w:rsidRPr="00E05AE1">
              <w:rPr>
                <w:rFonts w:ascii="Calibri" w:eastAsia="Times New Roman" w:hAnsi="Calibri" w:cs="Calibri"/>
                <w:color w:val="000000"/>
                <w:sz w:val="22"/>
                <w:szCs w:val="22"/>
                <w:vertAlign w:val="superscript"/>
              </w:rPr>
              <w:t>1</w:t>
            </w:r>
          </w:p>
        </w:tc>
        <w:tc>
          <w:tcPr>
            <w:tcW w:w="3641" w:type="dxa"/>
            <w:tcBorders>
              <w:top w:val="nil"/>
              <w:left w:val="nil"/>
              <w:bottom w:val="single" w:sz="4" w:space="0" w:color="auto"/>
              <w:right w:val="single" w:sz="4" w:space="0" w:color="auto"/>
            </w:tcBorders>
            <w:shd w:val="clear" w:color="auto" w:fill="auto"/>
            <w:vAlign w:val="bottom"/>
            <w:hideMark/>
          </w:tcPr>
          <w:p w14:paraId="48683854"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Ecuador $1.6 B Debt Conversion</w:t>
            </w:r>
          </w:p>
        </w:tc>
        <w:tc>
          <w:tcPr>
            <w:tcW w:w="1433" w:type="dxa"/>
            <w:tcBorders>
              <w:top w:val="nil"/>
              <w:left w:val="nil"/>
              <w:bottom w:val="single" w:sz="4" w:space="0" w:color="auto"/>
              <w:right w:val="single" w:sz="4" w:space="0" w:color="auto"/>
            </w:tcBorders>
            <w:shd w:val="clear" w:color="auto" w:fill="auto"/>
            <w:noWrap/>
            <w:vAlign w:val="bottom"/>
            <w:hideMark/>
          </w:tcPr>
          <w:p w14:paraId="6145B8C5"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12 </w:t>
            </w:r>
          </w:p>
        </w:tc>
        <w:tc>
          <w:tcPr>
            <w:tcW w:w="1442" w:type="dxa"/>
            <w:tcBorders>
              <w:top w:val="nil"/>
              <w:left w:val="nil"/>
              <w:bottom w:val="single" w:sz="4" w:space="0" w:color="auto"/>
              <w:right w:val="single" w:sz="4" w:space="0" w:color="auto"/>
            </w:tcBorders>
            <w:shd w:val="clear" w:color="auto" w:fill="auto"/>
            <w:noWrap/>
            <w:vAlign w:val="bottom"/>
            <w:hideMark/>
          </w:tcPr>
          <w:p w14:paraId="4ACE37A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323 </w:t>
            </w:r>
          </w:p>
        </w:tc>
      </w:tr>
      <w:tr w:rsidR="000D4EC6" w:rsidRPr="00E05AE1" w14:paraId="0F8A7BA1"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7A11133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Various</w:t>
            </w:r>
            <w:r w:rsidRPr="00E05AE1">
              <w:rPr>
                <w:rFonts w:ascii="Calibri" w:eastAsia="Times New Roman" w:hAnsi="Calibri" w:cs="Calibri"/>
                <w:color w:val="000000"/>
                <w:sz w:val="22"/>
                <w:szCs w:val="22"/>
                <w:vertAlign w:val="superscript"/>
              </w:rPr>
              <w:t>1</w:t>
            </w:r>
          </w:p>
        </w:tc>
        <w:tc>
          <w:tcPr>
            <w:tcW w:w="3641" w:type="dxa"/>
            <w:tcBorders>
              <w:top w:val="nil"/>
              <w:left w:val="nil"/>
              <w:bottom w:val="single" w:sz="4" w:space="0" w:color="auto"/>
              <w:right w:val="single" w:sz="4" w:space="0" w:color="auto"/>
            </w:tcBorders>
            <w:shd w:val="clear" w:color="auto" w:fill="auto"/>
            <w:vAlign w:val="bottom"/>
            <w:hideMark/>
          </w:tcPr>
          <w:p w14:paraId="7C1A813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Gabon $500 MM Debt Conversion</w:t>
            </w:r>
          </w:p>
        </w:tc>
        <w:tc>
          <w:tcPr>
            <w:tcW w:w="1433" w:type="dxa"/>
            <w:tcBorders>
              <w:top w:val="nil"/>
              <w:left w:val="nil"/>
              <w:bottom w:val="single" w:sz="4" w:space="0" w:color="auto"/>
              <w:right w:val="single" w:sz="4" w:space="0" w:color="auto"/>
            </w:tcBorders>
            <w:shd w:val="clear" w:color="auto" w:fill="auto"/>
            <w:noWrap/>
            <w:vAlign w:val="bottom"/>
            <w:hideMark/>
          </w:tcPr>
          <w:p w14:paraId="1FDCE8C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5 </w:t>
            </w:r>
          </w:p>
        </w:tc>
        <w:tc>
          <w:tcPr>
            <w:tcW w:w="1442" w:type="dxa"/>
            <w:tcBorders>
              <w:top w:val="nil"/>
              <w:left w:val="nil"/>
              <w:bottom w:val="single" w:sz="4" w:space="0" w:color="auto"/>
              <w:right w:val="single" w:sz="4" w:space="0" w:color="auto"/>
            </w:tcBorders>
            <w:shd w:val="clear" w:color="auto" w:fill="auto"/>
            <w:noWrap/>
            <w:vAlign w:val="bottom"/>
            <w:hideMark/>
          </w:tcPr>
          <w:p w14:paraId="78DB48F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125 </w:t>
            </w:r>
          </w:p>
        </w:tc>
      </w:tr>
      <w:tr w:rsidR="000D4EC6" w:rsidRPr="00E05AE1" w14:paraId="1A3DDD27"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noWrap/>
            <w:vAlign w:val="bottom"/>
            <w:hideMark/>
          </w:tcPr>
          <w:p w14:paraId="4EB591F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Various</w:t>
            </w:r>
            <w:r w:rsidRPr="00E05AE1">
              <w:rPr>
                <w:rFonts w:ascii="Calibri" w:eastAsia="Times New Roman" w:hAnsi="Calibri" w:cs="Calibri"/>
                <w:color w:val="000000"/>
                <w:sz w:val="22"/>
                <w:szCs w:val="22"/>
                <w:vertAlign w:val="superscript"/>
              </w:rPr>
              <w:t>2</w:t>
            </w:r>
          </w:p>
        </w:tc>
        <w:tc>
          <w:tcPr>
            <w:tcW w:w="3641" w:type="dxa"/>
            <w:tcBorders>
              <w:top w:val="nil"/>
              <w:left w:val="nil"/>
              <w:bottom w:val="single" w:sz="4" w:space="0" w:color="auto"/>
              <w:right w:val="single" w:sz="4" w:space="0" w:color="auto"/>
            </w:tcBorders>
            <w:shd w:val="clear" w:color="auto" w:fill="auto"/>
            <w:vAlign w:val="bottom"/>
            <w:hideMark/>
          </w:tcPr>
          <w:p w14:paraId="26ACF58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8 biodiversity credit schemes</w:t>
            </w:r>
          </w:p>
        </w:tc>
        <w:tc>
          <w:tcPr>
            <w:tcW w:w="1433" w:type="dxa"/>
            <w:tcBorders>
              <w:top w:val="nil"/>
              <w:left w:val="nil"/>
              <w:bottom w:val="single" w:sz="4" w:space="0" w:color="auto"/>
              <w:right w:val="single" w:sz="4" w:space="0" w:color="auto"/>
            </w:tcBorders>
            <w:shd w:val="clear" w:color="auto" w:fill="auto"/>
            <w:noWrap/>
            <w:vAlign w:val="bottom"/>
            <w:hideMark/>
          </w:tcPr>
          <w:p w14:paraId="545475F0"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 </w:t>
            </w:r>
          </w:p>
        </w:tc>
        <w:tc>
          <w:tcPr>
            <w:tcW w:w="1442" w:type="dxa"/>
            <w:tcBorders>
              <w:top w:val="nil"/>
              <w:left w:val="nil"/>
              <w:bottom w:val="single" w:sz="4" w:space="0" w:color="auto"/>
              <w:right w:val="single" w:sz="4" w:space="0" w:color="auto"/>
            </w:tcBorders>
            <w:shd w:val="clear" w:color="auto" w:fill="auto"/>
            <w:noWrap/>
            <w:vAlign w:val="bottom"/>
            <w:hideMark/>
          </w:tcPr>
          <w:p w14:paraId="473D6AF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8 </w:t>
            </w:r>
          </w:p>
        </w:tc>
      </w:tr>
      <w:tr w:rsidR="000D4EC6" w:rsidRPr="00E05AE1" w14:paraId="3F16AE5D" w14:textId="77777777" w:rsidTr="00E6057B">
        <w:trPr>
          <w:trHeight w:val="422"/>
        </w:trPr>
        <w:tc>
          <w:tcPr>
            <w:tcW w:w="2834" w:type="dxa"/>
            <w:tcBorders>
              <w:top w:val="nil"/>
              <w:left w:val="single" w:sz="4" w:space="0" w:color="auto"/>
              <w:bottom w:val="single" w:sz="4" w:space="0" w:color="auto"/>
              <w:right w:val="nil"/>
            </w:tcBorders>
            <w:shd w:val="clear" w:color="auto" w:fill="auto"/>
            <w:noWrap/>
            <w:vAlign w:val="bottom"/>
            <w:hideMark/>
          </w:tcPr>
          <w:p w14:paraId="5259DCF6"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Company/Investor Total</w:t>
            </w:r>
          </w:p>
        </w:tc>
        <w:tc>
          <w:tcPr>
            <w:tcW w:w="3641" w:type="dxa"/>
            <w:tcBorders>
              <w:top w:val="nil"/>
              <w:left w:val="nil"/>
              <w:bottom w:val="single" w:sz="4" w:space="0" w:color="auto"/>
              <w:right w:val="nil"/>
            </w:tcBorders>
            <w:shd w:val="clear" w:color="auto" w:fill="auto"/>
            <w:noWrap/>
            <w:vAlign w:val="bottom"/>
            <w:hideMark/>
          </w:tcPr>
          <w:p w14:paraId="5C7EA142"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w:t>
            </w:r>
          </w:p>
        </w:tc>
        <w:tc>
          <w:tcPr>
            <w:tcW w:w="1433" w:type="dxa"/>
            <w:tcBorders>
              <w:top w:val="nil"/>
              <w:left w:val="nil"/>
              <w:bottom w:val="single" w:sz="4" w:space="0" w:color="auto"/>
              <w:right w:val="nil"/>
            </w:tcBorders>
            <w:shd w:val="clear" w:color="auto" w:fill="auto"/>
            <w:noWrap/>
            <w:vAlign w:val="bottom"/>
            <w:hideMark/>
          </w:tcPr>
          <w:p w14:paraId="00FD3D4B"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567</w:t>
            </w:r>
          </w:p>
        </w:tc>
        <w:tc>
          <w:tcPr>
            <w:tcW w:w="1442" w:type="dxa"/>
            <w:tcBorders>
              <w:top w:val="nil"/>
              <w:left w:val="nil"/>
              <w:bottom w:val="single" w:sz="4" w:space="0" w:color="auto"/>
              <w:right w:val="single" w:sz="4" w:space="0" w:color="auto"/>
            </w:tcBorders>
            <w:shd w:val="clear" w:color="auto" w:fill="auto"/>
            <w:noWrap/>
            <w:vAlign w:val="bottom"/>
            <w:hideMark/>
          </w:tcPr>
          <w:p w14:paraId="0E251155" w14:textId="21139CCB"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xml:space="preserve">4,073 </w:t>
            </w:r>
          </w:p>
        </w:tc>
      </w:tr>
      <w:tr w:rsidR="000D4EC6" w:rsidRPr="00E05AE1" w14:paraId="08D069B1" w14:textId="77777777" w:rsidTr="00E6057B">
        <w:trPr>
          <w:trHeight w:val="320"/>
        </w:trPr>
        <w:tc>
          <w:tcPr>
            <w:tcW w:w="935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642C0BE0"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Joint Mechanisms and Initiatives</w:t>
            </w:r>
          </w:p>
        </w:tc>
      </w:tr>
      <w:tr w:rsidR="000D4EC6" w:rsidRPr="00E05AE1" w14:paraId="41E7B973" w14:textId="77777777" w:rsidTr="00E6057B">
        <w:trPr>
          <w:trHeight w:val="340"/>
        </w:trPr>
        <w:tc>
          <w:tcPr>
            <w:tcW w:w="2834" w:type="dxa"/>
            <w:tcBorders>
              <w:top w:val="nil"/>
              <w:left w:val="single" w:sz="4" w:space="0" w:color="auto"/>
              <w:bottom w:val="single" w:sz="4" w:space="0" w:color="auto"/>
              <w:right w:val="single" w:sz="4" w:space="0" w:color="auto"/>
            </w:tcBorders>
            <w:shd w:val="clear" w:color="000000" w:fill="5B9BD5"/>
            <w:noWrap/>
            <w:vAlign w:val="bottom"/>
            <w:hideMark/>
          </w:tcPr>
          <w:p w14:paraId="3E73728F"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Mechanism/Initiative</w:t>
            </w:r>
          </w:p>
        </w:tc>
        <w:tc>
          <w:tcPr>
            <w:tcW w:w="3641" w:type="dxa"/>
            <w:tcBorders>
              <w:top w:val="nil"/>
              <w:left w:val="nil"/>
              <w:bottom w:val="single" w:sz="4" w:space="0" w:color="auto"/>
              <w:right w:val="single" w:sz="4" w:space="0" w:color="auto"/>
            </w:tcBorders>
            <w:shd w:val="clear" w:color="000000" w:fill="5B9BD5"/>
            <w:vAlign w:val="bottom"/>
            <w:hideMark/>
          </w:tcPr>
          <w:p w14:paraId="6DFEA7D2"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Funders</w:t>
            </w:r>
          </w:p>
        </w:tc>
        <w:tc>
          <w:tcPr>
            <w:tcW w:w="1433" w:type="dxa"/>
            <w:tcBorders>
              <w:top w:val="nil"/>
              <w:left w:val="nil"/>
              <w:bottom w:val="single" w:sz="4" w:space="0" w:color="auto"/>
              <w:right w:val="single" w:sz="4" w:space="0" w:color="auto"/>
            </w:tcBorders>
            <w:shd w:val="clear" w:color="000000" w:fill="5B9BD5"/>
            <w:vAlign w:val="bottom"/>
            <w:hideMark/>
          </w:tcPr>
          <w:p w14:paraId="5D791541"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Annual (USD MM)</w:t>
            </w:r>
          </w:p>
        </w:tc>
        <w:tc>
          <w:tcPr>
            <w:tcW w:w="1442" w:type="dxa"/>
            <w:tcBorders>
              <w:top w:val="nil"/>
              <w:left w:val="nil"/>
              <w:bottom w:val="single" w:sz="4" w:space="0" w:color="auto"/>
              <w:right w:val="single" w:sz="4" w:space="0" w:color="auto"/>
            </w:tcBorders>
            <w:shd w:val="clear" w:color="000000" w:fill="5B9BD5"/>
            <w:noWrap/>
            <w:vAlign w:val="bottom"/>
            <w:hideMark/>
          </w:tcPr>
          <w:p w14:paraId="09314319"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Total (USD MM)</w:t>
            </w:r>
          </w:p>
        </w:tc>
      </w:tr>
      <w:tr w:rsidR="000D4EC6" w:rsidRPr="00E05AE1" w14:paraId="75D33549" w14:textId="77777777" w:rsidTr="00E6057B">
        <w:trPr>
          <w:trHeight w:val="66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71C2406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Climate Investment Funds’ Nature, Climate &amp; People Investment Platform</w:t>
            </w:r>
          </w:p>
        </w:tc>
        <w:tc>
          <w:tcPr>
            <w:tcW w:w="3641" w:type="dxa"/>
            <w:tcBorders>
              <w:top w:val="nil"/>
              <w:left w:val="nil"/>
              <w:bottom w:val="single" w:sz="4" w:space="0" w:color="auto"/>
              <w:right w:val="single" w:sz="4" w:space="0" w:color="auto"/>
            </w:tcBorders>
            <w:shd w:val="clear" w:color="auto" w:fill="auto"/>
            <w:noWrap/>
            <w:vAlign w:val="bottom"/>
            <w:hideMark/>
          </w:tcPr>
          <w:p w14:paraId="442E72A9"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Italy, Spain, Sweden, UK</w:t>
            </w:r>
          </w:p>
        </w:tc>
        <w:tc>
          <w:tcPr>
            <w:tcW w:w="1433" w:type="dxa"/>
            <w:tcBorders>
              <w:top w:val="nil"/>
              <w:left w:val="nil"/>
              <w:bottom w:val="single" w:sz="4" w:space="0" w:color="auto"/>
              <w:right w:val="single" w:sz="4" w:space="0" w:color="auto"/>
            </w:tcBorders>
            <w:shd w:val="clear" w:color="auto" w:fill="auto"/>
            <w:noWrap/>
            <w:vAlign w:val="bottom"/>
            <w:hideMark/>
          </w:tcPr>
          <w:p w14:paraId="44F187F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70 </w:t>
            </w:r>
          </w:p>
        </w:tc>
        <w:tc>
          <w:tcPr>
            <w:tcW w:w="1442" w:type="dxa"/>
            <w:tcBorders>
              <w:top w:val="nil"/>
              <w:left w:val="nil"/>
              <w:bottom w:val="single" w:sz="4" w:space="0" w:color="auto"/>
              <w:right w:val="single" w:sz="4" w:space="0" w:color="auto"/>
            </w:tcBorders>
            <w:shd w:val="clear" w:color="auto" w:fill="auto"/>
            <w:noWrap/>
            <w:vAlign w:val="bottom"/>
            <w:hideMark/>
          </w:tcPr>
          <w:p w14:paraId="00F944DB"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350 </w:t>
            </w:r>
          </w:p>
        </w:tc>
      </w:tr>
      <w:tr w:rsidR="000D4EC6" w:rsidRPr="00E05AE1" w14:paraId="74D78C50" w14:textId="77777777" w:rsidTr="00E6057B">
        <w:trPr>
          <w:trHeight w:val="102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42B02669"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Community Land Rights and Conservation Finance Initiative (CLARIFI)</w:t>
            </w:r>
          </w:p>
        </w:tc>
        <w:tc>
          <w:tcPr>
            <w:tcW w:w="3641" w:type="dxa"/>
            <w:tcBorders>
              <w:top w:val="nil"/>
              <w:left w:val="nil"/>
              <w:bottom w:val="single" w:sz="4" w:space="0" w:color="auto"/>
              <w:right w:val="single" w:sz="4" w:space="0" w:color="auto"/>
            </w:tcBorders>
            <w:shd w:val="clear" w:color="auto" w:fill="auto"/>
            <w:noWrap/>
            <w:vAlign w:val="bottom"/>
            <w:hideMark/>
          </w:tcPr>
          <w:p w14:paraId="7ABE56F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Bezos Earth Fund, Germany</w:t>
            </w:r>
          </w:p>
        </w:tc>
        <w:tc>
          <w:tcPr>
            <w:tcW w:w="1433" w:type="dxa"/>
            <w:tcBorders>
              <w:top w:val="nil"/>
              <w:left w:val="nil"/>
              <w:bottom w:val="single" w:sz="4" w:space="0" w:color="auto"/>
              <w:right w:val="single" w:sz="4" w:space="0" w:color="auto"/>
            </w:tcBorders>
            <w:shd w:val="clear" w:color="auto" w:fill="auto"/>
            <w:noWrap/>
            <w:vAlign w:val="bottom"/>
            <w:hideMark/>
          </w:tcPr>
          <w:p w14:paraId="731A62B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 </w:t>
            </w:r>
          </w:p>
        </w:tc>
        <w:tc>
          <w:tcPr>
            <w:tcW w:w="1442" w:type="dxa"/>
            <w:tcBorders>
              <w:top w:val="nil"/>
              <w:left w:val="nil"/>
              <w:bottom w:val="single" w:sz="4" w:space="0" w:color="auto"/>
              <w:right w:val="single" w:sz="4" w:space="0" w:color="auto"/>
            </w:tcBorders>
            <w:shd w:val="clear" w:color="auto" w:fill="auto"/>
            <w:noWrap/>
            <w:vAlign w:val="bottom"/>
            <w:hideMark/>
          </w:tcPr>
          <w:p w14:paraId="564A20C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30 </w:t>
            </w:r>
          </w:p>
        </w:tc>
      </w:tr>
      <w:tr w:rsidR="000D4EC6" w:rsidRPr="00E05AE1" w14:paraId="4AA0B837"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0C2ED11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Global Forest Finance Pledge</w:t>
            </w:r>
            <w:r w:rsidRPr="00E05AE1">
              <w:rPr>
                <w:rFonts w:ascii="Calibri" w:eastAsia="Times New Roman" w:hAnsi="Calibri" w:cs="Calibri"/>
                <w:color w:val="000000"/>
                <w:sz w:val="22"/>
                <w:szCs w:val="22"/>
                <w:vertAlign w:val="superscript"/>
              </w:rPr>
              <w:t>3</w:t>
            </w:r>
          </w:p>
        </w:tc>
        <w:tc>
          <w:tcPr>
            <w:tcW w:w="3641" w:type="dxa"/>
            <w:tcBorders>
              <w:top w:val="nil"/>
              <w:left w:val="nil"/>
              <w:bottom w:val="single" w:sz="4" w:space="0" w:color="auto"/>
              <w:right w:val="single" w:sz="4" w:space="0" w:color="auto"/>
            </w:tcBorders>
            <w:shd w:val="clear" w:color="auto" w:fill="auto"/>
            <w:noWrap/>
            <w:vAlign w:val="bottom"/>
            <w:hideMark/>
          </w:tcPr>
          <w:p w14:paraId="7B18859E"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12 gov’ts, 30 private </w:t>
            </w:r>
            <w:proofErr w:type="gramStart"/>
            <w:r w:rsidRPr="00E05AE1">
              <w:rPr>
                <w:rFonts w:ascii="Calibri" w:eastAsia="Times New Roman" w:hAnsi="Calibri" w:cs="Calibri"/>
                <w:color w:val="000000"/>
                <w:sz w:val="22"/>
                <w:szCs w:val="22"/>
              </w:rPr>
              <w:t>sector</w:t>
            </w:r>
            <w:proofErr w:type="gramEnd"/>
          </w:p>
        </w:tc>
        <w:tc>
          <w:tcPr>
            <w:tcW w:w="1433" w:type="dxa"/>
            <w:tcBorders>
              <w:top w:val="nil"/>
              <w:left w:val="nil"/>
              <w:bottom w:val="single" w:sz="4" w:space="0" w:color="auto"/>
              <w:right w:val="single" w:sz="4" w:space="0" w:color="auto"/>
            </w:tcBorders>
            <w:shd w:val="clear" w:color="auto" w:fill="auto"/>
            <w:noWrap/>
            <w:vAlign w:val="bottom"/>
            <w:hideMark/>
          </w:tcPr>
          <w:p w14:paraId="76CB00E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3,840 </w:t>
            </w:r>
          </w:p>
        </w:tc>
        <w:tc>
          <w:tcPr>
            <w:tcW w:w="1442" w:type="dxa"/>
            <w:tcBorders>
              <w:top w:val="nil"/>
              <w:left w:val="nil"/>
              <w:bottom w:val="single" w:sz="4" w:space="0" w:color="auto"/>
              <w:right w:val="single" w:sz="4" w:space="0" w:color="auto"/>
            </w:tcBorders>
            <w:shd w:val="clear" w:color="auto" w:fill="auto"/>
            <w:noWrap/>
            <w:vAlign w:val="bottom"/>
            <w:hideMark/>
          </w:tcPr>
          <w:p w14:paraId="64EF47C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19,200 </w:t>
            </w:r>
          </w:p>
        </w:tc>
      </w:tr>
      <w:tr w:rsidR="000D4EC6" w:rsidRPr="00E05AE1" w14:paraId="099E49E0"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12C7EE8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Congo Basin Pledge</w:t>
            </w:r>
            <w:r>
              <w:rPr>
                <w:rFonts w:ascii="Calibri" w:eastAsia="Times New Roman" w:hAnsi="Calibri" w:cs="Calibri"/>
                <w:color w:val="000000"/>
                <w:sz w:val="22"/>
                <w:szCs w:val="22"/>
                <w:vertAlign w:val="superscript"/>
              </w:rPr>
              <w:t>4</w:t>
            </w:r>
          </w:p>
        </w:tc>
        <w:tc>
          <w:tcPr>
            <w:tcW w:w="3641" w:type="dxa"/>
            <w:tcBorders>
              <w:top w:val="nil"/>
              <w:left w:val="nil"/>
              <w:bottom w:val="single" w:sz="4" w:space="0" w:color="auto"/>
              <w:right w:val="single" w:sz="4" w:space="0" w:color="auto"/>
            </w:tcBorders>
            <w:shd w:val="clear" w:color="auto" w:fill="auto"/>
            <w:noWrap/>
            <w:vAlign w:val="bottom"/>
            <w:hideMark/>
          </w:tcPr>
          <w:p w14:paraId="1B173F29"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11 gov’ts, Bezos, CAFI, &amp;Green</w:t>
            </w:r>
          </w:p>
        </w:tc>
        <w:tc>
          <w:tcPr>
            <w:tcW w:w="1433" w:type="dxa"/>
            <w:tcBorders>
              <w:top w:val="nil"/>
              <w:left w:val="nil"/>
              <w:bottom w:val="single" w:sz="4" w:space="0" w:color="auto"/>
              <w:right w:val="single" w:sz="4" w:space="0" w:color="auto"/>
            </w:tcBorders>
            <w:shd w:val="clear" w:color="auto" w:fill="auto"/>
            <w:noWrap/>
            <w:vAlign w:val="bottom"/>
            <w:hideMark/>
          </w:tcPr>
          <w:p w14:paraId="65DEDA9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300 </w:t>
            </w:r>
          </w:p>
        </w:tc>
        <w:tc>
          <w:tcPr>
            <w:tcW w:w="1442" w:type="dxa"/>
            <w:tcBorders>
              <w:top w:val="nil"/>
              <w:left w:val="nil"/>
              <w:bottom w:val="single" w:sz="4" w:space="0" w:color="auto"/>
              <w:right w:val="single" w:sz="4" w:space="0" w:color="auto"/>
            </w:tcBorders>
            <w:shd w:val="clear" w:color="auto" w:fill="auto"/>
            <w:noWrap/>
            <w:vAlign w:val="bottom"/>
            <w:hideMark/>
          </w:tcPr>
          <w:p w14:paraId="3175A74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1,500 </w:t>
            </w:r>
          </w:p>
        </w:tc>
      </w:tr>
      <w:tr w:rsidR="000D4EC6" w:rsidRPr="00E05AE1" w14:paraId="1C108A23"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1884C10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IPLC Pledge</w:t>
            </w:r>
            <w:r>
              <w:rPr>
                <w:rFonts w:ascii="Calibri" w:eastAsia="Times New Roman" w:hAnsi="Calibri" w:cs="Calibri"/>
                <w:color w:val="000000"/>
                <w:sz w:val="22"/>
                <w:szCs w:val="22"/>
                <w:vertAlign w:val="superscript"/>
              </w:rPr>
              <w:t>4</w:t>
            </w:r>
          </w:p>
        </w:tc>
        <w:tc>
          <w:tcPr>
            <w:tcW w:w="3641" w:type="dxa"/>
            <w:tcBorders>
              <w:top w:val="nil"/>
              <w:left w:val="nil"/>
              <w:bottom w:val="single" w:sz="4" w:space="0" w:color="auto"/>
              <w:right w:val="single" w:sz="4" w:space="0" w:color="auto"/>
            </w:tcBorders>
            <w:shd w:val="clear" w:color="auto" w:fill="auto"/>
            <w:noWrap/>
            <w:vAlign w:val="bottom"/>
            <w:hideMark/>
          </w:tcPr>
          <w:p w14:paraId="37ED512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5 gov’ts, 17 foundations</w:t>
            </w:r>
          </w:p>
        </w:tc>
        <w:tc>
          <w:tcPr>
            <w:tcW w:w="1433" w:type="dxa"/>
            <w:tcBorders>
              <w:top w:val="nil"/>
              <w:left w:val="nil"/>
              <w:bottom w:val="single" w:sz="4" w:space="0" w:color="auto"/>
              <w:right w:val="single" w:sz="4" w:space="0" w:color="auto"/>
            </w:tcBorders>
            <w:shd w:val="clear" w:color="auto" w:fill="auto"/>
            <w:noWrap/>
            <w:vAlign w:val="bottom"/>
            <w:hideMark/>
          </w:tcPr>
          <w:p w14:paraId="264E2BF1"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340 </w:t>
            </w:r>
          </w:p>
        </w:tc>
        <w:tc>
          <w:tcPr>
            <w:tcW w:w="1442" w:type="dxa"/>
            <w:tcBorders>
              <w:top w:val="nil"/>
              <w:left w:val="nil"/>
              <w:bottom w:val="single" w:sz="4" w:space="0" w:color="auto"/>
              <w:right w:val="single" w:sz="4" w:space="0" w:color="auto"/>
            </w:tcBorders>
            <w:shd w:val="clear" w:color="auto" w:fill="auto"/>
            <w:noWrap/>
            <w:vAlign w:val="bottom"/>
            <w:hideMark/>
          </w:tcPr>
          <w:p w14:paraId="1FF884E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1,700 </w:t>
            </w:r>
          </w:p>
        </w:tc>
      </w:tr>
      <w:tr w:rsidR="000D4EC6" w:rsidRPr="00E05AE1" w14:paraId="115C1407"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419014D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Global Fund for Coral Reefs</w:t>
            </w:r>
          </w:p>
        </w:tc>
        <w:tc>
          <w:tcPr>
            <w:tcW w:w="3641" w:type="dxa"/>
            <w:tcBorders>
              <w:top w:val="nil"/>
              <w:left w:val="nil"/>
              <w:bottom w:val="single" w:sz="4" w:space="0" w:color="auto"/>
              <w:right w:val="single" w:sz="4" w:space="0" w:color="auto"/>
            </w:tcBorders>
            <w:shd w:val="clear" w:color="auto" w:fill="auto"/>
            <w:noWrap/>
            <w:vAlign w:val="bottom"/>
            <w:hideMark/>
          </w:tcPr>
          <w:p w14:paraId="4F7D4C4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GCF, 4 gov’ts, 2 foundations</w:t>
            </w:r>
          </w:p>
        </w:tc>
        <w:tc>
          <w:tcPr>
            <w:tcW w:w="1433" w:type="dxa"/>
            <w:tcBorders>
              <w:top w:val="nil"/>
              <w:left w:val="nil"/>
              <w:bottom w:val="single" w:sz="4" w:space="0" w:color="auto"/>
              <w:right w:val="single" w:sz="4" w:space="0" w:color="auto"/>
            </w:tcBorders>
            <w:shd w:val="clear" w:color="auto" w:fill="auto"/>
            <w:noWrap/>
            <w:vAlign w:val="bottom"/>
            <w:hideMark/>
          </w:tcPr>
          <w:p w14:paraId="14E54D5E"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15 </w:t>
            </w:r>
          </w:p>
        </w:tc>
        <w:tc>
          <w:tcPr>
            <w:tcW w:w="1442" w:type="dxa"/>
            <w:tcBorders>
              <w:top w:val="nil"/>
              <w:left w:val="nil"/>
              <w:bottom w:val="single" w:sz="4" w:space="0" w:color="auto"/>
              <w:right w:val="single" w:sz="4" w:space="0" w:color="auto"/>
            </w:tcBorders>
            <w:shd w:val="clear" w:color="auto" w:fill="auto"/>
            <w:noWrap/>
            <w:vAlign w:val="bottom"/>
            <w:hideMark/>
          </w:tcPr>
          <w:p w14:paraId="3BD5BA6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150 </w:t>
            </w:r>
          </w:p>
        </w:tc>
      </w:tr>
      <w:tr w:rsidR="000D4EC6" w:rsidRPr="00E05AE1" w14:paraId="6C0A8458" w14:textId="77777777" w:rsidTr="00E6057B">
        <w:trPr>
          <w:trHeight w:val="368"/>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1478FC87"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IFACC Initiative</w:t>
            </w:r>
            <w:r>
              <w:rPr>
                <w:rFonts w:ascii="Calibri" w:eastAsia="Times New Roman" w:hAnsi="Calibri" w:cs="Calibri"/>
                <w:color w:val="000000"/>
                <w:sz w:val="22"/>
                <w:szCs w:val="22"/>
                <w:vertAlign w:val="superscript"/>
              </w:rPr>
              <w:t>5</w:t>
            </w:r>
          </w:p>
        </w:tc>
        <w:tc>
          <w:tcPr>
            <w:tcW w:w="3641" w:type="dxa"/>
            <w:tcBorders>
              <w:top w:val="nil"/>
              <w:left w:val="nil"/>
              <w:bottom w:val="single" w:sz="4" w:space="0" w:color="auto"/>
              <w:right w:val="single" w:sz="4" w:space="0" w:color="auto"/>
            </w:tcBorders>
            <w:shd w:val="clear" w:color="auto" w:fill="auto"/>
            <w:noWrap/>
            <w:vAlign w:val="bottom"/>
            <w:hideMark/>
          </w:tcPr>
          <w:p w14:paraId="007C926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13 companies</w:t>
            </w:r>
          </w:p>
        </w:tc>
        <w:tc>
          <w:tcPr>
            <w:tcW w:w="1433" w:type="dxa"/>
            <w:tcBorders>
              <w:top w:val="nil"/>
              <w:left w:val="nil"/>
              <w:bottom w:val="single" w:sz="4" w:space="0" w:color="auto"/>
              <w:right w:val="single" w:sz="4" w:space="0" w:color="auto"/>
            </w:tcBorders>
            <w:shd w:val="clear" w:color="auto" w:fill="auto"/>
            <w:noWrap/>
            <w:vAlign w:val="bottom"/>
            <w:hideMark/>
          </w:tcPr>
          <w:p w14:paraId="460A08BC"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840 </w:t>
            </w:r>
          </w:p>
        </w:tc>
        <w:tc>
          <w:tcPr>
            <w:tcW w:w="1442" w:type="dxa"/>
            <w:tcBorders>
              <w:top w:val="nil"/>
              <w:left w:val="nil"/>
              <w:bottom w:val="single" w:sz="4" w:space="0" w:color="auto"/>
              <w:right w:val="single" w:sz="4" w:space="0" w:color="auto"/>
            </w:tcBorders>
            <w:shd w:val="clear" w:color="auto" w:fill="auto"/>
            <w:noWrap/>
            <w:vAlign w:val="bottom"/>
            <w:hideMark/>
          </w:tcPr>
          <w:p w14:paraId="09FDE36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4,200 </w:t>
            </w:r>
          </w:p>
        </w:tc>
      </w:tr>
      <w:tr w:rsidR="000D4EC6" w:rsidRPr="00E05AE1" w14:paraId="1B1DB078"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6A840333"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LEAF Coalition</w:t>
            </w:r>
          </w:p>
        </w:tc>
        <w:tc>
          <w:tcPr>
            <w:tcW w:w="3641" w:type="dxa"/>
            <w:tcBorders>
              <w:top w:val="nil"/>
              <w:left w:val="nil"/>
              <w:bottom w:val="single" w:sz="4" w:space="0" w:color="auto"/>
              <w:right w:val="single" w:sz="4" w:space="0" w:color="auto"/>
            </w:tcBorders>
            <w:shd w:val="clear" w:color="auto" w:fill="auto"/>
            <w:noWrap/>
            <w:vAlign w:val="bottom"/>
            <w:hideMark/>
          </w:tcPr>
          <w:p w14:paraId="657BB6A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4 gov’ts, over 25 companies</w:t>
            </w:r>
          </w:p>
        </w:tc>
        <w:tc>
          <w:tcPr>
            <w:tcW w:w="1433" w:type="dxa"/>
            <w:tcBorders>
              <w:top w:val="nil"/>
              <w:left w:val="nil"/>
              <w:bottom w:val="single" w:sz="4" w:space="0" w:color="auto"/>
              <w:right w:val="single" w:sz="4" w:space="0" w:color="auto"/>
            </w:tcBorders>
            <w:shd w:val="clear" w:color="auto" w:fill="auto"/>
            <w:noWrap/>
            <w:vAlign w:val="bottom"/>
            <w:hideMark/>
          </w:tcPr>
          <w:p w14:paraId="561A4F6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300 </w:t>
            </w:r>
          </w:p>
        </w:tc>
        <w:tc>
          <w:tcPr>
            <w:tcW w:w="1442" w:type="dxa"/>
            <w:tcBorders>
              <w:top w:val="nil"/>
              <w:left w:val="nil"/>
              <w:bottom w:val="single" w:sz="4" w:space="0" w:color="auto"/>
              <w:right w:val="single" w:sz="4" w:space="0" w:color="auto"/>
            </w:tcBorders>
            <w:shd w:val="clear" w:color="auto" w:fill="auto"/>
            <w:noWrap/>
            <w:vAlign w:val="bottom"/>
            <w:hideMark/>
          </w:tcPr>
          <w:p w14:paraId="4A64E122"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1,500 </w:t>
            </w:r>
          </w:p>
        </w:tc>
      </w:tr>
      <w:tr w:rsidR="000D4EC6" w:rsidRPr="00E05AE1" w14:paraId="179792C8" w14:textId="77777777" w:rsidTr="00E6057B">
        <w:trPr>
          <w:trHeight w:val="340"/>
        </w:trPr>
        <w:tc>
          <w:tcPr>
            <w:tcW w:w="2834" w:type="dxa"/>
            <w:tcBorders>
              <w:top w:val="nil"/>
              <w:left w:val="single" w:sz="4" w:space="0" w:color="auto"/>
              <w:bottom w:val="single" w:sz="4" w:space="0" w:color="auto"/>
              <w:right w:val="single" w:sz="4" w:space="0" w:color="auto"/>
            </w:tcBorders>
            <w:shd w:val="clear" w:color="auto" w:fill="auto"/>
            <w:vAlign w:val="bottom"/>
            <w:hideMark/>
          </w:tcPr>
          <w:p w14:paraId="5D079A46"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Legacy Landscapes Fund</w:t>
            </w:r>
          </w:p>
        </w:tc>
        <w:tc>
          <w:tcPr>
            <w:tcW w:w="3641" w:type="dxa"/>
            <w:tcBorders>
              <w:top w:val="nil"/>
              <w:left w:val="nil"/>
              <w:bottom w:val="single" w:sz="4" w:space="0" w:color="auto"/>
              <w:right w:val="single" w:sz="4" w:space="0" w:color="auto"/>
            </w:tcBorders>
            <w:shd w:val="clear" w:color="auto" w:fill="auto"/>
            <w:noWrap/>
            <w:vAlign w:val="bottom"/>
            <w:hideMark/>
          </w:tcPr>
          <w:p w14:paraId="07B64F7E"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2 gov’ts, 4 foundations</w:t>
            </w:r>
          </w:p>
        </w:tc>
        <w:tc>
          <w:tcPr>
            <w:tcW w:w="1433" w:type="dxa"/>
            <w:tcBorders>
              <w:top w:val="nil"/>
              <w:left w:val="nil"/>
              <w:bottom w:val="single" w:sz="4" w:space="0" w:color="auto"/>
              <w:right w:val="single" w:sz="4" w:space="0" w:color="auto"/>
            </w:tcBorders>
            <w:shd w:val="clear" w:color="auto" w:fill="auto"/>
            <w:noWrap/>
            <w:vAlign w:val="bottom"/>
            <w:hideMark/>
          </w:tcPr>
          <w:p w14:paraId="78144300"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14 </w:t>
            </w:r>
          </w:p>
        </w:tc>
        <w:tc>
          <w:tcPr>
            <w:tcW w:w="1442" w:type="dxa"/>
            <w:tcBorders>
              <w:top w:val="nil"/>
              <w:left w:val="nil"/>
              <w:bottom w:val="single" w:sz="4" w:space="0" w:color="auto"/>
              <w:right w:val="single" w:sz="4" w:space="0" w:color="auto"/>
            </w:tcBorders>
            <w:shd w:val="clear" w:color="auto" w:fill="auto"/>
            <w:noWrap/>
            <w:vAlign w:val="bottom"/>
            <w:hideMark/>
          </w:tcPr>
          <w:p w14:paraId="3C5B59FA"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                   285 </w:t>
            </w:r>
          </w:p>
        </w:tc>
      </w:tr>
      <w:tr w:rsidR="000D4EC6" w:rsidRPr="00E05AE1" w14:paraId="4F9C921D" w14:textId="77777777" w:rsidTr="00E6057B">
        <w:trPr>
          <w:trHeight w:val="340"/>
        </w:trPr>
        <w:tc>
          <w:tcPr>
            <w:tcW w:w="2834" w:type="dxa"/>
            <w:tcBorders>
              <w:top w:val="nil"/>
              <w:left w:val="single" w:sz="4" w:space="0" w:color="auto"/>
              <w:bottom w:val="nil"/>
              <w:right w:val="single" w:sz="4" w:space="0" w:color="auto"/>
            </w:tcBorders>
            <w:shd w:val="clear" w:color="auto" w:fill="auto"/>
            <w:vAlign w:val="bottom"/>
            <w:hideMark/>
          </w:tcPr>
          <w:p w14:paraId="2CE6B6A8"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Nature+ Accelerator Fund</w:t>
            </w:r>
          </w:p>
        </w:tc>
        <w:tc>
          <w:tcPr>
            <w:tcW w:w="3641" w:type="dxa"/>
            <w:tcBorders>
              <w:top w:val="nil"/>
              <w:left w:val="nil"/>
              <w:bottom w:val="nil"/>
              <w:right w:val="single" w:sz="4" w:space="0" w:color="auto"/>
            </w:tcBorders>
            <w:shd w:val="clear" w:color="auto" w:fill="auto"/>
            <w:noWrap/>
            <w:vAlign w:val="bottom"/>
            <w:hideMark/>
          </w:tcPr>
          <w:p w14:paraId="29FA271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GEF</w:t>
            </w:r>
          </w:p>
        </w:tc>
        <w:tc>
          <w:tcPr>
            <w:tcW w:w="1433" w:type="dxa"/>
            <w:tcBorders>
              <w:top w:val="nil"/>
              <w:left w:val="nil"/>
              <w:bottom w:val="nil"/>
              <w:right w:val="single" w:sz="4" w:space="0" w:color="auto"/>
            </w:tcBorders>
            <w:shd w:val="clear" w:color="auto" w:fill="auto"/>
            <w:noWrap/>
            <w:vAlign w:val="bottom"/>
            <w:hideMark/>
          </w:tcPr>
          <w:p w14:paraId="7CBB8CCD"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1 </w:t>
            </w:r>
          </w:p>
        </w:tc>
        <w:tc>
          <w:tcPr>
            <w:tcW w:w="1442" w:type="dxa"/>
            <w:tcBorders>
              <w:top w:val="nil"/>
              <w:left w:val="nil"/>
              <w:bottom w:val="nil"/>
              <w:right w:val="single" w:sz="4" w:space="0" w:color="auto"/>
            </w:tcBorders>
            <w:shd w:val="clear" w:color="auto" w:fill="auto"/>
            <w:noWrap/>
            <w:vAlign w:val="bottom"/>
            <w:hideMark/>
          </w:tcPr>
          <w:p w14:paraId="42158BAF" w14:textId="77777777" w:rsidR="000D4EC6" w:rsidRPr="00E05AE1" w:rsidRDefault="000D4EC6" w:rsidP="00334C33">
            <w:pPr>
              <w:jc w:val="both"/>
              <w:rPr>
                <w:rFonts w:ascii="Calibri" w:eastAsia="Times New Roman" w:hAnsi="Calibri" w:cs="Calibri"/>
                <w:color w:val="000000"/>
                <w:sz w:val="22"/>
                <w:szCs w:val="22"/>
              </w:rPr>
            </w:pPr>
            <w:r w:rsidRPr="00E05AE1">
              <w:rPr>
                <w:rFonts w:ascii="Calibri" w:eastAsia="Times New Roman" w:hAnsi="Calibri" w:cs="Calibri"/>
                <w:color w:val="000000"/>
                <w:sz w:val="22"/>
                <w:szCs w:val="22"/>
              </w:rPr>
              <w:t xml:space="preserve">8 </w:t>
            </w:r>
          </w:p>
        </w:tc>
      </w:tr>
      <w:tr w:rsidR="000D4EC6" w:rsidRPr="00E05AE1" w14:paraId="59484D83" w14:textId="77777777" w:rsidTr="00E6057B">
        <w:trPr>
          <w:trHeight w:val="340"/>
        </w:trPr>
        <w:tc>
          <w:tcPr>
            <w:tcW w:w="2834" w:type="dxa"/>
            <w:tcBorders>
              <w:top w:val="single" w:sz="4" w:space="0" w:color="auto"/>
              <w:left w:val="single" w:sz="4" w:space="0" w:color="auto"/>
              <w:bottom w:val="single" w:sz="4" w:space="0" w:color="auto"/>
              <w:right w:val="nil"/>
            </w:tcBorders>
            <w:shd w:val="clear" w:color="auto" w:fill="auto"/>
            <w:vAlign w:val="bottom"/>
            <w:hideMark/>
          </w:tcPr>
          <w:p w14:paraId="449E3EB2"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lastRenderedPageBreak/>
              <w:t>Mechanism/Initiative Total</w:t>
            </w:r>
          </w:p>
        </w:tc>
        <w:tc>
          <w:tcPr>
            <w:tcW w:w="3641" w:type="dxa"/>
            <w:tcBorders>
              <w:top w:val="single" w:sz="4" w:space="0" w:color="auto"/>
              <w:left w:val="nil"/>
              <w:bottom w:val="single" w:sz="4" w:space="0" w:color="auto"/>
              <w:right w:val="nil"/>
            </w:tcBorders>
            <w:shd w:val="clear" w:color="auto" w:fill="auto"/>
            <w:noWrap/>
            <w:vAlign w:val="bottom"/>
            <w:hideMark/>
          </w:tcPr>
          <w:p w14:paraId="05D81C8B"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w:t>
            </w:r>
          </w:p>
        </w:tc>
        <w:tc>
          <w:tcPr>
            <w:tcW w:w="1433" w:type="dxa"/>
            <w:tcBorders>
              <w:top w:val="single" w:sz="4" w:space="0" w:color="auto"/>
              <w:left w:val="nil"/>
              <w:bottom w:val="single" w:sz="4" w:space="0" w:color="auto"/>
              <w:right w:val="nil"/>
            </w:tcBorders>
            <w:shd w:val="clear" w:color="auto" w:fill="auto"/>
            <w:noWrap/>
            <w:vAlign w:val="bottom"/>
            <w:hideMark/>
          </w:tcPr>
          <w:p w14:paraId="4ECBA6DC"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xml:space="preserve">                                               5,083 </w:t>
            </w:r>
          </w:p>
        </w:tc>
        <w:tc>
          <w:tcPr>
            <w:tcW w:w="1442" w:type="dxa"/>
            <w:tcBorders>
              <w:top w:val="single" w:sz="4" w:space="0" w:color="auto"/>
              <w:left w:val="nil"/>
              <w:bottom w:val="single" w:sz="4" w:space="0" w:color="auto"/>
              <w:right w:val="single" w:sz="4" w:space="0" w:color="auto"/>
            </w:tcBorders>
            <w:shd w:val="clear" w:color="auto" w:fill="auto"/>
            <w:noWrap/>
            <w:vAlign w:val="bottom"/>
            <w:hideMark/>
          </w:tcPr>
          <w:p w14:paraId="75CD1FC2" w14:textId="77777777" w:rsidR="000D4EC6" w:rsidRPr="00E05AE1" w:rsidRDefault="000D4EC6" w:rsidP="00334C33">
            <w:pPr>
              <w:jc w:val="both"/>
              <w:rPr>
                <w:rFonts w:ascii="Calibri" w:eastAsia="Times New Roman" w:hAnsi="Calibri" w:cs="Calibri"/>
                <w:b/>
                <w:bCs/>
                <w:color w:val="000000"/>
                <w:sz w:val="22"/>
                <w:szCs w:val="22"/>
              </w:rPr>
            </w:pPr>
            <w:r w:rsidRPr="00E05AE1">
              <w:rPr>
                <w:rFonts w:ascii="Calibri" w:eastAsia="Times New Roman" w:hAnsi="Calibri" w:cs="Calibri"/>
                <w:b/>
                <w:bCs/>
                <w:color w:val="000000"/>
                <w:sz w:val="22"/>
                <w:szCs w:val="22"/>
              </w:rPr>
              <w:t xml:space="preserve">              25,723 </w:t>
            </w:r>
          </w:p>
        </w:tc>
      </w:tr>
    </w:tbl>
    <w:p w14:paraId="45D27421" w14:textId="77777777" w:rsidR="000D4EC6" w:rsidRPr="00E05AE1" w:rsidRDefault="000D4EC6" w:rsidP="000D4EC6">
      <w:pPr>
        <w:jc w:val="both"/>
        <w:rPr>
          <w:sz w:val="20"/>
          <w:szCs w:val="20"/>
        </w:rPr>
      </w:pPr>
      <w:r w:rsidRPr="00E05AE1">
        <w:rPr>
          <w:sz w:val="20"/>
          <w:szCs w:val="20"/>
          <w:vertAlign w:val="superscript"/>
        </w:rPr>
        <w:t>1</w:t>
      </w:r>
      <w:r w:rsidRPr="00E05AE1">
        <w:rPr>
          <w:sz w:val="20"/>
          <w:szCs w:val="20"/>
        </w:rPr>
        <w:t xml:space="preserve"> Annual amounts for debt conversions include amounts available to fund conservation over the term of the debt and do not include contributions to endowments intended to provide annual funding beyond the term of the debt.</w:t>
      </w:r>
    </w:p>
    <w:p w14:paraId="35BDF227" w14:textId="77777777" w:rsidR="000D4EC6" w:rsidRPr="00E05AE1" w:rsidRDefault="000D4EC6" w:rsidP="000D4EC6">
      <w:pPr>
        <w:jc w:val="both"/>
        <w:rPr>
          <w:sz w:val="20"/>
          <w:szCs w:val="20"/>
        </w:rPr>
      </w:pPr>
      <w:r w:rsidRPr="00E05AE1">
        <w:rPr>
          <w:sz w:val="20"/>
          <w:szCs w:val="20"/>
          <w:vertAlign w:val="superscript"/>
        </w:rPr>
        <w:t>2</w:t>
      </w:r>
      <w:r w:rsidRPr="00E05AE1">
        <w:rPr>
          <w:sz w:val="20"/>
          <w:szCs w:val="20"/>
        </w:rPr>
        <w:t xml:space="preserve"> Status and terms of pledges are undisclosed and uncertain.  Annual amount estimated based on total disclosed. </w:t>
      </w:r>
    </w:p>
    <w:p w14:paraId="52FF85AD" w14:textId="77777777" w:rsidR="000D4EC6" w:rsidRPr="00E05AE1" w:rsidRDefault="000D4EC6" w:rsidP="000D4EC6">
      <w:pPr>
        <w:jc w:val="both"/>
        <w:rPr>
          <w:sz w:val="20"/>
          <w:szCs w:val="20"/>
        </w:rPr>
      </w:pPr>
      <w:r w:rsidRPr="00E05AE1">
        <w:rPr>
          <w:sz w:val="20"/>
          <w:szCs w:val="20"/>
          <w:vertAlign w:val="superscript"/>
        </w:rPr>
        <w:t>3</w:t>
      </w:r>
      <w:r w:rsidRPr="00E05AE1">
        <w:rPr>
          <w:sz w:val="20"/>
          <w:szCs w:val="20"/>
        </w:rPr>
        <w:t xml:space="preserve"> $12 billion from gov’t and $7.2 billion from private sector</w:t>
      </w:r>
    </w:p>
    <w:p w14:paraId="2FB830F0" w14:textId="77777777" w:rsidR="000D4EC6" w:rsidRPr="00E05AE1" w:rsidRDefault="000D4EC6" w:rsidP="000D4EC6">
      <w:pPr>
        <w:jc w:val="both"/>
        <w:rPr>
          <w:sz w:val="20"/>
          <w:szCs w:val="20"/>
        </w:rPr>
      </w:pPr>
      <w:r w:rsidRPr="00E05AE1">
        <w:rPr>
          <w:sz w:val="20"/>
          <w:szCs w:val="20"/>
          <w:vertAlign w:val="superscript"/>
        </w:rPr>
        <w:t>4</w:t>
      </w:r>
      <w:r w:rsidRPr="00E05AE1">
        <w:rPr>
          <w:sz w:val="20"/>
          <w:szCs w:val="20"/>
        </w:rPr>
        <w:t xml:space="preserve"> Congo Basin Pledge and IPLC Pledge amounts included in the Global Forest Finance Pledge</w:t>
      </w:r>
    </w:p>
    <w:p w14:paraId="483A4107" w14:textId="77777777" w:rsidR="000D4EC6" w:rsidRPr="00E05AE1" w:rsidRDefault="000D4EC6" w:rsidP="000D4EC6">
      <w:pPr>
        <w:jc w:val="both"/>
        <w:rPr>
          <w:sz w:val="20"/>
          <w:szCs w:val="20"/>
        </w:rPr>
      </w:pPr>
      <w:r w:rsidRPr="00E05AE1">
        <w:rPr>
          <w:sz w:val="20"/>
          <w:szCs w:val="20"/>
          <w:vertAlign w:val="superscript"/>
        </w:rPr>
        <w:t>5</w:t>
      </w:r>
      <w:r w:rsidRPr="00E05AE1">
        <w:rPr>
          <w:sz w:val="20"/>
          <w:szCs w:val="20"/>
        </w:rPr>
        <w:t xml:space="preserve"> Annual amount assumes total pledge is disbursed over five years. </w:t>
      </w:r>
    </w:p>
    <w:p w14:paraId="7DDD7B36" w14:textId="77777777" w:rsidR="000D4EC6" w:rsidRDefault="000D4EC6" w:rsidP="000D4EC6">
      <w:pPr>
        <w:jc w:val="both"/>
        <w:rPr>
          <w:i/>
        </w:rPr>
      </w:pPr>
      <w:r w:rsidRPr="00E75493">
        <w:rPr>
          <w:i/>
        </w:rPr>
        <w:t xml:space="preserve">Source: </w:t>
      </w:r>
      <w:hyperlink r:id="rId34" w:history="1">
        <w:r w:rsidRPr="00E75493">
          <w:rPr>
            <w:rStyle w:val="Hyperlink"/>
            <w:i/>
          </w:rPr>
          <w:t>https://www.naturefinance.info/</w:t>
        </w:r>
      </w:hyperlink>
      <w:r w:rsidRPr="00E75493">
        <w:rPr>
          <w:i/>
        </w:rPr>
        <w:t xml:space="preserve"> , excludes government commitments. </w:t>
      </w:r>
    </w:p>
    <w:p w14:paraId="34CCC65F" w14:textId="77777777" w:rsidR="000D4EC6" w:rsidRDefault="000D4EC6" w:rsidP="000D4EC6">
      <w:pPr>
        <w:jc w:val="both"/>
        <w:rPr>
          <w:i/>
        </w:rPr>
      </w:pPr>
    </w:p>
    <w:p w14:paraId="2EE2F8D0" w14:textId="0A87E100" w:rsidR="000D4EC6" w:rsidRDefault="000D4EC6" w:rsidP="000D4EC6">
      <w:pPr>
        <w:jc w:val="both"/>
      </w:pPr>
      <w:r>
        <w:t xml:space="preserve">There is some overlap between the foundations captured in this pledge tracker and the foundations that voluntarily report to the OECD, such as the Bezos Earth Fund.  As such, adding up the estimates across this source and the OECD </w:t>
      </w:r>
      <w:r w:rsidR="0034633D">
        <w:t>CRS data on private international philanthropy</w:t>
      </w:r>
      <w:r>
        <w:t xml:space="preserve"> would lead to issues of double counting. </w:t>
      </w:r>
      <w:r w:rsidR="0034633D">
        <w:t>Also, t</w:t>
      </w:r>
      <w:r>
        <w:t xml:space="preserve">he pledge tracker is designed specifically to capture international commitments </w:t>
      </w:r>
      <w:r w:rsidR="00516580">
        <w:t>and</w:t>
      </w:r>
      <w:r>
        <w:t xml:space="preserve"> does not include pledges for finance at the domestic level.  This pledge tracker, however, could be used to enhance voluntarily reporting to the OECD to expand the information available in the CRS.  Reporting to the OECD could then track actual disbursements against publicly announced pledges, and activities could then be screened for the Rio </w:t>
      </w:r>
      <w:proofErr w:type="gramStart"/>
      <w:r w:rsidR="009D7A47">
        <w:t>m</w:t>
      </w:r>
      <w:r>
        <w:t>arke</w:t>
      </w:r>
      <w:r w:rsidR="009D7A47">
        <w:t>r</w:t>
      </w:r>
      <w:proofErr w:type="gramEnd"/>
      <w:r>
        <w:t xml:space="preserve"> using the same methodology as currently employed, for both philanthropies and for corporate and investor entities with biodiversity pledges.  </w:t>
      </w:r>
    </w:p>
    <w:p w14:paraId="54701648" w14:textId="77777777" w:rsidR="000D4EC6" w:rsidRDefault="000D4EC6" w:rsidP="000D4EC6">
      <w:pPr>
        <w:jc w:val="both"/>
      </w:pPr>
    </w:p>
    <w:p w14:paraId="6B13B660" w14:textId="34C02798" w:rsidR="000D4EC6" w:rsidRDefault="000D4EC6" w:rsidP="000D4EC6">
      <w:pPr>
        <w:jc w:val="both"/>
      </w:pPr>
      <w:r>
        <w:t>It is important to note that some of the corporate commitments appear geared more toward investments in nature-based climate solutions (e.g. to generate carbon credits) that may not have a</w:t>
      </w:r>
      <w:r w:rsidR="0034633D">
        <w:t xml:space="preserve"> clear,</w:t>
      </w:r>
      <w:r>
        <w:t xml:space="preserve"> direct link to biodiversity.  Apple, for example, has pledged up to USD 400 million to scale natural carbon removal solutions, such as through sustainably managed forests that </w:t>
      </w:r>
      <w:proofErr w:type="gramStart"/>
      <w:r>
        <w:t>optimize for</w:t>
      </w:r>
      <w:proofErr w:type="gramEnd"/>
      <w:r>
        <w:t xml:space="preserve"> both carbon and wood production to create revenue from the sale of tim</w:t>
      </w:r>
      <w:r w:rsidR="0034633D">
        <w:t>b</w:t>
      </w:r>
      <w:r>
        <w:t xml:space="preserve">er and carbon credits.  Without transparency into the types of carbon removal projects Apple is investing in, and whether environmental co-benefits are associated with these projects, it is not known if and how these investments will result in positive biodiversity outcomes.    </w:t>
      </w:r>
      <w:r w:rsidR="0034633D">
        <w:t xml:space="preserve">Considering this </w:t>
      </w:r>
      <w:r>
        <w:t xml:space="preserve">without a transparent lens into the activities financed by each of these pledge funds, it is unclear to what extent these pledges will result in positive biodiversity outcomes. </w:t>
      </w:r>
    </w:p>
    <w:p w14:paraId="6E486221" w14:textId="77777777" w:rsidR="000D4EC6" w:rsidRDefault="000D4EC6" w:rsidP="000D4EC6">
      <w:pPr>
        <w:jc w:val="both"/>
      </w:pPr>
    </w:p>
    <w:p w14:paraId="2B2ABBF4" w14:textId="323A8A4C" w:rsidR="000D4EC6" w:rsidRDefault="000D4EC6" w:rsidP="000D4EC6">
      <w:pPr>
        <w:jc w:val="both"/>
      </w:pPr>
      <w:r w:rsidRPr="00DD7D42">
        <w:rPr>
          <w:b/>
          <w:bCs/>
        </w:rPr>
        <w:t>Limitations.</w:t>
      </w:r>
      <w:r>
        <w:t xml:space="preserve">  While this pledge tracker may be suitable to monitor pledges at the global level, it does not provide granular information at the national level and </w:t>
      </w:r>
      <w:r w:rsidR="0034633D">
        <w:t>therefore may</w:t>
      </w:r>
      <w:r>
        <w:t xml:space="preserve"> not be suitable for national reportin</w:t>
      </w:r>
      <w:r w:rsidR="0034633D">
        <w:t>g</w:t>
      </w:r>
      <w:r>
        <w:t xml:space="preserve">.  The tracker is also limited to only those pledges that have been publicly announced and will not track the fulfillment of these pledges.  It also does not track domestic funding pledges. This pledge tracker, could, however, be used to encourage philanthropies who are not currently reporting to the OECD, as well as investors and corporations with public commitments, to begin voluntarily reporting to the </w:t>
      </w:r>
      <w:proofErr w:type="gramStart"/>
      <w:r>
        <w:t>OECD</w:t>
      </w:r>
      <w:r w:rsidR="0034633D">
        <w:t xml:space="preserve"> </w:t>
      </w:r>
      <w:r w:rsidR="00E6057B">
        <w:t>or</w:t>
      </w:r>
      <w:proofErr w:type="gramEnd"/>
      <w:r w:rsidR="00E6057B">
        <w:t xml:space="preserve"> directly to the country where the entity is established </w:t>
      </w:r>
      <w:r>
        <w:t xml:space="preserve">to monitor how these entities are fulfilling their pledges.  A similar methodology </w:t>
      </w:r>
      <w:r w:rsidR="0034633D">
        <w:t xml:space="preserve">of </w:t>
      </w:r>
      <w:r>
        <w:t xml:space="preserve">applying the Rio markers through the CRS could thus be used to enhance private philanthropic finance captured in the database.  </w:t>
      </w:r>
    </w:p>
    <w:p w14:paraId="4B6B2D0B" w14:textId="77777777" w:rsidR="00F11235" w:rsidRDefault="00F11235" w:rsidP="000D4EC6">
      <w:pPr>
        <w:jc w:val="both"/>
      </w:pPr>
    </w:p>
    <w:p w14:paraId="2ED8244D" w14:textId="77777777" w:rsidR="00F11235" w:rsidRDefault="00F11235" w:rsidP="000D4EC6">
      <w:pPr>
        <w:jc w:val="both"/>
      </w:pPr>
    </w:p>
    <w:p w14:paraId="45C1287F" w14:textId="77777777" w:rsidR="000D4EC6" w:rsidRDefault="000D4EC6" w:rsidP="000D4EC6">
      <w:pPr>
        <w:jc w:val="both"/>
      </w:pPr>
    </w:p>
    <w:p w14:paraId="1E3B65A2" w14:textId="77777777" w:rsidR="000D4EC6" w:rsidRPr="000D4EC6" w:rsidRDefault="000D4EC6" w:rsidP="000D4EC6">
      <w:pPr>
        <w:rPr>
          <w:b/>
          <w:bCs/>
        </w:rPr>
      </w:pPr>
      <w:r w:rsidRPr="000D4EC6">
        <w:rPr>
          <w:b/>
          <w:bCs/>
        </w:rPr>
        <w:lastRenderedPageBreak/>
        <w:t>Finance for Biodiversity Pledge – Domestic/International Green Financial Products</w:t>
      </w:r>
    </w:p>
    <w:p w14:paraId="67B6B4FE" w14:textId="77777777" w:rsidR="000D4EC6" w:rsidRDefault="000D4EC6" w:rsidP="000D4EC6">
      <w:pPr>
        <w:jc w:val="both"/>
      </w:pPr>
    </w:p>
    <w:p w14:paraId="674A5681" w14:textId="77777777" w:rsidR="000D4EC6" w:rsidRDefault="000D4EC6" w:rsidP="000D4EC6">
      <w:pPr>
        <w:jc w:val="both"/>
      </w:pPr>
      <w:r>
        <w:t>In 2020, a group of 26 financial institutions launched the Finance for Biodiversity Pledge, which now has 163 signatories from 25 countries with over USD 22 trillion in combined assets.  The pledge calls on global leaders to finance activities and investments directed toward protecting and restoring biodiversity, and to set targets to analyze exposure to nature-related impacts, dependencies, risks, and opportunities, and to take action to reduce the material drivers of biodiversity loss in priority sectors.  Specifically, the goals of the pledge are to:</w:t>
      </w:r>
    </w:p>
    <w:p w14:paraId="29E571B9" w14:textId="77777777" w:rsidR="000D4EC6" w:rsidRDefault="000D4EC6" w:rsidP="000D4EC6">
      <w:pPr>
        <w:jc w:val="both"/>
      </w:pPr>
    </w:p>
    <w:p w14:paraId="62489E65" w14:textId="77777777" w:rsidR="000D4EC6" w:rsidRDefault="000D4EC6" w:rsidP="000D4EC6">
      <w:pPr>
        <w:pStyle w:val="ListParagraph"/>
        <w:numPr>
          <w:ilvl w:val="0"/>
          <w:numId w:val="21"/>
        </w:numPr>
        <w:jc w:val="both"/>
      </w:pPr>
      <w:r>
        <w:t>Advocate for action by calling on global leaders to prioritize reversing biodiversity loss.</w:t>
      </w:r>
    </w:p>
    <w:p w14:paraId="16F180E1" w14:textId="77777777" w:rsidR="000D4EC6" w:rsidRDefault="000D4EC6" w:rsidP="000D4EC6">
      <w:pPr>
        <w:pStyle w:val="ListParagraph"/>
        <w:numPr>
          <w:ilvl w:val="0"/>
          <w:numId w:val="21"/>
        </w:numPr>
        <w:jc w:val="both"/>
      </w:pPr>
      <w:r>
        <w:t>Shifting financial practices by mainstreaming biodiversity into decision-making and investments.</w:t>
      </w:r>
    </w:p>
    <w:p w14:paraId="49E9F8B3" w14:textId="77777777" w:rsidR="000D4EC6" w:rsidRDefault="000D4EC6" w:rsidP="000D4EC6">
      <w:pPr>
        <w:pStyle w:val="ListParagraph"/>
        <w:numPr>
          <w:ilvl w:val="0"/>
          <w:numId w:val="21"/>
        </w:numPr>
        <w:jc w:val="both"/>
      </w:pPr>
      <w:r>
        <w:t>Promoting transparency and accountability by publicly reporting on progress towards protecting and restoring biodiversity through investment decision-making.</w:t>
      </w:r>
    </w:p>
    <w:p w14:paraId="2FF6D760" w14:textId="77777777" w:rsidR="000D4EC6" w:rsidRDefault="000D4EC6" w:rsidP="000D4EC6">
      <w:pPr>
        <w:pStyle w:val="ListParagraph"/>
        <w:jc w:val="both"/>
      </w:pPr>
    </w:p>
    <w:p w14:paraId="2BB14A61" w14:textId="1D7D97B5" w:rsidR="000D4EC6" w:rsidRDefault="000D4EC6" w:rsidP="000D4EC6">
      <w:pPr>
        <w:pStyle w:val="ListParagraph"/>
        <w:ind w:left="0"/>
        <w:jc w:val="both"/>
      </w:pPr>
      <w:r>
        <w:t xml:space="preserve">Signatories have committed to collaborating and sharing knowledge, engaging with companies to encourage best practices for biodiversity, </w:t>
      </w:r>
      <w:proofErr w:type="gramStart"/>
      <w:r>
        <w:t>assess</w:t>
      </w:r>
      <w:proofErr w:type="gramEnd"/>
      <w:r>
        <w:t xml:space="preserve"> the biodiversity impacts of their financial activities and investments, set targets for measurable biodiversity outcomes, and publicly report on their commitments.  The framework currently focuses on equity and corporate bond asset </w:t>
      </w:r>
      <w:r w:rsidR="00516580">
        <w:t>classes but</w:t>
      </w:r>
      <w:r>
        <w:t xml:space="preserve"> will incorporate additional asset classes in the future.  and to report publicly before 2025 on setting targets, assessing impacts, and collaborating and sharing knowledge with companies. </w:t>
      </w:r>
    </w:p>
    <w:p w14:paraId="4B7F302C" w14:textId="77777777" w:rsidR="000D4EC6" w:rsidRDefault="000D4EC6" w:rsidP="000D4EC6">
      <w:pPr>
        <w:jc w:val="both"/>
      </w:pPr>
    </w:p>
    <w:p w14:paraId="6967E604" w14:textId="77777777" w:rsidR="000D4EC6" w:rsidRDefault="000D4EC6" w:rsidP="000D4EC6">
      <w:pPr>
        <w:jc w:val="both"/>
      </w:pPr>
      <w:r>
        <w:t xml:space="preserve">Although still the early stages of implementation, this pledge commits asset owners and asset managers to redirect their financial flows away from nature-negative impacts towards nature-positive outcomes and establish targets to achieve this goal. Once investors begin to set and report progress towards targets, this pledge could be tracked to ensure investors meet the targets they have committed to.  </w:t>
      </w:r>
    </w:p>
    <w:p w14:paraId="51F02615" w14:textId="77777777" w:rsidR="000D4EC6" w:rsidRDefault="000D4EC6" w:rsidP="000D4EC6">
      <w:pPr>
        <w:jc w:val="both"/>
      </w:pPr>
    </w:p>
    <w:p w14:paraId="04F1CC6C" w14:textId="2B7C64FD" w:rsidR="000D4EC6" w:rsidRDefault="000D4EC6" w:rsidP="000D4EC6">
      <w:pPr>
        <w:jc w:val="both"/>
      </w:pPr>
      <w:r w:rsidRPr="009E6B9C">
        <w:rPr>
          <w:b/>
          <w:bCs/>
        </w:rPr>
        <w:t>Limitations and opportunity</w:t>
      </w:r>
      <w:r w:rsidRPr="0042276A">
        <w:rPr>
          <w:b/>
          <w:bCs/>
        </w:rPr>
        <w:t xml:space="preserve"> for future reporting.</w:t>
      </w:r>
      <w:r>
        <w:t xml:space="preserve">  Although in </w:t>
      </w:r>
      <w:proofErr w:type="gramStart"/>
      <w:r>
        <w:t>the too</w:t>
      </w:r>
      <w:proofErr w:type="gramEnd"/>
      <w:r>
        <w:t xml:space="preserve"> early stages of development and implementation at this point, the Finance for Biodiversity Pledge may be suitable to monitor trends on biodiversity integration in financial markets in the future.  While other data sources up until this point of the report have focused on investments in biodiversity through economic markets, equally important is tracking progress towards the integration of biodiversity into private financial markets.  This may be suitable for a work </w:t>
      </w:r>
      <w:proofErr w:type="spellStart"/>
      <w:r>
        <w:t>programme</w:t>
      </w:r>
      <w:proofErr w:type="spellEnd"/>
      <w:r>
        <w:t xml:space="preserve"> that coordinates with signatories to the pledge to align their efforts such that they deliver on the KNGBF resource mobilization goals.  </w:t>
      </w:r>
    </w:p>
    <w:p w14:paraId="5E3AF8BA" w14:textId="1764E7F7" w:rsidR="00C93F4D" w:rsidRDefault="00C93F4D" w:rsidP="000D4EC6">
      <w:pPr>
        <w:jc w:val="both"/>
      </w:pPr>
    </w:p>
    <w:p w14:paraId="18EBD8AE" w14:textId="77777777" w:rsidR="00C93F4D" w:rsidRDefault="00C93F4D" w:rsidP="00C93F4D">
      <w:pPr>
        <w:pStyle w:val="Heading2"/>
      </w:pPr>
      <w:r>
        <w:t>Establish voluntary reporting guidelines for signatories to the Principles for Responsible Banking</w:t>
      </w:r>
    </w:p>
    <w:p w14:paraId="14B82FE9" w14:textId="77777777" w:rsidR="00C93F4D" w:rsidRDefault="00C93F4D" w:rsidP="000D4EC6">
      <w:pPr>
        <w:jc w:val="both"/>
      </w:pPr>
    </w:p>
    <w:p w14:paraId="1523B3E4" w14:textId="1C139932" w:rsidR="00C93F4D" w:rsidRDefault="00C93F4D" w:rsidP="000D4EC6">
      <w:pPr>
        <w:jc w:val="both"/>
      </w:pPr>
      <w:r>
        <w:t xml:space="preserve">The UNEP Finance Initiative </w:t>
      </w:r>
      <w:r w:rsidR="00D86F21">
        <w:t xml:space="preserve">(UNEP-FI) </w:t>
      </w:r>
      <w:r>
        <w:t xml:space="preserve">works with the banking community to align their strategies, decision-making, lending, and investments such that they adhere to a set of </w:t>
      </w:r>
      <w:r>
        <w:lastRenderedPageBreak/>
        <w:t xml:space="preserve">established principles for responsible banking (PRB) that align with social and environmental goals.  The principles address aligning business strategies, setting targets to have meaningful social and environmental impacts, working with clients and customers to encourage sustainable business practices, consulting with stakeholders, effectively </w:t>
      </w:r>
      <w:proofErr w:type="gramStart"/>
      <w:r>
        <w:t>govern</w:t>
      </w:r>
      <w:proofErr w:type="gramEnd"/>
      <w:r>
        <w:t xml:space="preserve"> responsible banking, and act in a transparent and accountable way.  To date, 342 signatories, representing over USD 98 trillion in assets, or roughly half of global assets, have committed to the PBR.  The UNEP-FI has recently launched updated guiding principles for banks to categorize their portfolios into three broad themes: “seek out” or projects/clients that offer nature-positive opportunities, “</w:t>
      </w:r>
      <w:r w:rsidR="00736055">
        <w:t>phase out/</w:t>
      </w:r>
      <w:r>
        <w:t>avoid” or projects/clients that are identified as nature-negative, and “</w:t>
      </w:r>
      <w:r w:rsidR="00736055">
        <w:t>transition” projects/clients,</w:t>
      </w:r>
      <w:r>
        <w:t xml:space="preserve"> </w:t>
      </w:r>
      <w:r w:rsidR="00736055">
        <w:t>where financing is directed toward activities that shift away from harmful activities to improve biodiversity outcomes.  Banks may then set targets for ‘nature positive’ finance, building on sustainable finance taxonomies such as the EU Taxonomy, where available, to</w:t>
      </w:r>
      <w:r w:rsidR="00D86F21">
        <w:t xml:space="preserve"> screen investment activities.  Although not a requirement of the initiative, </w:t>
      </w:r>
      <w:proofErr w:type="gramStart"/>
      <w:r w:rsidR="00D86F21">
        <w:t>the UNEP</w:t>
      </w:r>
      <w:proofErr w:type="gramEnd"/>
      <w:r w:rsidR="00D86F21">
        <w:t xml:space="preserve">-FI could issue a call for voluntary reporting, requesting that signatories report on their targets using a traffic light like categorization (i.e. green for nature-positive activities, yellow for transition activities, and red for phase out/avoid activities).  </w:t>
      </w:r>
    </w:p>
    <w:p w14:paraId="712FE3B4" w14:textId="553F6534" w:rsidR="00CA24B8" w:rsidRDefault="00CA24B8" w:rsidP="000D4EC6">
      <w:pPr>
        <w:jc w:val="both"/>
      </w:pPr>
    </w:p>
    <w:p w14:paraId="60B80ABB" w14:textId="7870AD8A" w:rsidR="00CA24B8" w:rsidRDefault="00CA24B8" w:rsidP="00CA24B8">
      <w:pPr>
        <w:pStyle w:val="Heading2"/>
      </w:pPr>
      <w:r>
        <w:t xml:space="preserve">Design a survey for countries to </w:t>
      </w:r>
      <w:r w:rsidR="0059116D">
        <w:t xml:space="preserve">begin </w:t>
      </w:r>
      <w:r>
        <w:t>collect</w:t>
      </w:r>
      <w:r w:rsidR="0059116D">
        <w:t>ing</w:t>
      </w:r>
      <w:r>
        <w:t xml:space="preserve"> information from private </w:t>
      </w:r>
      <w:r w:rsidR="0059116D">
        <w:t>businesses and financial institutions</w:t>
      </w:r>
    </w:p>
    <w:p w14:paraId="513E6C3F" w14:textId="77777777" w:rsidR="00CA24B8" w:rsidRDefault="00CA24B8" w:rsidP="000D4EC6">
      <w:pPr>
        <w:jc w:val="both"/>
      </w:pPr>
    </w:p>
    <w:p w14:paraId="75849356" w14:textId="78901486" w:rsidR="0059116D" w:rsidRDefault="006B527B" w:rsidP="006B527B">
      <w:pPr>
        <w:jc w:val="both"/>
      </w:pPr>
      <w:r>
        <w:t xml:space="preserve">An alternative approach to using </w:t>
      </w:r>
      <w:r w:rsidR="007725D5">
        <w:t xml:space="preserve">existing available </w:t>
      </w:r>
      <w:r>
        <w:t>data on private sector biodiversity expenditures for national reporting is for countries to collect data</w:t>
      </w:r>
      <w:r w:rsidR="007725D5">
        <w:t xml:space="preserve"> directly</w:t>
      </w:r>
      <w:r>
        <w:t xml:space="preserve"> from a representative sample of private entities</w:t>
      </w:r>
      <w:r w:rsidR="0059116D">
        <w:t xml:space="preserve"> doing business in their jurisdiction</w:t>
      </w:r>
      <w:r>
        <w:t>.  A survey instrument could be developed to serve as a template for countrie</w:t>
      </w:r>
      <w:r w:rsidR="0059116D">
        <w:t>s to begin</w:t>
      </w:r>
      <w:r>
        <w:t xml:space="preserve"> to use to collect information. The survey </w:t>
      </w:r>
      <w:r w:rsidR="008D293C">
        <w:t>could</w:t>
      </w:r>
      <w:r>
        <w:t xml:space="preserve"> define eligible biodiversity </w:t>
      </w:r>
      <w:r w:rsidR="008D293C">
        <w:t>funding</w:t>
      </w:r>
      <w:r w:rsidR="004800A5">
        <w:t xml:space="preserve"> (see section on sustainable taxonomy)</w:t>
      </w:r>
      <w:r w:rsidR="008D293C">
        <w:t>, drawing</w:t>
      </w:r>
      <w:r w:rsidR="0059116D">
        <w:t xml:space="preserve"> from the identified financial and policy instruments as reported in OECD (2020) and Deutz et al. (2020) global estimates.  </w:t>
      </w:r>
    </w:p>
    <w:p w14:paraId="19A5997A" w14:textId="77777777" w:rsidR="0059116D" w:rsidRDefault="0059116D" w:rsidP="006B527B">
      <w:pPr>
        <w:jc w:val="both"/>
      </w:pPr>
    </w:p>
    <w:p w14:paraId="6F4F7A79" w14:textId="30956776" w:rsidR="0059116D" w:rsidRDefault="0059116D" w:rsidP="006B527B">
      <w:pPr>
        <w:jc w:val="both"/>
      </w:pPr>
      <w:r>
        <w:t xml:space="preserve">Countries could target </w:t>
      </w:r>
      <w:proofErr w:type="gramStart"/>
      <w:r>
        <w:t>a number of</w:t>
      </w:r>
      <w:proofErr w:type="gramEnd"/>
      <w:r>
        <w:t xml:space="preserve"> different businesses and financial institutions, either:</w:t>
      </w:r>
    </w:p>
    <w:p w14:paraId="6EAED9B4" w14:textId="77777777" w:rsidR="0059116D" w:rsidRDefault="0059116D" w:rsidP="006B527B">
      <w:pPr>
        <w:jc w:val="both"/>
      </w:pPr>
    </w:p>
    <w:p w14:paraId="049CF18C" w14:textId="2731B188" w:rsidR="006B527B" w:rsidRDefault="0059116D" w:rsidP="0059116D">
      <w:pPr>
        <w:pStyle w:val="ListParagraph"/>
        <w:numPr>
          <w:ilvl w:val="0"/>
          <w:numId w:val="28"/>
        </w:numPr>
        <w:jc w:val="both"/>
      </w:pPr>
      <w:r>
        <w:t>Entities that have disclosed using the T</w:t>
      </w:r>
      <w:r w:rsidR="00932905">
        <w:t>NFD</w:t>
      </w:r>
      <w:r>
        <w:t xml:space="preserve"> </w:t>
      </w:r>
      <w:r w:rsidR="009D7A47">
        <w:t xml:space="preserve">or other sustainability </w:t>
      </w:r>
      <w:r>
        <w:t>framework</w:t>
      </w:r>
    </w:p>
    <w:p w14:paraId="11C045E6" w14:textId="62C26A5C" w:rsidR="0059116D" w:rsidRDefault="0059116D" w:rsidP="0059116D">
      <w:pPr>
        <w:pStyle w:val="ListParagraph"/>
        <w:numPr>
          <w:ilvl w:val="0"/>
          <w:numId w:val="28"/>
        </w:numPr>
        <w:jc w:val="both"/>
      </w:pPr>
      <w:r>
        <w:t>Entities that operate in certain business sectors with known biodiversity impacts and dependencies (e.g. agriculture, forestry, mining, transportation, and fisheries)</w:t>
      </w:r>
    </w:p>
    <w:p w14:paraId="57773957" w14:textId="677B4D56" w:rsidR="0059116D" w:rsidRDefault="0059116D" w:rsidP="0059116D">
      <w:pPr>
        <w:pStyle w:val="ListParagraph"/>
        <w:numPr>
          <w:ilvl w:val="0"/>
          <w:numId w:val="28"/>
        </w:numPr>
        <w:jc w:val="both"/>
      </w:pPr>
      <w:r>
        <w:t xml:space="preserve">Financial institutions that offer </w:t>
      </w:r>
      <w:r w:rsidR="00180EB3">
        <w:t>biodiversity-related</w:t>
      </w:r>
      <w:r>
        <w:t xml:space="preserve"> investment products</w:t>
      </w:r>
      <w:r w:rsidR="00180EB3">
        <w:t xml:space="preserve"> such as green or sustainability linked bonds, impact investment funds, etc. </w:t>
      </w:r>
    </w:p>
    <w:p w14:paraId="13EB41DB" w14:textId="77777777" w:rsidR="006B527B" w:rsidRPr="00AF48AC" w:rsidRDefault="006B527B" w:rsidP="006B527B">
      <w:pPr>
        <w:jc w:val="both"/>
      </w:pPr>
    </w:p>
    <w:p w14:paraId="6D208DC4" w14:textId="3E2CAC85" w:rsidR="00CA24B8" w:rsidRDefault="0059116D" w:rsidP="000D4EC6">
      <w:pPr>
        <w:jc w:val="both"/>
      </w:pPr>
      <w:r>
        <w:t xml:space="preserve">The questions could be geared towards collecting information on the ways in which entities invest in biodiversity (e.g. biodiversity offsets/credits, contributions to philanthropic organizations, greening supply chains, etc.), whether they have established any targets or commitments to being a nature-positive business entity (perhaps disclosed through TNFD or publicly). </w:t>
      </w:r>
    </w:p>
    <w:p w14:paraId="652EF545" w14:textId="77777777" w:rsidR="00790E2B" w:rsidRDefault="00790E2B" w:rsidP="000D4EC6">
      <w:pPr>
        <w:jc w:val="both"/>
      </w:pPr>
    </w:p>
    <w:p w14:paraId="617AC9C6" w14:textId="3AEB6958" w:rsidR="00790E2B" w:rsidRDefault="00790E2B" w:rsidP="000D4EC6">
      <w:pPr>
        <w:jc w:val="both"/>
      </w:pPr>
      <w:r>
        <w:t>Possible questions to include in a national survey of biodiversity-relevant private entities:</w:t>
      </w:r>
    </w:p>
    <w:p w14:paraId="52E336BE" w14:textId="77777777" w:rsidR="0059116D" w:rsidRDefault="0059116D" w:rsidP="000D4EC6">
      <w:pPr>
        <w:jc w:val="both"/>
      </w:pPr>
    </w:p>
    <w:p w14:paraId="7F139244" w14:textId="54E1AB87" w:rsidR="004750BE" w:rsidRDefault="004750BE" w:rsidP="00932905">
      <w:pPr>
        <w:pStyle w:val="ListParagraph"/>
        <w:numPr>
          <w:ilvl w:val="0"/>
          <w:numId w:val="24"/>
        </w:numPr>
        <w:jc w:val="both"/>
      </w:pPr>
      <w:r>
        <w:t>Does your organization incorporate biodiversity into its mission, vision, and strategy?</w:t>
      </w:r>
    </w:p>
    <w:p w14:paraId="707E2C16" w14:textId="56B36B40" w:rsidR="004750BE" w:rsidRDefault="00AF6840" w:rsidP="00932905">
      <w:pPr>
        <w:pStyle w:val="ListParagraph"/>
        <w:numPr>
          <w:ilvl w:val="0"/>
          <w:numId w:val="24"/>
        </w:numPr>
        <w:jc w:val="both"/>
      </w:pPr>
      <w:r>
        <w:t>Has your organization</w:t>
      </w:r>
      <w:r w:rsidR="004750BE">
        <w:t xml:space="preserve"> set a corporate biodiversity commitment?</w:t>
      </w:r>
    </w:p>
    <w:p w14:paraId="166FE9E2" w14:textId="740EEE5A" w:rsidR="004750BE" w:rsidRDefault="004750BE" w:rsidP="00932905">
      <w:pPr>
        <w:pStyle w:val="ListParagraph"/>
        <w:numPr>
          <w:ilvl w:val="0"/>
          <w:numId w:val="24"/>
        </w:numPr>
        <w:jc w:val="both"/>
      </w:pPr>
      <w:r>
        <w:t xml:space="preserve">Does your organization </w:t>
      </w:r>
      <w:r w:rsidR="00AF6840">
        <w:t>publicly disclose</w:t>
      </w:r>
      <w:r>
        <w:t xml:space="preserve"> its nature-related impacts and dependencies, such as </w:t>
      </w:r>
      <w:r w:rsidR="00AF6840">
        <w:t xml:space="preserve">by utilizing </w:t>
      </w:r>
      <w:r>
        <w:t>the Task Force for Nature-Related Disclosures</w:t>
      </w:r>
      <w:r w:rsidR="00AF6840">
        <w:t xml:space="preserve"> framework</w:t>
      </w:r>
      <w:r>
        <w:t>?</w:t>
      </w:r>
    </w:p>
    <w:p w14:paraId="2C45AAE9" w14:textId="3C266C43" w:rsidR="00CA24B8" w:rsidRDefault="00CA24B8" w:rsidP="00932905">
      <w:pPr>
        <w:pStyle w:val="ListParagraph"/>
        <w:numPr>
          <w:ilvl w:val="0"/>
          <w:numId w:val="24"/>
        </w:numPr>
        <w:jc w:val="both"/>
      </w:pPr>
      <w:r>
        <w:t xml:space="preserve">What are the top </w:t>
      </w:r>
      <w:r w:rsidR="006765BE">
        <w:t xml:space="preserve">five financial mechanisms your organization </w:t>
      </w:r>
      <w:r w:rsidR="00791ED0">
        <w:t>use</w:t>
      </w:r>
      <w:r w:rsidR="006765BE">
        <w:t>s to invest in</w:t>
      </w:r>
      <w:r>
        <w:t xml:space="preserve"> biodiversity</w:t>
      </w:r>
      <w:r w:rsidR="004750BE">
        <w:t xml:space="preserve"> (e.g. biodiversity offsets, sustainable commodities, natural infrastructure investments, </w:t>
      </w:r>
      <w:r w:rsidR="00B82261">
        <w:t>forest and land use</w:t>
      </w:r>
      <w:r w:rsidR="004750BE">
        <w:t xml:space="preserve"> carbon credits, etc.)?</w:t>
      </w:r>
    </w:p>
    <w:p w14:paraId="39F6AEA9" w14:textId="29142367" w:rsidR="00CA24B8" w:rsidRDefault="00CA24B8" w:rsidP="00932905">
      <w:pPr>
        <w:pStyle w:val="ListParagraph"/>
        <w:numPr>
          <w:ilvl w:val="0"/>
          <w:numId w:val="24"/>
        </w:numPr>
        <w:jc w:val="both"/>
      </w:pPr>
      <w:r>
        <w:t>Do</w:t>
      </w:r>
      <w:r w:rsidR="00AF6840">
        <w:t>es your organization</w:t>
      </w:r>
      <w:r>
        <w:t xml:space="preserve"> </w:t>
      </w:r>
      <w:r w:rsidR="00791ED0">
        <w:t>track</w:t>
      </w:r>
      <w:r>
        <w:t xml:space="preserve"> expenditures</w:t>
      </w:r>
      <w:r w:rsidR="00B82261">
        <w:t xml:space="preserve"> </w:t>
      </w:r>
      <w:proofErr w:type="spellStart"/>
      <w:proofErr w:type="gramStart"/>
      <w:r w:rsidR="00B82261">
        <w:t>and</w:t>
      </w:r>
      <w:r>
        <w:t>investments</w:t>
      </w:r>
      <w:proofErr w:type="spellEnd"/>
      <w:proofErr w:type="gramEnd"/>
      <w:r>
        <w:t xml:space="preserve"> on biodiversity?</w:t>
      </w:r>
    </w:p>
    <w:p w14:paraId="353E844F" w14:textId="0C5C9237" w:rsidR="004750BE" w:rsidRDefault="004750BE" w:rsidP="00932905">
      <w:pPr>
        <w:pStyle w:val="ListParagraph"/>
        <w:numPr>
          <w:ilvl w:val="0"/>
          <w:numId w:val="24"/>
        </w:numPr>
        <w:jc w:val="both"/>
      </w:pPr>
      <w:r>
        <w:t>Does your organization offset its biodiversity footprint?</w:t>
      </w:r>
    </w:p>
    <w:p w14:paraId="5662007A" w14:textId="049EF0D3" w:rsidR="004750BE" w:rsidRDefault="004750BE" w:rsidP="00932905">
      <w:pPr>
        <w:pStyle w:val="ListParagraph"/>
        <w:numPr>
          <w:ilvl w:val="0"/>
          <w:numId w:val="24"/>
        </w:numPr>
        <w:jc w:val="both"/>
      </w:pPr>
      <w:r>
        <w:t xml:space="preserve">Does your organization have procurement policies aimed at </w:t>
      </w:r>
      <w:proofErr w:type="spellStart"/>
      <w:r>
        <w:t>sustainable</w:t>
      </w:r>
      <w:r w:rsidR="00B82261">
        <w:t>y</w:t>
      </w:r>
      <w:proofErr w:type="spellEnd"/>
      <w:r w:rsidR="00B82261">
        <w:t>-sourced</w:t>
      </w:r>
      <w:r>
        <w:t xml:space="preserve"> supply chains</w:t>
      </w:r>
      <w:r w:rsidR="00B82261">
        <w:t>?</w:t>
      </w:r>
      <w:r>
        <w:t xml:space="preserve"> </w:t>
      </w:r>
    </w:p>
    <w:p w14:paraId="2C39F3C0" w14:textId="1DE24F10" w:rsidR="0059116D" w:rsidRDefault="0059116D" w:rsidP="0059116D">
      <w:pPr>
        <w:jc w:val="both"/>
      </w:pPr>
    </w:p>
    <w:p w14:paraId="4BF8FEAB" w14:textId="4C79431E" w:rsidR="003E5632" w:rsidRDefault="0059116D" w:rsidP="0059116D">
      <w:pPr>
        <w:jc w:val="both"/>
      </w:pPr>
      <w:r>
        <w:t xml:space="preserve">In its assessment of investments in biodiversity-related activities from financial institutions, the Netherlands developed a survey and distributed it to </w:t>
      </w:r>
      <w:r w:rsidR="00D158D3">
        <w:t>the largest financial institutions in the country to assess the level of investments, loans, and biodiversity-related conservation measures for each institution.</w:t>
      </w:r>
      <w:r w:rsidR="0043727E">
        <w:rPr>
          <w:rStyle w:val="FootnoteReference"/>
        </w:rPr>
        <w:footnoteReference w:id="20"/>
      </w:r>
      <w:r w:rsidR="00D158D3">
        <w:t xml:space="preserve">  </w:t>
      </w:r>
      <w:r w:rsidR="00D049B6">
        <w:t xml:space="preserve"> </w:t>
      </w:r>
    </w:p>
    <w:p w14:paraId="46C91503" w14:textId="5677F3A2" w:rsidR="00E81A34" w:rsidRDefault="00E81A34" w:rsidP="006B527B">
      <w:pPr>
        <w:jc w:val="both"/>
      </w:pPr>
    </w:p>
    <w:p w14:paraId="52CA78C6" w14:textId="2239B3F1" w:rsidR="003E5632" w:rsidRDefault="003E5632" w:rsidP="006B527B">
      <w:pPr>
        <w:jc w:val="both"/>
      </w:pPr>
      <w:r>
        <w:t xml:space="preserve">In addition to collecting </w:t>
      </w:r>
      <w:r w:rsidR="00245328">
        <w:t>quantitative information of private funding for</w:t>
      </w:r>
      <w:r>
        <w:t xml:space="preserve"> biodiversity, this approach would serve to build the capacity of countries</w:t>
      </w:r>
      <w:r w:rsidR="00245328">
        <w:t xml:space="preserve"> and private organizations</w:t>
      </w:r>
      <w:r>
        <w:t xml:space="preserve"> to begin defining, identifying, collecting, and reporting on private investments in biodiversity. </w:t>
      </w:r>
    </w:p>
    <w:p w14:paraId="4868E653" w14:textId="77777777" w:rsidR="00425CC5" w:rsidRDefault="00425CC5" w:rsidP="00425CC5">
      <w:pPr>
        <w:jc w:val="both"/>
      </w:pPr>
    </w:p>
    <w:p w14:paraId="30F88A9A" w14:textId="5697420E" w:rsidR="00C940E4" w:rsidRDefault="00F7066C" w:rsidP="00C940E4">
      <w:pPr>
        <w:pStyle w:val="Heading2"/>
      </w:pPr>
      <w:r>
        <w:t>Conduct a global assessment of private finance for biodiversity</w:t>
      </w:r>
    </w:p>
    <w:p w14:paraId="48FE4CE8" w14:textId="77777777" w:rsidR="00F7066C" w:rsidRDefault="00F7066C" w:rsidP="00D816EA">
      <w:pPr>
        <w:jc w:val="both"/>
      </w:pPr>
    </w:p>
    <w:p w14:paraId="62309E38" w14:textId="3DF2C8F4" w:rsidR="00A71F77" w:rsidRDefault="00F7066C" w:rsidP="00D816EA">
      <w:pPr>
        <w:jc w:val="both"/>
      </w:pPr>
      <w:r>
        <w:t xml:space="preserve">While this report focused on </w:t>
      </w:r>
      <w:proofErr w:type="gramStart"/>
      <w:r>
        <w:t>approached</w:t>
      </w:r>
      <w:proofErr w:type="gramEnd"/>
      <w:r>
        <w:t xml:space="preserve"> for </w:t>
      </w:r>
      <w:r w:rsidRPr="006E56B0">
        <w:rPr>
          <w:i/>
          <w:iCs/>
        </w:rPr>
        <w:t>countries</w:t>
      </w:r>
      <w:r>
        <w:t xml:space="preserve"> to measure private financial flows at the national level, given the complexity of developing such estimates, and the risk of inconsistencies between countr</w:t>
      </w:r>
      <w:r w:rsidR="009E4DDC">
        <w:t>ies</w:t>
      </w:r>
      <w:r w:rsidR="00BE5015">
        <w:t>’</w:t>
      </w:r>
      <w:r>
        <w:t xml:space="preserve"> various approaches, an alternative approach to measuring private finance is </w:t>
      </w:r>
      <w:r w:rsidR="00BE5015">
        <w:t xml:space="preserve">for the Secretariat, or an organization acting on its behalf, </w:t>
      </w:r>
      <w:r>
        <w:t xml:space="preserve">to conduct </w:t>
      </w:r>
      <w:r w:rsidR="009E4DDC">
        <w:t xml:space="preserve">a periodic </w:t>
      </w:r>
      <w:r w:rsidRPr="006E56B0">
        <w:rPr>
          <w:i/>
          <w:iCs/>
        </w:rPr>
        <w:t xml:space="preserve">global </w:t>
      </w:r>
      <w:r w:rsidR="009E4DDC" w:rsidRPr="006E56B0">
        <w:rPr>
          <w:i/>
          <w:iCs/>
        </w:rPr>
        <w:t>assessment</w:t>
      </w:r>
      <w:r w:rsidR="00BE5015" w:rsidRPr="006E56B0">
        <w:rPr>
          <w:i/>
          <w:iCs/>
        </w:rPr>
        <w:t xml:space="preserve"> </w:t>
      </w:r>
      <w:r w:rsidR="00BE5015">
        <w:t>of private funding for biodiversity</w:t>
      </w:r>
      <w:r>
        <w:t>. Such</w:t>
      </w:r>
      <w:r w:rsidR="00BE5015">
        <w:t xml:space="preserve"> a</w:t>
      </w:r>
      <w:r>
        <w:t xml:space="preserve"> global assessment could be consistent with and build on </w:t>
      </w:r>
      <w:r w:rsidR="00BE5015">
        <w:t xml:space="preserve">methodologies from </w:t>
      </w:r>
      <w:r>
        <w:t>previous assessments</w:t>
      </w:r>
      <w:r w:rsidR="00BE5015">
        <w:t>, as</w:t>
      </w:r>
      <w:r>
        <w:t xml:space="preserve"> </w:t>
      </w:r>
      <w:r w:rsidR="00BE5015">
        <w:t>reviewed</w:t>
      </w:r>
      <w:r>
        <w:t xml:space="preserve"> in this report</w:t>
      </w:r>
      <w:r w:rsidR="00BE5015">
        <w:t>,</w:t>
      </w:r>
      <w:r w:rsidR="00D4553A">
        <w:t xml:space="preserve"> </w:t>
      </w:r>
      <w:r>
        <w:t>and draw on improved data sources as they become available in the future</w:t>
      </w:r>
      <w:r w:rsidR="00BE5015">
        <w:t>. Global assessments</w:t>
      </w:r>
      <w:r w:rsidR="009E4DDC">
        <w:t xml:space="preserve"> </w:t>
      </w:r>
      <w:r w:rsidR="00BE5015">
        <w:t>could also</w:t>
      </w:r>
      <w:r w:rsidR="009E4DDC">
        <w:t xml:space="preserve"> incorporate other sources and mechanisms of private funding as the landscape </w:t>
      </w:r>
      <w:r w:rsidR="0069498B">
        <w:t>of conservation</w:t>
      </w:r>
      <w:r w:rsidR="009E4DDC">
        <w:t xml:space="preserve"> finance evolves</w:t>
      </w:r>
      <w:r>
        <w:t xml:space="preserve">. </w:t>
      </w:r>
    </w:p>
    <w:p w14:paraId="109CFF80" w14:textId="6310C491" w:rsidR="00A71F77" w:rsidRDefault="001F42AE" w:rsidP="00A71F77">
      <w:pPr>
        <w:pStyle w:val="Heading1"/>
      </w:pPr>
      <w:bookmarkStart w:id="14" w:name="_Toc172018360"/>
      <w:r>
        <w:t xml:space="preserve">Section Eleven: </w:t>
      </w:r>
      <w:r w:rsidR="00CF4809">
        <w:t>Recommendations and Conclusions</w:t>
      </w:r>
      <w:bookmarkEnd w:id="14"/>
    </w:p>
    <w:p w14:paraId="4C4F22F4" w14:textId="77777777" w:rsidR="00A71F77" w:rsidRDefault="00A71F77" w:rsidP="00A71F77"/>
    <w:p w14:paraId="08A424A5" w14:textId="77777777" w:rsidR="009A6058" w:rsidRDefault="00A71F77" w:rsidP="00C8412D">
      <w:pPr>
        <w:jc w:val="both"/>
      </w:pPr>
      <w:r>
        <w:t xml:space="preserve">This </w:t>
      </w:r>
      <w:r w:rsidR="00BE5015">
        <w:t>report</w:t>
      </w:r>
      <w:r>
        <w:t xml:space="preserve"> draws on recent global and national assessments of private financial flows to biodiversity to </w:t>
      </w:r>
      <w:r w:rsidR="004800A5">
        <w:t xml:space="preserve">identify and </w:t>
      </w:r>
      <w:r>
        <w:t xml:space="preserve">assess approaches for countries </w:t>
      </w:r>
      <w:r w:rsidR="004800A5">
        <w:t xml:space="preserve">to </w:t>
      </w:r>
      <w:r w:rsidR="00952B6C">
        <w:t>report</w:t>
      </w:r>
      <w:r>
        <w:t xml:space="preserve"> on private financial flows </w:t>
      </w:r>
      <w:r w:rsidR="00952B6C">
        <w:t>under the KMGBF monitoring framework</w:t>
      </w:r>
      <w:r>
        <w:t xml:space="preserve">. As </w:t>
      </w:r>
      <w:r w:rsidR="004800A5">
        <w:t>discussed</w:t>
      </w:r>
      <w:r>
        <w:t xml:space="preserve">, there is no robust methodology or data source for countries to </w:t>
      </w:r>
      <w:r w:rsidR="000E0EF9">
        <w:t xml:space="preserve">apply that would capture </w:t>
      </w:r>
      <w:r w:rsidR="000E0EF9" w:rsidRPr="004800A5">
        <w:rPr>
          <w:i/>
          <w:iCs/>
        </w:rPr>
        <w:t>all</w:t>
      </w:r>
      <w:r w:rsidR="000E0EF9">
        <w:t xml:space="preserve"> private financial flows to biodiversity</w:t>
      </w:r>
      <w:r>
        <w:t xml:space="preserve">.  Rather, </w:t>
      </w:r>
      <w:r>
        <w:lastRenderedPageBreak/>
        <w:t xml:space="preserve">a flexible approach may be necessary to provide countries with a set of options, based on their national circumstances, to begin reporting </w:t>
      </w:r>
      <w:r w:rsidR="004800A5">
        <w:t xml:space="preserve">on available data for biodiversity-relevant financial flows, </w:t>
      </w:r>
      <w:r>
        <w:t>and building capacity to work with the private sector to develop more robust, consistent measurements in the future.</w:t>
      </w:r>
      <w:r w:rsidR="00AC0ADB">
        <w:t xml:space="preserve">  </w:t>
      </w:r>
    </w:p>
    <w:p w14:paraId="5BDE7A71" w14:textId="77777777" w:rsidR="009A6058" w:rsidRDefault="009A6058" w:rsidP="00C8412D">
      <w:pPr>
        <w:jc w:val="both"/>
      </w:pPr>
    </w:p>
    <w:p w14:paraId="06A03D96" w14:textId="40BEC1C4" w:rsidR="004D60C6" w:rsidRDefault="00AC0ADB" w:rsidP="00C8412D">
      <w:pPr>
        <w:jc w:val="both"/>
      </w:pPr>
      <w:r>
        <w:t xml:space="preserve">Current assessments have relied on both top-down approaches to measuring financial flows, drawing on existing databases and research, and bottom-up approaches that rely on conducting targeted surveys </w:t>
      </w:r>
      <w:r w:rsidR="00A66941">
        <w:t xml:space="preserve">to collect specific information on biodiversity investments.  For example, global databases such as the OECD CRS and global estimates of the value of sustainable supply chains </w:t>
      </w:r>
      <w:proofErr w:type="gramStart"/>
      <w:r w:rsidR="00A66941">
        <w:t>allows</w:t>
      </w:r>
      <w:proofErr w:type="gramEnd"/>
      <w:r w:rsidR="00A66941">
        <w:t xml:space="preserve"> for the quantification for select biodiversity-related funding mechanisms such as private philanthropy, blended finance, and investments in sustainable supply chains. </w:t>
      </w:r>
      <w:r>
        <w:t xml:space="preserve">  </w:t>
      </w:r>
      <w:r w:rsidR="00A66941">
        <w:t xml:space="preserve">These estimates are augmented with bottom-up approaches, primarily </w:t>
      </w:r>
      <w:r w:rsidR="009A6058">
        <w:t>using</w:t>
      </w:r>
      <w:r w:rsidR="00A66941">
        <w:t xml:space="preserve"> surveys, where global datasets do not exist, and have been applied to estimate private financial flows through other biodiversity-related mechanisms such as </w:t>
      </w:r>
      <w:r w:rsidR="005A1206">
        <w:t xml:space="preserve">biodiversity </w:t>
      </w:r>
      <w:r w:rsidR="00A66941">
        <w:t xml:space="preserve">offsets, PES, and </w:t>
      </w:r>
      <w:r w:rsidR="009A6058">
        <w:t xml:space="preserve">green financial products.  Thus, it is recommended to employ a similar hybrid approach for national reporting to capture more comprehensive private financial flows. </w:t>
      </w:r>
    </w:p>
    <w:p w14:paraId="359401D7" w14:textId="77777777" w:rsidR="004D60C6" w:rsidRDefault="004D60C6" w:rsidP="00A71F77"/>
    <w:p w14:paraId="79703A77" w14:textId="711C6181" w:rsidR="001E0812" w:rsidRDefault="004800A5" w:rsidP="00EA39C5">
      <w:pPr>
        <w:jc w:val="both"/>
      </w:pPr>
      <w:r>
        <w:t>Given the challenges in identifying and reporting on biodiversity-relevant private funding</w:t>
      </w:r>
      <w:r w:rsidR="00EA39C5">
        <w:t xml:space="preserve">, countries may </w:t>
      </w:r>
      <w:r w:rsidR="00A93AFC">
        <w:t>need to enact</w:t>
      </w:r>
      <w:r w:rsidR="00EA39C5">
        <w:t xml:space="preserve"> regulations and develop frameworks such as a </w:t>
      </w:r>
      <w:r w:rsidR="00952B6C">
        <w:t>biodiversity-</w:t>
      </w:r>
      <w:r w:rsidR="00A93AFC">
        <w:t>relevant</w:t>
      </w:r>
      <w:r w:rsidR="00952B6C">
        <w:t xml:space="preserve"> sustainable finance</w:t>
      </w:r>
      <w:r w:rsidR="00EA39C5">
        <w:t xml:space="preserve"> taxonomy</w:t>
      </w:r>
      <w:r>
        <w:t xml:space="preserve"> that clearly defines</w:t>
      </w:r>
      <w:r w:rsidR="00EA39C5">
        <w:t xml:space="preserve"> </w:t>
      </w:r>
      <w:r w:rsidR="00A93AFC">
        <w:t xml:space="preserve">biodiversity expenditures and investments, and </w:t>
      </w:r>
      <w:r w:rsidR="00EA39C5">
        <w:t xml:space="preserve">to build the capacity of private organizations to not only disclose their impacts and dependencies on biodiversity, but to begin tracking expenditures and investments in biodiversity-related activities.  </w:t>
      </w:r>
    </w:p>
    <w:p w14:paraId="004C1CC4" w14:textId="77777777" w:rsidR="001E0812" w:rsidRDefault="001E0812" w:rsidP="00EA39C5">
      <w:pPr>
        <w:jc w:val="both"/>
      </w:pPr>
    </w:p>
    <w:p w14:paraId="460E28C3" w14:textId="14649ECE" w:rsidR="001E0812" w:rsidRDefault="001E0812" w:rsidP="00EA39C5">
      <w:pPr>
        <w:jc w:val="both"/>
      </w:pPr>
      <w:r>
        <w:t>Based on this assessment, existing data sources and methodologies countries could draw on for national reporting include the following:</w:t>
      </w:r>
    </w:p>
    <w:p w14:paraId="232739BB" w14:textId="77777777" w:rsidR="001E0812" w:rsidRDefault="001E0812" w:rsidP="00EA39C5">
      <w:pPr>
        <w:jc w:val="both"/>
      </w:pPr>
    </w:p>
    <w:p w14:paraId="1DBF5B78" w14:textId="5B9622D4" w:rsidR="001E0812" w:rsidRDefault="001E0812" w:rsidP="001E0812">
      <w:pPr>
        <w:pStyle w:val="ListParagraph"/>
        <w:numPr>
          <w:ilvl w:val="0"/>
          <w:numId w:val="30"/>
        </w:numPr>
        <w:jc w:val="both"/>
      </w:pPr>
      <w:r>
        <w:t>OECD CRS for international private philanthropy for development</w:t>
      </w:r>
    </w:p>
    <w:p w14:paraId="7BCE84A5" w14:textId="40B9B667" w:rsidR="001E0812" w:rsidRDefault="001E0812" w:rsidP="001E0812">
      <w:pPr>
        <w:pStyle w:val="ListParagraph"/>
        <w:numPr>
          <w:ilvl w:val="0"/>
          <w:numId w:val="30"/>
        </w:numPr>
        <w:jc w:val="both"/>
      </w:pPr>
      <w:r>
        <w:t>OECD CRS for private funding mobilized by official development finance (bilateral and limited multilateral partners)</w:t>
      </w:r>
    </w:p>
    <w:p w14:paraId="3BEDCBE6" w14:textId="71A7A833" w:rsidR="001E0812" w:rsidRDefault="001E0812" w:rsidP="001E0812">
      <w:pPr>
        <w:pStyle w:val="ListParagraph"/>
        <w:numPr>
          <w:ilvl w:val="0"/>
          <w:numId w:val="30"/>
        </w:numPr>
        <w:jc w:val="both"/>
      </w:pPr>
      <w:r>
        <w:t>OECD PINE database for biodiversity offsets and payments for ecosystem services (assuming private funding can be separated from public funding)</w:t>
      </w:r>
    </w:p>
    <w:p w14:paraId="46BAEEF6" w14:textId="47174744" w:rsidR="001E0812" w:rsidRDefault="001E0812" w:rsidP="001E0812">
      <w:pPr>
        <w:pStyle w:val="ListParagraph"/>
        <w:numPr>
          <w:ilvl w:val="0"/>
          <w:numId w:val="30"/>
        </w:numPr>
        <w:jc w:val="both"/>
      </w:pPr>
      <w:r>
        <w:t>UNDP BIOFIN Expenditure Review (assuming countries have collected private funding in addition to public expenditures)</w:t>
      </w:r>
    </w:p>
    <w:p w14:paraId="562FB85E" w14:textId="1C8DA64A" w:rsidR="001E0812" w:rsidRDefault="001E0812" w:rsidP="001E0812">
      <w:pPr>
        <w:pStyle w:val="ListParagraph"/>
        <w:numPr>
          <w:ilvl w:val="0"/>
          <w:numId w:val="30"/>
        </w:numPr>
        <w:jc w:val="both"/>
      </w:pPr>
      <w:r>
        <w:t xml:space="preserve">National Statistical Accounts following the SEEA-CF framework for environmental protection expenditures (utilizing </w:t>
      </w:r>
      <w:r w:rsidR="004800A5">
        <w:t xml:space="preserve">the classes of environmental protection suitable to the unique </w:t>
      </w:r>
      <w:proofErr w:type="gramStart"/>
      <w:r w:rsidR="004800A5">
        <w:t>country</w:t>
      </w:r>
      <w:proofErr w:type="gramEnd"/>
      <w:r w:rsidR="004800A5">
        <w:t xml:space="preserve"> conditions</w:t>
      </w:r>
      <w:r>
        <w:t>)</w:t>
      </w:r>
    </w:p>
    <w:p w14:paraId="3BD5AC36" w14:textId="3BE6D5B2" w:rsidR="001E0812" w:rsidRDefault="001E0812" w:rsidP="001E0812">
      <w:pPr>
        <w:pStyle w:val="ListParagraph"/>
        <w:numPr>
          <w:ilvl w:val="0"/>
          <w:numId w:val="30"/>
        </w:numPr>
        <w:jc w:val="both"/>
      </w:pPr>
      <w:r>
        <w:t xml:space="preserve">Public </w:t>
      </w:r>
      <w:r w:rsidR="00C43B81">
        <w:t>information on</w:t>
      </w:r>
      <w:r>
        <w:t xml:space="preserve"> conservation non-governmental organizations and civil society organizations</w:t>
      </w:r>
    </w:p>
    <w:p w14:paraId="49F09F31" w14:textId="4BC7935B" w:rsidR="001E0812" w:rsidRDefault="001E0812" w:rsidP="001E0812">
      <w:pPr>
        <w:pStyle w:val="ListParagraph"/>
        <w:numPr>
          <w:ilvl w:val="0"/>
          <w:numId w:val="30"/>
        </w:numPr>
        <w:jc w:val="both"/>
      </w:pPr>
      <w:r>
        <w:t xml:space="preserve">National information on other </w:t>
      </w:r>
      <w:r w:rsidR="00983040">
        <w:t>biodiversity-relevant instruments</w:t>
      </w:r>
      <w:r>
        <w:t xml:space="preserve"> from </w:t>
      </w:r>
      <w:r w:rsidR="00877D8F">
        <w:t xml:space="preserve">additional </w:t>
      </w:r>
      <w:r>
        <w:t xml:space="preserve">sources including financial institutions, </w:t>
      </w:r>
      <w:proofErr w:type="gramStart"/>
      <w:r>
        <w:t>corporation</w:t>
      </w:r>
      <w:proofErr w:type="gramEnd"/>
      <w:r>
        <w:t>, and businesses</w:t>
      </w:r>
    </w:p>
    <w:p w14:paraId="61E483DB" w14:textId="77777777" w:rsidR="009A6058" w:rsidRDefault="009A6058" w:rsidP="009A6058">
      <w:pPr>
        <w:jc w:val="both"/>
      </w:pPr>
    </w:p>
    <w:p w14:paraId="23D06E4A" w14:textId="4E8FBE68" w:rsidR="009A6058" w:rsidRDefault="009A6058" w:rsidP="009A6058">
      <w:pPr>
        <w:jc w:val="both"/>
      </w:pPr>
      <w:r>
        <w:lastRenderedPageBreak/>
        <w:t xml:space="preserve">A final consideration when establishing approaches to measuring private financial flows to biodiversity is geographic representation.  </w:t>
      </w:r>
      <w:r w:rsidR="00FA4857">
        <w:t xml:space="preserve">Many of the organizations investing in biodiversity are multinational and internationally </w:t>
      </w:r>
      <w:r w:rsidR="000A6314">
        <w:t>funded and</w:t>
      </w:r>
      <w:r w:rsidR="00FA4857">
        <w:t xml:space="preserve"> may be legally registered in one country but obtain funding from outside sources.  This </w:t>
      </w:r>
      <w:r w:rsidR="00604E81">
        <w:t>may</w:t>
      </w:r>
      <w:r w:rsidR="00FA4857">
        <w:t xml:space="preserve"> be addressed by establishing clear and consistent reporting approaches that reduce the risk of double counting</w:t>
      </w:r>
      <w:r w:rsidR="00191ED7">
        <w:t>, leveraging international frameworks such as the OECD CRS.</w:t>
      </w:r>
    </w:p>
    <w:p w14:paraId="1744CA04" w14:textId="56177B2D" w:rsidR="00744BBC" w:rsidRDefault="00744BBC" w:rsidP="002145C7">
      <w:pPr>
        <w:jc w:val="both"/>
      </w:pPr>
    </w:p>
    <w:p w14:paraId="5F55D7DC" w14:textId="21A0E6C2" w:rsidR="00C927BA" w:rsidRDefault="00A93AFC" w:rsidP="00EA39C5">
      <w:pPr>
        <w:jc w:val="both"/>
      </w:pPr>
      <w:r>
        <w:t xml:space="preserve">The following table outlines the recommended suite of indicators to report on Headline Indicator D.3 for private funding for biodiversity, drawing on the various data and approaches available, and offering the opportunity for countries to propose their own methodology for collecting and reporting.  It is hoped that this flexible approach will afford countries the greatest opportunity to begin </w:t>
      </w:r>
      <w:r w:rsidR="002B41C2">
        <w:t>partnering with their private sector to develop a framework that enables greater transparency into expenditures and investments that align with biodiversity objectives, and ultimately phase ou</w:t>
      </w:r>
      <w:r w:rsidR="003C2F37">
        <w:t>t</w:t>
      </w:r>
      <w:r w:rsidR="002B41C2">
        <w:t xml:space="preserve"> or eliminate those that cause harm.  </w:t>
      </w:r>
    </w:p>
    <w:p w14:paraId="386C56A4" w14:textId="77777777" w:rsidR="003A45E4" w:rsidRDefault="003A45E4" w:rsidP="00EA39C5">
      <w:pPr>
        <w:jc w:val="both"/>
      </w:pPr>
    </w:p>
    <w:p w14:paraId="305BA230" w14:textId="6D866717" w:rsidR="00744BBC" w:rsidRDefault="00744BBC" w:rsidP="00744BBC">
      <w:pPr>
        <w:pStyle w:val="Caption"/>
      </w:pPr>
      <w:r>
        <w:t xml:space="preserve">Table </w:t>
      </w:r>
      <w:fldSimple w:instr=" SEQ Table \* ARABIC ">
        <w:r w:rsidR="00540223">
          <w:rPr>
            <w:noProof/>
          </w:rPr>
          <w:t>7</w:t>
        </w:r>
      </w:fldSimple>
      <w:r>
        <w:t xml:space="preserve"> </w:t>
      </w:r>
      <w:r w:rsidR="00B862DA">
        <w:t xml:space="preserve">Possible </w:t>
      </w:r>
      <w:r>
        <w:t>approach</w:t>
      </w:r>
      <w:r w:rsidR="00B862DA">
        <w:t>es</w:t>
      </w:r>
      <w:r>
        <w:t xml:space="preserve"> to reporting on Headline Indicator D.3</w:t>
      </w:r>
    </w:p>
    <w:p w14:paraId="7493082A" w14:textId="684E8C66" w:rsidR="009D4D16" w:rsidRPr="009D4D16" w:rsidRDefault="009D4D16" w:rsidP="009D4D16">
      <w:r w:rsidRPr="009D4D16">
        <w:rPr>
          <w:b/>
          <w:bCs/>
        </w:rPr>
        <w:t>Headline Indicator: D.3.</w:t>
      </w:r>
      <w:r>
        <w:t xml:space="preserve"> Private funding (domestic and international) on conservation and sustainable use of biodiversity and ecosystems.</w:t>
      </w:r>
    </w:p>
    <w:tbl>
      <w:tblPr>
        <w:tblStyle w:val="TableGrid"/>
        <w:tblW w:w="9355" w:type="dxa"/>
        <w:tblLayout w:type="fixed"/>
        <w:tblLook w:val="04A0" w:firstRow="1" w:lastRow="0" w:firstColumn="1" w:lastColumn="0" w:noHBand="0" w:noVBand="1"/>
      </w:tblPr>
      <w:tblGrid>
        <w:gridCol w:w="4585"/>
        <w:gridCol w:w="4770"/>
      </w:tblGrid>
      <w:tr w:rsidR="009D4D16" w14:paraId="3E6931C8" w14:textId="2A74138D" w:rsidTr="001320B1">
        <w:trPr>
          <w:trHeight w:val="440"/>
        </w:trPr>
        <w:tc>
          <w:tcPr>
            <w:tcW w:w="4585" w:type="dxa"/>
            <w:shd w:val="clear" w:color="auto" w:fill="AEAAAA" w:themeFill="background2" w:themeFillShade="BF"/>
            <w:vAlign w:val="center"/>
          </w:tcPr>
          <w:p w14:paraId="046D9D01" w14:textId="582DCC79" w:rsidR="009D4D16" w:rsidRPr="006007E9" w:rsidRDefault="00B862DA" w:rsidP="00EA39C5">
            <w:pPr>
              <w:jc w:val="both"/>
              <w:rPr>
                <w:b/>
                <w:bCs/>
              </w:rPr>
            </w:pPr>
            <w:r>
              <w:rPr>
                <w:b/>
                <w:bCs/>
              </w:rPr>
              <w:t>Possible</w:t>
            </w:r>
            <w:r w:rsidRPr="006007E9">
              <w:rPr>
                <w:b/>
                <w:bCs/>
              </w:rPr>
              <w:t xml:space="preserve"> </w:t>
            </w:r>
            <w:r w:rsidR="009D4D16" w:rsidRPr="006007E9">
              <w:rPr>
                <w:b/>
                <w:bCs/>
              </w:rPr>
              <w:t>Approach</w:t>
            </w:r>
          </w:p>
        </w:tc>
        <w:tc>
          <w:tcPr>
            <w:tcW w:w="4770" w:type="dxa"/>
            <w:shd w:val="clear" w:color="auto" w:fill="AEAAAA" w:themeFill="background2" w:themeFillShade="BF"/>
            <w:vAlign w:val="center"/>
          </w:tcPr>
          <w:p w14:paraId="7C2CEBAD" w14:textId="700A262E" w:rsidR="009D4D16" w:rsidRPr="006007E9" w:rsidRDefault="009D4D16" w:rsidP="00EA39C5">
            <w:pPr>
              <w:jc w:val="both"/>
              <w:rPr>
                <w:b/>
                <w:bCs/>
              </w:rPr>
            </w:pPr>
            <w:r w:rsidRPr="006007E9">
              <w:rPr>
                <w:b/>
                <w:bCs/>
              </w:rPr>
              <w:t>Methodology</w:t>
            </w:r>
          </w:p>
        </w:tc>
      </w:tr>
      <w:tr w:rsidR="009D4D16" w14:paraId="60B361EE" w14:textId="77777777" w:rsidTr="001320B1">
        <w:trPr>
          <w:trHeight w:val="350"/>
        </w:trPr>
        <w:tc>
          <w:tcPr>
            <w:tcW w:w="9355" w:type="dxa"/>
            <w:gridSpan w:val="2"/>
            <w:shd w:val="clear" w:color="auto" w:fill="D0CECE" w:themeFill="background2" w:themeFillShade="E6"/>
            <w:vAlign w:val="center"/>
          </w:tcPr>
          <w:p w14:paraId="1E9BF930" w14:textId="708D4BEB" w:rsidR="009D4D16" w:rsidRDefault="009D4D16" w:rsidP="00EA39C5">
            <w:pPr>
              <w:jc w:val="both"/>
            </w:pPr>
            <w:r w:rsidRPr="003D4764">
              <w:rPr>
                <w:b/>
                <w:bCs/>
              </w:rPr>
              <w:t xml:space="preserve">Option </w:t>
            </w:r>
            <w:r w:rsidRPr="006007E9">
              <w:rPr>
                <w:b/>
                <w:bCs/>
              </w:rPr>
              <w:t>1: Disaggregation of private funding by instrument type</w:t>
            </w:r>
          </w:p>
        </w:tc>
      </w:tr>
      <w:tr w:rsidR="009D4D16" w14:paraId="481F6D21" w14:textId="77777777" w:rsidTr="009D4D16">
        <w:tc>
          <w:tcPr>
            <w:tcW w:w="4585" w:type="dxa"/>
          </w:tcPr>
          <w:p w14:paraId="1672E455" w14:textId="447D7778" w:rsidR="009D4D16" w:rsidRDefault="009D4D16" w:rsidP="003D4764">
            <w:pPr>
              <w:pStyle w:val="ListParagraph"/>
              <w:numPr>
                <w:ilvl w:val="0"/>
                <w:numId w:val="31"/>
              </w:numPr>
              <w:ind w:left="342" w:hanging="270"/>
            </w:pPr>
            <w:r>
              <w:t>International Private Philanthropy for Development</w:t>
            </w:r>
          </w:p>
        </w:tc>
        <w:tc>
          <w:tcPr>
            <w:tcW w:w="4770" w:type="dxa"/>
          </w:tcPr>
          <w:p w14:paraId="50AE41CE" w14:textId="7C698090" w:rsidR="009D4D16" w:rsidRDefault="009D4D16" w:rsidP="003D4764">
            <w:r>
              <w:t>OECD-CRS</w:t>
            </w:r>
          </w:p>
        </w:tc>
      </w:tr>
      <w:tr w:rsidR="009D4D16" w14:paraId="058AEB1C" w14:textId="77777777" w:rsidTr="009D4D16">
        <w:tc>
          <w:tcPr>
            <w:tcW w:w="4585" w:type="dxa"/>
          </w:tcPr>
          <w:p w14:paraId="4DD54933" w14:textId="6587785F" w:rsidR="009D4D16" w:rsidRPr="003D4764" w:rsidRDefault="009D4D16" w:rsidP="00FF2361">
            <w:pPr>
              <w:pStyle w:val="ListParagraph"/>
              <w:numPr>
                <w:ilvl w:val="0"/>
                <w:numId w:val="31"/>
              </w:numPr>
              <w:ind w:left="342" w:hanging="270"/>
            </w:pPr>
            <w:r>
              <w:t>Private finance mobilized by ODF for biodiversity</w:t>
            </w:r>
            <w:r w:rsidR="00203E1E">
              <w:t xml:space="preserve"> and </w:t>
            </w:r>
            <w:r w:rsidR="007C3D46">
              <w:t xml:space="preserve">other </w:t>
            </w:r>
            <w:r w:rsidR="00203E1E">
              <w:t>blended finance</w:t>
            </w:r>
          </w:p>
        </w:tc>
        <w:tc>
          <w:tcPr>
            <w:tcW w:w="4770" w:type="dxa"/>
          </w:tcPr>
          <w:p w14:paraId="0A65FC40" w14:textId="2E325A7D" w:rsidR="009D4D16" w:rsidRDefault="009D4D16" w:rsidP="003D4764">
            <w:r>
              <w:t>OECD-CRS</w:t>
            </w:r>
            <w:r w:rsidR="00203E1E">
              <w:t xml:space="preserve"> for private finance mobilized by ODF</w:t>
            </w:r>
            <w:r w:rsidR="007C3D46">
              <w:t>;</w:t>
            </w:r>
            <w:r w:rsidR="00203E1E">
              <w:t xml:space="preserve"> direct collection of private finance mobilized through blended finance</w:t>
            </w:r>
            <w:r w:rsidR="007C3D46">
              <w:t xml:space="preserve"> approaches </w:t>
            </w:r>
            <w:r w:rsidR="00203E1E">
              <w:t xml:space="preserve">from non-ODF </w:t>
            </w:r>
            <w:r w:rsidR="007C3D46">
              <w:t xml:space="preserve">sources </w:t>
            </w:r>
            <w:r w:rsidR="00203E1E">
              <w:t>(e.g. development banks and private foundations)</w:t>
            </w:r>
          </w:p>
        </w:tc>
      </w:tr>
      <w:tr w:rsidR="009D4D16" w14:paraId="6593A401" w14:textId="77777777" w:rsidTr="009D4D16">
        <w:tc>
          <w:tcPr>
            <w:tcW w:w="4585" w:type="dxa"/>
          </w:tcPr>
          <w:p w14:paraId="2460AD45" w14:textId="011E69AC" w:rsidR="009D4D16" w:rsidRPr="003D4764" w:rsidRDefault="009D4D16" w:rsidP="00FF2361">
            <w:pPr>
              <w:pStyle w:val="ListParagraph"/>
              <w:numPr>
                <w:ilvl w:val="0"/>
                <w:numId w:val="31"/>
              </w:numPr>
              <w:ind w:left="342" w:hanging="270"/>
            </w:pPr>
            <w:r>
              <w:t>Biodiversity offsets</w:t>
            </w:r>
          </w:p>
        </w:tc>
        <w:tc>
          <w:tcPr>
            <w:tcW w:w="4770" w:type="dxa"/>
          </w:tcPr>
          <w:p w14:paraId="2BE404A9" w14:textId="70FA3E83" w:rsidR="009D4D16" w:rsidRDefault="009D4D16" w:rsidP="003D4764">
            <w:r>
              <w:t>OECD-PINE (or alternative approach)</w:t>
            </w:r>
          </w:p>
        </w:tc>
      </w:tr>
      <w:tr w:rsidR="009D4D16" w14:paraId="4D499A8A" w14:textId="77777777" w:rsidTr="009D4D16">
        <w:tc>
          <w:tcPr>
            <w:tcW w:w="4585" w:type="dxa"/>
          </w:tcPr>
          <w:p w14:paraId="6B2F0DEF" w14:textId="6569C365" w:rsidR="009D4D16" w:rsidRPr="003D4764" w:rsidRDefault="009D4D16" w:rsidP="00FF2361">
            <w:pPr>
              <w:pStyle w:val="ListParagraph"/>
              <w:numPr>
                <w:ilvl w:val="0"/>
                <w:numId w:val="31"/>
              </w:numPr>
              <w:ind w:left="342" w:hanging="270"/>
            </w:pPr>
            <w:r>
              <w:t>Payments for Ecosystem Services</w:t>
            </w:r>
          </w:p>
        </w:tc>
        <w:tc>
          <w:tcPr>
            <w:tcW w:w="4770" w:type="dxa"/>
          </w:tcPr>
          <w:p w14:paraId="0736683D" w14:textId="0661A1E3" w:rsidR="009D4D16" w:rsidRDefault="009D4D16" w:rsidP="003D4764">
            <w:r>
              <w:t>OECD-PINE (or alternative approach)</w:t>
            </w:r>
          </w:p>
        </w:tc>
      </w:tr>
      <w:tr w:rsidR="003C2F37" w14:paraId="163C91EE" w14:textId="77777777" w:rsidTr="009D4D16">
        <w:tc>
          <w:tcPr>
            <w:tcW w:w="4585" w:type="dxa"/>
          </w:tcPr>
          <w:p w14:paraId="7EDCC7B9" w14:textId="14875E0D" w:rsidR="003C2F37" w:rsidRDefault="003C2F37" w:rsidP="00FF2361">
            <w:pPr>
              <w:pStyle w:val="ListParagraph"/>
              <w:numPr>
                <w:ilvl w:val="0"/>
                <w:numId w:val="31"/>
              </w:numPr>
              <w:ind w:left="342" w:hanging="270"/>
            </w:pPr>
            <w:r>
              <w:t>Biodiversity-relevant climate finance</w:t>
            </w:r>
          </w:p>
        </w:tc>
        <w:tc>
          <w:tcPr>
            <w:tcW w:w="4770" w:type="dxa"/>
          </w:tcPr>
          <w:p w14:paraId="76E6FB1D" w14:textId="02813ED9" w:rsidR="003C2F37" w:rsidRDefault="003C2F37" w:rsidP="003D4764">
            <w:pPr>
              <w:jc w:val="both"/>
            </w:pPr>
            <w:r>
              <w:t>Countries may draw from the VCM transactions with biodiversity co-benefits, or establish their own methodology</w:t>
            </w:r>
          </w:p>
        </w:tc>
      </w:tr>
      <w:tr w:rsidR="009D4D16" w14:paraId="0F7816A1" w14:textId="77777777" w:rsidTr="009D4D16">
        <w:tc>
          <w:tcPr>
            <w:tcW w:w="4585" w:type="dxa"/>
          </w:tcPr>
          <w:p w14:paraId="7F0346AB" w14:textId="3E6B2660" w:rsidR="009D4D16" w:rsidRPr="003D4764" w:rsidRDefault="009D4D16" w:rsidP="00FF2361">
            <w:pPr>
              <w:pStyle w:val="ListParagraph"/>
              <w:numPr>
                <w:ilvl w:val="0"/>
                <w:numId w:val="31"/>
              </w:numPr>
              <w:ind w:left="342" w:hanging="270"/>
            </w:pPr>
            <w:r>
              <w:t>Domestic Private Donations</w:t>
            </w:r>
          </w:p>
        </w:tc>
        <w:tc>
          <w:tcPr>
            <w:tcW w:w="4770" w:type="dxa"/>
          </w:tcPr>
          <w:p w14:paraId="3BBAFC91" w14:textId="34010147" w:rsidR="009D4D16" w:rsidRDefault="009D4D16" w:rsidP="003D4764">
            <w:pPr>
              <w:jc w:val="both"/>
            </w:pPr>
            <w:r>
              <w:t>Publicly available information and surveys</w:t>
            </w:r>
          </w:p>
        </w:tc>
      </w:tr>
      <w:tr w:rsidR="009D4D16" w14:paraId="59CE19E2" w14:textId="77777777" w:rsidTr="009D4D16">
        <w:tc>
          <w:tcPr>
            <w:tcW w:w="4585" w:type="dxa"/>
          </w:tcPr>
          <w:p w14:paraId="4732200A" w14:textId="07A62951" w:rsidR="009D4D16" w:rsidRPr="003D4764" w:rsidRDefault="009D4D16" w:rsidP="00FF2361">
            <w:pPr>
              <w:pStyle w:val="ListParagraph"/>
              <w:numPr>
                <w:ilvl w:val="0"/>
                <w:numId w:val="31"/>
              </w:numPr>
              <w:ind w:left="342" w:hanging="270"/>
            </w:pPr>
            <w:r>
              <w:t>Sustainable Commodities</w:t>
            </w:r>
          </w:p>
        </w:tc>
        <w:tc>
          <w:tcPr>
            <w:tcW w:w="4770" w:type="dxa"/>
          </w:tcPr>
          <w:p w14:paraId="69040203" w14:textId="032E3333" w:rsidR="009D4D16" w:rsidRDefault="009D4D16" w:rsidP="003D4764">
            <w:r>
              <w:t xml:space="preserve">Countries may establish their own methodology for relevant commodities.  The metadata factsheet offers one such methodology used in global estimates. </w:t>
            </w:r>
          </w:p>
        </w:tc>
      </w:tr>
      <w:tr w:rsidR="009D4D16" w14:paraId="7232E026" w14:textId="77777777" w:rsidTr="009D4D16">
        <w:tc>
          <w:tcPr>
            <w:tcW w:w="4585" w:type="dxa"/>
          </w:tcPr>
          <w:p w14:paraId="46D7D6F4" w14:textId="07095A51" w:rsidR="009D4D16" w:rsidRPr="003D4764" w:rsidRDefault="009D4D16" w:rsidP="00FF2361">
            <w:pPr>
              <w:pStyle w:val="ListParagraph"/>
              <w:numPr>
                <w:ilvl w:val="0"/>
                <w:numId w:val="31"/>
              </w:numPr>
              <w:ind w:left="342" w:hanging="270"/>
            </w:pPr>
            <w:r>
              <w:t>Private benefit sharing scheme</w:t>
            </w:r>
            <w:r w:rsidRPr="00A93AFC">
              <w:rPr>
                <w:vertAlign w:val="superscript"/>
              </w:rPr>
              <w:t>1</w:t>
            </w:r>
          </w:p>
        </w:tc>
        <w:tc>
          <w:tcPr>
            <w:tcW w:w="4770" w:type="dxa"/>
          </w:tcPr>
          <w:p w14:paraId="615E1AB1" w14:textId="688B2AB7" w:rsidR="009D4D16" w:rsidRDefault="009D4D16" w:rsidP="003D4764">
            <w:r>
              <w:t>Countries may rely on existing information or bottom-up approaches to collect this information.</w:t>
            </w:r>
          </w:p>
        </w:tc>
      </w:tr>
      <w:tr w:rsidR="009D4D16" w14:paraId="5758D70B" w14:textId="34C7FD83" w:rsidTr="001320B1">
        <w:trPr>
          <w:trHeight w:val="1628"/>
        </w:trPr>
        <w:tc>
          <w:tcPr>
            <w:tcW w:w="4585" w:type="dxa"/>
          </w:tcPr>
          <w:p w14:paraId="0CC146C5" w14:textId="48D00B19" w:rsidR="009D4D16" w:rsidRDefault="009D4D16" w:rsidP="003D4764">
            <w:pPr>
              <w:pStyle w:val="ListParagraph"/>
              <w:numPr>
                <w:ilvl w:val="0"/>
                <w:numId w:val="31"/>
              </w:numPr>
              <w:ind w:left="342" w:hanging="270"/>
            </w:pPr>
            <w:r>
              <w:lastRenderedPageBreak/>
              <w:t>Other instruments (e.g. Biodiversity-relevant Bonds, Biodiversity-relevant impact investing, biodiversity-relevant credit markets, biodiversity-relevant insurance products, etc.)</w:t>
            </w:r>
          </w:p>
        </w:tc>
        <w:tc>
          <w:tcPr>
            <w:tcW w:w="4770" w:type="dxa"/>
          </w:tcPr>
          <w:p w14:paraId="6DC4B101" w14:textId="3D624FFA" w:rsidR="009D4D16" w:rsidRDefault="009D4D16" w:rsidP="009D4D16">
            <w:r>
              <w:t xml:space="preserve">Countries may establish their own bottom-up methodology for biodiversity-relevant instruments that </w:t>
            </w:r>
            <w:proofErr w:type="gramStart"/>
            <w:r>
              <w:t>is</w:t>
            </w:r>
            <w:proofErr w:type="gramEnd"/>
            <w:r>
              <w:t xml:space="preserve"> transparent, consistent, and robust.</w:t>
            </w:r>
          </w:p>
        </w:tc>
      </w:tr>
      <w:tr w:rsidR="009D4D16" w14:paraId="22E78F91" w14:textId="77777777" w:rsidTr="001320B1">
        <w:trPr>
          <w:trHeight w:val="413"/>
        </w:trPr>
        <w:tc>
          <w:tcPr>
            <w:tcW w:w="9355" w:type="dxa"/>
            <w:gridSpan w:val="2"/>
            <w:shd w:val="clear" w:color="auto" w:fill="D0CECE" w:themeFill="background2" w:themeFillShade="E6"/>
            <w:vAlign w:val="center"/>
          </w:tcPr>
          <w:p w14:paraId="36C79D3A" w14:textId="6B8C71E3" w:rsidR="009D4D16" w:rsidRDefault="009D4D16" w:rsidP="00B65160">
            <w:r>
              <w:rPr>
                <w:b/>
                <w:bCs/>
              </w:rPr>
              <w:t xml:space="preserve">Option 2: </w:t>
            </w:r>
            <w:r w:rsidRPr="006007E9">
              <w:rPr>
                <w:b/>
                <w:bCs/>
              </w:rPr>
              <w:t xml:space="preserve">Utilize </w:t>
            </w:r>
            <w:r>
              <w:rPr>
                <w:b/>
                <w:bCs/>
              </w:rPr>
              <w:t xml:space="preserve">existing national </w:t>
            </w:r>
            <w:r w:rsidRPr="006007E9">
              <w:rPr>
                <w:b/>
                <w:bCs/>
              </w:rPr>
              <w:t>statistical accounts</w:t>
            </w:r>
            <w:r>
              <w:rPr>
                <w:b/>
                <w:bCs/>
              </w:rPr>
              <w:t xml:space="preserve"> </w:t>
            </w:r>
          </w:p>
        </w:tc>
      </w:tr>
      <w:tr w:rsidR="009D4D16" w14:paraId="4EB5BF33" w14:textId="77777777" w:rsidTr="001320B1">
        <w:trPr>
          <w:trHeight w:val="3230"/>
        </w:trPr>
        <w:tc>
          <w:tcPr>
            <w:tcW w:w="4585" w:type="dxa"/>
          </w:tcPr>
          <w:p w14:paraId="4AC37D8A" w14:textId="63347982" w:rsidR="009D4D16" w:rsidRDefault="009D4D16" w:rsidP="00FF2361">
            <w:pPr>
              <w:pStyle w:val="ListParagraph"/>
              <w:ind w:left="72"/>
            </w:pPr>
            <w:r>
              <w:t xml:space="preserve">Countries may report on private domestic funding from established statistical accounts on environmental activities.  These accounts may either provide an </w:t>
            </w:r>
            <w:r w:rsidRPr="00744BBC">
              <w:rPr>
                <w:i/>
                <w:iCs/>
              </w:rPr>
              <w:t xml:space="preserve">additional </w:t>
            </w:r>
            <w:r>
              <w:t xml:space="preserve">level of disaggregation if no risk of double counting exists or provide an </w:t>
            </w:r>
            <w:r w:rsidRPr="00744BBC">
              <w:rPr>
                <w:i/>
                <w:iCs/>
              </w:rPr>
              <w:t>alternative</w:t>
            </w:r>
            <w:r>
              <w:t xml:space="preserve"> approach </w:t>
            </w:r>
            <w:proofErr w:type="gramStart"/>
            <w:r>
              <w:t>of</w:t>
            </w:r>
            <w:proofErr w:type="gramEnd"/>
            <w:r>
              <w:t xml:space="preserve"> reporting private funding in lieu of the disaggregation approach.</w:t>
            </w:r>
          </w:p>
        </w:tc>
        <w:tc>
          <w:tcPr>
            <w:tcW w:w="4770" w:type="dxa"/>
          </w:tcPr>
          <w:p w14:paraId="7F61EEDA" w14:textId="0ABF2D2A" w:rsidR="009D4D16" w:rsidRDefault="009D4D16" w:rsidP="00B65160">
            <w:r>
              <w:t xml:space="preserve">Countries with System of Environmental Economic Accounts (SEEA) -Environmental Protection Expenditure Accounts (EPEA) may report on private funding from biodiversity-relevant statistical classifications. </w:t>
            </w:r>
          </w:p>
          <w:p w14:paraId="55956228" w14:textId="77777777" w:rsidR="009D4D16" w:rsidRDefault="009D4D16" w:rsidP="00B65160"/>
          <w:p w14:paraId="597EB776" w14:textId="05FE6F89" w:rsidR="009D4D16" w:rsidRDefault="009D4D16" w:rsidP="00B65160">
            <w:r>
              <w:t>Possible Classifications:</w:t>
            </w:r>
          </w:p>
          <w:p w14:paraId="27021D1C" w14:textId="77777777" w:rsidR="009D4D16" w:rsidRDefault="009D4D16" w:rsidP="00B65160">
            <w:pPr>
              <w:jc w:val="both"/>
            </w:pPr>
          </w:p>
          <w:p w14:paraId="3059AB7B" w14:textId="77777777" w:rsidR="009D4D16" w:rsidRDefault="009D4D16" w:rsidP="006007E9">
            <w:pPr>
              <w:pStyle w:val="ListParagraph"/>
              <w:numPr>
                <w:ilvl w:val="0"/>
                <w:numId w:val="33"/>
              </w:numPr>
              <w:ind w:left="516" w:hanging="156"/>
              <w:jc w:val="both"/>
            </w:pPr>
            <w:r>
              <w:t>biodiversity and landscape protection</w:t>
            </w:r>
          </w:p>
          <w:p w14:paraId="48B405A7" w14:textId="4F4BEDBE" w:rsidR="009D4D16" w:rsidRDefault="009D4D16" w:rsidP="00B65160">
            <w:pPr>
              <w:pStyle w:val="ListParagraph"/>
              <w:numPr>
                <w:ilvl w:val="0"/>
                <w:numId w:val="33"/>
              </w:numPr>
              <w:ind w:left="516" w:hanging="156"/>
              <w:jc w:val="both"/>
            </w:pPr>
            <w:r>
              <w:t>protection and remediation of soil, groundwater, and surface water</w:t>
            </w:r>
          </w:p>
        </w:tc>
      </w:tr>
      <w:tr w:rsidR="009D4D16" w14:paraId="42DD2DC2" w14:textId="77777777" w:rsidTr="001320B1">
        <w:trPr>
          <w:trHeight w:val="418"/>
        </w:trPr>
        <w:tc>
          <w:tcPr>
            <w:tcW w:w="9355" w:type="dxa"/>
            <w:gridSpan w:val="2"/>
            <w:shd w:val="clear" w:color="auto" w:fill="D0CECE" w:themeFill="background2" w:themeFillShade="E6"/>
            <w:vAlign w:val="center"/>
          </w:tcPr>
          <w:p w14:paraId="47CDF282" w14:textId="5547E2B1" w:rsidR="009D4D16" w:rsidRDefault="009D4D16" w:rsidP="00B65160">
            <w:r>
              <w:rPr>
                <w:b/>
                <w:bCs/>
              </w:rPr>
              <w:t>Option 3: Biodiversity Expenditure Review</w:t>
            </w:r>
          </w:p>
        </w:tc>
      </w:tr>
      <w:tr w:rsidR="009D4D16" w14:paraId="101EC3B9" w14:textId="77777777" w:rsidTr="009D4D16">
        <w:tc>
          <w:tcPr>
            <w:tcW w:w="4585" w:type="dxa"/>
          </w:tcPr>
          <w:p w14:paraId="08CCFD02" w14:textId="00AADEA0" w:rsidR="009D4D16" w:rsidRDefault="009D4D16" w:rsidP="00FF2361">
            <w:pPr>
              <w:pStyle w:val="ListParagraph"/>
              <w:ind w:left="72"/>
            </w:pPr>
            <w:r>
              <w:t xml:space="preserve">Countries may report on private funding collected through an existing biodiversity expenditure review process. Caution should be exercised not to double </w:t>
            </w:r>
            <w:proofErr w:type="gramStart"/>
            <w:r>
              <w:t>count</w:t>
            </w:r>
            <w:proofErr w:type="gramEnd"/>
            <w:r>
              <w:t xml:space="preserve"> with the disaggregated indicators, or otherwise be reported in lieu of the disaggregated indicators.  </w:t>
            </w:r>
          </w:p>
        </w:tc>
        <w:tc>
          <w:tcPr>
            <w:tcW w:w="4770" w:type="dxa"/>
          </w:tcPr>
          <w:p w14:paraId="3B12E9E1" w14:textId="2DBB2172" w:rsidR="009D4D16" w:rsidRDefault="009D4D16" w:rsidP="00EA39C5">
            <w:pPr>
              <w:jc w:val="both"/>
            </w:pPr>
            <w:r>
              <w:t>BIOFIN Methodology</w:t>
            </w:r>
          </w:p>
        </w:tc>
      </w:tr>
    </w:tbl>
    <w:p w14:paraId="7F41D062" w14:textId="73CC77D4" w:rsidR="00F15F92" w:rsidRPr="00142D84" w:rsidRDefault="00A93AFC" w:rsidP="00EA39C5">
      <w:pPr>
        <w:jc w:val="both"/>
        <w:rPr>
          <w:i/>
          <w:iCs/>
        </w:rPr>
      </w:pPr>
      <w:r w:rsidRPr="00A93AFC">
        <w:rPr>
          <w:vertAlign w:val="superscript"/>
        </w:rPr>
        <w:t>1</w:t>
      </w:r>
      <w:r>
        <w:t xml:space="preserve"> </w:t>
      </w:r>
      <w:r w:rsidRPr="00142D84">
        <w:rPr>
          <w:i/>
          <w:iCs/>
          <w:sz w:val="20"/>
          <w:szCs w:val="20"/>
        </w:rPr>
        <w:t>Although not discussed in this report and not included in existing global estimates that were reviewed, the Technical Expert Group on Financial Reporting proposed adding private benefit sharing schemes to the disaggregation for the D.3 headline indicator.  Private benefit sharing schemes refer to programs that channel private funding from the users of genetic resources to the people and communities providing the genetic resources.  While estimates and methodologies for calculating private benefit sharing scheme funding are not known to exist, countries may have information available to them to report on this disaggregation.</w:t>
      </w:r>
      <w:r w:rsidRPr="00142D84">
        <w:rPr>
          <w:i/>
          <w:iCs/>
        </w:rPr>
        <w:t xml:space="preserve"> </w:t>
      </w:r>
    </w:p>
    <w:p w14:paraId="35E2A1AE" w14:textId="77777777" w:rsidR="00A93AFC" w:rsidRDefault="00A93AFC" w:rsidP="00EA39C5">
      <w:pPr>
        <w:jc w:val="both"/>
      </w:pPr>
    </w:p>
    <w:p w14:paraId="541C3C78" w14:textId="1EB7A8AA" w:rsidR="006E56B0" w:rsidRDefault="006E56B0" w:rsidP="00EA39C5">
      <w:pPr>
        <w:jc w:val="both"/>
      </w:pPr>
      <w:r>
        <w:t>Considering these three possible approaches, it is recommended that countries report</w:t>
      </w:r>
      <w:r w:rsidR="00CF4809">
        <w:t>, if possible,</w:t>
      </w:r>
      <w:r>
        <w:t xml:space="preserve"> following the methodology outlined in Option 1, providing disaggregated quantitative information on the individual policy and financial mechanisms for private funding.  Providing disaggregated information will allow more granular tracking of private funding trends over time.  In addition, certain mechanisms may prove to have more impactful outcomes on biodiversity conservation and sustainable use objectives.  As these outcomes become more apparent, policy and financial mechanisms can be refined to ensure they are achieving their intended biodiversity objectives. </w:t>
      </w:r>
    </w:p>
    <w:p w14:paraId="7D53E366" w14:textId="77777777" w:rsidR="007138A9" w:rsidRDefault="007138A9" w:rsidP="00EA39C5">
      <w:pPr>
        <w:jc w:val="both"/>
      </w:pPr>
    </w:p>
    <w:p w14:paraId="70B9ED9B" w14:textId="77777777" w:rsidR="000A6314" w:rsidRDefault="000A6314" w:rsidP="00EA39C5">
      <w:pPr>
        <w:jc w:val="both"/>
      </w:pPr>
    </w:p>
    <w:p w14:paraId="0838C87C" w14:textId="1DBD2CB6" w:rsidR="00154567" w:rsidRDefault="000A6314" w:rsidP="00286683">
      <w:pPr>
        <w:pStyle w:val="Heading2"/>
      </w:pPr>
      <w:r w:rsidRPr="0057088B">
        <w:lastRenderedPageBreak/>
        <w:t>Recommendations</w:t>
      </w:r>
    </w:p>
    <w:p w14:paraId="153273FE" w14:textId="77777777" w:rsidR="00154567" w:rsidRDefault="00154567" w:rsidP="00154567">
      <w:pPr>
        <w:jc w:val="both"/>
        <w:rPr>
          <w:b/>
          <w:bCs/>
        </w:rPr>
      </w:pPr>
    </w:p>
    <w:p w14:paraId="547236D2" w14:textId="0F803220" w:rsidR="00154567" w:rsidRDefault="00DC3572" w:rsidP="00154567">
      <w:pPr>
        <w:jc w:val="both"/>
      </w:pPr>
      <w:r>
        <w:rPr>
          <w:b/>
          <w:bCs/>
        </w:rPr>
        <w:t>Policy</w:t>
      </w:r>
      <w:r w:rsidR="00154567">
        <w:rPr>
          <w:b/>
          <w:bCs/>
        </w:rPr>
        <w:t xml:space="preserve"> instruments. </w:t>
      </w:r>
      <w:r w:rsidR="00154567">
        <w:t>Countries should d</w:t>
      </w:r>
      <w:r w:rsidR="000A6314">
        <w:t xml:space="preserve">raw on and enhance reporting to the OECD’s PINE database for </w:t>
      </w:r>
      <w:r>
        <w:t>policy</w:t>
      </w:r>
      <w:r w:rsidR="000A6314">
        <w:t xml:space="preserve"> instruments for biodiversity, including biodiversity offsets and payments for ecosystem services.  This database contains structured, harmonized</w:t>
      </w:r>
      <w:r w:rsidR="00CF4809">
        <w:t>, and validated</w:t>
      </w:r>
      <w:r w:rsidR="000A6314">
        <w:t xml:space="preserve"> data by instrument type and therefore is well-suited for national reporting under Target 19.   </w:t>
      </w:r>
      <w:r w:rsidR="002F1F4A">
        <w:t>All c</w:t>
      </w:r>
      <w:r w:rsidR="000A6314">
        <w:t>ountries are encouraged to report on these biodiversity-relevant policy instruments through the OECD PINE database which can then in turn be used to report on private funds for biodiversity through these biodiversity-relevant economic instruments.  The database should be constructed to ensure that countries can report private funding that is channeled directly to biodiversity-related activities versus to governments (such as through in-lieu fees</w:t>
      </w:r>
      <w:r w:rsidR="00154567">
        <w:t xml:space="preserve"> or government-</w:t>
      </w:r>
      <w:r w:rsidR="004F6994">
        <w:t>implemented</w:t>
      </w:r>
      <w:r w:rsidR="00154567">
        <w:t xml:space="preserve"> PES schemes</w:t>
      </w:r>
      <w:r w:rsidR="000A6314">
        <w:t>) to reduce the risk of double counting</w:t>
      </w:r>
      <w:r w:rsidR="00154567">
        <w:t xml:space="preserve"> with public expenditures</w:t>
      </w:r>
      <w:r w:rsidR="000A6314">
        <w:t xml:space="preserve">.  </w:t>
      </w:r>
      <w:r w:rsidR="002F68DC">
        <w:t>In addition to quantitative information on private financial flows through these policy instruments, countries are encouraged to provide qualitative information on these instruments, for example whether biodiversity offset investments have adhered to the mitigation hierarchy, and to differentiate PES funding according to the type of ecosystem services included in the program.</w:t>
      </w:r>
    </w:p>
    <w:p w14:paraId="31C10767" w14:textId="77777777" w:rsidR="00154567" w:rsidRDefault="00154567" w:rsidP="00154567">
      <w:pPr>
        <w:jc w:val="both"/>
      </w:pPr>
    </w:p>
    <w:p w14:paraId="6C6EC0C6" w14:textId="0686AD3E" w:rsidR="00154567" w:rsidRDefault="00154567" w:rsidP="00154567">
      <w:pPr>
        <w:jc w:val="both"/>
      </w:pPr>
      <w:r w:rsidRPr="0057088B">
        <w:rPr>
          <w:b/>
          <w:bCs/>
        </w:rPr>
        <w:t>Private philanthropy.</w:t>
      </w:r>
      <w:r>
        <w:t xml:space="preserve"> Countries should draw on the OECD’s CRS to report on </w:t>
      </w:r>
      <w:r w:rsidRPr="00CF4809">
        <w:rPr>
          <w:i/>
          <w:iCs/>
        </w:rPr>
        <w:t>international</w:t>
      </w:r>
      <w:r>
        <w:t xml:space="preserve"> private philanthropy for development and encourage e</w:t>
      </w:r>
      <w:r w:rsidR="00A44266">
        <w:t>xpanded</w:t>
      </w:r>
      <w:r>
        <w:t xml:space="preserve"> reporting by international philanthropic organizations.</w:t>
      </w:r>
      <w:r w:rsidR="002F1F4A">
        <w:t xml:space="preserve">  In addition to international philanthropy</w:t>
      </w:r>
      <w:r w:rsidR="00A44266">
        <w:t xml:space="preserve"> as reported to the OECD</w:t>
      </w:r>
      <w:r w:rsidR="002F1F4A">
        <w:t xml:space="preserve">, countries can collect information on </w:t>
      </w:r>
      <w:r w:rsidR="002F1F4A" w:rsidRPr="00CF4809">
        <w:rPr>
          <w:i/>
          <w:iCs/>
        </w:rPr>
        <w:t>domestic</w:t>
      </w:r>
      <w:r w:rsidR="002F1F4A">
        <w:t xml:space="preserve"> philanthropic activities directly from public information such as annual financial reports or from the philanthropic organizations themselves</w:t>
      </w:r>
      <w:r w:rsidR="00CF4809">
        <w:t xml:space="preserve">, including foundations and not-for profit </w:t>
      </w:r>
      <w:r w:rsidR="002A50B3">
        <w:t xml:space="preserve">conservation </w:t>
      </w:r>
      <w:r w:rsidR="00CF4809">
        <w:t>organizations</w:t>
      </w:r>
      <w:r w:rsidR="002F1F4A">
        <w:t>.</w:t>
      </w:r>
      <w:r w:rsidR="00203E1E">
        <w:t xml:space="preserve">  Countries may consider applying attribution factors for activities with significant biodiversity objectives. </w:t>
      </w:r>
      <w:r>
        <w:t xml:space="preserve">  </w:t>
      </w:r>
    </w:p>
    <w:p w14:paraId="54DDF18B" w14:textId="77777777" w:rsidR="00DC3572" w:rsidRDefault="00DC3572" w:rsidP="00154567">
      <w:pPr>
        <w:jc w:val="both"/>
      </w:pPr>
    </w:p>
    <w:p w14:paraId="6B863883" w14:textId="335A1200" w:rsidR="00DC3572" w:rsidRDefault="00727344" w:rsidP="00154567">
      <w:pPr>
        <w:jc w:val="both"/>
      </w:pPr>
      <w:r>
        <w:rPr>
          <w:b/>
          <w:bCs/>
        </w:rPr>
        <w:t>Mobilized private</w:t>
      </w:r>
      <w:r w:rsidR="00DC3572" w:rsidRPr="006D136C">
        <w:rPr>
          <w:b/>
          <w:bCs/>
        </w:rPr>
        <w:t xml:space="preserve"> finance</w:t>
      </w:r>
      <w:r w:rsidR="00DC3572">
        <w:t xml:space="preserve">.  </w:t>
      </w:r>
      <w:r w:rsidR="00D2242C">
        <w:t>Mobilizing private finance, such as through guarantees and b</w:t>
      </w:r>
      <w:r w:rsidR="006D136C">
        <w:t xml:space="preserve">lended finance </w:t>
      </w:r>
      <w:r w:rsidR="00D2242C">
        <w:t>approach</w:t>
      </w:r>
      <w:r w:rsidR="00A204FE">
        <w:t>e</w:t>
      </w:r>
      <w:r w:rsidR="00D2242C">
        <w:t>s, attracts</w:t>
      </w:r>
      <w:r w:rsidR="006D136C">
        <w:t xml:space="preserve"> private capital by addressing investment barriers such as high perceived and real risk and lower returns than</w:t>
      </w:r>
      <w:r w:rsidR="00CF4809">
        <w:t xml:space="preserve"> comparable investments.  Blended finance can originate from public and philanthropic funders.</w:t>
      </w:r>
      <w:r w:rsidR="00CF4809">
        <w:rPr>
          <w:rStyle w:val="FootnoteReference"/>
        </w:rPr>
        <w:footnoteReference w:id="21"/>
      </w:r>
      <w:r w:rsidR="00CF4809">
        <w:t xml:space="preserve">  Private finance mobilized through </w:t>
      </w:r>
      <w:r w:rsidR="0083776F">
        <w:t xml:space="preserve">these </w:t>
      </w:r>
      <w:r w:rsidR="00CF4809">
        <w:t>approach</w:t>
      </w:r>
      <w:r w:rsidR="00612F46">
        <w:t>e</w:t>
      </w:r>
      <w:r w:rsidR="0083776F">
        <w:t>s</w:t>
      </w:r>
      <w:r w:rsidR="00791E70">
        <w:t xml:space="preserve"> can be captured through </w:t>
      </w:r>
      <w:proofErr w:type="gramStart"/>
      <w:r w:rsidR="00791E70">
        <w:t>a number of</w:t>
      </w:r>
      <w:proofErr w:type="gramEnd"/>
      <w:r w:rsidR="00791E70">
        <w:t xml:space="preserve"> different reporting channels.  As discussed, the OECD’s CRS collects </w:t>
      </w:r>
      <w:r w:rsidR="00731D91">
        <w:t>private finance mobilized by official development finance and tags environmental objectives according to the Rio marker principles.  Countries can draw on this data for national reporting</w:t>
      </w:r>
      <w:r w:rsidR="00A204FE">
        <w:t xml:space="preserve"> and may consider applying attribution factors for activities with significant biodiversity objectives</w:t>
      </w:r>
      <w:r w:rsidR="00182D69">
        <w:t>.  Countries</w:t>
      </w:r>
      <w:r w:rsidR="00731D91">
        <w:t xml:space="preserve"> can also </w:t>
      </w:r>
      <w:r w:rsidR="00182D69">
        <w:t xml:space="preserve">enhance reporting of </w:t>
      </w:r>
      <w:r w:rsidR="00A204FE">
        <w:t xml:space="preserve">mobilized private finance </w:t>
      </w:r>
      <w:r w:rsidR="00182D69">
        <w:t xml:space="preserve">by </w:t>
      </w:r>
      <w:r w:rsidR="00731D91">
        <w:t>collect</w:t>
      </w:r>
      <w:r w:rsidR="00182D69">
        <w:t>ing</w:t>
      </w:r>
      <w:r w:rsidR="00731D91">
        <w:t xml:space="preserve"> information </w:t>
      </w:r>
      <w:r w:rsidR="00182D69">
        <w:t>from</w:t>
      </w:r>
      <w:r w:rsidR="00731D91">
        <w:t xml:space="preserve"> non-ODF </w:t>
      </w:r>
      <w:r w:rsidR="000B24C7">
        <w:t xml:space="preserve">sources directly from </w:t>
      </w:r>
      <w:r w:rsidR="00182D69">
        <w:t>public financial institutions and philanthropic organizations</w:t>
      </w:r>
      <w:r w:rsidR="00FB0DD6">
        <w:t>, using caution not to double count across other</w:t>
      </w:r>
      <w:r w:rsidR="002A50B3">
        <w:t xml:space="preserve"> mechanisms</w:t>
      </w:r>
      <w:r w:rsidR="00FB0DD6">
        <w:t>.</w:t>
      </w:r>
      <w:r w:rsidR="00731D91">
        <w:t xml:space="preserve"> </w:t>
      </w:r>
      <w:r w:rsidR="00203E1E">
        <w:t xml:space="preserve"> </w:t>
      </w:r>
    </w:p>
    <w:p w14:paraId="39387E3B" w14:textId="77777777" w:rsidR="003C1E97" w:rsidRDefault="003C1E97" w:rsidP="00154567">
      <w:pPr>
        <w:jc w:val="both"/>
      </w:pPr>
    </w:p>
    <w:p w14:paraId="181BCB2D" w14:textId="1D9E0C59" w:rsidR="00154567" w:rsidRDefault="003C1E97" w:rsidP="00154567">
      <w:pPr>
        <w:jc w:val="both"/>
      </w:pPr>
      <w:r w:rsidRPr="008D0853">
        <w:rPr>
          <w:b/>
          <w:bCs/>
        </w:rPr>
        <w:t>Climate finance</w:t>
      </w:r>
      <w:r>
        <w:t xml:space="preserve">.  Target 19 specifically highlights the importance of optimizing co-benefits and synergies of finance targeting the biodiversity and climate crises.  </w:t>
      </w:r>
      <w:r w:rsidR="005C46D3">
        <w:t>Climate finance should thus be screened for biodiversity co-benefits</w:t>
      </w:r>
      <w:r w:rsidR="00785B4F">
        <w:t xml:space="preserve"> to track and encourage synergies between climate and biodiversity finance</w:t>
      </w:r>
      <w:r w:rsidR="005C46D3">
        <w:t>.</w:t>
      </w:r>
      <w:r w:rsidR="005816BA">
        <w:t xml:space="preserve"> For example, the Climate Bonds Initiative </w:t>
      </w:r>
      <w:r w:rsidR="00EE6262">
        <w:t>may consider updating</w:t>
      </w:r>
      <w:r w:rsidR="005816BA">
        <w:t xml:space="preserve"> its standard to develop a specific screening process for biodiversity.  </w:t>
      </w:r>
    </w:p>
    <w:p w14:paraId="2BBC9D0B" w14:textId="77777777" w:rsidR="00EB521F" w:rsidRDefault="00EB521F" w:rsidP="00154567">
      <w:pPr>
        <w:jc w:val="both"/>
      </w:pPr>
    </w:p>
    <w:p w14:paraId="69B85ECC" w14:textId="55DCECE4" w:rsidR="00F71FDD" w:rsidRDefault="00FB0DD6" w:rsidP="00154567">
      <w:pPr>
        <w:jc w:val="both"/>
      </w:pPr>
      <w:r>
        <w:rPr>
          <w:b/>
          <w:bCs/>
        </w:rPr>
        <w:t xml:space="preserve">Other </w:t>
      </w:r>
      <w:r w:rsidR="00416958">
        <w:rPr>
          <w:b/>
          <w:bCs/>
        </w:rPr>
        <w:t xml:space="preserve">green </w:t>
      </w:r>
      <w:r>
        <w:rPr>
          <w:b/>
          <w:bCs/>
        </w:rPr>
        <w:t>f</w:t>
      </w:r>
      <w:r w:rsidR="00DC3572" w:rsidRPr="00504385">
        <w:rPr>
          <w:b/>
          <w:bCs/>
        </w:rPr>
        <w:t xml:space="preserve">inancial </w:t>
      </w:r>
      <w:r w:rsidR="00416958">
        <w:rPr>
          <w:b/>
          <w:bCs/>
        </w:rPr>
        <w:t>products</w:t>
      </w:r>
      <w:r w:rsidR="00DC3572" w:rsidRPr="00504385">
        <w:rPr>
          <w:b/>
          <w:bCs/>
        </w:rPr>
        <w:t xml:space="preserve">. </w:t>
      </w:r>
      <w:r w:rsidR="00936BA6">
        <w:rPr>
          <w:b/>
          <w:bCs/>
        </w:rPr>
        <w:t xml:space="preserve"> </w:t>
      </w:r>
      <w:r w:rsidR="00936BA6" w:rsidRPr="00936BA6">
        <w:t xml:space="preserve">Although current global tracking of biodiversity-related financial products is limited, countries can draw on existing platforms, such as the Climate Bonds Initiative or the Green Bond Principles, </w:t>
      </w:r>
      <w:r w:rsidR="00936BA6" w:rsidRPr="0028299B">
        <w:t xml:space="preserve">to </w:t>
      </w:r>
      <w:r w:rsidR="0028299B" w:rsidRPr="0028299B">
        <w:t>screen for</w:t>
      </w:r>
      <w:r w:rsidR="0028299B">
        <w:t xml:space="preserve"> biodiversity-related bond issuances.  </w:t>
      </w:r>
      <w:r w:rsidR="00CF52E4">
        <w:t xml:space="preserve">Countries are encouraged to develop sustainable finance taxonomies or a suite of guiding principles to align financial instruments with biodiversity outcomes.  </w:t>
      </w:r>
      <w:r w:rsidR="00BF3111">
        <w:t xml:space="preserve">Clear definitions and policy frameworks are needed to guide investments in asset classes such as tradable debt, private equity and alternative investments.  Initiatives such as the UNEP-FI, as a convenor of more than 500 banks, insurers, and </w:t>
      </w:r>
      <w:proofErr w:type="gramStart"/>
      <w:r w:rsidR="00BF3111">
        <w:t>investor</w:t>
      </w:r>
      <w:proofErr w:type="gramEnd"/>
      <w:r w:rsidR="00BF3111">
        <w:t>, could spearhead such an effort and develop a pilot or voluntary reporting period for biodiversity-related financial instruments</w:t>
      </w:r>
      <w:r w:rsidR="003F3C23">
        <w:t>, in collaboration with national governments and private financial institutions</w:t>
      </w:r>
      <w:r w:rsidR="00BF3111">
        <w:t>.</w:t>
      </w:r>
      <w:r w:rsidR="00F71FDD">
        <w:t xml:space="preserve"> National governments should be included in any effort to engage with the private sector to build capacity and inform the development of policy frameworks to incentivize and align private investment with biodiversity objectives. </w:t>
      </w:r>
    </w:p>
    <w:p w14:paraId="50E58FD6" w14:textId="3ABE672B" w:rsidR="006E56B0" w:rsidRDefault="00BF3111" w:rsidP="00EA39C5">
      <w:pPr>
        <w:jc w:val="both"/>
      </w:pPr>
      <w:r>
        <w:t xml:space="preserve">  </w:t>
      </w:r>
    </w:p>
    <w:p w14:paraId="106FCA28" w14:textId="31731CDF" w:rsidR="00866D15" w:rsidRDefault="00504385" w:rsidP="00EA39C5">
      <w:pPr>
        <w:jc w:val="both"/>
      </w:pPr>
      <w:r w:rsidRPr="00504385">
        <w:rPr>
          <w:b/>
          <w:bCs/>
        </w:rPr>
        <w:t>Complementary indicator.</w:t>
      </w:r>
      <w:r>
        <w:t xml:space="preserve"> </w:t>
      </w:r>
      <w:r w:rsidR="00F15F92">
        <w:t xml:space="preserve">In addition, a complementary indicator </w:t>
      </w:r>
      <w:r w:rsidR="00142D84">
        <w:t>is recommended to ask</w:t>
      </w:r>
      <w:r w:rsidR="00F15F92">
        <w:t xml:space="preserve"> countries if they </w:t>
      </w:r>
      <w:r w:rsidR="00F15F92" w:rsidRPr="00954705">
        <w:rPr>
          <w:b/>
          <w:bCs/>
        </w:rPr>
        <w:t xml:space="preserve">have developed or begun to </w:t>
      </w:r>
      <w:r w:rsidR="00963CBB" w:rsidRPr="00954705">
        <w:rPr>
          <w:b/>
          <w:bCs/>
        </w:rPr>
        <w:t>develop</w:t>
      </w:r>
      <w:r w:rsidR="00F15F92" w:rsidRPr="00954705">
        <w:rPr>
          <w:b/>
          <w:bCs/>
        </w:rPr>
        <w:t xml:space="preserve"> a biodiversity-related sustainable finance taxonomy</w:t>
      </w:r>
      <w:r w:rsidR="00203E1E">
        <w:rPr>
          <w:b/>
          <w:bCs/>
        </w:rPr>
        <w:t xml:space="preserve"> or a suite of guiding principles to align investments with biodiversity objectives</w:t>
      </w:r>
      <w:r w:rsidR="00F15F92">
        <w:t xml:space="preserve">. </w:t>
      </w:r>
      <w:r w:rsidR="00142D84">
        <w:t xml:space="preserve">As discussed, the creation of a sustainable finance taxonomy </w:t>
      </w:r>
      <w:r w:rsidR="00963CBB">
        <w:t xml:space="preserve">can act as a powerful tool to track private financial flows for biodiversity by standardizing the definition and classification of economic activities that align with biodiversity objectives, enhancing transparency in reporting on biodiversity-related investments, identifying funding gaps, and facilitating risk assessments by financial institutions when evaluating investment opportunities related to biodiversity.  </w:t>
      </w:r>
      <w:r w:rsidR="00142D84">
        <w:t xml:space="preserve"> </w:t>
      </w:r>
    </w:p>
    <w:p w14:paraId="59D3144E" w14:textId="77777777" w:rsidR="00ED3419" w:rsidRDefault="00ED3419" w:rsidP="00EA39C5">
      <w:pPr>
        <w:jc w:val="both"/>
      </w:pPr>
    </w:p>
    <w:p w14:paraId="1685B4DB" w14:textId="7297210A" w:rsidR="00ED3419" w:rsidRPr="00286683" w:rsidRDefault="00ED3419" w:rsidP="00286683">
      <w:pPr>
        <w:pStyle w:val="Heading2"/>
      </w:pPr>
      <w:r w:rsidRPr="00286683">
        <w:t>Conclusions</w:t>
      </w:r>
    </w:p>
    <w:p w14:paraId="240D9C3A" w14:textId="77777777" w:rsidR="00ED3419" w:rsidRDefault="00ED3419" w:rsidP="00EA39C5">
      <w:pPr>
        <w:jc w:val="both"/>
      </w:pPr>
    </w:p>
    <w:p w14:paraId="33B05BE8" w14:textId="097C1FDA" w:rsidR="00B86E70" w:rsidRDefault="00ED3419" w:rsidP="00EA39C5">
      <w:pPr>
        <w:jc w:val="both"/>
      </w:pPr>
      <w:r>
        <w:t xml:space="preserve">This report calls attention to the importance of properly defining and reporting on biodiversity-related private expenditures and investments to create consistency and transparency in achieving the resource mobilization targets of the KMGBF.  The report draws upon recent research on global, regional, and national estimates of biodiversity funding, specifically approaches employed for private sector investments. </w:t>
      </w:r>
      <w:r w:rsidR="008B5AEC">
        <w:t xml:space="preserve">The findings and recommendations in this report have been informed by consultation with subject matter experts from the technical expert group and other stakeholders in the biodiversity finance sector.  While to-date, there is limited information to draw on for national reporting of private funding for biodiversity, it is important that countries begin to report now, based on available data, while developing the frameworks and processes to enhance data collection.  </w:t>
      </w:r>
    </w:p>
    <w:p w14:paraId="3111B7B8" w14:textId="3602196E" w:rsidR="00B86E70" w:rsidRDefault="00B86E70" w:rsidP="00B86E70">
      <w:r>
        <w:br w:type="page"/>
      </w:r>
    </w:p>
    <w:p w14:paraId="40472D08" w14:textId="6D024CFA" w:rsidR="00B86E70" w:rsidRDefault="00B86E70" w:rsidP="00B86E70">
      <w:pPr>
        <w:pStyle w:val="Heading1"/>
      </w:pPr>
      <w:bookmarkStart w:id="15" w:name="_Toc172018361"/>
      <w:r>
        <w:lastRenderedPageBreak/>
        <w:t>Acknowledgements</w:t>
      </w:r>
      <w:bookmarkEnd w:id="15"/>
    </w:p>
    <w:p w14:paraId="5869C9F9" w14:textId="77777777" w:rsidR="00A93AFC" w:rsidRDefault="00A93AFC" w:rsidP="00EA39C5">
      <w:pPr>
        <w:jc w:val="both"/>
      </w:pPr>
    </w:p>
    <w:p w14:paraId="7AB82F0F" w14:textId="53075D37" w:rsidR="00A02C01" w:rsidRDefault="0043727E" w:rsidP="00EA39C5">
      <w:pPr>
        <w:jc w:val="both"/>
      </w:pPr>
      <w:r>
        <w:t>This report went through extensive review</w:t>
      </w:r>
      <w:r w:rsidR="008B417A">
        <w:t xml:space="preserve"> and consultation</w:t>
      </w:r>
      <w:r>
        <w:t xml:space="preserve"> by members of the Technical Expert Group</w:t>
      </w:r>
      <w:r w:rsidR="008B417A">
        <w:t xml:space="preserve"> on Financial Reporting’s sub-group on D3.  </w:t>
      </w:r>
      <w:r w:rsidR="005232C7">
        <w:t>Parties and Observers to the Convention on Biological Diversity</w:t>
      </w:r>
      <w:r w:rsidR="008B417A">
        <w:t xml:space="preserve"> were also formally invited to provide written comments</w:t>
      </w:r>
      <w:r w:rsidR="005232C7">
        <w:t>.</w:t>
      </w:r>
      <w:r w:rsidR="00931A5D">
        <w:t xml:space="preserve"> </w:t>
      </w:r>
      <w:r w:rsidR="005232C7">
        <w:t xml:space="preserve">  </w:t>
      </w:r>
      <w:r w:rsidR="008B417A">
        <w:t xml:space="preserve">Organizations </w:t>
      </w:r>
      <w:r w:rsidR="00931A5D">
        <w:t>working</w:t>
      </w:r>
      <w:r>
        <w:t xml:space="preserve"> in the </w:t>
      </w:r>
      <w:r w:rsidR="00931A5D">
        <w:t xml:space="preserve">private </w:t>
      </w:r>
      <w:r>
        <w:t>biodiversity finance sector</w:t>
      </w:r>
      <w:r w:rsidR="008B417A">
        <w:t xml:space="preserve"> also provided consultation and guidance</w:t>
      </w:r>
      <w:r>
        <w:t xml:space="preserve">.  We would like to thank those that provided peer review, written comments, and </w:t>
      </w:r>
      <w:proofErr w:type="gramStart"/>
      <w:r>
        <w:t>inputs</w:t>
      </w:r>
      <w:proofErr w:type="gramEnd"/>
      <w:r>
        <w:t xml:space="preserve"> on the various approaches explored in this report. </w:t>
      </w:r>
      <w:r w:rsidR="00931A5D">
        <w:t xml:space="preserve"> Those organizations are listed in Appendix 3.</w:t>
      </w:r>
      <w:r>
        <w:t xml:space="preserve"> </w:t>
      </w:r>
      <w:r w:rsidR="00931A5D">
        <w:t xml:space="preserve">During </w:t>
      </w:r>
      <w:r w:rsidR="00A93AFC">
        <w:t>the drafting of this report, the Technical Expert Group on Financial Reporting met in Istanbul from February 25</w:t>
      </w:r>
      <w:r w:rsidR="00A93AFC" w:rsidRPr="00A93AFC">
        <w:rPr>
          <w:vertAlign w:val="superscript"/>
        </w:rPr>
        <w:t>th</w:t>
      </w:r>
      <w:r w:rsidR="00A93AFC">
        <w:t xml:space="preserve"> through March 1</w:t>
      </w:r>
      <w:r w:rsidR="00A93AFC" w:rsidRPr="00A93AFC">
        <w:rPr>
          <w:vertAlign w:val="superscript"/>
        </w:rPr>
        <w:t>st</w:t>
      </w:r>
      <w:r w:rsidR="00A93AFC">
        <w:t xml:space="preserve">, </w:t>
      </w:r>
      <w:proofErr w:type="gramStart"/>
      <w:r w:rsidR="00A93AFC">
        <w:t>2024</w:t>
      </w:r>
      <w:proofErr w:type="gramEnd"/>
      <w:r w:rsidR="00A93AFC">
        <w:t xml:space="preserve"> to advance the work on Targets 18 and 19 under the KMGBF.  At this meeting, a metadata </w:t>
      </w:r>
      <w:proofErr w:type="gramStart"/>
      <w:r w:rsidR="00A93AFC">
        <w:t>factsheet</w:t>
      </w:r>
      <w:proofErr w:type="gramEnd"/>
      <w:r w:rsidR="00A93AFC">
        <w:t xml:space="preserve"> for D3 was produced that integrates these findings and recommendations.  </w:t>
      </w:r>
      <w:r w:rsidR="001955E0">
        <w:br w:type="page"/>
      </w:r>
    </w:p>
    <w:p w14:paraId="71823A75" w14:textId="77777777" w:rsidR="004B6ED5" w:rsidRDefault="004B6ED5" w:rsidP="004B6ED5">
      <w:pPr>
        <w:pStyle w:val="Heading1"/>
      </w:pPr>
      <w:bookmarkStart w:id="16" w:name="_Toc172018362"/>
      <w:r>
        <w:lastRenderedPageBreak/>
        <w:t>References</w:t>
      </w:r>
      <w:bookmarkEnd w:id="16"/>
    </w:p>
    <w:p w14:paraId="2C098474" w14:textId="77777777" w:rsidR="004B6ED5" w:rsidRDefault="004B6ED5" w:rsidP="004B6ED5"/>
    <w:p w14:paraId="042B29FD" w14:textId="77777777" w:rsidR="004B6ED5" w:rsidRDefault="004B6ED5" w:rsidP="004B6ED5">
      <w:r>
        <w:t>Bennett, G., M. Gallant and K. Ten Kate (2017), State of Biodiversity Mitigation 2017: Markets</w:t>
      </w:r>
    </w:p>
    <w:p w14:paraId="06F68C35" w14:textId="77777777" w:rsidR="004B6ED5" w:rsidRDefault="004B6ED5" w:rsidP="004B6ED5">
      <w:r>
        <w:t xml:space="preserve">and Compensation for Global Infrastructure Development, </w:t>
      </w:r>
      <w:hyperlink r:id="rId35" w:history="1">
        <w:r w:rsidRPr="00987273">
          <w:rPr>
            <w:rStyle w:val="Hyperlink"/>
          </w:rPr>
          <w:t>http://www.forest-trends.org/wpcontent/uploads/2018/01/doc_5707.pdf</w:t>
        </w:r>
      </w:hyperlink>
      <w:r>
        <w:t xml:space="preserve">. </w:t>
      </w:r>
    </w:p>
    <w:p w14:paraId="3B6D70B2" w14:textId="77777777" w:rsidR="004B6ED5" w:rsidRDefault="004B6ED5" w:rsidP="004B6ED5"/>
    <w:p w14:paraId="70893347" w14:textId="77777777" w:rsidR="004B6ED5" w:rsidRDefault="004B6ED5" w:rsidP="004B6ED5">
      <w:pPr>
        <w:rPr>
          <w:rStyle w:val="Hyperlink"/>
        </w:rPr>
      </w:pPr>
      <w:r>
        <w:t xml:space="preserve">Bennett, G. and F. Ruef. 2016. Alliances for Green Infrastructure: State of Watershed Investment 2016. Forest Trends’ Ecosystem Marketplace.  </w:t>
      </w:r>
      <w:hyperlink r:id="rId36" w:history="1">
        <w:r w:rsidRPr="00C73373">
          <w:rPr>
            <w:rStyle w:val="Hyperlink"/>
          </w:rPr>
          <w:t>https://www.forest-trends.org/wp-content/uploads/2017/03/doc_5463.pdf</w:t>
        </w:r>
      </w:hyperlink>
    </w:p>
    <w:p w14:paraId="021C4292" w14:textId="77777777" w:rsidR="006E048E" w:rsidRDefault="006E048E" w:rsidP="004B6ED5">
      <w:pPr>
        <w:rPr>
          <w:rStyle w:val="Hyperlink"/>
        </w:rPr>
      </w:pPr>
    </w:p>
    <w:p w14:paraId="4357F100" w14:textId="16A1388F" w:rsidR="00521748" w:rsidRPr="0074391F" w:rsidRDefault="006E048E" w:rsidP="004B6ED5">
      <w:pPr>
        <w:rPr>
          <w:rStyle w:val="Hyperlink"/>
          <w:color w:val="auto"/>
          <w:u w:val="none"/>
        </w:rPr>
      </w:pPr>
      <w:r>
        <w:t>Biodiversity Credit Alliance (2024). Definition of a Biodiversity Credit. Issue paper.</w:t>
      </w:r>
    </w:p>
    <w:p w14:paraId="5A812A18" w14:textId="77777777" w:rsidR="004B6ED5" w:rsidRDefault="004B6ED5" w:rsidP="004B6ED5">
      <w:pPr>
        <w:rPr>
          <w:rStyle w:val="Hyperlink"/>
        </w:rPr>
      </w:pPr>
    </w:p>
    <w:p w14:paraId="2838CBF0" w14:textId="77777777" w:rsidR="004B6ED5" w:rsidRDefault="004B6ED5" w:rsidP="004B6ED5">
      <w:pPr>
        <w:rPr>
          <w:rStyle w:val="Hyperlink"/>
        </w:rPr>
      </w:pPr>
      <w:r>
        <w:t>Bull, J.W., and Strange, N., 2018. The global extent of biodiversity offset implementation under no net loss policies. Nature Sustainability, 1(12), pp. 790-798.</w:t>
      </w:r>
    </w:p>
    <w:p w14:paraId="25F47B46" w14:textId="77777777" w:rsidR="004B6ED5" w:rsidRDefault="004B6ED5" w:rsidP="004B6ED5">
      <w:pPr>
        <w:rPr>
          <w:rStyle w:val="Hyperlink"/>
        </w:rPr>
      </w:pPr>
    </w:p>
    <w:p w14:paraId="2F29F20A" w14:textId="77777777" w:rsidR="004B6ED5" w:rsidRDefault="004B6ED5" w:rsidP="004B6ED5">
      <w:r>
        <w:t>Deutz, A., et al. 2020. Financing Nature: Closing the global biodiversity financing gap. The Paulson Institute, The Nature Conservancy, and the Cornell Atkinson Center for Sustainability.</w:t>
      </w:r>
    </w:p>
    <w:p w14:paraId="773739A7" w14:textId="77777777" w:rsidR="004B6ED5" w:rsidRDefault="004B6ED5" w:rsidP="004B6ED5"/>
    <w:p w14:paraId="1CABBB93" w14:textId="77777777" w:rsidR="004B6ED5" w:rsidRPr="00516321" w:rsidRDefault="004B6ED5" w:rsidP="004B6ED5">
      <w:r w:rsidRPr="00516321">
        <w:t>Forest Trend’s Ecosystem Marketplace. 2021. State of Forest Carbon Finance 2021. Washington DC. Forest Trends Association.</w:t>
      </w:r>
    </w:p>
    <w:p w14:paraId="0347AC48" w14:textId="77777777" w:rsidR="004B6ED5" w:rsidRPr="00516321" w:rsidRDefault="004B6ED5" w:rsidP="004B6ED5">
      <w:pPr>
        <w:rPr>
          <w:b/>
          <w:bCs/>
        </w:rPr>
      </w:pPr>
    </w:p>
    <w:p w14:paraId="6FA8EA45" w14:textId="77777777" w:rsidR="004B6ED5" w:rsidRDefault="004B6ED5" w:rsidP="004B6ED5">
      <w:r>
        <w:t>Forest Trends’ Ecosystem Marketplace. 2023. State of the Voluntary Carbon Markets</w:t>
      </w:r>
    </w:p>
    <w:p w14:paraId="3E30480A" w14:textId="77777777" w:rsidR="004B6ED5" w:rsidRDefault="004B6ED5" w:rsidP="004B6ED5">
      <w:r>
        <w:t>2023. Washington DC: Forest Trends Association.</w:t>
      </w:r>
    </w:p>
    <w:p w14:paraId="2869C329" w14:textId="77777777" w:rsidR="00B16A5C" w:rsidRDefault="00B16A5C" w:rsidP="004B6ED5"/>
    <w:p w14:paraId="38E13218" w14:textId="1A2BEE93" w:rsidR="00B16A5C" w:rsidRDefault="00B16A5C" w:rsidP="004B6ED5">
      <w:r>
        <w:t xml:space="preserve">G20 (2022). 2022 G20 Sustainable Finance Report.  Available at: </w:t>
      </w:r>
      <w:r w:rsidRPr="00B16A5C">
        <w:t>https://g20sfwg.org/wp-content/uploads/2022/10/2022-G20-Sustainable-Finance-Report-2.pdf</w:t>
      </w:r>
    </w:p>
    <w:p w14:paraId="5D48727C" w14:textId="77777777" w:rsidR="004B6ED5" w:rsidRDefault="004B6ED5" w:rsidP="004B6ED5"/>
    <w:p w14:paraId="3F5CEA7F" w14:textId="77777777" w:rsidR="004B6ED5" w:rsidRDefault="004B6ED5" w:rsidP="004B6ED5">
      <w:r>
        <w:t xml:space="preserve">Hamrick, K.  2016. State of Private Investment in Conservation 2016.  A Landscape Assessment of an Emerging Market. Available at:  </w:t>
      </w:r>
      <w:hyperlink r:id="rId37" w:history="1">
        <w:r w:rsidRPr="00202D82">
          <w:rPr>
            <w:rStyle w:val="Hyperlink"/>
          </w:rPr>
          <w:t>https://www.forest-trends.org/wp-content/uploads/2017/03/2016SOPICReport_FINAL_Full-REV.pdf</w:t>
        </w:r>
      </w:hyperlink>
      <w:r>
        <w:t>.</w:t>
      </w:r>
    </w:p>
    <w:p w14:paraId="6A9CCFBE" w14:textId="77777777" w:rsidR="004B6ED5" w:rsidRDefault="004B6ED5" w:rsidP="004B6ED5"/>
    <w:p w14:paraId="1CDAA26A" w14:textId="77777777" w:rsidR="004B6ED5" w:rsidRDefault="004B6ED5" w:rsidP="004B6ED5">
      <w:r>
        <w:t xml:space="preserve">Hand, D., </w:t>
      </w:r>
      <w:proofErr w:type="spellStart"/>
      <w:r>
        <w:t>Dithrich</w:t>
      </w:r>
      <w:proofErr w:type="spellEnd"/>
      <w:r>
        <w:t xml:space="preserve">, H., Sunderji, S., and Nova, N. 2020. Annual Impact Investor Survey. Global Impact Investing Network. Available at: </w:t>
      </w:r>
      <w:hyperlink r:id="rId38" w:history="1">
        <w:r w:rsidRPr="00987273">
          <w:rPr>
            <w:rStyle w:val="Hyperlink"/>
          </w:rPr>
          <w:t>https://thegiin.org/assets/GIIN%20Annual%20Impact%20Investor%20Survey%202020.pdf</w:t>
        </w:r>
      </w:hyperlink>
      <w:r>
        <w:t xml:space="preserve">. </w:t>
      </w:r>
    </w:p>
    <w:p w14:paraId="0A956FB0" w14:textId="77777777" w:rsidR="004B6ED5" w:rsidRDefault="004B6ED5" w:rsidP="004B6ED5"/>
    <w:p w14:paraId="21EA68BD" w14:textId="77777777" w:rsidR="004B6ED5" w:rsidRDefault="004B6ED5" w:rsidP="004B6ED5">
      <w:r>
        <w:t xml:space="preserve">Mudaliar and </w:t>
      </w:r>
      <w:proofErr w:type="spellStart"/>
      <w:r>
        <w:t>Dithrich</w:t>
      </w:r>
      <w:proofErr w:type="spellEnd"/>
      <w:r>
        <w:t xml:space="preserve">. 2020. Sizing the Impact Investing Market. Global Impact Investing Network. Available at: </w:t>
      </w:r>
      <w:hyperlink r:id="rId39" w:history="1">
        <w:r w:rsidRPr="00987273">
          <w:rPr>
            <w:rStyle w:val="Hyperlink"/>
          </w:rPr>
          <w:t>https://thegiin.org/assets/Sizing%20the%20Impact%20Investing%20Market_webfile.pdf</w:t>
        </w:r>
      </w:hyperlink>
      <w:r>
        <w:t>.</w:t>
      </w:r>
    </w:p>
    <w:p w14:paraId="38C0DE2C" w14:textId="77777777" w:rsidR="004B6ED5" w:rsidRDefault="004B6ED5" w:rsidP="004B6ED5"/>
    <w:p w14:paraId="5A180AB6" w14:textId="37C4C17C" w:rsidR="004B6ED5" w:rsidRDefault="004B6ED5" w:rsidP="004B6ED5">
      <w:r>
        <w:t xml:space="preserve">Mulder, Gerhard. 2021.  Mapping Dutch Financial Flows to Biodiversity. June 2021.  </w:t>
      </w:r>
    </w:p>
    <w:p w14:paraId="16F26AEA" w14:textId="77777777" w:rsidR="00FC6C69" w:rsidRDefault="00FC6C69" w:rsidP="004B6ED5"/>
    <w:p w14:paraId="123F8A64" w14:textId="6B2E9A23" w:rsidR="00FC6C69" w:rsidRDefault="00FC6C69" w:rsidP="004B6ED5">
      <w:r>
        <w:t xml:space="preserve">Nesbit, M., Whiteoak, K., et al. (2022). Biodiversity Financing and tracking: Final Report. Institute for European Environmental Policy and </w:t>
      </w:r>
      <w:proofErr w:type="spellStart"/>
      <w:r>
        <w:t>Trinomics</w:t>
      </w:r>
      <w:proofErr w:type="spellEnd"/>
      <w:r>
        <w:t>.</w:t>
      </w:r>
    </w:p>
    <w:p w14:paraId="675FC1F4" w14:textId="77777777" w:rsidR="004B6ED5" w:rsidRDefault="004B6ED5" w:rsidP="004B6ED5">
      <w:pPr>
        <w:rPr>
          <w:lang w:val="en-GB"/>
        </w:rPr>
      </w:pPr>
    </w:p>
    <w:p w14:paraId="5FA0A5AD" w14:textId="77777777" w:rsidR="004B6ED5" w:rsidRDefault="004B6ED5" w:rsidP="004B6ED5">
      <w:pPr>
        <w:rPr>
          <w:lang w:val="en-GB"/>
        </w:rPr>
      </w:pPr>
      <w:r>
        <w:rPr>
          <w:lang w:val="en-GB"/>
        </w:rPr>
        <w:t>OECD. 2020.  A Comprehensive Overview of Global Biodiversity Finance. OECD Publishing. Paris.</w:t>
      </w:r>
    </w:p>
    <w:p w14:paraId="3100B73D" w14:textId="77777777" w:rsidR="004B6ED5" w:rsidRDefault="004B6ED5" w:rsidP="004B6ED5">
      <w:pPr>
        <w:rPr>
          <w:lang w:val="en-GB"/>
        </w:rPr>
      </w:pPr>
    </w:p>
    <w:p w14:paraId="03826D64" w14:textId="77777777" w:rsidR="004B6ED5" w:rsidRDefault="004B6ED5" w:rsidP="004B6ED5">
      <w:pPr>
        <w:rPr>
          <w:lang w:val="en-GB"/>
        </w:rPr>
      </w:pPr>
      <w:r>
        <w:t>OECD. 2021</w:t>
      </w:r>
      <w:proofErr w:type="gramStart"/>
      <w:r>
        <w:t>.  Tracking</w:t>
      </w:r>
      <w:proofErr w:type="gramEnd"/>
      <w:r>
        <w:t xml:space="preserve"> Economic Instruments and Finance for Biodiversity. OECD Publishing. Paris.</w:t>
      </w:r>
    </w:p>
    <w:p w14:paraId="3DAB3AB8" w14:textId="77777777" w:rsidR="004B6ED5" w:rsidRDefault="004B6ED5" w:rsidP="004B6ED5">
      <w:pPr>
        <w:rPr>
          <w:lang w:val="en-GB"/>
        </w:rPr>
      </w:pPr>
    </w:p>
    <w:p w14:paraId="7432379B" w14:textId="458C3BA8" w:rsidR="00A92A89" w:rsidRDefault="004B6ED5" w:rsidP="004B6ED5">
      <w:pPr>
        <w:rPr>
          <w:lang w:val="en-GB"/>
        </w:rPr>
      </w:pPr>
      <w:r w:rsidRPr="00CD7056">
        <w:rPr>
          <w:lang w:val="en-GB"/>
        </w:rPr>
        <w:t>OECD</w:t>
      </w:r>
      <w:r>
        <w:rPr>
          <w:lang w:val="en-GB"/>
        </w:rPr>
        <w:t>.</w:t>
      </w:r>
      <w:r w:rsidRPr="00CD7056">
        <w:rPr>
          <w:lang w:val="en-GB"/>
        </w:rPr>
        <w:t xml:space="preserve"> 2023. Biodiversity and Development Finance 2015-2021: Progress towards Target 19 of the Kunming-Montreal Global Biodiversity Framework. OECD Publishing. Paris.</w:t>
      </w:r>
    </w:p>
    <w:p w14:paraId="73204F33" w14:textId="77777777" w:rsidR="00A92A89" w:rsidRDefault="00A92A89" w:rsidP="00A92A89">
      <w:pPr>
        <w:autoSpaceDE w:val="0"/>
        <w:autoSpaceDN w:val="0"/>
        <w:adjustRightInd w:val="0"/>
        <w:rPr>
          <w:rFonts w:ascii="Roboto-Regular" w:hAnsi="Roboto-Regular" w:cs="Roboto-Regular"/>
          <w:sz w:val="20"/>
          <w:szCs w:val="20"/>
        </w:rPr>
      </w:pPr>
    </w:p>
    <w:p w14:paraId="42BA12A2" w14:textId="44BC8014" w:rsidR="00A92A89" w:rsidRDefault="00A92A89" w:rsidP="00A92A89">
      <w:pPr>
        <w:rPr>
          <w:lang w:val="en-GB"/>
        </w:rPr>
      </w:pPr>
      <w:r w:rsidRPr="00A92A89">
        <w:rPr>
          <w:lang w:val="en-GB"/>
        </w:rPr>
        <w:t>Salzman, J., Bennett, G., Carroll, N., Goldstein, A. and Jenkins, M. (2018). The global status and trends of</w:t>
      </w:r>
      <w:r w:rsidR="00AA3486">
        <w:rPr>
          <w:lang w:val="en-GB"/>
        </w:rPr>
        <w:t xml:space="preserve"> </w:t>
      </w:r>
      <w:r w:rsidRPr="00A92A89">
        <w:rPr>
          <w:lang w:val="en-GB"/>
        </w:rPr>
        <w:t>Payments for Ecosystem Services. Nature Sustainability 1, 136-144.</w:t>
      </w:r>
    </w:p>
    <w:p w14:paraId="120D092D" w14:textId="77777777" w:rsidR="004B6ED5" w:rsidRDefault="004B6ED5" w:rsidP="004B6ED5"/>
    <w:p w14:paraId="1925B195" w14:textId="77777777" w:rsidR="004B6ED5" w:rsidRDefault="004B6ED5" w:rsidP="004B6ED5">
      <w:r>
        <w:t xml:space="preserve">Seidl, A., Cummings, T., </w:t>
      </w:r>
      <w:proofErr w:type="spellStart"/>
      <w:r>
        <w:t>Arlaud</w:t>
      </w:r>
      <w:proofErr w:type="spellEnd"/>
      <w:r>
        <w:t>, M., Crossett, C. and van den Heuvel, O. 2024.  Investing in the wealth of nature through biodiversity and ecosystem service finance solutions.  Ecosystem Services 66 (2024) 101601.</w:t>
      </w:r>
    </w:p>
    <w:p w14:paraId="561A5760" w14:textId="77777777" w:rsidR="004B6ED5" w:rsidRDefault="004B6ED5" w:rsidP="004B6ED5"/>
    <w:p w14:paraId="6C729ABE" w14:textId="25EE0044" w:rsidR="00521748" w:rsidRDefault="00521748" w:rsidP="004B6ED5">
      <w:r>
        <w:t xml:space="preserve">UNDP (2018). The BIOFIN Workbook 2018: Finance for Nature. The Biodiversity Finance Initiative. United Nations Development </w:t>
      </w:r>
      <w:proofErr w:type="spellStart"/>
      <w:r>
        <w:t>Programme</w:t>
      </w:r>
      <w:proofErr w:type="spellEnd"/>
      <w:r>
        <w:t>: New York.</w:t>
      </w:r>
    </w:p>
    <w:p w14:paraId="083C0F50" w14:textId="77777777" w:rsidR="00521748" w:rsidRDefault="00521748" w:rsidP="004B6ED5"/>
    <w:p w14:paraId="4B96EB32" w14:textId="77777777" w:rsidR="004B6ED5" w:rsidRPr="007F5172" w:rsidRDefault="004B6ED5" w:rsidP="004B6ED5">
      <w:pPr>
        <w:rPr>
          <w:lang w:val="fr-FR"/>
        </w:rPr>
      </w:pPr>
      <w:r>
        <w:t xml:space="preserve">United Nations Environment </w:t>
      </w:r>
      <w:proofErr w:type="spellStart"/>
      <w:r>
        <w:t>Programme</w:t>
      </w:r>
      <w:proofErr w:type="spellEnd"/>
      <w:r>
        <w:t xml:space="preserve">. 2023. State of Finance for Nature: The Big Nature Turnaround – Repurposing $7 trillion to combat nature loss.  </w:t>
      </w:r>
      <w:r w:rsidRPr="007F5172">
        <w:rPr>
          <w:lang w:val="fr-FR"/>
        </w:rPr>
        <w:t xml:space="preserve">Nairobi.  </w:t>
      </w:r>
      <w:proofErr w:type="spellStart"/>
      <w:r w:rsidRPr="007F5172">
        <w:rPr>
          <w:lang w:val="fr-FR"/>
        </w:rPr>
        <w:t>Available</w:t>
      </w:r>
      <w:proofErr w:type="spellEnd"/>
      <w:r w:rsidRPr="007F5172">
        <w:rPr>
          <w:lang w:val="fr-FR"/>
        </w:rPr>
        <w:t xml:space="preserve"> </w:t>
      </w:r>
      <w:proofErr w:type="gramStart"/>
      <w:r w:rsidRPr="007F5172">
        <w:rPr>
          <w:lang w:val="fr-FR"/>
        </w:rPr>
        <w:t>at:</w:t>
      </w:r>
      <w:proofErr w:type="gramEnd"/>
      <w:r w:rsidRPr="007F5172">
        <w:rPr>
          <w:lang w:val="fr-FR"/>
        </w:rPr>
        <w:t xml:space="preserve"> </w:t>
      </w:r>
      <w:hyperlink r:id="rId40" w:history="1">
        <w:r w:rsidRPr="007F5172">
          <w:rPr>
            <w:rStyle w:val="Hyperlink"/>
            <w:lang w:val="fr-FR"/>
          </w:rPr>
          <w:t>https://www.unep.org/resources/state-finance-nature-2023</w:t>
        </w:r>
      </w:hyperlink>
      <w:r w:rsidRPr="007F5172">
        <w:rPr>
          <w:lang w:val="fr-FR"/>
        </w:rPr>
        <w:t xml:space="preserve">.   </w:t>
      </w:r>
    </w:p>
    <w:p w14:paraId="77C9B786" w14:textId="77777777" w:rsidR="004B6ED5" w:rsidRPr="007F5172" w:rsidRDefault="004B6ED5" w:rsidP="004B6ED5">
      <w:pPr>
        <w:rPr>
          <w:lang w:val="fr-FR"/>
        </w:rPr>
      </w:pPr>
    </w:p>
    <w:p w14:paraId="10929222" w14:textId="77777777" w:rsidR="004B6ED5" w:rsidRPr="007F5172" w:rsidRDefault="004B6ED5" w:rsidP="004B6ED5">
      <w:pPr>
        <w:rPr>
          <w:lang w:val="it-IT"/>
        </w:rPr>
      </w:pPr>
      <w:r>
        <w:t xml:space="preserve">Wunder, S. 2015. Revisiting the concept of payments for environmental services. </w:t>
      </w:r>
      <w:r w:rsidRPr="007F5172">
        <w:rPr>
          <w:lang w:val="it-IT"/>
        </w:rPr>
        <w:t xml:space="preserve">Ecological Economics 117, 234-243. </w:t>
      </w:r>
      <w:r>
        <w:fldChar w:fldCharType="begin"/>
      </w:r>
      <w:r>
        <w:instrText>HYPERLINK "https://www.sciencedirect.com/science/article/pii/S0921800914002961"</w:instrText>
      </w:r>
      <w:r>
        <w:fldChar w:fldCharType="separate"/>
      </w:r>
      <w:r w:rsidRPr="007F5172">
        <w:rPr>
          <w:rStyle w:val="Hyperlink"/>
          <w:lang w:val="it-IT"/>
        </w:rPr>
        <w:t>https://www.sciencedirect.com/science/article/pii/S0921800914002961</w:t>
      </w:r>
      <w:r>
        <w:rPr>
          <w:rStyle w:val="Hyperlink"/>
          <w:lang w:val="it-IT"/>
        </w:rPr>
        <w:fldChar w:fldCharType="end"/>
      </w:r>
      <w:r w:rsidRPr="007F5172">
        <w:rPr>
          <w:lang w:val="it-IT"/>
        </w:rPr>
        <w:t>.</w:t>
      </w:r>
    </w:p>
    <w:p w14:paraId="3D02A7E9" w14:textId="2E6FEBB1" w:rsidR="004B6ED5" w:rsidRPr="007F5172" w:rsidRDefault="004B6ED5" w:rsidP="00FA4857">
      <w:pPr>
        <w:rPr>
          <w:rFonts w:asciiTheme="majorHAnsi" w:eastAsiaTheme="majorEastAsia" w:hAnsiTheme="majorHAnsi" w:cstheme="majorBidi"/>
          <w:color w:val="2F5496" w:themeColor="accent1" w:themeShade="BF"/>
          <w:sz w:val="32"/>
          <w:szCs w:val="32"/>
          <w:lang w:val="it-IT"/>
        </w:rPr>
      </w:pPr>
      <w:r w:rsidRPr="007F5172">
        <w:rPr>
          <w:lang w:val="it-IT"/>
        </w:rPr>
        <w:br w:type="page"/>
      </w:r>
    </w:p>
    <w:p w14:paraId="07698ED3" w14:textId="6520DC50" w:rsidR="00EE693A" w:rsidRDefault="00EE693A" w:rsidP="00130237">
      <w:pPr>
        <w:pStyle w:val="Heading1"/>
        <w:jc w:val="both"/>
      </w:pPr>
      <w:bookmarkStart w:id="17" w:name="_Toc172018363"/>
      <w:r>
        <w:lastRenderedPageBreak/>
        <w:t>A</w:t>
      </w:r>
      <w:r w:rsidR="009C7759">
        <w:t>ppendix</w:t>
      </w:r>
      <w:r>
        <w:t xml:space="preserve"> 1.  Members of the </w:t>
      </w:r>
      <w:r w:rsidR="00B500B5">
        <w:t xml:space="preserve">TEG </w:t>
      </w:r>
      <w:r>
        <w:t>on Financial Reporting: Sub-group on D3</w:t>
      </w:r>
      <w:bookmarkEnd w:id="17"/>
    </w:p>
    <w:p w14:paraId="08E7CDD5" w14:textId="77777777" w:rsidR="00130237" w:rsidRPr="00130237" w:rsidRDefault="00130237" w:rsidP="00130237"/>
    <w:tbl>
      <w:tblPr>
        <w:tblStyle w:val="TableGrid"/>
        <w:tblW w:w="0" w:type="auto"/>
        <w:tblLook w:val="04A0" w:firstRow="1" w:lastRow="0" w:firstColumn="1" w:lastColumn="0" w:noHBand="0" w:noVBand="1"/>
      </w:tblPr>
      <w:tblGrid>
        <w:gridCol w:w="4675"/>
        <w:gridCol w:w="4675"/>
      </w:tblGrid>
      <w:tr w:rsidR="00EE693A" w14:paraId="53A0D07F" w14:textId="77777777" w:rsidTr="00EE693A">
        <w:tc>
          <w:tcPr>
            <w:tcW w:w="4675" w:type="dxa"/>
            <w:shd w:val="clear" w:color="auto" w:fill="BDD6EE" w:themeFill="accent5" w:themeFillTint="66"/>
          </w:tcPr>
          <w:p w14:paraId="4D88759F" w14:textId="1F8A3682" w:rsidR="00EE693A" w:rsidRDefault="00EE693A" w:rsidP="00D816EA">
            <w:pPr>
              <w:jc w:val="both"/>
            </w:pPr>
            <w:r>
              <w:t>Party/Organization</w:t>
            </w:r>
          </w:p>
        </w:tc>
        <w:tc>
          <w:tcPr>
            <w:tcW w:w="4675" w:type="dxa"/>
            <w:shd w:val="clear" w:color="auto" w:fill="BDD6EE" w:themeFill="accent5" w:themeFillTint="66"/>
          </w:tcPr>
          <w:p w14:paraId="0715350C" w14:textId="61DC69D3" w:rsidR="00EE693A" w:rsidRDefault="00EE693A" w:rsidP="00D816EA">
            <w:pPr>
              <w:jc w:val="both"/>
            </w:pPr>
            <w:r>
              <w:t>Name</w:t>
            </w:r>
          </w:p>
        </w:tc>
      </w:tr>
      <w:tr w:rsidR="00EE693A" w:rsidRPr="000E5917" w14:paraId="38A7AA29" w14:textId="77777777" w:rsidTr="00EE693A">
        <w:trPr>
          <w:trHeight w:val="449"/>
        </w:trPr>
        <w:tc>
          <w:tcPr>
            <w:tcW w:w="4675" w:type="dxa"/>
            <w:vAlign w:val="center"/>
          </w:tcPr>
          <w:p w14:paraId="5B6B6862" w14:textId="7A6C6BB6" w:rsidR="00EE693A" w:rsidRDefault="00EE693A" w:rsidP="00D816EA">
            <w:pPr>
              <w:jc w:val="both"/>
            </w:pPr>
            <w:r>
              <w:t>Colombia</w:t>
            </w:r>
          </w:p>
        </w:tc>
        <w:tc>
          <w:tcPr>
            <w:tcW w:w="4675" w:type="dxa"/>
            <w:vAlign w:val="center"/>
          </w:tcPr>
          <w:p w14:paraId="4290660C" w14:textId="4D1A2774" w:rsidR="00EE693A" w:rsidRPr="007F5172" w:rsidRDefault="00EE693A" w:rsidP="00D816EA">
            <w:pPr>
              <w:jc w:val="both"/>
              <w:rPr>
                <w:lang w:val="es-ES"/>
              </w:rPr>
            </w:pPr>
            <w:r w:rsidRPr="007F5172">
              <w:rPr>
                <w:lang w:val="es-ES"/>
              </w:rPr>
              <w:t>Mr. Juan Camilo Pinto Ojeda</w:t>
            </w:r>
          </w:p>
        </w:tc>
      </w:tr>
      <w:tr w:rsidR="00EE693A" w14:paraId="26529D6D" w14:textId="77777777" w:rsidTr="00EE693A">
        <w:trPr>
          <w:trHeight w:val="521"/>
        </w:trPr>
        <w:tc>
          <w:tcPr>
            <w:tcW w:w="4675" w:type="dxa"/>
            <w:vAlign w:val="center"/>
          </w:tcPr>
          <w:p w14:paraId="1337AB88" w14:textId="4299CA32" w:rsidR="00EE693A" w:rsidRDefault="00EE693A" w:rsidP="00D816EA">
            <w:pPr>
              <w:jc w:val="both"/>
            </w:pPr>
            <w:r>
              <w:t>Switzerland</w:t>
            </w:r>
          </w:p>
        </w:tc>
        <w:tc>
          <w:tcPr>
            <w:tcW w:w="4675" w:type="dxa"/>
            <w:vAlign w:val="center"/>
          </w:tcPr>
          <w:p w14:paraId="59BC4291" w14:textId="461A903C" w:rsidR="00EE693A" w:rsidRDefault="00EE693A" w:rsidP="00D816EA">
            <w:pPr>
              <w:jc w:val="both"/>
            </w:pPr>
            <w:r>
              <w:t>Ms. Lucretia Landmann</w:t>
            </w:r>
          </w:p>
        </w:tc>
      </w:tr>
      <w:tr w:rsidR="00EE693A" w14:paraId="357EFF36" w14:textId="77777777" w:rsidTr="00EE693A">
        <w:trPr>
          <w:trHeight w:val="458"/>
        </w:trPr>
        <w:tc>
          <w:tcPr>
            <w:tcW w:w="4675" w:type="dxa"/>
            <w:vAlign w:val="center"/>
          </w:tcPr>
          <w:p w14:paraId="754A2782" w14:textId="6EBF4EA8" w:rsidR="00EE693A" w:rsidRDefault="00EE693A" w:rsidP="00D816EA">
            <w:pPr>
              <w:jc w:val="both"/>
            </w:pPr>
            <w:r>
              <w:t>France</w:t>
            </w:r>
          </w:p>
        </w:tc>
        <w:tc>
          <w:tcPr>
            <w:tcW w:w="4675" w:type="dxa"/>
            <w:vAlign w:val="center"/>
          </w:tcPr>
          <w:p w14:paraId="38DA9B27" w14:textId="658D4228" w:rsidR="00EE693A" w:rsidRDefault="00EE693A" w:rsidP="00D816EA">
            <w:pPr>
              <w:jc w:val="both"/>
            </w:pPr>
            <w:r>
              <w:t xml:space="preserve">Ms. Alexandra </w:t>
            </w:r>
            <w:proofErr w:type="spellStart"/>
            <w:r>
              <w:t>Matascalderon</w:t>
            </w:r>
            <w:proofErr w:type="spellEnd"/>
          </w:p>
        </w:tc>
      </w:tr>
      <w:tr w:rsidR="00EE693A" w14:paraId="4C3F7C87" w14:textId="77777777" w:rsidTr="00EE693A">
        <w:trPr>
          <w:trHeight w:val="440"/>
        </w:trPr>
        <w:tc>
          <w:tcPr>
            <w:tcW w:w="4675" w:type="dxa"/>
            <w:vAlign w:val="center"/>
          </w:tcPr>
          <w:p w14:paraId="4A6E35E4" w14:textId="7B03BC7A" w:rsidR="00EE693A" w:rsidRDefault="00EE693A" w:rsidP="00D816EA">
            <w:pPr>
              <w:jc w:val="both"/>
            </w:pPr>
            <w:r>
              <w:t>World Benchmarking Alliance</w:t>
            </w:r>
          </w:p>
        </w:tc>
        <w:tc>
          <w:tcPr>
            <w:tcW w:w="4675" w:type="dxa"/>
            <w:vAlign w:val="center"/>
          </w:tcPr>
          <w:p w14:paraId="011636C3" w14:textId="7DDF760E" w:rsidR="00EE693A" w:rsidRDefault="00EE693A" w:rsidP="00D816EA">
            <w:pPr>
              <w:jc w:val="both"/>
            </w:pPr>
            <w:r>
              <w:t xml:space="preserve">Mr. Nick </w:t>
            </w:r>
            <w:proofErr w:type="spellStart"/>
            <w:r>
              <w:t>Sauviat</w:t>
            </w:r>
            <w:proofErr w:type="spellEnd"/>
          </w:p>
        </w:tc>
      </w:tr>
      <w:tr w:rsidR="00EE693A" w:rsidRPr="00042ECA" w14:paraId="6702FE7A" w14:textId="77777777" w:rsidTr="00EE693A">
        <w:trPr>
          <w:trHeight w:val="521"/>
        </w:trPr>
        <w:tc>
          <w:tcPr>
            <w:tcW w:w="4675" w:type="dxa"/>
            <w:vAlign w:val="center"/>
          </w:tcPr>
          <w:p w14:paraId="7742DC12" w14:textId="25DAA016" w:rsidR="00EE693A" w:rsidRDefault="00EE693A" w:rsidP="00D816EA">
            <w:pPr>
              <w:jc w:val="both"/>
            </w:pPr>
            <w:r>
              <w:t>Cornell University</w:t>
            </w:r>
          </w:p>
        </w:tc>
        <w:tc>
          <w:tcPr>
            <w:tcW w:w="4675" w:type="dxa"/>
            <w:vAlign w:val="center"/>
          </w:tcPr>
          <w:p w14:paraId="5B0196CC" w14:textId="54473602" w:rsidR="00EE693A" w:rsidRPr="00EB7192" w:rsidRDefault="00EE693A" w:rsidP="00D816EA">
            <w:pPr>
              <w:jc w:val="both"/>
              <w:rPr>
                <w:lang w:val="fr-FR"/>
              </w:rPr>
            </w:pPr>
            <w:r w:rsidRPr="00EB7192">
              <w:rPr>
                <w:lang w:val="fr-FR"/>
              </w:rPr>
              <w:t xml:space="preserve">Mr. John Tobin de la </w:t>
            </w:r>
            <w:proofErr w:type="spellStart"/>
            <w:r w:rsidRPr="00EB7192">
              <w:rPr>
                <w:lang w:val="fr-FR"/>
              </w:rPr>
              <w:t>Puenta</w:t>
            </w:r>
            <w:proofErr w:type="spellEnd"/>
          </w:p>
        </w:tc>
      </w:tr>
      <w:tr w:rsidR="00EE693A" w14:paraId="671B5E16" w14:textId="77777777" w:rsidTr="00EE693A">
        <w:trPr>
          <w:trHeight w:val="710"/>
        </w:trPr>
        <w:tc>
          <w:tcPr>
            <w:tcW w:w="4675" w:type="dxa"/>
            <w:vAlign w:val="center"/>
          </w:tcPr>
          <w:p w14:paraId="3A992EE5" w14:textId="2B24750D" w:rsidR="00EE693A" w:rsidRDefault="00EE693A" w:rsidP="00D816EA">
            <w:pPr>
              <w:jc w:val="both"/>
            </w:pPr>
            <w:r>
              <w:t>Organization for Economic Cooperation and Development</w:t>
            </w:r>
          </w:p>
        </w:tc>
        <w:tc>
          <w:tcPr>
            <w:tcW w:w="4675" w:type="dxa"/>
            <w:vAlign w:val="center"/>
          </w:tcPr>
          <w:p w14:paraId="21A8E30E" w14:textId="5DE5CFBA" w:rsidR="00EE693A" w:rsidRDefault="00EE693A" w:rsidP="00D816EA">
            <w:pPr>
              <w:jc w:val="both"/>
            </w:pPr>
            <w:r>
              <w:t>Mr. Edward Perry</w:t>
            </w:r>
          </w:p>
        </w:tc>
      </w:tr>
      <w:tr w:rsidR="00EE693A" w14:paraId="25B4F532" w14:textId="77777777" w:rsidTr="00EE693A">
        <w:tc>
          <w:tcPr>
            <w:tcW w:w="4675" w:type="dxa"/>
            <w:vAlign w:val="center"/>
          </w:tcPr>
          <w:p w14:paraId="1FF54F35" w14:textId="6E3509EB" w:rsidR="00EE693A" w:rsidRDefault="00EE693A" w:rsidP="00D816EA">
            <w:pPr>
              <w:jc w:val="both"/>
            </w:pPr>
            <w:r>
              <w:t>Organization for Economic Cooperation and Development</w:t>
            </w:r>
          </w:p>
        </w:tc>
        <w:tc>
          <w:tcPr>
            <w:tcW w:w="4675" w:type="dxa"/>
            <w:vAlign w:val="center"/>
          </w:tcPr>
          <w:p w14:paraId="20EC563C" w14:textId="46397EB8" w:rsidR="00EE693A" w:rsidRDefault="00EE693A" w:rsidP="00D816EA">
            <w:pPr>
              <w:jc w:val="both"/>
            </w:pPr>
            <w:r>
              <w:t>Mr. Juan Casado-Asensio</w:t>
            </w:r>
          </w:p>
        </w:tc>
      </w:tr>
    </w:tbl>
    <w:p w14:paraId="3EAF5B70" w14:textId="77777777" w:rsidR="00EE693A" w:rsidRPr="003E46F2" w:rsidRDefault="00EE693A" w:rsidP="00D816EA">
      <w:pPr>
        <w:jc w:val="both"/>
      </w:pPr>
    </w:p>
    <w:p w14:paraId="7F752229" w14:textId="21320E50" w:rsidR="002F5D11" w:rsidRDefault="002F5D11" w:rsidP="00D816EA">
      <w:pPr>
        <w:jc w:val="both"/>
        <w:rPr>
          <w:b/>
        </w:rPr>
      </w:pPr>
    </w:p>
    <w:p w14:paraId="185BE7E2" w14:textId="77777777" w:rsidR="002F5D11" w:rsidRPr="002F5D11" w:rsidRDefault="002F5D11" w:rsidP="00D816EA">
      <w:pPr>
        <w:jc w:val="both"/>
        <w:rPr>
          <w:b/>
        </w:rPr>
      </w:pPr>
    </w:p>
    <w:p w14:paraId="36EA5862" w14:textId="574D869C" w:rsidR="00216D05" w:rsidRDefault="00216D05" w:rsidP="00D816EA">
      <w:pPr>
        <w:jc w:val="both"/>
        <w:rPr>
          <w:b/>
        </w:rPr>
      </w:pPr>
    </w:p>
    <w:p w14:paraId="5431F4CC" w14:textId="77777777" w:rsidR="00216D05" w:rsidRPr="0011720A" w:rsidRDefault="00216D05" w:rsidP="00D816EA">
      <w:pPr>
        <w:jc w:val="both"/>
        <w:rPr>
          <w:b/>
        </w:rPr>
      </w:pPr>
    </w:p>
    <w:p w14:paraId="77253F62" w14:textId="6AFD91C1" w:rsidR="0011720A" w:rsidRDefault="0011720A" w:rsidP="00D816EA">
      <w:pPr>
        <w:jc w:val="both"/>
      </w:pPr>
    </w:p>
    <w:p w14:paraId="1CCD7C65" w14:textId="77777777" w:rsidR="0011720A" w:rsidRDefault="0011720A" w:rsidP="00D816EA">
      <w:pPr>
        <w:jc w:val="both"/>
      </w:pPr>
    </w:p>
    <w:p w14:paraId="3654425C" w14:textId="598297B7" w:rsidR="005627C9" w:rsidRDefault="005627C9" w:rsidP="00D816EA">
      <w:pPr>
        <w:jc w:val="both"/>
      </w:pPr>
    </w:p>
    <w:p w14:paraId="02032E96" w14:textId="77777777" w:rsidR="005627C9" w:rsidRDefault="005627C9" w:rsidP="00D816EA">
      <w:pPr>
        <w:jc w:val="both"/>
      </w:pPr>
    </w:p>
    <w:p w14:paraId="369B8A88" w14:textId="081E4187" w:rsidR="00C53E21" w:rsidRDefault="00C53E21" w:rsidP="00D816EA">
      <w:pPr>
        <w:jc w:val="both"/>
      </w:pPr>
    </w:p>
    <w:p w14:paraId="7386F75B" w14:textId="26BF25CC" w:rsidR="00EE693A" w:rsidRDefault="00EE693A" w:rsidP="00D816EA">
      <w:pPr>
        <w:jc w:val="both"/>
      </w:pPr>
      <w:r>
        <w:br w:type="page"/>
      </w:r>
    </w:p>
    <w:p w14:paraId="6FB4825E" w14:textId="0745417B" w:rsidR="00681DF7" w:rsidRPr="00EE693A" w:rsidRDefault="00681DF7" w:rsidP="00681DF7">
      <w:pPr>
        <w:pStyle w:val="Heading1"/>
        <w:rPr>
          <w:rFonts w:eastAsia="Times New Roman"/>
        </w:rPr>
      </w:pPr>
      <w:bookmarkStart w:id="18" w:name="_Toc172018364"/>
      <w:r>
        <w:rPr>
          <w:rFonts w:eastAsia="Times New Roman"/>
        </w:rPr>
        <w:lastRenderedPageBreak/>
        <w:t>A</w:t>
      </w:r>
      <w:r w:rsidR="009C7759">
        <w:rPr>
          <w:rFonts w:eastAsia="Times New Roman"/>
        </w:rPr>
        <w:t>ppendix</w:t>
      </w:r>
      <w:r>
        <w:rPr>
          <w:rFonts w:eastAsia="Times New Roman"/>
        </w:rPr>
        <w:t xml:space="preserve"> </w:t>
      </w:r>
      <w:r w:rsidR="004B6ED5">
        <w:rPr>
          <w:rFonts w:eastAsia="Times New Roman"/>
        </w:rPr>
        <w:t>2</w:t>
      </w:r>
      <w:r>
        <w:rPr>
          <w:rFonts w:eastAsia="Times New Roman"/>
        </w:rPr>
        <w:t xml:space="preserve">. </w:t>
      </w:r>
      <w:r w:rsidR="00BE4845">
        <w:rPr>
          <w:rFonts w:eastAsia="Times New Roman"/>
        </w:rPr>
        <w:t>Monitoring Framework and Indicators for the KMGBF</w:t>
      </w:r>
      <w:bookmarkEnd w:id="18"/>
    </w:p>
    <w:p w14:paraId="76F195E4" w14:textId="6CF9CCB6" w:rsidR="00EE693A" w:rsidRDefault="00EE693A" w:rsidP="00D816EA">
      <w:pPr>
        <w:jc w:val="both"/>
      </w:pPr>
    </w:p>
    <w:p w14:paraId="22ECF4C3" w14:textId="77777777" w:rsidR="00BE4845" w:rsidRDefault="00BE4845" w:rsidP="00BE4845">
      <w:pPr>
        <w:jc w:val="both"/>
      </w:pPr>
      <w:r>
        <w:t xml:space="preserve">To monitor progress towards the KMGBF, </w:t>
      </w:r>
      <w:proofErr w:type="gramStart"/>
      <w:r>
        <w:t>the COP</w:t>
      </w:r>
      <w:proofErr w:type="gramEnd"/>
      <w:r>
        <w:t>-15 adopted decision 15/5</w:t>
      </w:r>
      <w:r>
        <w:rPr>
          <w:rStyle w:val="FootnoteReference"/>
        </w:rPr>
        <w:footnoteReference w:id="22"/>
      </w:r>
      <w:r>
        <w:t xml:space="preserve"> which established a monitoring framework for countries to report against an agreed upon set of indicators.  The monitoring framework is comprised of four types of indicators, as outlined below. </w:t>
      </w:r>
    </w:p>
    <w:p w14:paraId="7776A478" w14:textId="77777777" w:rsidR="00BE4845" w:rsidRDefault="00BE4845" w:rsidP="00BE4845">
      <w:pPr>
        <w:jc w:val="both"/>
      </w:pPr>
    </w:p>
    <w:p w14:paraId="1D908250" w14:textId="77777777" w:rsidR="00BE4845" w:rsidRDefault="00BE4845" w:rsidP="00BE4845">
      <w:pPr>
        <w:pStyle w:val="ListParagraph"/>
        <w:numPr>
          <w:ilvl w:val="0"/>
          <w:numId w:val="1"/>
        </w:numPr>
        <w:jc w:val="both"/>
      </w:pPr>
      <w:r w:rsidRPr="00B719DC">
        <w:rPr>
          <w:b/>
        </w:rPr>
        <w:t>Headline indicators.</w:t>
      </w:r>
      <w:r>
        <w:t xml:space="preserve"> Represent a minimum set of high-level indicators that capture the overall scope of the goals and targets to plan and monitor progress.  They are nationally, regionally, and globally relevant indicators validated by Parties and can be used for communication purposes.</w:t>
      </w:r>
    </w:p>
    <w:p w14:paraId="4BE3EE22" w14:textId="77777777" w:rsidR="00BE4845" w:rsidRDefault="00BE4845" w:rsidP="00BE4845">
      <w:pPr>
        <w:pStyle w:val="ListParagraph"/>
        <w:numPr>
          <w:ilvl w:val="0"/>
          <w:numId w:val="1"/>
        </w:numPr>
        <w:jc w:val="both"/>
      </w:pPr>
      <w:r w:rsidRPr="00B719DC">
        <w:rPr>
          <w:b/>
        </w:rPr>
        <w:t>Global-level indicators</w:t>
      </w:r>
      <w:r>
        <w:t>. These indicators will be collated from “yes/no” responses to binary questions to be included in the national reporting template. They will provide a count of the number of countries that have undertaken specified activities.</w:t>
      </w:r>
    </w:p>
    <w:p w14:paraId="02337B9A" w14:textId="77777777" w:rsidR="00BE4845" w:rsidRDefault="00BE4845" w:rsidP="00BE4845">
      <w:pPr>
        <w:pStyle w:val="ListParagraph"/>
        <w:numPr>
          <w:ilvl w:val="0"/>
          <w:numId w:val="1"/>
        </w:numPr>
        <w:jc w:val="both"/>
      </w:pPr>
      <w:r w:rsidRPr="00B719DC">
        <w:rPr>
          <w:b/>
        </w:rPr>
        <w:t>Component indicators</w:t>
      </w:r>
      <w:r>
        <w:t xml:space="preserve">. These indicators are optional indicators which, together with the headline indicators, </w:t>
      </w:r>
      <w:proofErr w:type="gramStart"/>
      <w:r>
        <w:t>will cover</w:t>
      </w:r>
      <w:proofErr w:type="gramEnd"/>
      <w:r>
        <w:t xml:space="preserve"> all components of the goals and targets of the Framework, and may be applicable at the global, regional, national, and subnational levels.</w:t>
      </w:r>
    </w:p>
    <w:p w14:paraId="0C196FFB" w14:textId="77777777" w:rsidR="00BE4845" w:rsidRDefault="00BE4845" w:rsidP="00BE4845">
      <w:pPr>
        <w:pStyle w:val="ListParagraph"/>
        <w:numPr>
          <w:ilvl w:val="0"/>
          <w:numId w:val="1"/>
        </w:numPr>
        <w:jc w:val="both"/>
      </w:pPr>
      <w:r w:rsidRPr="00B719DC">
        <w:rPr>
          <w:b/>
        </w:rPr>
        <w:t>Complementary indicators</w:t>
      </w:r>
      <w:r>
        <w:t xml:space="preserve">. These indicators are optional indicators for the thematic or in-depth analysis of each goal and target. They may be applicable at the global, regional, national, and subnational levels. </w:t>
      </w:r>
    </w:p>
    <w:p w14:paraId="46E9AA08" w14:textId="77777777" w:rsidR="00BE4845" w:rsidRDefault="00BE4845" w:rsidP="00BE4845">
      <w:pPr>
        <w:jc w:val="both"/>
      </w:pPr>
    </w:p>
    <w:p w14:paraId="0D2CC812" w14:textId="5D677689" w:rsidR="00BE4845" w:rsidRDefault="00BE4845" w:rsidP="00BE4845">
      <w:pPr>
        <w:jc w:val="both"/>
      </w:pPr>
      <w:r>
        <w:t xml:space="preserve">Headline indicators use methodologies that are calculated at the national </w:t>
      </w:r>
      <w:r w:rsidR="00EE6262">
        <w:t>level but</w:t>
      </w:r>
      <w:r>
        <w:t xml:space="preserve"> may </w:t>
      </w:r>
      <w:proofErr w:type="gramStart"/>
      <w:r>
        <w:t>draw</w:t>
      </w:r>
      <w:proofErr w:type="gramEnd"/>
      <w:r>
        <w:t xml:space="preserve"> on global datasets.  In lieu of national indicators, the use of global indicators at the national level may be </w:t>
      </w:r>
      <w:r w:rsidR="00EE6262">
        <w:t>necessary but</w:t>
      </w:r>
      <w:r>
        <w:t xml:space="preserve"> must be validated by appropriate national mechanisms.  Decision 15/5 recognizes that headline indicators may not capture all components of a goal or a </w:t>
      </w:r>
      <w:r w:rsidR="00EE6262">
        <w:t>target and</w:t>
      </w:r>
      <w:r>
        <w:t xml:space="preserve"> may be complemented by component and complementary indicators as needed.  Indicators must meet, or must be able to meet, the following criteria by 2025:</w:t>
      </w:r>
    </w:p>
    <w:p w14:paraId="0A04168F" w14:textId="77777777" w:rsidR="00BE4845" w:rsidRDefault="00BE4845" w:rsidP="00BE4845">
      <w:pPr>
        <w:jc w:val="both"/>
      </w:pPr>
    </w:p>
    <w:p w14:paraId="59E23261" w14:textId="77777777" w:rsidR="00BE4845" w:rsidRDefault="00BE4845" w:rsidP="00BE4845">
      <w:pPr>
        <w:pStyle w:val="ListParagraph"/>
        <w:numPr>
          <w:ilvl w:val="0"/>
          <w:numId w:val="11"/>
        </w:numPr>
        <w:jc w:val="both"/>
      </w:pPr>
      <w:r>
        <w:t>Data and metadata related to the indicator is publicly available</w:t>
      </w:r>
    </w:p>
    <w:p w14:paraId="55B3A98D" w14:textId="77777777" w:rsidR="00BE4845" w:rsidRDefault="00BE4845" w:rsidP="00BE4845">
      <w:pPr>
        <w:pStyle w:val="ListParagraph"/>
        <w:numPr>
          <w:ilvl w:val="0"/>
          <w:numId w:val="11"/>
        </w:numPr>
        <w:jc w:val="both"/>
      </w:pPr>
      <w:r>
        <w:t>The methodology underpinning the indicator is either published in a peer-reviewed academic journal or has gone through a scientific peer-review process and has been validated for national use</w:t>
      </w:r>
    </w:p>
    <w:p w14:paraId="687C58CB" w14:textId="77777777" w:rsidR="00BE4845" w:rsidRDefault="00BE4845" w:rsidP="00BE4845">
      <w:pPr>
        <w:pStyle w:val="ListParagraph"/>
        <w:numPr>
          <w:ilvl w:val="0"/>
          <w:numId w:val="11"/>
        </w:numPr>
        <w:jc w:val="both"/>
      </w:pPr>
      <w:r>
        <w:t>The data sources and indicators are regularly updated no less than every five years, if possible</w:t>
      </w:r>
    </w:p>
    <w:p w14:paraId="05674408" w14:textId="77777777" w:rsidR="00BE4845" w:rsidRDefault="00BE4845" w:rsidP="00BE4845">
      <w:pPr>
        <w:pStyle w:val="ListParagraph"/>
        <w:numPr>
          <w:ilvl w:val="0"/>
          <w:numId w:val="11"/>
        </w:numPr>
        <w:jc w:val="both"/>
      </w:pPr>
      <w:r>
        <w:t xml:space="preserve">There is an existing mechanism for maintaining the indicator methodology </w:t>
      </w:r>
    </w:p>
    <w:p w14:paraId="65A9AA0A" w14:textId="77777777" w:rsidR="00BE4845" w:rsidRDefault="00BE4845" w:rsidP="00BE4845">
      <w:pPr>
        <w:pStyle w:val="ListParagraph"/>
        <w:numPr>
          <w:ilvl w:val="0"/>
          <w:numId w:val="11"/>
        </w:numPr>
        <w:jc w:val="both"/>
      </w:pPr>
      <w:r>
        <w:t>Indicators must be able to detect trends related to the KMGBF goals and targets</w:t>
      </w:r>
    </w:p>
    <w:p w14:paraId="38ED383F" w14:textId="77777777" w:rsidR="00BE4845" w:rsidRDefault="00BE4845" w:rsidP="00BE4845">
      <w:pPr>
        <w:pStyle w:val="ListParagraph"/>
        <w:numPr>
          <w:ilvl w:val="0"/>
          <w:numId w:val="11"/>
        </w:numPr>
        <w:jc w:val="both"/>
      </w:pPr>
      <w:r>
        <w:t>Where possible, indicators are aligned with existing intergovernmental processes under the Statistical Commission</w:t>
      </w:r>
    </w:p>
    <w:p w14:paraId="1C0D5DC1" w14:textId="77777777" w:rsidR="00931A5D" w:rsidRDefault="00931A5D" w:rsidP="00931A5D">
      <w:pPr>
        <w:jc w:val="both"/>
      </w:pPr>
    </w:p>
    <w:p w14:paraId="2145F4ED" w14:textId="77777777" w:rsidR="00931A5D" w:rsidRDefault="00931A5D" w:rsidP="00931A5D">
      <w:pPr>
        <w:jc w:val="both"/>
      </w:pPr>
    </w:p>
    <w:p w14:paraId="7DA6000F" w14:textId="77777777" w:rsidR="00931A5D" w:rsidRDefault="00931A5D" w:rsidP="00931A5D">
      <w:pPr>
        <w:jc w:val="both"/>
      </w:pPr>
    </w:p>
    <w:p w14:paraId="0BE7B6A2" w14:textId="77777777" w:rsidR="00931A5D" w:rsidRDefault="00931A5D" w:rsidP="00931A5D">
      <w:pPr>
        <w:jc w:val="both"/>
      </w:pPr>
    </w:p>
    <w:p w14:paraId="54190672" w14:textId="1FA61CAF" w:rsidR="00931A5D" w:rsidRDefault="00931A5D" w:rsidP="00931A5D">
      <w:pPr>
        <w:pStyle w:val="Heading1"/>
      </w:pPr>
      <w:bookmarkStart w:id="19" w:name="_Toc172018365"/>
      <w:r>
        <w:lastRenderedPageBreak/>
        <w:t>Appendix 3. List of Parties/Organizations that Provided Written Comments</w:t>
      </w:r>
      <w:r w:rsidR="00C855C4">
        <w:t xml:space="preserve"> and/or</w:t>
      </w:r>
      <w:r>
        <w:t xml:space="preserve"> Consultation</w:t>
      </w:r>
      <w:bookmarkEnd w:id="19"/>
    </w:p>
    <w:p w14:paraId="00B2595E" w14:textId="77777777" w:rsidR="00931A5D" w:rsidRDefault="00931A5D" w:rsidP="00931A5D"/>
    <w:tbl>
      <w:tblPr>
        <w:tblStyle w:val="TableGrid"/>
        <w:tblW w:w="0" w:type="auto"/>
        <w:tblLook w:val="04A0" w:firstRow="1" w:lastRow="0" w:firstColumn="1" w:lastColumn="0" w:noHBand="0" w:noVBand="1"/>
      </w:tblPr>
      <w:tblGrid>
        <w:gridCol w:w="4675"/>
        <w:gridCol w:w="4675"/>
      </w:tblGrid>
      <w:tr w:rsidR="00931A5D" w14:paraId="160CA251" w14:textId="77777777" w:rsidTr="005232C7">
        <w:tc>
          <w:tcPr>
            <w:tcW w:w="4675" w:type="dxa"/>
            <w:shd w:val="clear" w:color="auto" w:fill="BDD6EE" w:themeFill="accent5" w:themeFillTint="66"/>
          </w:tcPr>
          <w:p w14:paraId="052464BD" w14:textId="44A08BE0" w:rsidR="00931A5D" w:rsidRDefault="00931A5D" w:rsidP="005232C7">
            <w:pPr>
              <w:jc w:val="both"/>
            </w:pPr>
            <w:r>
              <w:t>Party/Organization</w:t>
            </w:r>
          </w:p>
        </w:tc>
        <w:tc>
          <w:tcPr>
            <w:tcW w:w="4675" w:type="dxa"/>
            <w:shd w:val="clear" w:color="auto" w:fill="BDD6EE" w:themeFill="accent5" w:themeFillTint="66"/>
          </w:tcPr>
          <w:p w14:paraId="60396CB7" w14:textId="1BC50D40" w:rsidR="00931A5D" w:rsidRDefault="00931A5D" w:rsidP="005232C7">
            <w:pPr>
              <w:jc w:val="both"/>
            </w:pPr>
            <w:r>
              <w:t>Type of Support</w:t>
            </w:r>
          </w:p>
        </w:tc>
      </w:tr>
      <w:tr w:rsidR="00931A5D" w14:paraId="4C1B9DC8" w14:textId="77777777" w:rsidTr="00931A5D">
        <w:tc>
          <w:tcPr>
            <w:tcW w:w="4675" w:type="dxa"/>
          </w:tcPr>
          <w:p w14:paraId="7DBBBE3C" w14:textId="3B522D60" w:rsidR="00931A5D" w:rsidRDefault="00931A5D" w:rsidP="00931A5D">
            <w:r w:rsidRPr="00931A5D">
              <w:t xml:space="preserve">Association </w:t>
            </w:r>
            <w:proofErr w:type="spellStart"/>
            <w:r w:rsidRPr="00931A5D">
              <w:t>Génération</w:t>
            </w:r>
            <w:proofErr w:type="spellEnd"/>
            <w:r w:rsidRPr="00931A5D">
              <w:t xml:space="preserve"> </w:t>
            </w:r>
            <w:proofErr w:type="spellStart"/>
            <w:r w:rsidRPr="00931A5D">
              <w:t>Ecologie</w:t>
            </w:r>
            <w:proofErr w:type="spellEnd"/>
          </w:p>
        </w:tc>
        <w:tc>
          <w:tcPr>
            <w:tcW w:w="4675" w:type="dxa"/>
          </w:tcPr>
          <w:p w14:paraId="267E0892" w14:textId="690AC1DF" w:rsidR="00931A5D" w:rsidRDefault="00931A5D" w:rsidP="00931A5D">
            <w:r>
              <w:t>Written Comments</w:t>
            </w:r>
          </w:p>
        </w:tc>
      </w:tr>
      <w:tr w:rsidR="00931A5D" w14:paraId="5524E435" w14:textId="77777777" w:rsidTr="00931A5D">
        <w:tc>
          <w:tcPr>
            <w:tcW w:w="4675" w:type="dxa"/>
          </w:tcPr>
          <w:p w14:paraId="5A80EC34" w14:textId="73364718" w:rsidR="00931A5D" w:rsidRDefault="00931A5D" w:rsidP="00931A5D">
            <w:r>
              <w:t>Australia</w:t>
            </w:r>
          </w:p>
        </w:tc>
        <w:tc>
          <w:tcPr>
            <w:tcW w:w="4675" w:type="dxa"/>
          </w:tcPr>
          <w:p w14:paraId="1EF26BF9" w14:textId="6B0CA03D" w:rsidR="00931A5D" w:rsidRDefault="00931A5D" w:rsidP="00931A5D">
            <w:r>
              <w:t>Written Comments</w:t>
            </w:r>
          </w:p>
        </w:tc>
      </w:tr>
      <w:tr w:rsidR="00931A5D" w14:paraId="483EB5B8" w14:textId="77777777" w:rsidTr="00931A5D">
        <w:tc>
          <w:tcPr>
            <w:tcW w:w="4675" w:type="dxa"/>
          </w:tcPr>
          <w:p w14:paraId="03539A4D" w14:textId="39482AEC" w:rsidR="00931A5D" w:rsidRDefault="00931A5D" w:rsidP="00931A5D">
            <w:proofErr w:type="spellStart"/>
            <w:r>
              <w:t>Chemichemi</w:t>
            </w:r>
            <w:proofErr w:type="spellEnd"/>
            <w:r>
              <w:t xml:space="preserve"> Foundation</w:t>
            </w:r>
          </w:p>
        </w:tc>
        <w:tc>
          <w:tcPr>
            <w:tcW w:w="4675" w:type="dxa"/>
          </w:tcPr>
          <w:p w14:paraId="395335AB" w14:textId="48F7F056" w:rsidR="00931A5D" w:rsidRDefault="00931A5D" w:rsidP="00931A5D">
            <w:r>
              <w:t>Written Comments</w:t>
            </w:r>
          </w:p>
        </w:tc>
      </w:tr>
      <w:tr w:rsidR="00931A5D" w14:paraId="39CC20A5" w14:textId="77777777" w:rsidTr="00931A5D">
        <w:tc>
          <w:tcPr>
            <w:tcW w:w="4675" w:type="dxa"/>
          </w:tcPr>
          <w:p w14:paraId="28CE2119" w14:textId="5680D420" w:rsidR="00931A5D" w:rsidRDefault="00931A5D" w:rsidP="00931A5D">
            <w:r>
              <w:t>China Biodiversity Conservation and Green Development Foundation</w:t>
            </w:r>
          </w:p>
        </w:tc>
        <w:tc>
          <w:tcPr>
            <w:tcW w:w="4675" w:type="dxa"/>
          </w:tcPr>
          <w:p w14:paraId="06D879FA" w14:textId="7EE67F70" w:rsidR="00931A5D" w:rsidRDefault="00931A5D" w:rsidP="00931A5D">
            <w:r>
              <w:t>Written Comments</w:t>
            </w:r>
          </w:p>
        </w:tc>
      </w:tr>
      <w:tr w:rsidR="00931A5D" w14:paraId="069EDBBD" w14:textId="77777777" w:rsidTr="00931A5D">
        <w:tc>
          <w:tcPr>
            <w:tcW w:w="4675" w:type="dxa"/>
          </w:tcPr>
          <w:p w14:paraId="670D35F4" w14:textId="4F5546BD" w:rsidR="00931A5D" w:rsidRDefault="00931A5D" w:rsidP="00931A5D">
            <w:r>
              <w:t>Japan</w:t>
            </w:r>
          </w:p>
        </w:tc>
        <w:tc>
          <w:tcPr>
            <w:tcW w:w="4675" w:type="dxa"/>
          </w:tcPr>
          <w:p w14:paraId="00DBAD95" w14:textId="6D24DC6E" w:rsidR="00931A5D" w:rsidRDefault="00931A5D" w:rsidP="00931A5D">
            <w:r>
              <w:t>Written Comments</w:t>
            </w:r>
          </w:p>
        </w:tc>
      </w:tr>
      <w:tr w:rsidR="00931A5D" w14:paraId="25DA679C" w14:textId="77777777" w:rsidTr="00931A5D">
        <w:tc>
          <w:tcPr>
            <w:tcW w:w="4675" w:type="dxa"/>
          </w:tcPr>
          <w:p w14:paraId="17609464" w14:textId="39E4222A" w:rsidR="00931A5D" w:rsidRDefault="00931A5D" w:rsidP="00931A5D">
            <w:r>
              <w:t>Mexico</w:t>
            </w:r>
          </w:p>
        </w:tc>
        <w:tc>
          <w:tcPr>
            <w:tcW w:w="4675" w:type="dxa"/>
          </w:tcPr>
          <w:p w14:paraId="6F297E2D" w14:textId="0394949C" w:rsidR="00931A5D" w:rsidRDefault="00931A5D" w:rsidP="00931A5D">
            <w:r>
              <w:t>Written Comments</w:t>
            </w:r>
          </w:p>
        </w:tc>
      </w:tr>
      <w:tr w:rsidR="00931A5D" w14:paraId="28E49283" w14:textId="77777777" w:rsidTr="00931A5D">
        <w:tc>
          <w:tcPr>
            <w:tcW w:w="4675" w:type="dxa"/>
          </w:tcPr>
          <w:p w14:paraId="46C5A0DE" w14:textId="27237A12" w:rsidR="00931A5D" w:rsidRDefault="00931A5D" w:rsidP="00931A5D">
            <w:r>
              <w:t>Office of the United Nations High Commissioner for Human Rights</w:t>
            </w:r>
          </w:p>
        </w:tc>
        <w:tc>
          <w:tcPr>
            <w:tcW w:w="4675" w:type="dxa"/>
          </w:tcPr>
          <w:p w14:paraId="26B92C48" w14:textId="61AB6436" w:rsidR="00931A5D" w:rsidRDefault="00931A5D" w:rsidP="00931A5D">
            <w:r>
              <w:t>Written Comments</w:t>
            </w:r>
          </w:p>
        </w:tc>
      </w:tr>
      <w:tr w:rsidR="00931A5D" w14:paraId="37A49C05" w14:textId="77777777" w:rsidTr="00931A5D">
        <w:tc>
          <w:tcPr>
            <w:tcW w:w="4675" w:type="dxa"/>
          </w:tcPr>
          <w:p w14:paraId="66E524F7" w14:textId="2222C78E" w:rsidR="00931A5D" w:rsidRDefault="00931A5D" w:rsidP="00931A5D">
            <w:r>
              <w:t>Planet Tracker</w:t>
            </w:r>
          </w:p>
        </w:tc>
        <w:tc>
          <w:tcPr>
            <w:tcW w:w="4675" w:type="dxa"/>
          </w:tcPr>
          <w:p w14:paraId="7FC8063F" w14:textId="7A58BD93" w:rsidR="00931A5D" w:rsidRDefault="00931A5D" w:rsidP="00931A5D">
            <w:r>
              <w:t>Written Comments</w:t>
            </w:r>
          </w:p>
        </w:tc>
      </w:tr>
      <w:tr w:rsidR="00931A5D" w14:paraId="11F74A85" w14:textId="77777777" w:rsidTr="00931A5D">
        <w:tc>
          <w:tcPr>
            <w:tcW w:w="4675" w:type="dxa"/>
          </w:tcPr>
          <w:p w14:paraId="41022C7B" w14:textId="5FB37227" w:rsidR="00931A5D" w:rsidRDefault="00931A5D" w:rsidP="00931A5D">
            <w:r>
              <w:t>Switzerland</w:t>
            </w:r>
          </w:p>
        </w:tc>
        <w:tc>
          <w:tcPr>
            <w:tcW w:w="4675" w:type="dxa"/>
          </w:tcPr>
          <w:p w14:paraId="0B713B29" w14:textId="2A2B84AD" w:rsidR="00931A5D" w:rsidRDefault="00A44B6B" w:rsidP="00931A5D">
            <w:r>
              <w:t xml:space="preserve">Consultation &amp; </w:t>
            </w:r>
            <w:r w:rsidR="00931A5D">
              <w:t>Written Comments</w:t>
            </w:r>
          </w:p>
        </w:tc>
      </w:tr>
      <w:tr w:rsidR="00931A5D" w14:paraId="319600F9" w14:textId="77777777" w:rsidTr="00931A5D">
        <w:tc>
          <w:tcPr>
            <w:tcW w:w="4675" w:type="dxa"/>
          </w:tcPr>
          <w:p w14:paraId="56F293C0" w14:textId="73168C1F" w:rsidR="00931A5D" w:rsidRDefault="00931A5D" w:rsidP="00931A5D">
            <w:r>
              <w:t>United Kingdom</w:t>
            </w:r>
          </w:p>
        </w:tc>
        <w:tc>
          <w:tcPr>
            <w:tcW w:w="4675" w:type="dxa"/>
          </w:tcPr>
          <w:p w14:paraId="331B18DF" w14:textId="10DE50C8" w:rsidR="00931A5D" w:rsidRDefault="00931A5D" w:rsidP="00931A5D">
            <w:r>
              <w:t>Written Comments</w:t>
            </w:r>
          </w:p>
        </w:tc>
      </w:tr>
      <w:tr w:rsidR="00931A5D" w14:paraId="50B8B702" w14:textId="77777777" w:rsidTr="00931A5D">
        <w:tc>
          <w:tcPr>
            <w:tcW w:w="4675" w:type="dxa"/>
          </w:tcPr>
          <w:p w14:paraId="62B021C1" w14:textId="51D58F16" w:rsidR="00931A5D" w:rsidRDefault="00931A5D" w:rsidP="00931A5D">
            <w:proofErr w:type="spellStart"/>
            <w:r>
              <w:t>EcoNexus</w:t>
            </w:r>
            <w:proofErr w:type="spellEnd"/>
          </w:p>
        </w:tc>
        <w:tc>
          <w:tcPr>
            <w:tcW w:w="4675" w:type="dxa"/>
          </w:tcPr>
          <w:p w14:paraId="1A0BC607" w14:textId="53A348F6" w:rsidR="00931A5D" w:rsidRDefault="00931A5D" w:rsidP="00931A5D">
            <w:r>
              <w:t>Written Comments</w:t>
            </w:r>
          </w:p>
        </w:tc>
      </w:tr>
      <w:tr w:rsidR="00931A5D" w14:paraId="67A12207" w14:textId="77777777" w:rsidTr="00931A5D">
        <w:tc>
          <w:tcPr>
            <w:tcW w:w="4675" w:type="dxa"/>
          </w:tcPr>
          <w:p w14:paraId="5951B7F8" w14:textId="1D3C0307" w:rsidR="00931A5D" w:rsidRDefault="00931A5D" w:rsidP="00931A5D">
            <w:r>
              <w:t xml:space="preserve">Andes </w:t>
            </w:r>
            <w:proofErr w:type="spellStart"/>
            <w:r>
              <w:t>Chinchasuyo</w:t>
            </w:r>
            <w:proofErr w:type="spellEnd"/>
            <w:r>
              <w:t xml:space="preserve"> Organization</w:t>
            </w:r>
          </w:p>
        </w:tc>
        <w:tc>
          <w:tcPr>
            <w:tcW w:w="4675" w:type="dxa"/>
          </w:tcPr>
          <w:p w14:paraId="2F0B82AE" w14:textId="486AF3B2" w:rsidR="00931A5D" w:rsidRDefault="00931A5D" w:rsidP="00931A5D">
            <w:r>
              <w:t>Written Comments</w:t>
            </w:r>
          </w:p>
        </w:tc>
      </w:tr>
      <w:tr w:rsidR="00931A5D" w14:paraId="31932945" w14:textId="77777777" w:rsidTr="00931A5D">
        <w:tc>
          <w:tcPr>
            <w:tcW w:w="4675" w:type="dxa"/>
          </w:tcPr>
          <w:p w14:paraId="2BA35810" w14:textId="77228DFD" w:rsidR="00931A5D" w:rsidRDefault="00931A5D" w:rsidP="00931A5D">
            <w:r>
              <w:t>GFANZ Secretariat</w:t>
            </w:r>
          </w:p>
        </w:tc>
        <w:tc>
          <w:tcPr>
            <w:tcW w:w="4675" w:type="dxa"/>
          </w:tcPr>
          <w:p w14:paraId="34761868" w14:textId="0D63B16E" w:rsidR="00931A5D" w:rsidRDefault="00931A5D" w:rsidP="00931A5D">
            <w:r>
              <w:t>Written Comments</w:t>
            </w:r>
          </w:p>
        </w:tc>
      </w:tr>
      <w:tr w:rsidR="00931A5D" w14:paraId="299D1E3E" w14:textId="77777777" w:rsidTr="00931A5D">
        <w:tc>
          <w:tcPr>
            <w:tcW w:w="4675" w:type="dxa"/>
          </w:tcPr>
          <w:p w14:paraId="75A30D96" w14:textId="59DC6EEE" w:rsidR="00931A5D" w:rsidRDefault="00931A5D" w:rsidP="00931A5D">
            <w:r>
              <w:t>Germany</w:t>
            </w:r>
          </w:p>
        </w:tc>
        <w:tc>
          <w:tcPr>
            <w:tcW w:w="4675" w:type="dxa"/>
          </w:tcPr>
          <w:p w14:paraId="0B4D2550" w14:textId="4F37F120" w:rsidR="00931A5D" w:rsidRDefault="00931A5D" w:rsidP="00931A5D">
            <w:r>
              <w:t>Written Comments</w:t>
            </w:r>
          </w:p>
        </w:tc>
      </w:tr>
      <w:tr w:rsidR="00931A5D" w14:paraId="3D1983C4" w14:textId="77777777" w:rsidTr="00931A5D">
        <w:tc>
          <w:tcPr>
            <w:tcW w:w="4675" w:type="dxa"/>
          </w:tcPr>
          <w:p w14:paraId="62F761FD" w14:textId="738967CA" w:rsidR="00931A5D" w:rsidRDefault="00931A5D" w:rsidP="00931A5D">
            <w:r>
              <w:t>UNEP-FI</w:t>
            </w:r>
          </w:p>
        </w:tc>
        <w:tc>
          <w:tcPr>
            <w:tcW w:w="4675" w:type="dxa"/>
          </w:tcPr>
          <w:p w14:paraId="47770C23" w14:textId="46A10CED" w:rsidR="00931A5D" w:rsidRDefault="00A44B6B" w:rsidP="00931A5D">
            <w:r>
              <w:t xml:space="preserve">Consultation &amp; </w:t>
            </w:r>
            <w:r w:rsidR="00931A5D">
              <w:t>Written Comments</w:t>
            </w:r>
          </w:p>
        </w:tc>
      </w:tr>
      <w:tr w:rsidR="00931A5D" w14:paraId="41490B89" w14:textId="77777777" w:rsidTr="00931A5D">
        <w:tc>
          <w:tcPr>
            <w:tcW w:w="4675" w:type="dxa"/>
          </w:tcPr>
          <w:p w14:paraId="16E0C302" w14:textId="2F597537" w:rsidR="00931A5D" w:rsidRDefault="00931A5D" w:rsidP="00931A5D">
            <w:r>
              <w:t>Netherlands</w:t>
            </w:r>
          </w:p>
        </w:tc>
        <w:tc>
          <w:tcPr>
            <w:tcW w:w="4675" w:type="dxa"/>
          </w:tcPr>
          <w:p w14:paraId="47A5DE2C" w14:textId="0635F33D" w:rsidR="00931A5D" w:rsidRDefault="00931A5D" w:rsidP="00931A5D">
            <w:r>
              <w:t>Written Comments</w:t>
            </w:r>
          </w:p>
        </w:tc>
      </w:tr>
      <w:tr w:rsidR="00931A5D" w14:paraId="31202C06" w14:textId="77777777" w:rsidTr="00931A5D">
        <w:tc>
          <w:tcPr>
            <w:tcW w:w="4675" w:type="dxa"/>
          </w:tcPr>
          <w:p w14:paraId="54C2E20D" w14:textId="79C8EAB9" w:rsidR="00931A5D" w:rsidRDefault="00931A5D" w:rsidP="00931A5D">
            <w:r>
              <w:t>Third World Network</w:t>
            </w:r>
          </w:p>
        </w:tc>
        <w:tc>
          <w:tcPr>
            <w:tcW w:w="4675" w:type="dxa"/>
          </w:tcPr>
          <w:p w14:paraId="5366FDB7" w14:textId="310CCC52" w:rsidR="00931A5D" w:rsidRDefault="00931A5D" w:rsidP="00931A5D">
            <w:r>
              <w:t>Written Comments</w:t>
            </w:r>
          </w:p>
        </w:tc>
      </w:tr>
      <w:tr w:rsidR="00931A5D" w14:paraId="383E6F48" w14:textId="77777777" w:rsidTr="00931A5D">
        <w:tc>
          <w:tcPr>
            <w:tcW w:w="4675" w:type="dxa"/>
          </w:tcPr>
          <w:p w14:paraId="3A45B427" w14:textId="73F1CA7E" w:rsidR="00931A5D" w:rsidRDefault="00931A5D" w:rsidP="00931A5D">
            <w:r>
              <w:t>Women4Biodiversity</w:t>
            </w:r>
          </w:p>
        </w:tc>
        <w:tc>
          <w:tcPr>
            <w:tcW w:w="4675" w:type="dxa"/>
          </w:tcPr>
          <w:p w14:paraId="1F1D0B12" w14:textId="5BC3DF13" w:rsidR="00931A5D" w:rsidRDefault="00931A5D" w:rsidP="00931A5D">
            <w:r>
              <w:t>Written Comments</w:t>
            </w:r>
          </w:p>
        </w:tc>
      </w:tr>
      <w:tr w:rsidR="00931A5D" w14:paraId="64734075" w14:textId="77777777" w:rsidTr="00931A5D">
        <w:tc>
          <w:tcPr>
            <w:tcW w:w="4675" w:type="dxa"/>
          </w:tcPr>
          <w:p w14:paraId="4E3FEA68" w14:textId="3C9360A2" w:rsidR="00931A5D" w:rsidRDefault="00931A5D" w:rsidP="00931A5D">
            <w:r>
              <w:t>Brazil</w:t>
            </w:r>
          </w:p>
        </w:tc>
        <w:tc>
          <w:tcPr>
            <w:tcW w:w="4675" w:type="dxa"/>
          </w:tcPr>
          <w:p w14:paraId="05107C0A" w14:textId="48C876D8" w:rsidR="00931A5D" w:rsidRDefault="00931A5D" w:rsidP="00931A5D">
            <w:r>
              <w:t>Written Comments</w:t>
            </w:r>
          </w:p>
        </w:tc>
      </w:tr>
      <w:tr w:rsidR="00931A5D" w14:paraId="652CFACB" w14:textId="77777777" w:rsidTr="00931A5D">
        <w:tc>
          <w:tcPr>
            <w:tcW w:w="4675" w:type="dxa"/>
          </w:tcPr>
          <w:p w14:paraId="347CA484" w14:textId="09F4099F" w:rsidR="00931A5D" w:rsidRDefault="00931A5D" w:rsidP="00931A5D">
            <w:r>
              <w:t>CBD Women’s Caucus</w:t>
            </w:r>
          </w:p>
        </w:tc>
        <w:tc>
          <w:tcPr>
            <w:tcW w:w="4675" w:type="dxa"/>
          </w:tcPr>
          <w:p w14:paraId="2CC037E4" w14:textId="0F3B64AA" w:rsidR="00931A5D" w:rsidRDefault="00931A5D" w:rsidP="00931A5D">
            <w:r>
              <w:t>Written Comments</w:t>
            </w:r>
          </w:p>
        </w:tc>
      </w:tr>
      <w:tr w:rsidR="00931A5D" w14:paraId="4A2692DE" w14:textId="77777777" w:rsidTr="00931A5D">
        <w:tc>
          <w:tcPr>
            <w:tcW w:w="4675" w:type="dxa"/>
          </w:tcPr>
          <w:p w14:paraId="7FB3154F" w14:textId="7C30CBE4" w:rsidR="00931A5D" w:rsidRDefault="00931A5D" w:rsidP="00931A5D">
            <w:r>
              <w:t>IFAD</w:t>
            </w:r>
          </w:p>
        </w:tc>
        <w:tc>
          <w:tcPr>
            <w:tcW w:w="4675" w:type="dxa"/>
          </w:tcPr>
          <w:p w14:paraId="144585B1" w14:textId="100BE06A" w:rsidR="00931A5D" w:rsidRDefault="00931A5D" w:rsidP="00931A5D">
            <w:r>
              <w:t>Written Comments</w:t>
            </w:r>
          </w:p>
        </w:tc>
      </w:tr>
      <w:tr w:rsidR="00931A5D" w14:paraId="7F903F62" w14:textId="77777777" w:rsidTr="00931A5D">
        <w:tc>
          <w:tcPr>
            <w:tcW w:w="4675" w:type="dxa"/>
          </w:tcPr>
          <w:p w14:paraId="44DD37FF" w14:textId="39AD8661" w:rsidR="00931A5D" w:rsidRDefault="00A44B6B" w:rsidP="00931A5D">
            <w:r>
              <w:t>Campaign for Nature</w:t>
            </w:r>
          </w:p>
        </w:tc>
        <w:tc>
          <w:tcPr>
            <w:tcW w:w="4675" w:type="dxa"/>
          </w:tcPr>
          <w:p w14:paraId="75BA1A4F" w14:textId="6F28C740" w:rsidR="00931A5D" w:rsidRDefault="00A44B6B" w:rsidP="00931A5D">
            <w:r>
              <w:t>Consultation</w:t>
            </w:r>
          </w:p>
        </w:tc>
      </w:tr>
      <w:tr w:rsidR="00931A5D" w14:paraId="547F363B" w14:textId="77777777" w:rsidTr="00931A5D">
        <w:tc>
          <w:tcPr>
            <w:tcW w:w="4675" w:type="dxa"/>
          </w:tcPr>
          <w:p w14:paraId="5BDC8803" w14:textId="4ED2EDDA" w:rsidR="00931A5D" w:rsidRDefault="00A44B6B" w:rsidP="00931A5D">
            <w:r>
              <w:t>OECD</w:t>
            </w:r>
          </w:p>
        </w:tc>
        <w:tc>
          <w:tcPr>
            <w:tcW w:w="4675" w:type="dxa"/>
          </w:tcPr>
          <w:p w14:paraId="365ACD35" w14:textId="3B2D2F42" w:rsidR="00931A5D" w:rsidRDefault="00A44B6B" w:rsidP="00931A5D">
            <w:r>
              <w:t>Consultation &amp; Written Comments</w:t>
            </w:r>
          </w:p>
        </w:tc>
      </w:tr>
      <w:tr w:rsidR="00931A5D" w14:paraId="477E5A8F" w14:textId="77777777" w:rsidTr="00931A5D">
        <w:tc>
          <w:tcPr>
            <w:tcW w:w="4675" w:type="dxa"/>
          </w:tcPr>
          <w:p w14:paraId="2F505651" w14:textId="73A1CD7D" w:rsidR="00931A5D" w:rsidRDefault="00A44B6B" w:rsidP="00931A5D">
            <w:r>
              <w:t>Cornell University</w:t>
            </w:r>
          </w:p>
        </w:tc>
        <w:tc>
          <w:tcPr>
            <w:tcW w:w="4675" w:type="dxa"/>
          </w:tcPr>
          <w:p w14:paraId="380C35F2" w14:textId="5346417E" w:rsidR="00931A5D" w:rsidRDefault="00A44B6B" w:rsidP="00931A5D">
            <w:r>
              <w:t>Consultation</w:t>
            </w:r>
          </w:p>
        </w:tc>
      </w:tr>
      <w:tr w:rsidR="00931A5D" w14:paraId="10AD0D2C" w14:textId="77777777" w:rsidTr="00931A5D">
        <w:tc>
          <w:tcPr>
            <w:tcW w:w="4675" w:type="dxa"/>
          </w:tcPr>
          <w:p w14:paraId="24290F95" w14:textId="2682A475" w:rsidR="00931A5D" w:rsidRDefault="00A44B6B" w:rsidP="00931A5D">
            <w:r>
              <w:t>Conservation Finance Alliance</w:t>
            </w:r>
          </w:p>
        </w:tc>
        <w:tc>
          <w:tcPr>
            <w:tcW w:w="4675" w:type="dxa"/>
          </w:tcPr>
          <w:p w14:paraId="56478458" w14:textId="560ACA4B" w:rsidR="00931A5D" w:rsidRDefault="00A44B6B" w:rsidP="00931A5D">
            <w:r>
              <w:t>Consultation</w:t>
            </w:r>
          </w:p>
        </w:tc>
      </w:tr>
      <w:tr w:rsidR="00931A5D" w14:paraId="59912236" w14:textId="77777777" w:rsidTr="00931A5D">
        <w:tc>
          <w:tcPr>
            <w:tcW w:w="4675" w:type="dxa"/>
          </w:tcPr>
          <w:p w14:paraId="59DF055C" w14:textId="594D7C45" w:rsidR="00931A5D" w:rsidRDefault="00A44B6B" w:rsidP="00931A5D">
            <w:r>
              <w:t>UN Statistical Division</w:t>
            </w:r>
          </w:p>
        </w:tc>
        <w:tc>
          <w:tcPr>
            <w:tcW w:w="4675" w:type="dxa"/>
          </w:tcPr>
          <w:p w14:paraId="5BDD72FC" w14:textId="2C3D4C78" w:rsidR="00931A5D" w:rsidRDefault="00A44B6B" w:rsidP="00931A5D">
            <w:r>
              <w:t>Consultation</w:t>
            </w:r>
          </w:p>
        </w:tc>
      </w:tr>
      <w:tr w:rsidR="00931A5D" w14:paraId="3B18E120" w14:textId="77777777" w:rsidTr="00931A5D">
        <w:tc>
          <w:tcPr>
            <w:tcW w:w="4675" w:type="dxa"/>
          </w:tcPr>
          <w:p w14:paraId="2FDA4457" w14:textId="1B3E5A19" w:rsidR="00931A5D" w:rsidRDefault="00467964" w:rsidP="00931A5D">
            <w:r>
              <w:t>Convergence</w:t>
            </w:r>
          </w:p>
        </w:tc>
        <w:tc>
          <w:tcPr>
            <w:tcW w:w="4675" w:type="dxa"/>
          </w:tcPr>
          <w:p w14:paraId="637C8576" w14:textId="5D7BEBF0" w:rsidR="00931A5D" w:rsidRDefault="00467964" w:rsidP="00931A5D">
            <w:r>
              <w:t>Consultation</w:t>
            </w:r>
          </w:p>
        </w:tc>
      </w:tr>
      <w:tr w:rsidR="00A44B6B" w14:paraId="0AC34782" w14:textId="77777777" w:rsidTr="00931A5D">
        <w:tc>
          <w:tcPr>
            <w:tcW w:w="4675" w:type="dxa"/>
          </w:tcPr>
          <w:p w14:paraId="473C5DAA" w14:textId="5DCB754B" w:rsidR="00A44B6B" w:rsidRDefault="00604FBB" w:rsidP="00931A5D">
            <w:r>
              <w:t>UNDP BIOFIN</w:t>
            </w:r>
          </w:p>
        </w:tc>
        <w:tc>
          <w:tcPr>
            <w:tcW w:w="4675" w:type="dxa"/>
          </w:tcPr>
          <w:p w14:paraId="71E21EC4" w14:textId="20C0DBBD" w:rsidR="00A44B6B" w:rsidRDefault="00604FBB" w:rsidP="00931A5D">
            <w:r>
              <w:t>Consultation</w:t>
            </w:r>
          </w:p>
        </w:tc>
      </w:tr>
    </w:tbl>
    <w:p w14:paraId="33BE1BF7" w14:textId="77777777" w:rsidR="00931A5D" w:rsidRPr="00931A5D" w:rsidRDefault="00931A5D" w:rsidP="005232C7"/>
    <w:p w14:paraId="462F62C5" w14:textId="25FE3C1A" w:rsidR="00BE4845" w:rsidRDefault="00BE4845" w:rsidP="00D816EA">
      <w:pPr>
        <w:jc w:val="both"/>
      </w:pPr>
    </w:p>
    <w:p w14:paraId="25547AE1" w14:textId="1DA885C7" w:rsidR="00CD7056" w:rsidRDefault="00CD7056"/>
    <w:sectPr w:rsidR="00CD7056" w:rsidSect="00DD04B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4F0F1" w14:textId="77777777" w:rsidR="00C64280" w:rsidRDefault="00C64280" w:rsidP="00FB7C98">
      <w:r>
        <w:separator/>
      </w:r>
    </w:p>
  </w:endnote>
  <w:endnote w:type="continuationSeparator" w:id="0">
    <w:p w14:paraId="70647FAA" w14:textId="77777777" w:rsidR="00C64280" w:rsidRDefault="00C64280" w:rsidP="00FB7C98">
      <w:r>
        <w:continuationSeparator/>
      </w:r>
    </w:p>
  </w:endnote>
  <w:endnote w:type="continuationNotice" w:id="1">
    <w:p w14:paraId="606A7413" w14:textId="77777777" w:rsidR="00C64280" w:rsidRDefault="00C642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Roboto-Regular">
    <w:altName w:val="Roboto"/>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rPr>
        <w:rFonts w:ascii="Times New Roman" w:hAnsi="Times New Roman" w:cs="Times New Roman"/>
        <w:sz w:val="20"/>
        <w:szCs w:val="20"/>
      </w:rPr>
    </w:sdtEndPr>
    <w:sdtContent>
      <w:p w14:paraId="5B6B3DF1" w14:textId="2E46F584" w:rsidR="00047A0F" w:rsidRPr="003D2F62" w:rsidRDefault="003D2F62" w:rsidP="003D2F62">
        <w:pPr>
          <w:pStyle w:val="Footer"/>
          <w:rPr>
            <w:rFonts w:ascii="Times New Roman" w:hAnsi="Times New Roman" w:cs="Times New Roman"/>
            <w:sz w:val="20"/>
            <w:szCs w:val="20"/>
          </w:rPr>
        </w:pPr>
        <w:r w:rsidRPr="003D2F62">
          <w:rPr>
            <w:rFonts w:ascii="Times New Roman" w:hAnsi="Times New Roman" w:cs="Times New Roman"/>
            <w:sz w:val="20"/>
            <w:szCs w:val="20"/>
          </w:rPr>
          <w:fldChar w:fldCharType="begin"/>
        </w:r>
        <w:r w:rsidRPr="003D2F62">
          <w:rPr>
            <w:rFonts w:ascii="Times New Roman" w:hAnsi="Times New Roman" w:cs="Times New Roman"/>
            <w:sz w:val="20"/>
            <w:szCs w:val="20"/>
          </w:rPr>
          <w:instrText xml:space="preserve"> PAGE </w:instrText>
        </w:r>
        <w:r w:rsidRPr="003D2F62">
          <w:rPr>
            <w:rFonts w:ascii="Times New Roman" w:hAnsi="Times New Roman" w:cs="Times New Roman"/>
            <w:sz w:val="20"/>
            <w:szCs w:val="20"/>
          </w:rPr>
          <w:fldChar w:fldCharType="separate"/>
        </w:r>
        <w:r w:rsidRPr="003D2F62">
          <w:rPr>
            <w:rFonts w:ascii="Times New Roman" w:hAnsi="Times New Roman" w:cs="Times New Roman"/>
            <w:sz w:val="20"/>
            <w:szCs w:val="20"/>
          </w:rPr>
          <w:t>2</w:t>
        </w:r>
        <w:r w:rsidRPr="003D2F62">
          <w:rPr>
            <w:rFonts w:ascii="Times New Roman" w:hAnsi="Times New Roman" w:cs="Times New Roman"/>
            <w:sz w:val="20"/>
            <w:szCs w:val="20"/>
          </w:rPr>
          <w:fldChar w:fldCharType="end"/>
        </w:r>
        <w:r w:rsidRPr="003D2F62">
          <w:rPr>
            <w:rFonts w:ascii="Times New Roman" w:hAnsi="Times New Roman" w:cs="Times New Roman"/>
            <w:sz w:val="20"/>
            <w:szCs w:val="20"/>
          </w:rPr>
          <w:t>/</w:t>
        </w:r>
        <w:r w:rsidRPr="003D2F62">
          <w:rPr>
            <w:rFonts w:ascii="Times New Roman" w:hAnsi="Times New Roman" w:cs="Times New Roman"/>
            <w:sz w:val="20"/>
            <w:szCs w:val="20"/>
          </w:rPr>
          <w:fldChar w:fldCharType="begin"/>
        </w:r>
        <w:r w:rsidRPr="003D2F62">
          <w:rPr>
            <w:rFonts w:ascii="Times New Roman" w:hAnsi="Times New Roman" w:cs="Times New Roman"/>
            <w:sz w:val="20"/>
            <w:szCs w:val="20"/>
          </w:rPr>
          <w:instrText xml:space="preserve"> NUMPAGES  </w:instrText>
        </w:r>
        <w:r w:rsidRPr="003D2F62">
          <w:rPr>
            <w:rFonts w:ascii="Times New Roman" w:hAnsi="Times New Roman" w:cs="Times New Roman"/>
            <w:sz w:val="20"/>
            <w:szCs w:val="20"/>
          </w:rPr>
          <w:fldChar w:fldCharType="separate"/>
        </w:r>
        <w:r w:rsidRPr="003D2F62">
          <w:rPr>
            <w:rFonts w:ascii="Times New Roman" w:hAnsi="Times New Roman" w:cs="Times New Roman"/>
            <w:sz w:val="20"/>
            <w:szCs w:val="20"/>
          </w:rPr>
          <w:t>46</w:t>
        </w:r>
        <w:r w:rsidRPr="003D2F62">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256600113"/>
      <w:docPartObj>
        <w:docPartGallery w:val="Page Numbers (Top of Page)"/>
        <w:docPartUnique/>
      </w:docPartObj>
    </w:sdtPr>
    <w:sdtContent>
      <w:p w14:paraId="4ED29579" w14:textId="0E1F4D9C" w:rsidR="001D2206" w:rsidRPr="00B0718A" w:rsidRDefault="00B0718A" w:rsidP="00B0718A">
        <w:pPr>
          <w:pStyle w:val="Footer"/>
          <w:jc w:val="right"/>
          <w:rPr>
            <w:rFonts w:ascii="Times New Roman" w:hAnsi="Times New Roman" w:cs="Times New Roman"/>
            <w:sz w:val="20"/>
            <w:szCs w:val="20"/>
          </w:rPr>
        </w:pPr>
        <w:r w:rsidRPr="00B0718A">
          <w:rPr>
            <w:rFonts w:ascii="Times New Roman" w:hAnsi="Times New Roman" w:cs="Times New Roman"/>
            <w:sz w:val="20"/>
            <w:szCs w:val="20"/>
          </w:rPr>
          <w:fldChar w:fldCharType="begin"/>
        </w:r>
        <w:r w:rsidRPr="00B0718A">
          <w:rPr>
            <w:rFonts w:ascii="Times New Roman" w:hAnsi="Times New Roman" w:cs="Times New Roman"/>
            <w:sz w:val="20"/>
            <w:szCs w:val="20"/>
          </w:rPr>
          <w:instrText xml:space="preserve"> PAGE </w:instrText>
        </w:r>
        <w:r w:rsidRPr="00B0718A">
          <w:rPr>
            <w:rFonts w:ascii="Times New Roman" w:hAnsi="Times New Roman" w:cs="Times New Roman"/>
            <w:sz w:val="20"/>
            <w:szCs w:val="20"/>
          </w:rPr>
          <w:fldChar w:fldCharType="separate"/>
        </w:r>
        <w:r w:rsidRPr="00B0718A">
          <w:rPr>
            <w:rFonts w:ascii="Times New Roman" w:hAnsi="Times New Roman" w:cs="Times New Roman"/>
            <w:sz w:val="20"/>
            <w:szCs w:val="20"/>
          </w:rPr>
          <w:t>2</w:t>
        </w:r>
        <w:r w:rsidRPr="00B0718A">
          <w:rPr>
            <w:rFonts w:ascii="Times New Roman" w:hAnsi="Times New Roman" w:cs="Times New Roman"/>
            <w:sz w:val="20"/>
            <w:szCs w:val="20"/>
          </w:rPr>
          <w:fldChar w:fldCharType="end"/>
        </w:r>
        <w:r w:rsidRPr="00B0718A">
          <w:rPr>
            <w:rFonts w:ascii="Times New Roman" w:hAnsi="Times New Roman" w:cs="Times New Roman"/>
            <w:sz w:val="20"/>
            <w:szCs w:val="20"/>
          </w:rPr>
          <w:t>/</w:t>
        </w:r>
        <w:r w:rsidRPr="00B0718A">
          <w:rPr>
            <w:rFonts w:ascii="Times New Roman" w:hAnsi="Times New Roman" w:cs="Times New Roman"/>
            <w:sz w:val="20"/>
            <w:szCs w:val="20"/>
          </w:rPr>
          <w:fldChar w:fldCharType="begin"/>
        </w:r>
        <w:r w:rsidRPr="00B0718A">
          <w:rPr>
            <w:rFonts w:ascii="Times New Roman" w:hAnsi="Times New Roman" w:cs="Times New Roman"/>
            <w:sz w:val="20"/>
            <w:szCs w:val="20"/>
          </w:rPr>
          <w:instrText xml:space="preserve"> NUMPAGES  </w:instrText>
        </w:r>
        <w:r w:rsidRPr="00B0718A">
          <w:rPr>
            <w:rFonts w:ascii="Times New Roman" w:hAnsi="Times New Roman" w:cs="Times New Roman"/>
            <w:sz w:val="20"/>
            <w:szCs w:val="20"/>
          </w:rPr>
          <w:fldChar w:fldCharType="separate"/>
        </w:r>
        <w:r w:rsidRPr="00B0718A">
          <w:rPr>
            <w:rFonts w:ascii="Times New Roman" w:hAnsi="Times New Roman" w:cs="Times New Roman"/>
            <w:sz w:val="20"/>
            <w:szCs w:val="20"/>
          </w:rPr>
          <w:t>46</w:t>
        </w:r>
        <w:r w:rsidRPr="00B0718A">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79A49" w14:textId="77777777" w:rsidR="00C64280" w:rsidRDefault="00C64280" w:rsidP="00FB7C98">
      <w:r>
        <w:separator/>
      </w:r>
    </w:p>
  </w:footnote>
  <w:footnote w:type="continuationSeparator" w:id="0">
    <w:p w14:paraId="739AFDDA" w14:textId="77777777" w:rsidR="00C64280" w:rsidRDefault="00C64280" w:rsidP="00FB7C98">
      <w:r>
        <w:continuationSeparator/>
      </w:r>
    </w:p>
  </w:footnote>
  <w:footnote w:type="continuationNotice" w:id="1">
    <w:p w14:paraId="35F96587" w14:textId="77777777" w:rsidR="00C64280" w:rsidRDefault="00C64280"/>
  </w:footnote>
  <w:footnote w:id="2">
    <w:p w14:paraId="59C95F60" w14:textId="53383C1A" w:rsidR="0095599F" w:rsidRDefault="0095599F">
      <w:pPr>
        <w:pStyle w:val="FootnoteText"/>
      </w:pPr>
      <w:r>
        <w:rPr>
          <w:rStyle w:val="FootnoteReference"/>
        </w:rPr>
        <w:t>*</w:t>
      </w:r>
      <w:r>
        <w:t xml:space="preserve"> </w:t>
      </w:r>
      <w:r w:rsidRPr="002D474B">
        <w:rPr>
          <w:rFonts w:ascii="Times New Roman" w:hAnsi="Times New Roman" w:cs="Times New Roman"/>
          <w:sz w:val="18"/>
          <w:szCs w:val="18"/>
        </w:rPr>
        <w:t>CBD/COP/16/1</w:t>
      </w:r>
      <w:r w:rsidR="002D474B" w:rsidRPr="002D474B">
        <w:rPr>
          <w:rFonts w:ascii="Times New Roman" w:hAnsi="Times New Roman" w:cs="Times New Roman"/>
          <w:sz w:val="18"/>
          <w:szCs w:val="18"/>
        </w:rPr>
        <w:t>.</w:t>
      </w:r>
    </w:p>
  </w:footnote>
  <w:footnote w:id="3">
    <w:p w14:paraId="7FFC128A" w14:textId="7324CE8E" w:rsidR="00D769F1" w:rsidRPr="00D769F1" w:rsidRDefault="00D769F1">
      <w:pPr>
        <w:pStyle w:val="FootnoteText"/>
        <w:rPr>
          <w:rFonts w:ascii="Times New Roman" w:hAnsi="Times New Roman" w:cs="Times New Roman"/>
          <w:sz w:val="18"/>
          <w:szCs w:val="18"/>
        </w:rPr>
      </w:pPr>
      <w:r w:rsidRPr="00D769F1">
        <w:rPr>
          <w:rStyle w:val="FootnoteReference"/>
          <w:rFonts w:ascii="Times New Roman" w:hAnsi="Times New Roman" w:cs="Times New Roman"/>
          <w:sz w:val="18"/>
          <w:szCs w:val="18"/>
        </w:rPr>
        <w:t>**</w:t>
      </w:r>
      <w:r w:rsidRPr="00D769F1">
        <w:rPr>
          <w:rFonts w:ascii="Times New Roman" w:hAnsi="Times New Roman" w:cs="Times New Roman"/>
          <w:sz w:val="18"/>
          <w:szCs w:val="18"/>
        </w:rPr>
        <w:t xml:space="preserve"> The present document is being issued without formal editing.</w:t>
      </w:r>
    </w:p>
  </w:footnote>
  <w:footnote w:id="4">
    <w:p w14:paraId="61421138" w14:textId="4559CD65" w:rsidR="006168CF" w:rsidRPr="00C7573C" w:rsidRDefault="006168CF">
      <w:pPr>
        <w:pStyle w:val="FootnoteText"/>
        <w:rPr>
          <w:rFonts w:asciiTheme="majorBidi" w:hAnsiTheme="majorBidi" w:cstheme="majorBidi"/>
        </w:rPr>
      </w:pPr>
      <w:r w:rsidRPr="00C7573C">
        <w:rPr>
          <w:rStyle w:val="FootnoteReference"/>
          <w:rFonts w:asciiTheme="majorBidi" w:hAnsiTheme="majorBidi" w:cstheme="majorBidi"/>
        </w:rPr>
        <w:footnoteRef/>
      </w:r>
      <w:r w:rsidRPr="00C7573C">
        <w:rPr>
          <w:rFonts w:asciiTheme="majorBidi" w:hAnsiTheme="majorBidi" w:cstheme="majorBidi"/>
        </w:rPr>
        <w:t xml:space="preserve"> The submissions are made available at </w:t>
      </w:r>
      <w:hyperlink r:id="rId1" w:history="1">
        <w:r w:rsidR="00C7573C" w:rsidRPr="00C7573C">
          <w:rPr>
            <w:rStyle w:val="Hyperlink"/>
            <w:rFonts w:asciiTheme="majorBidi" w:hAnsiTheme="majorBidi" w:cstheme="majorBidi"/>
          </w:rPr>
          <w:t>https://www.cbd.int/notifications/2024-043</w:t>
        </w:r>
      </w:hyperlink>
      <w:r w:rsidR="00C7573C" w:rsidRPr="00C7573C">
        <w:rPr>
          <w:rFonts w:asciiTheme="majorBidi" w:hAnsiTheme="majorBidi" w:cstheme="majorBidi"/>
        </w:rPr>
        <w:t xml:space="preserve"> .</w:t>
      </w:r>
    </w:p>
  </w:footnote>
  <w:footnote w:id="5">
    <w:p w14:paraId="5E6AF778" w14:textId="77777777" w:rsidR="00702107" w:rsidRDefault="00702107" w:rsidP="00702107">
      <w:pPr>
        <w:pStyle w:val="FootnoteText"/>
      </w:pPr>
      <w:r>
        <w:rPr>
          <w:rStyle w:val="FootnoteReference"/>
        </w:rPr>
        <w:footnoteRef/>
      </w:r>
      <w:r>
        <w:t xml:space="preserve"> See Appendix 3 for additional information on the monitoring framework and indicators adopted through Decision 15/5. </w:t>
      </w:r>
    </w:p>
  </w:footnote>
  <w:footnote w:id="6">
    <w:p w14:paraId="1AFA93D9" w14:textId="2ED3C41F" w:rsidR="00FE2E69" w:rsidRDefault="00FE2E69">
      <w:pPr>
        <w:pStyle w:val="FootnoteText"/>
      </w:pPr>
      <w:r>
        <w:rPr>
          <w:rStyle w:val="FootnoteReference"/>
        </w:rPr>
        <w:footnoteRef/>
      </w:r>
      <w:r>
        <w:t xml:space="preserve"> The phrase ‘biodiversity offset’ is used in the literature as an umbrella term to include activities implemented to offset the habitat, environmental function, or ecosystem service impacts of a project.  For example, in the United States, the Clean Water Act and Endangered Species Act govern compensatory mitigation for unavoidable adverse impacts to wetlands, streams and other aquatic resource, and to endangered and threatened species and designated habitat, respectively.  </w:t>
      </w:r>
    </w:p>
  </w:footnote>
  <w:footnote w:id="7">
    <w:p w14:paraId="5CCA5903" w14:textId="33235BBB" w:rsidR="0090449E" w:rsidRDefault="0090449E">
      <w:pPr>
        <w:pStyle w:val="FootnoteText"/>
      </w:pPr>
      <w:r>
        <w:rPr>
          <w:rStyle w:val="FootnoteReference"/>
        </w:rPr>
        <w:footnoteRef/>
      </w:r>
      <w:r>
        <w:t xml:space="preserve"> As defined by the IUCN and the IFC Performance Standard 6 on Biodiversity Conservation and Sustainable Management of Living Natural Resources. </w:t>
      </w:r>
    </w:p>
  </w:footnote>
  <w:footnote w:id="8">
    <w:p w14:paraId="3D7418EC" w14:textId="082E8DB4" w:rsidR="001D2206" w:rsidRDefault="001D2206">
      <w:pPr>
        <w:pStyle w:val="FootnoteText"/>
      </w:pPr>
      <w:r>
        <w:rPr>
          <w:rStyle w:val="FootnoteReference"/>
        </w:rPr>
        <w:footnoteRef/>
      </w:r>
      <w:r>
        <w:t xml:space="preserve"> See, for example: </w:t>
      </w:r>
      <w:r w:rsidRPr="00CA059B">
        <w:t>https://www.ecosystemmarketplace.com/articles/why-denver-spends-water-fees-on-trees/</w:t>
      </w:r>
    </w:p>
  </w:footnote>
  <w:footnote w:id="9">
    <w:p w14:paraId="3C4D78A8" w14:textId="2D33E9D3" w:rsidR="001D2206" w:rsidRDefault="001D2206">
      <w:pPr>
        <w:pStyle w:val="FootnoteText"/>
      </w:pPr>
      <w:r>
        <w:rPr>
          <w:rStyle w:val="FootnoteReference"/>
        </w:rPr>
        <w:footnoteRef/>
      </w:r>
      <w:r>
        <w:t xml:space="preserve"> See, for example: </w:t>
      </w:r>
      <w:r w:rsidRPr="000665BD">
        <w:t>https://www.usda.gov/media/press-releases/2023/09/19/usda-renews-pioneering-partnership-coca-cola-company-restore</w:t>
      </w:r>
    </w:p>
  </w:footnote>
  <w:footnote w:id="10">
    <w:p w14:paraId="6AE53CD1" w14:textId="4FDB44FB" w:rsidR="001D2206" w:rsidRDefault="001D2206">
      <w:pPr>
        <w:pStyle w:val="FootnoteText"/>
      </w:pPr>
      <w:r>
        <w:rPr>
          <w:rStyle w:val="FootnoteReference"/>
        </w:rPr>
        <w:footnoteRef/>
      </w:r>
      <w:r>
        <w:t xml:space="preserve"> See, for example: </w:t>
      </w:r>
      <w:r w:rsidRPr="00CA059B">
        <w:t>https://www.xerces.org/press/haagen-dazs-ice-cream-now-bee-better-certified</w:t>
      </w:r>
    </w:p>
  </w:footnote>
  <w:footnote w:id="11">
    <w:p w14:paraId="7CCB36E8" w14:textId="77777777" w:rsidR="009C0FC8" w:rsidRDefault="009C0FC8" w:rsidP="009C0FC8">
      <w:pPr>
        <w:pStyle w:val="FootnoteText"/>
      </w:pPr>
      <w:r>
        <w:rPr>
          <w:rStyle w:val="FootnoteReference"/>
        </w:rPr>
        <w:footnoteRef/>
      </w:r>
      <w:r>
        <w:t xml:space="preserve"> For example, see </w:t>
      </w:r>
      <w:hyperlink r:id="rId2" w:history="1">
        <w:r w:rsidRPr="00EB1E70">
          <w:rPr>
            <w:rStyle w:val="Hyperlink"/>
          </w:rPr>
          <w:t>https://www.worldbank.org/en/news/feature/2018/10/29/sovereign-blue-bond-issuance-frequently-asked-questions</w:t>
        </w:r>
      </w:hyperlink>
      <w:r>
        <w:t xml:space="preserve">. </w:t>
      </w:r>
    </w:p>
  </w:footnote>
  <w:footnote w:id="12">
    <w:p w14:paraId="0C461EF7" w14:textId="50217A77" w:rsidR="007A72C0" w:rsidRDefault="007A72C0">
      <w:pPr>
        <w:pStyle w:val="FootnoteText"/>
      </w:pPr>
      <w:r>
        <w:rPr>
          <w:rStyle w:val="FootnoteReference"/>
        </w:rPr>
        <w:footnoteRef/>
      </w:r>
      <w:r>
        <w:t xml:space="preserve"> See CBD/SBSTTA/26/INF/14.</w:t>
      </w:r>
    </w:p>
  </w:footnote>
  <w:footnote w:id="13">
    <w:p w14:paraId="19F9D067" w14:textId="4C650B3D" w:rsidR="006E1F78" w:rsidRDefault="006E1F78">
      <w:pPr>
        <w:pStyle w:val="FootnoteText"/>
      </w:pPr>
      <w:r>
        <w:rPr>
          <w:rStyle w:val="FootnoteReference"/>
        </w:rPr>
        <w:footnoteRef/>
      </w:r>
      <w:r>
        <w:t xml:space="preserve"> Access to the </w:t>
      </w:r>
      <w:proofErr w:type="gramStart"/>
      <w:r>
        <w:t>publicly-available</w:t>
      </w:r>
      <w:proofErr w:type="gramEnd"/>
      <w:r>
        <w:t xml:space="preserve"> CBI database can be found here: </w:t>
      </w:r>
      <w:hyperlink r:id="rId3" w:history="1">
        <w:r w:rsidRPr="00034173">
          <w:rPr>
            <w:rStyle w:val="Hyperlink"/>
          </w:rPr>
          <w:t>https://www.climatebonds.net/market/data/</w:t>
        </w:r>
      </w:hyperlink>
      <w:r>
        <w:t xml:space="preserve">. </w:t>
      </w:r>
    </w:p>
  </w:footnote>
  <w:footnote w:id="14">
    <w:p w14:paraId="6716BFBF" w14:textId="05EE7BC1" w:rsidR="00156117" w:rsidRDefault="00156117">
      <w:pPr>
        <w:pStyle w:val="FootnoteText"/>
      </w:pPr>
      <w:r>
        <w:rPr>
          <w:rStyle w:val="FootnoteReference"/>
        </w:rPr>
        <w:footnoteRef/>
      </w:r>
      <w:r>
        <w:t xml:space="preserve"> SEEA-2012 Central Framework. Available at: </w:t>
      </w:r>
      <w:hyperlink r:id="rId4" w:history="1">
        <w:r w:rsidRPr="00973F90">
          <w:rPr>
            <w:rStyle w:val="Hyperlink"/>
          </w:rPr>
          <w:t>https://seea.un.org/sites/seea.un.org/files/seea_cf_final_en.pdf</w:t>
        </w:r>
      </w:hyperlink>
      <w:r>
        <w:t>.</w:t>
      </w:r>
    </w:p>
  </w:footnote>
  <w:footnote w:id="15">
    <w:p w14:paraId="7C5CB7EB" w14:textId="720B4623" w:rsidR="00156117" w:rsidRDefault="00156117" w:rsidP="00CA6D0C">
      <w:pPr>
        <w:pStyle w:val="CommentText"/>
      </w:pPr>
      <w:r>
        <w:rPr>
          <w:rStyle w:val="FootnoteReference"/>
        </w:rPr>
        <w:footnoteRef/>
      </w:r>
      <w:r>
        <w:t xml:space="preserve"> </w:t>
      </w:r>
      <w:r w:rsidRPr="006B1B95">
        <w:rPr>
          <w:color w:val="040C28"/>
        </w:rPr>
        <w:t>CEPA 2000 is </w:t>
      </w:r>
      <w:r>
        <w:rPr>
          <w:color w:val="040C28"/>
        </w:rPr>
        <w:t xml:space="preserve">a functional, international statistical classification used to classify activities, products, </w:t>
      </w:r>
      <w:r w:rsidR="00CA6D0C">
        <w:rPr>
          <w:color w:val="040C28"/>
        </w:rPr>
        <w:t xml:space="preserve">expenditures, </w:t>
      </w:r>
      <w:r>
        <w:rPr>
          <w:color w:val="040C28"/>
        </w:rPr>
        <w:t xml:space="preserve">and other transactions whose primary purpose is environmental protection.  Eurostat is the custodian agency for CEPA 2000.  More information can be found at: </w:t>
      </w:r>
      <w:hyperlink r:id="rId5" w:history="1">
        <w:r w:rsidRPr="00002BB8">
          <w:rPr>
            <w:rStyle w:val="Hyperlink"/>
          </w:rPr>
          <w:t>https://unstats.un.org/unsd/classifications/Meetings/UNCEISC2023/6-1-Classification-of-environmental-purposes-cover-documents.pdf</w:t>
        </w:r>
      </w:hyperlink>
      <w:r>
        <w:rPr>
          <w:color w:val="040C28"/>
        </w:rPr>
        <w:t xml:space="preserve">. </w:t>
      </w:r>
    </w:p>
  </w:footnote>
  <w:footnote w:id="16">
    <w:p w14:paraId="261E6E01" w14:textId="1352DE72" w:rsidR="00997389" w:rsidRDefault="00997389">
      <w:pPr>
        <w:pStyle w:val="FootnoteText"/>
      </w:pPr>
      <w:r>
        <w:rPr>
          <w:rStyle w:val="FootnoteReference"/>
        </w:rPr>
        <w:footnoteRef/>
      </w:r>
      <w:r>
        <w:t xml:space="preserve"> See: </w:t>
      </w:r>
      <w:hyperlink r:id="rId6" w:history="1">
        <w:r>
          <w:rPr>
            <w:rStyle w:val="Hyperlink"/>
          </w:rPr>
          <w:t>BG-4e-CEP-E.pdf (un.org)</w:t>
        </w:r>
      </w:hyperlink>
      <w:r>
        <w:t>.</w:t>
      </w:r>
    </w:p>
  </w:footnote>
  <w:footnote w:id="17">
    <w:p w14:paraId="243C3423" w14:textId="37A85467" w:rsidR="00A73C19" w:rsidRDefault="00A73C19">
      <w:pPr>
        <w:pStyle w:val="FootnoteText"/>
      </w:pPr>
      <w:r>
        <w:rPr>
          <w:rStyle w:val="FootnoteReference"/>
        </w:rPr>
        <w:footnoteRef/>
      </w:r>
      <w:r>
        <w:t xml:space="preserve"> See for example, EU’s Taxonomy for sustainable activities: </w:t>
      </w:r>
      <w:hyperlink r:id="rId7" w:history="1">
        <w:r w:rsidRPr="00916CB3">
          <w:rPr>
            <w:rStyle w:val="Hyperlink"/>
          </w:rPr>
          <w:t>https://finance.ec.europa.eu/sustainable-finance/tools-and-standards/eu-taxonomy-sustainable-activities_en</w:t>
        </w:r>
      </w:hyperlink>
      <w:r>
        <w:t xml:space="preserve">; China’s Green Bond Guidelines: </w:t>
      </w:r>
      <w:hyperlink r:id="rId8" w:history="1">
        <w:r w:rsidRPr="00916CB3">
          <w:rPr>
            <w:rStyle w:val="Hyperlink"/>
          </w:rPr>
          <w:t>https://www.greenfinanceplatform.org/policies-and-regulations/green-bond-guidelines-issued-chinas-national-development-and-reform</w:t>
        </w:r>
      </w:hyperlink>
      <w:r>
        <w:t xml:space="preserve">. </w:t>
      </w:r>
    </w:p>
  </w:footnote>
  <w:footnote w:id="18">
    <w:p w14:paraId="5372864E" w14:textId="2E7A4828" w:rsidR="007C5AC6" w:rsidRDefault="007C5AC6">
      <w:pPr>
        <w:pStyle w:val="FootnoteText"/>
      </w:pPr>
      <w:r>
        <w:rPr>
          <w:rStyle w:val="FootnoteReference"/>
        </w:rPr>
        <w:footnoteRef/>
      </w:r>
      <w:r>
        <w:t xml:space="preserve"> See </w:t>
      </w:r>
      <w:r w:rsidRPr="007C5AC6">
        <w:t>https://www.unepfi.org/news/unep-fi-pri-and-climate-bonds-initiative-join-forces-to-support-taxonomy-efforts-around-the</w:t>
      </w:r>
      <w:r>
        <w:t>-</w:t>
      </w:r>
      <w:r w:rsidRPr="007C5AC6">
        <w:t>world/#:~:text=27%20June%202024%3A%20United%20Nations,finance%20taxonomies%20and%20other%20frameworks</w:t>
      </w:r>
    </w:p>
  </w:footnote>
  <w:footnote w:id="19">
    <w:p w14:paraId="6787E60C" w14:textId="43E1A728" w:rsidR="001F27F2" w:rsidRDefault="001F27F2">
      <w:pPr>
        <w:pStyle w:val="FootnoteText"/>
      </w:pPr>
      <w:r>
        <w:rPr>
          <w:rStyle w:val="FootnoteReference"/>
        </w:rPr>
        <w:footnoteRef/>
      </w:r>
      <w:r>
        <w:t xml:space="preserve"> This question is also proposed as a complementary indicator in the section above on establishing biodiversity-relevant sustainable finance taxonomies. </w:t>
      </w:r>
    </w:p>
  </w:footnote>
  <w:footnote w:id="20">
    <w:p w14:paraId="028CF65D" w14:textId="61A152B2" w:rsidR="0043727E" w:rsidRDefault="0043727E">
      <w:pPr>
        <w:pStyle w:val="FootnoteText"/>
      </w:pPr>
      <w:r>
        <w:rPr>
          <w:rStyle w:val="FootnoteReference"/>
        </w:rPr>
        <w:footnoteRef/>
      </w:r>
      <w:r>
        <w:t xml:space="preserve"> See Annex III of their report for the questionnaire that was distributed, which could serve as a model for other countries to develop:  </w:t>
      </w:r>
      <w:r w:rsidRPr="0043727E">
        <w:t>https://www.government.nl/documents/reports/2021/06/30/mapping-dutch-financial-flows-to-biodiversity</w:t>
      </w:r>
      <w:r>
        <w:t>.</w:t>
      </w:r>
    </w:p>
  </w:footnote>
  <w:footnote w:id="21">
    <w:p w14:paraId="19CE902B" w14:textId="4AA92BDB" w:rsidR="00CF4809" w:rsidRDefault="00CF4809">
      <w:pPr>
        <w:pStyle w:val="FootnoteText"/>
      </w:pPr>
      <w:r>
        <w:rPr>
          <w:rStyle w:val="FootnoteReference"/>
        </w:rPr>
        <w:footnoteRef/>
      </w:r>
      <w:r>
        <w:t xml:space="preserve"> See, for example: </w:t>
      </w:r>
      <w:hyperlink r:id="rId9" w:history="1">
        <w:r w:rsidRPr="00B11503">
          <w:rPr>
            <w:rStyle w:val="Hyperlink"/>
          </w:rPr>
          <w:t>https://www.convergence.finance/blended-finance</w:t>
        </w:r>
      </w:hyperlink>
      <w:r>
        <w:t xml:space="preserve">. </w:t>
      </w:r>
    </w:p>
  </w:footnote>
  <w:footnote w:id="22">
    <w:p w14:paraId="7F9390F7" w14:textId="77777777" w:rsidR="00BE4845" w:rsidRDefault="00BE4845" w:rsidP="00BE4845">
      <w:pPr>
        <w:pStyle w:val="FootnoteText"/>
      </w:pPr>
      <w:r>
        <w:rPr>
          <w:rStyle w:val="FootnoteReference"/>
        </w:rPr>
        <w:footnoteRef/>
      </w:r>
      <w:r>
        <w:t xml:space="preserve"> CBD/COP/DEC/15/5. Available at: </w:t>
      </w:r>
      <w:hyperlink r:id="rId10" w:history="1">
        <w:r w:rsidRPr="00365035">
          <w:rPr>
            <w:rStyle w:val="Hyperlink"/>
          </w:rPr>
          <w:t>https://www.cbd.int/doc/decisions/cop-15/cop-15-dec-05-en.pdf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CAB3F" w14:textId="534608E0" w:rsidR="00047A0F" w:rsidRPr="00047A0F" w:rsidRDefault="00047A0F" w:rsidP="00047A0F">
    <w:pPr>
      <w:pStyle w:val="Header"/>
      <w:pBdr>
        <w:bottom w:val="single" w:sz="4" w:space="1" w:color="auto"/>
      </w:pBdr>
      <w:rPr>
        <w:rFonts w:ascii="Times New Roman" w:hAnsi="Times New Roman" w:cs="Times New Roman"/>
        <w:sz w:val="20"/>
        <w:szCs w:val="20"/>
      </w:rPr>
    </w:pPr>
    <w:r w:rsidRPr="00047A0F">
      <w:rPr>
        <w:rFonts w:ascii="Times New Roman" w:hAnsi="Times New Roman" w:cs="Times New Roman"/>
        <w:sz w:val="20"/>
        <w:szCs w:val="20"/>
      </w:rPr>
      <w:t>CBD/COP/16/INF/31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4D20C" w14:textId="748D9AA1" w:rsidR="00047A0F" w:rsidRPr="00047A0F" w:rsidRDefault="00047A0F" w:rsidP="00047A0F">
    <w:pPr>
      <w:pStyle w:val="Header"/>
      <w:pBdr>
        <w:bottom w:val="single" w:sz="4" w:space="1" w:color="auto"/>
      </w:pBdr>
      <w:jc w:val="right"/>
      <w:rPr>
        <w:rFonts w:ascii="Times New Roman" w:hAnsi="Times New Roman" w:cs="Times New Roman"/>
        <w:sz w:val="20"/>
        <w:szCs w:val="20"/>
      </w:rPr>
    </w:pPr>
    <w:r w:rsidRPr="00047A0F">
      <w:rPr>
        <w:rFonts w:ascii="Times New Roman" w:hAnsi="Times New Roman" w:cs="Times New Roman"/>
        <w:sz w:val="20"/>
        <w:szCs w:val="20"/>
      </w:rPr>
      <w:t>CBD/COP/16/INF/31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F26A8"/>
    <w:multiLevelType w:val="hybridMultilevel"/>
    <w:tmpl w:val="FE5A5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0A8B"/>
    <w:multiLevelType w:val="hybridMultilevel"/>
    <w:tmpl w:val="6794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73C8F"/>
    <w:multiLevelType w:val="hybridMultilevel"/>
    <w:tmpl w:val="0648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65335F"/>
    <w:multiLevelType w:val="hybridMultilevel"/>
    <w:tmpl w:val="33161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314DE"/>
    <w:multiLevelType w:val="hybridMultilevel"/>
    <w:tmpl w:val="133E8D34"/>
    <w:lvl w:ilvl="0" w:tplc="9E20A9AE">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5493E13"/>
    <w:multiLevelType w:val="hybridMultilevel"/>
    <w:tmpl w:val="F87A1512"/>
    <w:lvl w:ilvl="0" w:tplc="AB76716E">
      <w:numFmt w:val="bullet"/>
      <w:lvlText w:val="-"/>
      <w:lvlJc w:val="left"/>
      <w:pPr>
        <w:ind w:left="3960" w:hanging="360"/>
      </w:pPr>
      <w:rPr>
        <w:rFonts w:ascii="Calibri" w:eastAsiaTheme="minorHAnsi" w:hAnsi="Calibri" w:cs="Calibr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22025953"/>
    <w:multiLevelType w:val="hybridMultilevel"/>
    <w:tmpl w:val="049AC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60CFE"/>
    <w:multiLevelType w:val="hybridMultilevel"/>
    <w:tmpl w:val="3F586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10A0F"/>
    <w:multiLevelType w:val="hybridMultilevel"/>
    <w:tmpl w:val="25F80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E1D18"/>
    <w:multiLevelType w:val="hybridMultilevel"/>
    <w:tmpl w:val="B46E8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41E05"/>
    <w:multiLevelType w:val="hybridMultilevel"/>
    <w:tmpl w:val="A274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EF1571"/>
    <w:multiLevelType w:val="hybridMultilevel"/>
    <w:tmpl w:val="8FD8B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A1273D"/>
    <w:multiLevelType w:val="hybridMultilevel"/>
    <w:tmpl w:val="2C96C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2230B9"/>
    <w:multiLevelType w:val="hybridMultilevel"/>
    <w:tmpl w:val="BCA0B7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3C77607A"/>
    <w:multiLevelType w:val="hybridMultilevel"/>
    <w:tmpl w:val="7152D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3131D9"/>
    <w:multiLevelType w:val="hybridMultilevel"/>
    <w:tmpl w:val="230AA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756C0"/>
    <w:multiLevelType w:val="hybridMultilevel"/>
    <w:tmpl w:val="86BC6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8F73D3"/>
    <w:multiLevelType w:val="hybridMultilevel"/>
    <w:tmpl w:val="8CDA0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DE4BE2"/>
    <w:multiLevelType w:val="hybridMultilevel"/>
    <w:tmpl w:val="CE5C19C2"/>
    <w:lvl w:ilvl="0" w:tplc="8B3E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4D42AD"/>
    <w:multiLevelType w:val="hybridMultilevel"/>
    <w:tmpl w:val="5F4C6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5F039B"/>
    <w:multiLevelType w:val="hybridMultilevel"/>
    <w:tmpl w:val="F01CE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2" w15:restartNumberingAfterBreak="0">
    <w:nsid w:val="4FED7FDB"/>
    <w:multiLevelType w:val="hybridMultilevel"/>
    <w:tmpl w:val="5D0E3FF4"/>
    <w:lvl w:ilvl="0" w:tplc="07B64B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7E2F3E"/>
    <w:multiLevelType w:val="hybridMultilevel"/>
    <w:tmpl w:val="4C7A45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5875D40"/>
    <w:multiLevelType w:val="hybridMultilevel"/>
    <w:tmpl w:val="677A1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872B34"/>
    <w:multiLevelType w:val="hybridMultilevel"/>
    <w:tmpl w:val="6866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A4594C"/>
    <w:multiLevelType w:val="hybridMultilevel"/>
    <w:tmpl w:val="4582DCA2"/>
    <w:lvl w:ilvl="0" w:tplc="7A06A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D805F2"/>
    <w:multiLevelType w:val="hybridMultilevel"/>
    <w:tmpl w:val="595E0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7E4F29"/>
    <w:multiLevelType w:val="hybridMultilevel"/>
    <w:tmpl w:val="3992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AC5C71"/>
    <w:multiLevelType w:val="hybridMultilevel"/>
    <w:tmpl w:val="49A6B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623A37"/>
    <w:multiLevelType w:val="hybridMultilevel"/>
    <w:tmpl w:val="2E6EB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802ED"/>
    <w:multiLevelType w:val="hybridMultilevel"/>
    <w:tmpl w:val="40546546"/>
    <w:lvl w:ilvl="0" w:tplc="2324A7EA">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CBD53B3"/>
    <w:multiLevelType w:val="hybridMultilevel"/>
    <w:tmpl w:val="765C1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5463D"/>
    <w:multiLevelType w:val="hybridMultilevel"/>
    <w:tmpl w:val="ACC8E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843408"/>
    <w:multiLevelType w:val="hybridMultilevel"/>
    <w:tmpl w:val="972AA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75219F"/>
    <w:multiLevelType w:val="hybridMultilevel"/>
    <w:tmpl w:val="EFFC4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E963ED"/>
    <w:multiLevelType w:val="hybridMultilevel"/>
    <w:tmpl w:val="AABE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E32E5C"/>
    <w:multiLevelType w:val="hybridMultilevel"/>
    <w:tmpl w:val="56EC3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3627168">
    <w:abstractNumId w:val="32"/>
  </w:num>
  <w:num w:numId="2" w16cid:durableId="732236306">
    <w:abstractNumId w:val="0"/>
  </w:num>
  <w:num w:numId="3" w16cid:durableId="1141145458">
    <w:abstractNumId w:val="27"/>
  </w:num>
  <w:num w:numId="4" w16cid:durableId="1815754111">
    <w:abstractNumId w:val="9"/>
  </w:num>
  <w:num w:numId="5" w16cid:durableId="1801879052">
    <w:abstractNumId w:val="15"/>
  </w:num>
  <w:num w:numId="6" w16cid:durableId="1923678722">
    <w:abstractNumId w:val="6"/>
  </w:num>
  <w:num w:numId="7" w16cid:durableId="2006543819">
    <w:abstractNumId w:val="25"/>
  </w:num>
  <w:num w:numId="8" w16cid:durableId="160897409">
    <w:abstractNumId w:val="28"/>
  </w:num>
  <w:num w:numId="9" w16cid:durableId="781071621">
    <w:abstractNumId w:val="1"/>
  </w:num>
  <w:num w:numId="10" w16cid:durableId="1185948727">
    <w:abstractNumId w:val="36"/>
  </w:num>
  <w:num w:numId="11" w16cid:durableId="1817331549">
    <w:abstractNumId w:val="19"/>
  </w:num>
  <w:num w:numId="12" w16cid:durableId="679623430">
    <w:abstractNumId w:val="8"/>
  </w:num>
  <w:num w:numId="13" w16cid:durableId="2136438366">
    <w:abstractNumId w:val="3"/>
  </w:num>
  <w:num w:numId="14" w16cid:durableId="1928155277">
    <w:abstractNumId w:val="29"/>
  </w:num>
  <w:num w:numId="15" w16cid:durableId="36975171">
    <w:abstractNumId w:val="34"/>
  </w:num>
  <w:num w:numId="16" w16cid:durableId="2023581752">
    <w:abstractNumId w:val="17"/>
  </w:num>
  <w:num w:numId="17" w16cid:durableId="216165551">
    <w:abstractNumId w:val="31"/>
  </w:num>
  <w:num w:numId="18" w16cid:durableId="1725063274">
    <w:abstractNumId w:val="4"/>
  </w:num>
  <w:num w:numId="19" w16cid:durableId="1288123806">
    <w:abstractNumId w:val="10"/>
  </w:num>
  <w:num w:numId="20" w16cid:durableId="962544353">
    <w:abstractNumId w:val="30"/>
  </w:num>
  <w:num w:numId="21" w16cid:durableId="1641156082">
    <w:abstractNumId w:val="12"/>
  </w:num>
  <w:num w:numId="22" w16cid:durableId="778984932">
    <w:abstractNumId w:val="18"/>
  </w:num>
  <w:num w:numId="23" w16cid:durableId="724794307">
    <w:abstractNumId w:val="26"/>
  </w:num>
  <w:num w:numId="24" w16cid:durableId="1981381673">
    <w:abstractNumId w:val="22"/>
  </w:num>
  <w:num w:numId="25" w16cid:durableId="2087529682">
    <w:abstractNumId w:val="16"/>
  </w:num>
  <w:num w:numId="26" w16cid:durableId="854345364">
    <w:abstractNumId w:val="5"/>
  </w:num>
  <w:num w:numId="27" w16cid:durableId="522019485">
    <w:abstractNumId w:val="35"/>
  </w:num>
  <w:num w:numId="28" w16cid:durableId="825441996">
    <w:abstractNumId w:val="23"/>
  </w:num>
  <w:num w:numId="29" w16cid:durableId="503476914">
    <w:abstractNumId w:val="24"/>
  </w:num>
  <w:num w:numId="30" w16cid:durableId="780302427">
    <w:abstractNumId w:val="2"/>
  </w:num>
  <w:num w:numId="31" w16cid:durableId="1466580677">
    <w:abstractNumId w:val="14"/>
  </w:num>
  <w:num w:numId="32" w16cid:durableId="396830664">
    <w:abstractNumId w:val="20"/>
  </w:num>
  <w:num w:numId="33" w16cid:durableId="1352023567">
    <w:abstractNumId w:val="37"/>
  </w:num>
  <w:num w:numId="34" w16cid:durableId="1129007700">
    <w:abstractNumId w:val="11"/>
  </w:num>
  <w:num w:numId="35" w16cid:durableId="765421803">
    <w:abstractNumId w:val="13"/>
  </w:num>
  <w:num w:numId="36" w16cid:durableId="1843079177">
    <w:abstractNumId w:val="7"/>
  </w:num>
  <w:num w:numId="37" w16cid:durableId="308899182">
    <w:abstractNumId w:val="33"/>
  </w:num>
  <w:num w:numId="38" w16cid:durableId="5251004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revisionView w:inkAnnotation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2NLEwMze2MDU3MDVW0lEKTi0uzszPAykwrAUAgt8I+iwAAAA="/>
  </w:docVars>
  <w:rsids>
    <w:rsidRoot w:val="0038476C"/>
    <w:rsid w:val="00002841"/>
    <w:rsid w:val="00004498"/>
    <w:rsid w:val="00004C1F"/>
    <w:rsid w:val="00011F18"/>
    <w:rsid w:val="00012429"/>
    <w:rsid w:val="0001317A"/>
    <w:rsid w:val="000152C7"/>
    <w:rsid w:val="00016F39"/>
    <w:rsid w:val="00017502"/>
    <w:rsid w:val="00017596"/>
    <w:rsid w:val="00017B7C"/>
    <w:rsid w:val="00021E97"/>
    <w:rsid w:val="00022BEC"/>
    <w:rsid w:val="000236CF"/>
    <w:rsid w:val="00024CD7"/>
    <w:rsid w:val="000271A6"/>
    <w:rsid w:val="000278B4"/>
    <w:rsid w:val="00033EF9"/>
    <w:rsid w:val="00036290"/>
    <w:rsid w:val="0003703F"/>
    <w:rsid w:val="00041BAF"/>
    <w:rsid w:val="00042297"/>
    <w:rsid w:val="00042ECA"/>
    <w:rsid w:val="00043A53"/>
    <w:rsid w:val="0004571A"/>
    <w:rsid w:val="00046FEA"/>
    <w:rsid w:val="00047A0F"/>
    <w:rsid w:val="0005008E"/>
    <w:rsid w:val="0005043D"/>
    <w:rsid w:val="00050B23"/>
    <w:rsid w:val="0005274F"/>
    <w:rsid w:val="0005318C"/>
    <w:rsid w:val="000547C1"/>
    <w:rsid w:val="0005506B"/>
    <w:rsid w:val="000550FC"/>
    <w:rsid w:val="000610B5"/>
    <w:rsid w:val="00061320"/>
    <w:rsid w:val="00061DED"/>
    <w:rsid w:val="00063C72"/>
    <w:rsid w:val="000643F8"/>
    <w:rsid w:val="000665BD"/>
    <w:rsid w:val="00066D9A"/>
    <w:rsid w:val="00067E36"/>
    <w:rsid w:val="00072BEC"/>
    <w:rsid w:val="0007428F"/>
    <w:rsid w:val="000756F5"/>
    <w:rsid w:val="000768C4"/>
    <w:rsid w:val="00076F4A"/>
    <w:rsid w:val="00080AA3"/>
    <w:rsid w:val="00080B9D"/>
    <w:rsid w:val="00082441"/>
    <w:rsid w:val="00083DA1"/>
    <w:rsid w:val="00083F6F"/>
    <w:rsid w:val="0008531E"/>
    <w:rsid w:val="00085665"/>
    <w:rsid w:val="0008796D"/>
    <w:rsid w:val="00087F30"/>
    <w:rsid w:val="00090A02"/>
    <w:rsid w:val="00090DCB"/>
    <w:rsid w:val="00091888"/>
    <w:rsid w:val="00091B2D"/>
    <w:rsid w:val="000922FF"/>
    <w:rsid w:val="000950B8"/>
    <w:rsid w:val="00095152"/>
    <w:rsid w:val="00096490"/>
    <w:rsid w:val="000A0247"/>
    <w:rsid w:val="000A0950"/>
    <w:rsid w:val="000A11CA"/>
    <w:rsid w:val="000A149E"/>
    <w:rsid w:val="000A2369"/>
    <w:rsid w:val="000A4A42"/>
    <w:rsid w:val="000A6314"/>
    <w:rsid w:val="000B24C7"/>
    <w:rsid w:val="000B43D7"/>
    <w:rsid w:val="000B4B6B"/>
    <w:rsid w:val="000B57BD"/>
    <w:rsid w:val="000B61AA"/>
    <w:rsid w:val="000B6C5B"/>
    <w:rsid w:val="000C26DE"/>
    <w:rsid w:val="000C2955"/>
    <w:rsid w:val="000C366B"/>
    <w:rsid w:val="000C3DE2"/>
    <w:rsid w:val="000C3E70"/>
    <w:rsid w:val="000C60B9"/>
    <w:rsid w:val="000C7FD3"/>
    <w:rsid w:val="000D1BD2"/>
    <w:rsid w:val="000D2874"/>
    <w:rsid w:val="000D4EC6"/>
    <w:rsid w:val="000D6C81"/>
    <w:rsid w:val="000E012F"/>
    <w:rsid w:val="000E0EF9"/>
    <w:rsid w:val="000E1941"/>
    <w:rsid w:val="000E2368"/>
    <w:rsid w:val="000E2CBF"/>
    <w:rsid w:val="000E5060"/>
    <w:rsid w:val="000E5090"/>
    <w:rsid w:val="000E54DA"/>
    <w:rsid w:val="000E5917"/>
    <w:rsid w:val="000E7798"/>
    <w:rsid w:val="000F23AD"/>
    <w:rsid w:val="000F28FA"/>
    <w:rsid w:val="000F2CA1"/>
    <w:rsid w:val="000F3520"/>
    <w:rsid w:val="000F7B5F"/>
    <w:rsid w:val="001021B1"/>
    <w:rsid w:val="00102D77"/>
    <w:rsid w:val="00104760"/>
    <w:rsid w:val="00104DEE"/>
    <w:rsid w:val="00104FC4"/>
    <w:rsid w:val="00105125"/>
    <w:rsid w:val="00105492"/>
    <w:rsid w:val="00106E8C"/>
    <w:rsid w:val="00114A37"/>
    <w:rsid w:val="00117148"/>
    <w:rsid w:val="0011720A"/>
    <w:rsid w:val="00117891"/>
    <w:rsid w:val="001178D3"/>
    <w:rsid w:val="00124384"/>
    <w:rsid w:val="0012690C"/>
    <w:rsid w:val="00130237"/>
    <w:rsid w:val="001315F5"/>
    <w:rsid w:val="001320B1"/>
    <w:rsid w:val="00133226"/>
    <w:rsid w:val="00133F77"/>
    <w:rsid w:val="00135969"/>
    <w:rsid w:val="00135A2A"/>
    <w:rsid w:val="001371EC"/>
    <w:rsid w:val="001373ED"/>
    <w:rsid w:val="00137DC2"/>
    <w:rsid w:val="00141364"/>
    <w:rsid w:val="00142D84"/>
    <w:rsid w:val="00142F2C"/>
    <w:rsid w:val="001436AF"/>
    <w:rsid w:val="0014503F"/>
    <w:rsid w:val="00146571"/>
    <w:rsid w:val="001503F2"/>
    <w:rsid w:val="0015146A"/>
    <w:rsid w:val="00154567"/>
    <w:rsid w:val="00156117"/>
    <w:rsid w:val="0015732B"/>
    <w:rsid w:val="00160C0C"/>
    <w:rsid w:val="00161CA8"/>
    <w:rsid w:val="001626A5"/>
    <w:rsid w:val="00162E3C"/>
    <w:rsid w:val="00165CD1"/>
    <w:rsid w:val="00166629"/>
    <w:rsid w:val="00167323"/>
    <w:rsid w:val="00170068"/>
    <w:rsid w:val="00172B60"/>
    <w:rsid w:val="00172E2A"/>
    <w:rsid w:val="00173C2E"/>
    <w:rsid w:val="00175F5B"/>
    <w:rsid w:val="00180EB3"/>
    <w:rsid w:val="00181334"/>
    <w:rsid w:val="00182D69"/>
    <w:rsid w:val="001868C6"/>
    <w:rsid w:val="001919DA"/>
    <w:rsid w:val="00191ED7"/>
    <w:rsid w:val="0019257F"/>
    <w:rsid w:val="0019483A"/>
    <w:rsid w:val="00194FEF"/>
    <w:rsid w:val="001955E0"/>
    <w:rsid w:val="00196CAE"/>
    <w:rsid w:val="00197C4F"/>
    <w:rsid w:val="00197D23"/>
    <w:rsid w:val="001A2C50"/>
    <w:rsid w:val="001A2CD4"/>
    <w:rsid w:val="001A2FFA"/>
    <w:rsid w:val="001A34C0"/>
    <w:rsid w:val="001A4390"/>
    <w:rsid w:val="001A6873"/>
    <w:rsid w:val="001A74C4"/>
    <w:rsid w:val="001B0416"/>
    <w:rsid w:val="001B1C48"/>
    <w:rsid w:val="001B23FB"/>
    <w:rsid w:val="001B4F2F"/>
    <w:rsid w:val="001B7B0D"/>
    <w:rsid w:val="001C04DC"/>
    <w:rsid w:val="001C0E55"/>
    <w:rsid w:val="001C3428"/>
    <w:rsid w:val="001C4067"/>
    <w:rsid w:val="001C4A85"/>
    <w:rsid w:val="001D0348"/>
    <w:rsid w:val="001D0F74"/>
    <w:rsid w:val="001D1889"/>
    <w:rsid w:val="001D1B3B"/>
    <w:rsid w:val="001D2206"/>
    <w:rsid w:val="001D2949"/>
    <w:rsid w:val="001D34E0"/>
    <w:rsid w:val="001D5D83"/>
    <w:rsid w:val="001D6DBC"/>
    <w:rsid w:val="001E0812"/>
    <w:rsid w:val="001E1921"/>
    <w:rsid w:val="001E1C40"/>
    <w:rsid w:val="001E5D19"/>
    <w:rsid w:val="001E5E39"/>
    <w:rsid w:val="001E66EF"/>
    <w:rsid w:val="001E7715"/>
    <w:rsid w:val="001F1042"/>
    <w:rsid w:val="001F27F2"/>
    <w:rsid w:val="001F2A9C"/>
    <w:rsid w:val="001F2D7D"/>
    <w:rsid w:val="001F33DF"/>
    <w:rsid w:val="001F42AE"/>
    <w:rsid w:val="001F56CC"/>
    <w:rsid w:val="001F6891"/>
    <w:rsid w:val="001F79A0"/>
    <w:rsid w:val="00200BFF"/>
    <w:rsid w:val="00203E1E"/>
    <w:rsid w:val="002050C3"/>
    <w:rsid w:val="00206EE0"/>
    <w:rsid w:val="002077B4"/>
    <w:rsid w:val="002145C7"/>
    <w:rsid w:val="00214CBE"/>
    <w:rsid w:val="002165FD"/>
    <w:rsid w:val="00216D05"/>
    <w:rsid w:val="00220E97"/>
    <w:rsid w:val="002213FB"/>
    <w:rsid w:val="00222E41"/>
    <w:rsid w:val="00223CE9"/>
    <w:rsid w:val="002248EF"/>
    <w:rsid w:val="0022734F"/>
    <w:rsid w:val="00227B63"/>
    <w:rsid w:val="00230EE8"/>
    <w:rsid w:val="00232FF2"/>
    <w:rsid w:val="00233759"/>
    <w:rsid w:val="002355E5"/>
    <w:rsid w:val="00237BC5"/>
    <w:rsid w:val="00241027"/>
    <w:rsid w:val="002419CB"/>
    <w:rsid w:val="00242A7E"/>
    <w:rsid w:val="00243215"/>
    <w:rsid w:val="00243DEB"/>
    <w:rsid w:val="00244AA3"/>
    <w:rsid w:val="00244B74"/>
    <w:rsid w:val="00245328"/>
    <w:rsid w:val="00245B9D"/>
    <w:rsid w:val="002472C3"/>
    <w:rsid w:val="00247D77"/>
    <w:rsid w:val="002517E5"/>
    <w:rsid w:val="00252052"/>
    <w:rsid w:val="002534D4"/>
    <w:rsid w:val="002541B6"/>
    <w:rsid w:val="002543B3"/>
    <w:rsid w:val="00256861"/>
    <w:rsid w:val="00257189"/>
    <w:rsid w:val="002576ED"/>
    <w:rsid w:val="002639BE"/>
    <w:rsid w:val="00271AF7"/>
    <w:rsid w:val="00272356"/>
    <w:rsid w:val="00274009"/>
    <w:rsid w:val="00274591"/>
    <w:rsid w:val="00274997"/>
    <w:rsid w:val="00275E20"/>
    <w:rsid w:val="00276DD2"/>
    <w:rsid w:val="002777AE"/>
    <w:rsid w:val="00280EB9"/>
    <w:rsid w:val="00281A4A"/>
    <w:rsid w:val="0028299B"/>
    <w:rsid w:val="00286683"/>
    <w:rsid w:val="00286D31"/>
    <w:rsid w:val="002872B7"/>
    <w:rsid w:val="002877D7"/>
    <w:rsid w:val="00287DC0"/>
    <w:rsid w:val="00291461"/>
    <w:rsid w:val="002919EF"/>
    <w:rsid w:val="00293637"/>
    <w:rsid w:val="00294F5A"/>
    <w:rsid w:val="00295AF7"/>
    <w:rsid w:val="00297FE8"/>
    <w:rsid w:val="002A122A"/>
    <w:rsid w:val="002A2F52"/>
    <w:rsid w:val="002A36E0"/>
    <w:rsid w:val="002A3E38"/>
    <w:rsid w:val="002A470E"/>
    <w:rsid w:val="002A4929"/>
    <w:rsid w:val="002A50B3"/>
    <w:rsid w:val="002A5437"/>
    <w:rsid w:val="002A5996"/>
    <w:rsid w:val="002A7467"/>
    <w:rsid w:val="002B17E7"/>
    <w:rsid w:val="002B22A7"/>
    <w:rsid w:val="002B28A0"/>
    <w:rsid w:val="002B41C2"/>
    <w:rsid w:val="002B5F0D"/>
    <w:rsid w:val="002C0CE2"/>
    <w:rsid w:val="002C2E11"/>
    <w:rsid w:val="002C346A"/>
    <w:rsid w:val="002C36BC"/>
    <w:rsid w:val="002C5043"/>
    <w:rsid w:val="002C6A16"/>
    <w:rsid w:val="002C7101"/>
    <w:rsid w:val="002C7156"/>
    <w:rsid w:val="002D13D8"/>
    <w:rsid w:val="002D351C"/>
    <w:rsid w:val="002D474B"/>
    <w:rsid w:val="002D53C5"/>
    <w:rsid w:val="002D580D"/>
    <w:rsid w:val="002D6721"/>
    <w:rsid w:val="002E13A2"/>
    <w:rsid w:val="002E24D4"/>
    <w:rsid w:val="002E550C"/>
    <w:rsid w:val="002E58BE"/>
    <w:rsid w:val="002E63D4"/>
    <w:rsid w:val="002F007D"/>
    <w:rsid w:val="002F1F4A"/>
    <w:rsid w:val="002F2FA8"/>
    <w:rsid w:val="002F3FFD"/>
    <w:rsid w:val="002F4C40"/>
    <w:rsid w:val="002F5D11"/>
    <w:rsid w:val="002F68DC"/>
    <w:rsid w:val="002F74CC"/>
    <w:rsid w:val="0030394B"/>
    <w:rsid w:val="00303F0B"/>
    <w:rsid w:val="003046B1"/>
    <w:rsid w:val="0030550C"/>
    <w:rsid w:val="0030614E"/>
    <w:rsid w:val="0030644C"/>
    <w:rsid w:val="00306508"/>
    <w:rsid w:val="00310F5F"/>
    <w:rsid w:val="0031272B"/>
    <w:rsid w:val="00312AFB"/>
    <w:rsid w:val="0031588B"/>
    <w:rsid w:val="00316846"/>
    <w:rsid w:val="003168E6"/>
    <w:rsid w:val="003177F3"/>
    <w:rsid w:val="00321AD4"/>
    <w:rsid w:val="00323EC2"/>
    <w:rsid w:val="00324B6B"/>
    <w:rsid w:val="00325CAA"/>
    <w:rsid w:val="00327685"/>
    <w:rsid w:val="00333FBD"/>
    <w:rsid w:val="00337818"/>
    <w:rsid w:val="003445F4"/>
    <w:rsid w:val="003456EB"/>
    <w:rsid w:val="00345F47"/>
    <w:rsid w:val="0034633D"/>
    <w:rsid w:val="00346A2B"/>
    <w:rsid w:val="00347FE2"/>
    <w:rsid w:val="00350432"/>
    <w:rsid w:val="00352015"/>
    <w:rsid w:val="00352CE8"/>
    <w:rsid w:val="00360591"/>
    <w:rsid w:val="00360824"/>
    <w:rsid w:val="003616F3"/>
    <w:rsid w:val="00362077"/>
    <w:rsid w:val="00363B5E"/>
    <w:rsid w:val="00365101"/>
    <w:rsid w:val="0036546D"/>
    <w:rsid w:val="00365557"/>
    <w:rsid w:val="0036559F"/>
    <w:rsid w:val="00366B29"/>
    <w:rsid w:val="00370019"/>
    <w:rsid w:val="003700FE"/>
    <w:rsid w:val="00372E4E"/>
    <w:rsid w:val="00374FF9"/>
    <w:rsid w:val="00376BD2"/>
    <w:rsid w:val="0038322D"/>
    <w:rsid w:val="0038470A"/>
    <w:rsid w:val="0038476C"/>
    <w:rsid w:val="00385269"/>
    <w:rsid w:val="0038588F"/>
    <w:rsid w:val="003907D8"/>
    <w:rsid w:val="003912F3"/>
    <w:rsid w:val="003927D0"/>
    <w:rsid w:val="0039470C"/>
    <w:rsid w:val="0039778C"/>
    <w:rsid w:val="00397FDB"/>
    <w:rsid w:val="003A1D72"/>
    <w:rsid w:val="003A24BB"/>
    <w:rsid w:val="003A45E4"/>
    <w:rsid w:val="003A62B3"/>
    <w:rsid w:val="003A6E94"/>
    <w:rsid w:val="003B2565"/>
    <w:rsid w:val="003B2C80"/>
    <w:rsid w:val="003B3123"/>
    <w:rsid w:val="003B58BC"/>
    <w:rsid w:val="003B67FE"/>
    <w:rsid w:val="003C1CD6"/>
    <w:rsid w:val="003C1E97"/>
    <w:rsid w:val="003C2425"/>
    <w:rsid w:val="003C2BB9"/>
    <w:rsid w:val="003C2F37"/>
    <w:rsid w:val="003C7A6C"/>
    <w:rsid w:val="003D1827"/>
    <w:rsid w:val="003D19B3"/>
    <w:rsid w:val="003D2F62"/>
    <w:rsid w:val="003D428F"/>
    <w:rsid w:val="003D4764"/>
    <w:rsid w:val="003D592B"/>
    <w:rsid w:val="003D61C5"/>
    <w:rsid w:val="003D6580"/>
    <w:rsid w:val="003E0243"/>
    <w:rsid w:val="003E32CB"/>
    <w:rsid w:val="003E46F2"/>
    <w:rsid w:val="003E5632"/>
    <w:rsid w:val="003E5A3E"/>
    <w:rsid w:val="003E5D2A"/>
    <w:rsid w:val="003E6D34"/>
    <w:rsid w:val="003F0DAA"/>
    <w:rsid w:val="003F2556"/>
    <w:rsid w:val="003F3C23"/>
    <w:rsid w:val="003F5107"/>
    <w:rsid w:val="003F6344"/>
    <w:rsid w:val="003F6425"/>
    <w:rsid w:val="00401471"/>
    <w:rsid w:val="004016E4"/>
    <w:rsid w:val="00403E8C"/>
    <w:rsid w:val="00404279"/>
    <w:rsid w:val="0040466C"/>
    <w:rsid w:val="0040783F"/>
    <w:rsid w:val="0041627D"/>
    <w:rsid w:val="00416958"/>
    <w:rsid w:val="00417AC9"/>
    <w:rsid w:val="00421875"/>
    <w:rsid w:val="0042276A"/>
    <w:rsid w:val="00423F7D"/>
    <w:rsid w:val="00425CC5"/>
    <w:rsid w:val="00426F6B"/>
    <w:rsid w:val="00427456"/>
    <w:rsid w:val="004274AC"/>
    <w:rsid w:val="00427C78"/>
    <w:rsid w:val="00431D0E"/>
    <w:rsid w:val="0043242C"/>
    <w:rsid w:val="00432BC0"/>
    <w:rsid w:val="00435F7A"/>
    <w:rsid w:val="0043727E"/>
    <w:rsid w:val="00437CE7"/>
    <w:rsid w:val="00440A7F"/>
    <w:rsid w:val="00440A9E"/>
    <w:rsid w:val="00440FEA"/>
    <w:rsid w:val="00441B75"/>
    <w:rsid w:val="0044276B"/>
    <w:rsid w:val="00442AB0"/>
    <w:rsid w:val="004442B7"/>
    <w:rsid w:val="004448A6"/>
    <w:rsid w:val="00444BB2"/>
    <w:rsid w:val="00444E1B"/>
    <w:rsid w:val="00457099"/>
    <w:rsid w:val="0045742C"/>
    <w:rsid w:val="004623A8"/>
    <w:rsid w:val="00462D9C"/>
    <w:rsid w:val="00463CBB"/>
    <w:rsid w:val="00464921"/>
    <w:rsid w:val="004659CE"/>
    <w:rsid w:val="00467964"/>
    <w:rsid w:val="00470985"/>
    <w:rsid w:val="00470B40"/>
    <w:rsid w:val="00471432"/>
    <w:rsid w:val="00471C41"/>
    <w:rsid w:val="00471E1B"/>
    <w:rsid w:val="00472528"/>
    <w:rsid w:val="004750BE"/>
    <w:rsid w:val="00476157"/>
    <w:rsid w:val="004770B5"/>
    <w:rsid w:val="004800A5"/>
    <w:rsid w:val="00481EA3"/>
    <w:rsid w:val="0048270C"/>
    <w:rsid w:val="0048272D"/>
    <w:rsid w:val="004840ED"/>
    <w:rsid w:val="00485490"/>
    <w:rsid w:val="00486A53"/>
    <w:rsid w:val="00492A04"/>
    <w:rsid w:val="00492A37"/>
    <w:rsid w:val="0049310B"/>
    <w:rsid w:val="004935FE"/>
    <w:rsid w:val="00493AF8"/>
    <w:rsid w:val="0049429C"/>
    <w:rsid w:val="00494F2B"/>
    <w:rsid w:val="00495640"/>
    <w:rsid w:val="0049609B"/>
    <w:rsid w:val="0049622C"/>
    <w:rsid w:val="004A0FD9"/>
    <w:rsid w:val="004A1DB9"/>
    <w:rsid w:val="004A4644"/>
    <w:rsid w:val="004A75B7"/>
    <w:rsid w:val="004B0263"/>
    <w:rsid w:val="004B0742"/>
    <w:rsid w:val="004B3F2C"/>
    <w:rsid w:val="004B40BB"/>
    <w:rsid w:val="004B4E3E"/>
    <w:rsid w:val="004B635E"/>
    <w:rsid w:val="004B6ED5"/>
    <w:rsid w:val="004C0327"/>
    <w:rsid w:val="004C0B0E"/>
    <w:rsid w:val="004C1881"/>
    <w:rsid w:val="004C46E2"/>
    <w:rsid w:val="004C4A0B"/>
    <w:rsid w:val="004C591F"/>
    <w:rsid w:val="004C5F50"/>
    <w:rsid w:val="004C60F3"/>
    <w:rsid w:val="004C6280"/>
    <w:rsid w:val="004C7144"/>
    <w:rsid w:val="004C7296"/>
    <w:rsid w:val="004D01DC"/>
    <w:rsid w:val="004D2486"/>
    <w:rsid w:val="004D296A"/>
    <w:rsid w:val="004D42D6"/>
    <w:rsid w:val="004D459A"/>
    <w:rsid w:val="004D48AD"/>
    <w:rsid w:val="004D60C6"/>
    <w:rsid w:val="004D743F"/>
    <w:rsid w:val="004D75BA"/>
    <w:rsid w:val="004D7BF9"/>
    <w:rsid w:val="004E489A"/>
    <w:rsid w:val="004E5C11"/>
    <w:rsid w:val="004E7246"/>
    <w:rsid w:val="004E7FD4"/>
    <w:rsid w:val="004F11C4"/>
    <w:rsid w:val="004F3665"/>
    <w:rsid w:val="004F6928"/>
    <w:rsid w:val="004F6994"/>
    <w:rsid w:val="004F6E19"/>
    <w:rsid w:val="004F721D"/>
    <w:rsid w:val="004F742D"/>
    <w:rsid w:val="004F7C3B"/>
    <w:rsid w:val="004F7CEB"/>
    <w:rsid w:val="0050150F"/>
    <w:rsid w:val="00502F78"/>
    <w:rsid w:val="00503441"/>
    <w:rsid w:val="00504385"/>
    <w:rsid w:val="00507CDF"/>
    <w:rsid w:val="00507F9F"/>
    <w:rsid w:val="005111FF"/>
    <w:rsid w:val="00514510"/>
    <w:rsid w:val="00515063"/>
    <w:rsid w:val="00515F33"/>
    <w:rsid w:val="00516321"/>
    <w:rsid w:val="00516580"/>
    <w:rsid w:val="005201F1"/>
    <w:rsid w:val="0052021C"/>
    <w:rsid w:val="00520589"/>
    <w:rsid w:val="00521748"/>
    <w:rsid w:val="00521B80"/>
    <w:rsid w:val="00522DFD"/>
    <w:rsid w:val="005232C7"/>
    <w:rsid w:val="005277CE"/>
    <w:rsid w:val="00527D5E"/>
    <w:rsid w:val="005320EA"/>
    <w:rsid w:val="00532CB7"/>
    <w:rsid w:val="005332CC"/>
    <w:rsid w:val="00534932"/>
    <w:rsid w:val="00535D63"/>
    <w:rsid w:val="00536AAF"/>
    <w:rsid w:val="005374E6"/>
    <w:rsid w:val="00537A08"/>
    <w:rsid w:val="00540223"/>
    <w:rsid w:val="00540BA6"/>
    <w:rsid w:val="00540C91"/>
    <w:rsid w:val="00543344"/>
    <w:rsid w:val="00543573"/>
    <w:rsid w:val="00543A09"/>
    <w:rsid w:val="005466DF"/>
    <w:rsid w:val="00546918"/>
    <w:rsid w:val="00550A9F"/>
    <w:rsid w:val="00555605"/>
    <w:rsid w:val="0055648B"/>
    <w:rsid w:val="00561D6B"/>
    <w:rsid w:val="005621D1"/>
    <w:rsid w:val="005627C9"/>
    <w:rsid w:val="0056420A"/>
    <w:rsid w:val="00565BFF"/>
    <w:rsid w:val="005701B8"/>
    <w:rsid w:val="0057088B"/>
    <w:rsid w:val="00571670"/>
    <w:rsid w:val="00571E90"/>
    <w:rsid w:val="005723EA"/>
    <w:rsid w:val="00572B25"/>
    <w:rsid w:val="00572BFB"/>
    <w:rsid w:val="0057331D"/>
    <w:rsid w:val="0057764F"/>
    <w:rsid w:val="005816BA"/>
    <w:rsid w:val="005817B1"/>
    <w:rsid w:val="0058203B"/>
    <w:rsid w:val="00582AAB"/>
    <w:rsid w:val="00582C5B"/>
    <w:rsid w:val="0058384C"/>
    <w:rsid w:val="00583B8A"/>
    <w:rsid w:val="005840B4"/>
    <w:rsid w:val="00584261"/>
    <w:rsid w:val="005847A4"/>
    <w:rsid w:val="00585113"/>
    <w:rsid w:val="005857FC"/>
    <w:rsid w:val="0058679D"/>
    <w:rsid w:val="005867A8"/>
    <w:rsid w:val="0058746F"/>
    <w:rsid w:val="00590BC9"/>
    <w:rsid w:val="00591136"/>
    <w:rsid w:val="0059116D"/>
    <w:rsid w:val="005920C8"/>
    <w:rsid w:val="00592391"/>
    <w:rsid w:val="00593959"/>
    <w:rsid w:val="00594426"/>
    <w:rsid w:val="005957A9"/>
    <w:rsid w:val="005A1206"/>
    <w:rsid w:val="005A15BE"/>
    <w:rsid w:val="005A38FF"/>
    <w:rsid w:val="005A699C"/>
    <w:rsid w:val="005B01AD"/>
    <w:rsid w:val="005B4903"/>
    <w:rsid w:val="005B508E"/>
    <w:rsid w:val="005B751B"/>
    <w:rsid w:val="005C04BF"/>
    <w:rsid w:val="005C094C"/>
    <w:rsid w:val="005C2030"/>
    <w:rsid w:val="005C276B"/>
    <w:rsid w:val="005C46D3"/>
    <w:rsid w:val="005C66F3"/>
    <w:rsid w:val="005C68D5"/>
    <w:rsid w:val="005C745A"/>
    <w:rsid w:val="005D12DD"/>
    <w:rsid w:val="005D205B"/>
    <w:rsid w:val="005D3015"/>
    <w:rsid w:val="005D6BB4"/>
    <w:rsid w:val="005E13F6"/>
    <w:rsid w:val="005E2AF3"/>
    <w:rsid w:val="005E3441"/>
    <w:rsid w:val="005E3F6B"/>
    <w:rsid w:val="005E4250"/>
    <w:rsid w:val="005E50F2"/>
    <w:rsid w:val="005E592C"/>
    <w:rsid w:val="005E5A2C"/>
    <w:rsid w:val="005E68AE"/>
    <w:rsid w:val="005E701E"/>
    <w:rsid w:val="005F012D"/>
    <w:rsid w:val="005F2D85"/>
    <w:rsid w:val="005F30F5"/>
    <w:rsid w:val="005F655C"/>
    <w:rsid w:val="00600461"/>
    <w:rsid w:val="006007E9"/>
    <w:rsid w:val="00604E81"/>
    <w:rsid w:val="00604FBB"/>
    <w:rsid w:val="00607D7A"/>
    <w:rsid w:val="00610341"/>
    <w:rsid w:val="006113C2"/>
    <w:rsid w:val="00612F46"/>
    <w:rsid w:val="00615DB3"/>
    <w:rsid w:val="006168CF"/>
    <w:rsid w:val="00617876"/>
    <w:rsid w:val="00617B19"/>
    <w:rsid w:val="00622F72"/>
    <w:rsid w:val="006242DD"/>
    <w:rsid w:val="00624DA6"/>
    <w:rsid w:val="006309FB"/>
    <w:rsid w:val="00630F6B"/>
    <w:rsid w:val="00633D63"/>
    <w:rsid w:val="0063526E"/>
    <w:rsid w:val="00637320"/>
    <w:rsid w:val="00640445"/>
    <w:rsid w:val="00641ED4"/>
    <w:rsid w:val="0064269D"/>
    <w:rsid w:val="00643673"/>
    <w:rsid w:val="0064438A"/>
    <w:rsid w:val="006461FB"/>
    <w:rsid w:val="006471A7"/>
    <w:rsid w:val="00650372"/>
    <w:rsid w:val="00650DD2"/>
    <w:rsid w:val="00653F7E"/>
    <w:rsid w:val="0065464C"/>
    <w:rsid w:val="00655568"/>
    <w:rsid w:val="006556E8"/>
    <w:rsid w:val="00656C6F"/>
    <w:rsid w:val="00660047"/>
    <w:rsid w:val="006604D0"/>
    <w:rsid w:val="00664DF8"/>
    <w:rsid w:val="00665C7F"/>
    <w:rsid w:val="006660F4"/>
    <w:rsid w:val="00670B8E"/>
    <w:rsid w:val="00672AFD"/>
    <w:rsid w:val="0067328E"/>
    <w:rsid w:val="00675EFC"/>
    <w:rsid w:val="006763FE"/>
    <w:rsid w:val="006765BE"/>
    <w:rsid w:val="00681B1A"/>
    <w:rsid w:val="00681DF7"/>
    <w:rsid w:val="006821D2"/>
    <w:rsid w:val="006830A1"/>
    <w:rsid w:val="00683D94"/>
    <w:rsid w:val="00684877"/>
    <w:rsid w:val="00685048"/>
    <w:rsid w:val="006861D5"/>
    <w:rsid w:val="00687662"/>
    <w:rsid w:val="00692C81"/>
    <w:rsid w:val="0069498B"/>
    <w:rsid w:val="006972E7"/>
    <w:rsid w:val="00697A47"/>
    <w:rsid w:val="006A2A8D"/>
    <w:rsid w:val="006A5878"/>
    <w:rsid w:val="006A6C44"/>
    <w:rsid w:val="006B1B95"/>
    <w:rsid w:val="006B4180"/>
    <w:rsid w:val="006B48C9"/>
    <w:rsid w:val="006B4D30"/>
    <w:rsid w:val="006B4F51"/>
    <w:rsid w:val="006B527B"/>
    <w:rsid w:val="006B74D8"/>
    <w:rsid w:val="006C0009"/>
    <w:rsid w:val="006C0327"/>
    <w:rsid w:val="006C3132"/>
    <w:rsid w:val="006C68AA"/>
    <w:rsid w:val="006D136C"/>
    <w:rsid w:val="006D2CC7"/>
    <w:rsid w:val="006D4D1B"/>
    <w:rsid w:val="006D6BD2"/>
    <w:rsid w:val="006D7452"/>
    <w:rsid w:val="006E048E"/>
    <w:rsid w:val="006E1AFA"/>
    <w:rsid w:val="006E1F78"/>
    <w:rsid w:val="006E22FF"/>
    <w:rsid w:val="006E5653"/>
    <w:rsid w:val="006E56B0"/>
    <w:rsid w:val="006F118B"/>
    <w:rsid w:val="006F4379"/>
    <w:rsid w:val="006F5B93"/>
    <w:rsid w:val="006F6C6E"/>
    <w:rsid w:val="006F7D4D"/>
    <w:rsid w:val="00701D76"/>
    <w:rsid w:val="00702107"/>
    <w:rsid w:val="0070351A"/>
    <w:rsid w:val="00703883"/>
    <w:rsid w:val="00704121"/>
    <w:rsid w:val="007044EC"/>
    <w:rsid w:val="00705329"/>
    <w:rsid w:val="007057E6"/>
    <w:rsid w:val="007062F9"/>
    <w:rsid w:val="00707373"/>
    <w:rsid w:val="007107C8"/>
    <w:rsid w:val="00710D80"/>
    <w:rsid w:val="0071103A"/>
    <w:rsid w:val="00713478"/>
    <w:rsid w:val="007138A9"/>
    <w:rsid w:val="00722176"/>
    <w:rsid w:val="00723CC5"/>
    <w:rsid w:val="00727344"/>
    <w:rsid w:val="00727C08"/>
    <w:rsid w:val="00730B2F"/>
    <w:rsid w:val="00730C72"/>
    <w:rsid w:val="00731D91"/>
    <w:rsid w:val="007347C4"/>
    <w:rsid w:val="00736055"/>
    <w:rsid w:val="00742406"/>
    <w:rsid w:val="0074391F"/>
    <w:rsid w:val="0074411D"/>
    <w:rsid w:val="00744BBC"/>
    <w:rsid w:val="00750B1A"/>
    <w:rsid w:val="007552F6"/>
    <w:rsid w:val="00756605"/>
    <w:rsid w:val="00756840"/>
    <w:rsid w:val="0076124C"/>
    <w:rsid w:val="007613EA"/>
    <w:rsid w:val="00764516"/>
    <w:rsid w:val="007656E9"/>
    <w:rsid w:val="00765DDC"/>
    <w:rsid w:val="00766221"/>
    <w:rsid w:val="007723A4"/>
    <w:rsid w:val="007725D5"/>
    <w:rsid w:val="00773255"/>
    <w:rsid w:val="00775149"/>
    <w:rsid w:val="007772D0"/>
    <w:rsid w:val="00777495"/>
    <w:rsid w:val="00777F5F"/>
    <w:rsid w:val="007802D2"/>
    <w:rsid w:val="00783017"/>
    <w:rsid w:val="00784ED7"/>
    <w:rsid w:val="007852B6"/>
    <w:rsid w:val="007859C6"/>
    <w:rsid w:val="00785B4F"/>
    <w:rsid w:val="00790E2B"/>
    <w:rsid w:val="00791E70"/>
    <w:rsid w:val="00791ED0"/>
    <w:rsid w:val="00794DD9"/>
    <w:rsid w:val="007953CF"/>
    <w:rsid w:val="00795FBF"/>
    <w:rsid w:val="007A1273"/>
    <w:rsid w:val="007A4C67"/>
    <w:rsid w:val="007A526D"/>
    <w:rsid w:val="007A5E6F"/>
    <w:rsid w:val="007A60C6"/>
    <w:rsid w:val="007A67E0"/>
    <w:rsid w:val="007A6C16"/>
    <w:rsid w:val="007A72C0"/>
    <w:rsid w:val="007B122C"/>
    <w:rsid w:val="007B35F8"/>
    <w:rsid w:val="007B3EC5"/>
    <w:rsid w:val="007B41CA"/>
    <w:rsid w:val="007B4330"/>
    <w:rsid w:val="007B5449"/>
    <w:rsid w:val="007B5F24"/>
    <w:rsid w:val="007B5FB8"/>
    <w:rsid w:val="007B675A"/>
    <w:rsid w:val="007C29F3"/>
    <w:rsid w:val="007C385D"/>
    <w:rsid w:val="007C3D46"/>
    <w:rsid w:val="007C5AC6"/>
    <w:rsid w:val="007D2A45"/>
    <w:rsid w:val="007D5732"/>
    <w:rsid w:val="007D6771"/>
    <w:rsid w:val="007D68B4"/>
    <w:rsid w:val="007D7428"/>
    <w:rsid w:val="007E0710"/>
    <w:rsid w:val="007E0EC8"/>
    <w:rsid w:val="007E0EF2"/>
    <w:rsid w:val="007E15BD"/>
    <w:rsid w:val="007E18D2"/>
    <w:rsid w:val="007E217B"/>
    <w:rsid w:val="007E2339"/>
    <w:rsid w:val="007E3F25"/>
    <w:rsid w:val="007E514F"/>
    <w:rsid w:val="007F017B"/>
    <w:rsid w:val="007F0981"/>
    <w:rsid w:val="007F3FD7"/>
    <w:rsid w:val="007F46C6"/>
    <w:rsid w:val="007F4AE6"/>
    <w:rsid w:val="007F5172"/>
    <w:rsid w:val="007F692C"/>
    <w:rsid w:val="007F6959"/>
    <w:rsid w:val="007F7DFA"/>
    <w:rsid w:val="00800ED7"/>
    <w:rsid w:val="008016DB"/>
    <w:rsid w:val="008051E4"/>
    <w:rsid w:val="0080750A"/>
    <w:rsid w:val="00810D68"/>
    <w:rsid w:val="00813775"/>
    <w:rsid w:val="008137E3"/>
    <w:rsid w:val="00813C60"/>
    <w:rsid w:val="00814F8D"/>
    <w:rsid w:val="00815211"/>
    <w:rsid w:val="00817471"/>
    <w:rsid w:val="008205BF"/>
    <w:rsid w:val="0082096D"/>
    <w:rsid w:val="008210C4"/>
    <w:rsid w:val="00821375"/>
    <w:rsid w:val="00821C65"/>
    <w:rsid w:val="00821DF0"/>
    <w:rsid w:val="00823242"/>
    <w:rsid w:val="008233CB"/>
    <w:rsid w:val="00823846"/>
    <w:rsid w:val="008275C6"/>
    <w:rsid w:val="00835007"/>
    <w:rsid w:val="00835EF1"/>
    <w:rsid w:val="0083776F"/>
    <w:rsid w:val="00840309"/>
    <w:rsid w:val="0084135C"/>
    <w:rsid w:val="00842DC9"/>
    <w:rsid w:val="008449D5"/>
    <w:rsid w:val="00844F4E"/>
    <w:rsid w:val="008453E8"/>
    <w:rsid w:val="00846C34"/>
    <w:rsid w:val="00850005"/>
    <w:rsid w:val="00850F45"/>
    <w:rsid w:val="0085788C"/>
    <w:rsid w:val="0086044C"/>
    <w:rsid w:val="00862C85"/>
    <w:rsid w:val="008643F0"/>
    <w:rsid w:val="00864458"/>
    <w:rsid w:val="00864780"/>
    <w:rsid w:val="00865A94"/>
    <w:rsid w:val="008664FD"/>
    <w:rsid w:val="00866828"/>
    <w:rsid w:val="00866D15"/>
    <w:rsid w:val="00866D24"/>
    <w:rsid w:val="00867EFA"/>
    <w:rsid w:val="00874125"/>
    <w:rsid w:val="00874264"/>
    <w:rsid w:val="00874287"/>
    <w:rsid w:val="00874B40"/>
    <w:rsid w:val="00877D8F"/>
    <w:rsid w:val="00880967"/>
    <w:rsid w:val="00882A11"/>
    <w:rsid w:val="00882A94"/>
    <w:rsid w:val="008842E4"/>
    <w:rsid w:val="00884CE9"/>
    <w:rsid w:val="0088664D"/>
    <w:rsid w:val="008906F6"/>
    <w:rsid w:val="0089086A"/>
    <w:rsid w:val="00891323"/>
    <w:rsid w:val="00892041"/>
    <w:rsid w:val="00895055"/>
    <w:rsid w:val="008968C5"/>
    <w:rsid w:val="00897D52"/>
    <w:rsid w:val="008A03BF"/>
    <w:rsid w:val="008A05A7"/>
    <w:rsid w:val="008A0983"/>
    <w:rsid w:val="008A1A92"/>
    <w:rsid w:val="008A3A9A"/>
    <w:rsid w:val="008B058A"/>
    <w:rsid w:val="008B206C"/>
    <w:rsid w:val="008B2DA1"/>
    <w:rsid w:val="008B417A"/>
    <w:rsid w:val="008B535A"/>
    <w:rsid w:val="008B53DC"/>
    <w:rsid w:val="008B5AEC"/>
    <w:rsid w:val="008B643D"/>
    <w:rsid w:val="008B67C1"/>
    <w:rsid w:val="008B6F1A"/>
    <w:rsid w:val="008C77EC"/>
    <w:rsid w:val="008D0713"/>
    <w:rsid w:val="008D0853"/>
    <w:rsid w:val="008D0993"/>
    <w:rsid w:val="008D293C"/>
    <w:rsid w:val="008D4C48"/>
    <w:rsid w:val="008E1587"/>
    <w:rsid w:val="008E2B06"/>
    <w:rsid w:val="008E3AAD"/>
    <w:rsid w:val="008E4364"/>
    <w:rsid w:val="008F0DAE"/>
    <w:rsid w:val="008F36BD"/>
    <w:rsid w:val="008F39B6"/>
    <w:rsid w:val="008F5024"/>
    <w:rsid w:val="008F7789"/>
    <w:rsid w:val="0090112F"/>
    <w:rsid w:val="0090449E"/>
    <w:rsid w:val="0090627E"/>
    <w:rsid w:val="00906FAF"/>
    <w:rsid w:val="00907429"/>
    <w:rsid w:val="009113A4"/>
    <w:rsid w:val="00912BE7"/>
    <w:rsid w:val="009220DF"/>
    <w:rsid w:val="00923B30"/>
    <w:rsid w:val="009261E2"/>
    <w:rsid w:val="00930663"/>
    <w:rsid w:val="00930F3D"/>
    <w:rsid w:val="00931991"/>
    <w:rsid w:val="00931A5D"/>
    <w:rsid w:val="00932905"/>
    <w:rsid w:val="00935FB1"/>
    <w:rsid w:val="00936BA6"/>
    <w:rsid w:val="009379BA"/>
    <w:rsid w:val="00937C35"/>
    <w:rsid w:val="00941A66"/>
    <w:rsid w:val="00942460"/>
    <w:rsid w:val="009432BF"/>
    <w:rsid w:val="0095074C"/>
    <w:rsid w:val="00952B6C"/>
    <w:rsid w:val="00954705"/>
    <w:rsid w:val="0095599F"/>
    <w:rsid w:val="009564D6"/>
    <w:rsid w:val="009579BF"/>
    <w:rsid w:val="0096228F"/>
    <w:rsid w:val="0096265E"/>
    <w:rsid w:val="00962809"/>
    <w:rsid w:val="00963CBB"/>
    <w:rsid w:val="009641D1"/>
    <w:rsid w:val="00964BC3"/>
    <w:rsid w:val="00971B3F"/>
    <w:rsid w:val="00973930"/>
    <w:rsid w:val="0097419D"/>
    <w:rsid w:val="009758F1"/>
    <w:rsid w:val="009765CD"/>
    <w:rsid w:val="00976A98"/>
    <w:rsid w:val="00977481"/>
    <w:rsid w:val="00977F49"/>
    <w:rsid w:val="0098038C"/>
    <w:rsid w:val="0098062B"/>
    <w:rsid w:val="00983040"/>
    <w:rsid w:val="009840C4"/>
    <w:rsid w:val="00985003"/>
    <w:rsid w:val="009854D6"/>
    <w:rsid w:val="00985AEB"/>
    <w:rsid w:val="009867BC"/>
    <w:rsid w:val="00986B3C"/>
    <w:rsid w:val="00986F93"/>
    <w:rsid w:val="00991085"/>
    <w:rsid w:val="00991316"/>
    <w:rsid w:val="0099238C"/>
    <w:rsid w:val="00992ADA"/>
    <w:rsid w:val="00995812"/>
    <w:rsid w:val="0099687B"/>
    <w:rsid w:val="00997389"/>
    <w:rsid w:val="00997FE7"/>
    <w:rsid w:val="009A1161"/>
    <w:rsid w:val="009A11FD"/>
    <w:rsid w:val="009A1E0C"/>
    <w:rsid w:val="009A6058"/>
    <w:rsid w:val="009B2EEC"/>
    <w:rsid w:val="009B49F9"/>
    <w:rsid w:val="009B4C99"/>
    <w:rsid w:val="009B5912"/>
    <w:rsid w:val="009B5DD7"/>
    <w:rsid w:val="009B7D74"/>
    <w:rsid w:val="009C0089"/>
    <w:rsid w:val="009C0FC8"/>
    <w:rsid w:val="009C1628"/>
    <w:rsid w:val="009C25F3"/>
    <w:rsid w:val="009C371D"/>
    <w:rsid w:val="009C6C53"/>
    <w:rsid w:val="009C7233"/>
    <w:rsid w:val="009C7759"/>
    <w:rsid w:val="009D3116"/>
    <w:rsid w:val="009D4595"/>
    <w:rsid w:val="009D49A2"/>
    <w:rsid w:val="009D4A7C"/>
    <w:rsid w:val="009D4D16"/>
    <w:rsid w:val="009D5267"/>
    <w:rsid w:val="009D59AD"/>
    <w:rsid w:val="009D5F0B"/>
    <w:rsid w:val="009D6400"/>
    <w:rsid w:val="009D717D"/>
    <w:rsid w:val="009D77C1"/>
    <w:rsid w:val="009D7A47"/>
    <w:rsid w:val="009E1F36"/>
    <w:rsid w:val="009E3AD5"/>
    <w:rsid w:val="009E4DDC"/>
    <w:rsid w:val="009E6573"/>
    <w:rsid w:val="009E6B9C"/>
    <w:rsid w:val="009F0AA2"/>
    <w:rsid w:val="009F1D2D"/>
    <w:rsid w:val="009F3A88"/>
    <w:rsid w:val="009F41EC"/>
    <w:rsid w:val="009F4327"/>
    <w:rsid w:val="009F45CF"/>
    <w:rsid w:val="009F5200"/>
    <w:rsid w:val="009F57A1"/>
    <w:rsid w:val="009F762A"/>
    <w:rsid w:val="00A02C01"/>
    <w:rsid w:val="00A04CAE"/>
    <w:rsid w:val="00A04CB5"/>
    <w:rsid w:val="00A06589"/>
    <w:rsid w:val="00A1392F"/>
    <w:rsid w:val="00A15A45"/>
    <w:rsid w:val="00A16F9E"/>
    <w:rsid w:val="00A204FE"/>
    <w:rsid w:val="00A20BE3"/>
    <w:rsid w:val="00A22089"/>
    <w:rsid w:val="00A22118"/>
    <w:rsid w:val="00A22A18"/>
    <w:rsid w:val="00A23409"/>
    <w:rsid w:val="00A25CA9"/>
    <w:rsid w:val="00A30051"/>
    <w:rsid w:val="00A305AE"/>
    <w:rsid w:val="00A32968"/>
    <w:rsid w:val="00A34BE6"/>
    <w:rsid w:val="00A35B52"/>
    <w:rsid w:val="00A36A86"/>
    <w:rsid w:val="00A379C6"/>
    <w:rsid w:val="00A4073E"/>
    <w:rsid w:val="00A41804"/>
    <w:rsid w:val="00A42F0A"/>
    <w:rsid w:val="00A44266"/>
    <w:rsid w:val="00A44B6B"/>
    <w:rsid w:val="00A45473"/>
    <w:rsid w:val="00A46DFB"/>
    <w:rsid w:val="00A52583"/>
    <w:rsid w:val="00A52F36"/>
    <w:rsid w:val="00A53CFC"/>
    <w:rsid w:val="00A60685"/>
    <w:rsid w:val="00A62853"/>
    <w:rsid w:val="00A62F07"/>
    <w:rsid w:val="00A64559"/>
    <w:rsid w:val="00A655AF"/>
    <w:rsid w:val="00A66941"/>
    <w:rsid w:val="00A66956"/>
    <w:rsid w:val="00A6728F"/>
    <w:rsid w:val="00A71F77"/>
    <w:rsid w:val="00A72691"/>
    <w:rsid w:val="00A739B8"/>
    <w:rsid w:val="00A739BB"/>
    <w:rsid w:val="00A73C19"/>
    <w:rsid w:val="00A743EA"/>
    <w:rsid w:val="00A74433"/>
    <w:rsid w:val="00A75B7F"/>
    <w:rsid w:val="00A77483"/>
    <w:rsid w:val="00A776D3"/>
    <w:rsid w:val="00A77C14"/>
    <w:rsid w:val="00A8291D"/>
    <w:rsid w:val="00A84C66"/>
    <w:rsid w:val="00A8592D"/>
    <w:rsid w:val="00A87C31"/>
    <w:rsid w:val="00A911F7"/>
    <w:rsid w:val="00A926E7"/>
    <w:rsid w:val="00A92A89"/>
    <w:rsid w:val="00A93AFC"/>
    <w:rsid w:val="00A94DBD"/>
    <w:rsid w:val="00A94F9B"/>
    <w:rsid w:val="00A95141"/>
    <w:rsid w:val="00A955F8"/>
    <w:rsid w:val="00A96798"/>
    <w:rsid w:val="00A9756C"/>
    <w:rsid w:val="00A97682"/>
    <w:rsid w:val="00AA3486"/>
    <w:rsid w:val="00AB1977"/>
    <w:rsid w:val="00AB197F"/>
    <w:rsid w:val="00AB31BB"/>
    <w:rsid w:val="00AB55F5"/>
    <w:rsid w:val="00AB72FA"/>
    <w:rsid w:val="00AB7B2D"/>
    <w:rsid w:val="00AC0ADB"/>
    <w:rsid w:val="00AC0C0D"/>
    <w:rsid w:val="00AC3C51"/>
    <w:rsid w:val="00AC4879"/>
    <w:rsid w:val="00AC529D"/>
    <w:rsid w:val="00AC70BD"/>
    <w:rsid w:val="00AD0B30"/>
    <w:rsid w:val="00AD2187"/>
    <w:rsid w:val="00AD40A3"/>
    <w:rsid w:val="00AD562A"/>
    <w:rsid w:val="00AD581F"/>
    <w:rsid w:val="00AD7E9B"/>
    <w:rsid w:val="00AE0F68"/>
    <w:rsid w:val="00AE127D"/>
    <w:rsid w:val="00AE55BA"/>
    <w:rsid w:val="00AE5837"/>
    <w:rsid w:val="00AE7BD4"/>
    <w:rsid w:val="00AF259D"/>
    <w:rsid w:val="00AF48AC"/>
    <w:rsid w:val="00AF4E5B"/>
    <w:rsid w:val="00AF6840"/>
    <w:rsid w:val="00AF6A40"/>
    <w:rsid w:val="00AF72F6"/>
    <w:rsid w:val="00B01A3F"/>
    <w:rsid w:val="00B0239C"/>
    <w:rsid w:val="00B0285D"/>
    <w:rsid w:val="00B0718A"/>
    <w:rsid w:val="00B100A6"/>
    <w:rsid w:val="00B105C9"/>
    <w:rsid w:val="00B1394F"/>
    <w:rsid w:val="00B16A5C"/>
    <w:rsid w:val="00B22956"/>
    <w:rsid w:val="00B25471"/>
    <w:rsid w:val="00B30A05"/>
    <w:rsid w:val="00B32D23"/>
    <w:rsid w:val="00B33CF3"/>
    <w:rsid w:val="00B34334"/>
    <w:rsid w:val="00B3753E"/>
    <w:rsid w:val="00B37B9E"/>
    <w:rsid w:val="00B37C3D"/>
    <w:rsid w:val="00B37FE6"/>
    <w:rsid w:val="00B40072"/>
    <w:rsid w:val="00B40630"/>
    <w:rsid w:val="00B40706"/>
    <w:rsid w:val="00B40AAA"/>
    <w:rsid w:val="00B42CCF"/>
    <w:rsid w:val="00B4346F"/>
    <w:rsid w:val="00B43AB0"/>
    <w:rsid w:val="00B43AC2"/>
    <w:rsid w:val="00B441DA"/>
    <w:rsid w:val="00B44651"/>
    <w:rsid w:val="00B4619A"/>
    <w:rsid w:val="00B477D1"/>
    <w:rsid w:val="00B500B5"/>
    <w:rsid w:val="00B50BB6"/>
    <w:rsid w:val="00B535FA"/>
    <w:rsid w:val="00B614FC"/>
    <w:rsid w:val="00B638C2"/>
    <w:rsid w:val="00B64DA5"/>
    <w:rsid w:val="00B65160"/>
    <w:rsid w:val="00B719DC"/>
    <w:rsid w:val="00B71E5D"/>
    <w:rsid w:val="00B7363F"/>
    <w:rsid w:val="00B73683"/>
    <w:rsid w:val="00B74C62"/>
    <w:rsid w:val="00B7589A"/>
    <w:rsid w:val="00B76336"/>
    <w:rsid w:val="00B7704C"/>
    <w:rsid w:val="00B812B1"/>
    <w:rsid w:val="00B82261"/>
    <w:rsid w:val="00B83853"/>
    <w:rsid w:val="00B8507C"/>
    <w:rsid w:val="00B8574B"/>
    <w:rsid w:val="00B85B29"/>
    <w:rsid w:val="00B862DA"/>
    <w:rsid w:val="00B86AB7"/>
    <w:rsid w:val="00B86AE0"/>
    <w:rsid w:val="00B86E70"/>
    <w:rsid w:val="00B902F8"/>
    <w:rsid w:val="00B90D4B"/>
    <w:rsid w:val="00B93638"/>
    <w:rsid w:val="00B949D8"/>
    <w:rsid w:val="00B95383"/>
    <w:rsid w:val="00B95699"/>
    <w:rsid w:val="00B971CB"/>
    <w:rsid w:val="00B9734C"/>
    <w:rsid w:val="00BA21C1"/>
    <w:rsid w:val="00BA4D31"/>
    <w:rsid w:val="00BA57ED"/>
    <w:rsid w:val="00BA597B"/>
    <w:rsid w:val="00BA75FF"/>
    <w:rsid w:val="00BB25A5"/>
    <w:rsid w:val="00BB5D0E"/>
    <w:rsid w:val="00BB6B58"/>
    <w:rsid w:val="00BB72F0"/>
    <w:rsid w:val="00BB7FA7"/>
    <w:rsid w:val="00BC3767"/>
    <w:rsid w:val="00BC42EC"/>
    <w:rsid w:val="00BD2C9D"/>
    <w:rsid w:val="00BD3954"/>
    <w:rsid w:val="00BD4FC4"/>
    <w:rsid w:val="00BD5098"/>
    <w:rsid w:val="00BD52C6"/>
    <w:rsid w:val="00BE1BD3"/>
    <w:rsid w:val="00BE4845"/>
    <w:rsid w:val="00BE5015"/>
    <w:rsid w:val="00BF0403"/>
    <w:rsid w:val="00BF3111"/>
    <w:rsid w:val="00BF5E64"/>
    <w:rsid w:val="00C007EF"/>
    <w:rsid w:val="00C01BFD"/>
    <w:rsid w:val="00C02E80"/>
    <w:rsid w:val="00C046A5"/>
    <w:rsid w:val="00C048CE"/>
    <w:rsid w:val="00C05251"/>
    <w:rsid w:val="00C0692F"/>
    <w:rsid w:val="00C07572"/>
    <w:rsid w:val="00C07822"/>
    <w:rsid w:val="00C1037C"/>
    <w:rsid w:val="00C10BE5"/>
    <w:rsid w:val="00C12335"/>
    <w:rsid w:val="00C124DB"/>
    <w:rsid w:val="00C13CC7"/>
    <w:rsid w:val="00C13D29"/>
    <w:rsid w:val="00C206E3"/>
    <w:rsid w:val="00C20ACA"/>
    <w:rsid w:val="00C217D4"/>
    <w:rsid w:val="00C238F2"/>
    <w:rsid w:val="00C24089"/>
    <w:rsid w:val="00C247A0"/>
    <w:rsid w:val="00C25C13"/>
    <w:rsid w:val="00C26F3A"/>
    <w:rsid w:val="00C3056B"/>
    <w:rsid w:val="00C3102E"/>
    <w:rsid w:val="00C31F8B"/>
    <w:rsid w:val="00C325BC"/>
    <w:rsid w:val="00C34EA8"/>
    <w:rsid w:val="00C35543"/>
    <w:rsid w:val="00C35CDE"/>
    <w:rsid w:val="00C4184E"/>
    <w:rsid w:val="00C41EED"/>
    <w:rsid w:val="00C43B81"/>
    <w:rsid w:val="00C46C84"/>
    <w:rsid w:val="00C47C70"/>
    <w:rsid w:val="00C53E21"/>
    <w:rsid w:val="00C53F6E"/>
    <w:rsid w:val="00C566C1"/>
    <w:rsid w:val="00C57190"/>
    <w:rsid w:val="00C60D04"/>
    <w:rsid w:val="00C63218"/>
    <w:rsid w:val="00C63DBB"/>
    <w:rsid w:val="00C64280"/>
    <w:rsid w:val="00C709E7"/>
    <w:rsid w:val="00C70B0E"/>
    <w:rsid w:val="00C7502A"/>
    <w:rsid w:val="00C7573C"/>
    <w:rsid w:val="00C8037C"/>
    <w:rsid w:val="00C809E9"/>
    <w:rsid w:val="00C81FD5"/>
    <w:rsid w:val="00C8412D"/>
    <w:rsid w:val="00C855C4"/>
    <w:rsid w:val="00C87D55"/>
    <w:rsid w:val="00C90E69"/>
    <w:rsid w:val="00C92212"/>
    <w:rsid w:val="00C927BA"/>
    <w:rsid w:val="00C92E9A"/>
    <w:rsid w:val="00C93F4D"/>
    <w:rsid w:val="00C940E4"/>
    <w:rsid w:val="00C941A0"/>
    <w:rsid w:val="00CA059B"/>
    <w:rsid w:val="00CA211D"/>
    <w:rsid w:val="00CA24B8"/>
    <w:rsid w:val="00CA4D86"/>
    <w:rsid w:val="00CA6D0C"/>
    <w:rsid w:val="00CB3968"/>
    <w:rsid w:val="00CB5247"/>
    <w:rsid w:val="00CB5329"/>
    <w:rsid w:val="00CC4730"/>
    <w:rsid w:val="00CC477B"/>
    <w:rsid w:val="00CC6C81"/>
    <w:rsid w:val="00CD6BFF"/>
    <w:rsid w:val="00CD7056"/>
    <w:rsid w:val="00CD7F74"/>
    <w:rsid w:val="00CE0B0C"/>
    <w:rsid w:val="00CE1448"/>
    <w:rsid w:val="00CE2320"/>
    <w:rsid w:val="00CE6562"/>
    <w:rsid w:val="00CE7C10"/>
    <w:rsid w:val="00CF03B5"/>
    <w:rsid w:val="00CF1FAC"/>
    <w:rsid w:val="00CF221A"/>
    <w:rsid w:val="00CF4809"/>
    <w:rsid w:val="00CF4832"/>
    <w:rsid w:val="00CF52E4"/>
    <w:rsid w:val="00CF7D62"/>
    <w:rsid w:val="00D00F47"/>
    <w:rsid w:val="00D0209D"/>
    <w:rsid w:val="00D047BE"/>
    <w:rsid w:val="00D049B6"/>
    <w:rsid w:val="00D07CBF"/>
    <w:rsid w:val="00D10E8C"/>
    <w:rsid w:val="00D1392E"/>
    <w:rsid w:val="00D13B6A"/>
    <w:rsid w:val="00D141DC"/>
    <w:rsid w:val="00D14EEE"/>
    <w:rsid w:val="00D15348"/>
    <w:rsid w:val="00D158D3"/>
    <w:rsid w:val="00D15A8C"/>
    <w:rsid w:val="00D2242C"/>
    <w:rsid w:val="00D236A8"/>
    <w:rsid w:val="00D24CDC"/>
    <w:rsid w:val="00D25243"/>
    <w:rsid w:val="00D30C3E"/>
    <w:rsid w:val="00D31050"/>
    <w:rsid w:val="00D3210B"/>
    <w:rsid w:val="00D32873"/>
    <w:rsid w:val="00D33EC3"/>
    <w:rsid w:val="00D34D00"/>
    <w:rsid w:val="00D36579"/>
    <w:rsid w:val="00D3712A"/>
    <w:rsid w:val="00D37146"/>
    <w:rsid w:val="00D3754E"/>
    <w:rsid w:val="00D37727"/>
    <w:rsid w:val="00D4035C"/>
    <w:rsid w:val="00D434DB"/>
    <w:rsid w:val="00D4357B"/>
    <w:rsid w:val="00D4510E"/>
    <w:rsid w:val="00D45277"/>
    <w:rsid w:val="00D4553A"/>
    <w:rsid w:val="00D56B3E"/>
    <w:rsid w:val="00D574C6"/>
    <w:rsid w:val="00D57A60"/>
    <w:rsid w:val="00D57EB1"/>
    <w:rsid w:val="00D603C6"/>
    <w:rsid w:val="00D62864"/>
    <w:rsid w:val="00D65F1A"/>
    <w:rsid w:val="00D661CC"/>
    <w:rsid w:val="00D674EB"/>
    <w:rsid w:val="00D702D2"/>
    <w:rsid w:val="00D70AA0"/>
    <w:rsid w:val="00D71CDC"/>
    <w:rsid w:val="00D71FA9"/>
    <w:rsid w:val="00D73B20"/>
    <w:rsid w:val="00D73CA2"/>
    <w:rsid w:val="00D769F1"/>
    <w:rsid w:val="00D77507"/>
    <w:rsid w:val="00D775D0"/>
    <w:rsid w:val="00D80E65"/>
    <w:rsid w:val="00D812FE"/>
    <w:rsid w:val="00D81550"/>
    <w:rsid w:val="00D816EA"/>
    <w:rsid w:val="00D822FD"/>
    <w:rsid w:val="00D82AB2"/>
    <w:rsid w:val="00D83BD2"/>
    <w:rsid w:val="00D85268"/>
    <w:rsid w:val="00D86256"/>
    <w:rsid w:val="00D86F21"/>
    <w:rsid w:val="00D876B5"/>
    <w:rsid w:val="00D90C51"/>
    <w:rsid w:val="00D92E60"/>
    <w:rsid w:val="00D93938"/>
    <w:rsid w:val="00D94453"/>
    <w:rsid w:val="00D95A77"/>
    <w:rsid w:val="00DA07FA"/>
    <w:rsid w:val="00DA0A67"/>
    <w:rsid w:val="00DA0DCE"/>
    <w:rsid w:val="00DA1BEF"/>
    <w:rsid w:val="00DA29A8"/>
    <w:rsid w:val="00DA37AA"/>
    <w:rsid w:val="00DA4226"/>
    <w:rsid w:val="00DA5D9F"/>
    <w:rsid w:val="00DA664C"/>
    <w:rsid w:val="00DB1261"/>
    <w:rsid w:val="00DB2936"/>
    <w:rsid w:val="00DB2FC3"/>
    <w:rsid w:val="00DB5506"/>
    <w:rsid w:val="00DB6F65"/>
    <w:rsid w:val="00DB7CEB"/>
    <w:rsid w:val="00DB7E69"/>
    <w:rsid w:val="00DC1791"/>
    <w:rsid w:val="00DC2255"/>
    <w:rsid w:val="00DC3572"/>
    <w:rsid w:val="00DC4265"/>
    <w:rsid w:val="00DC667D"/>
    <w:rsid w:val="00DC66B0"/>
    <w:rsid w:val="00DC7396"/>
    <w:rsid w:val="00DC7AF2"/>
    <w:rsid w:val="00DD04B1"/>
    <w:rsid w:val="00DD2BC0"/>
    <w:rsid w:val="00DD36EC"/>
    <w:rsid w:val="00DD65D7"/>
    <w:rsid w:val="00DD66DF"/>
    <w:rsid w:val="00DD7D42"/>
    <w:rsid w:val="00DD7E74"/>
    <w:rsid w:val="00DE030D"/>
    <w:rsid w:val="00DE11BE"/>
    <w:rsid w:val="00DE3481"/>
    <w:rsid w:val="00DE4867"/>
    <w:rsid w:val="00DE4C8D"/>
    <w:rsid w:val="00DE50E0"/>
    <w:rsid w:val="00DE5DE6"/>
    <w:rsid w:val="00DE756D"/>
    <w:rsid w:val="00DF10C6"/>
    <w:rsid w:val="00DF12DE"/>
    <w:rsid w:val="00DF3094"/>
    <w:rsid w:val="00DF4E61"/>
    <w:rsid w:val="00DF5448"/>
    <w:rsid w:val="00DF56DE"/>
    <w:rsid w:val="00DF5D9B"/>
    <w:rsid w:val="00E031AF"/>
    <w:rsid w:val="00E035CE"/>
    <w:rsid w:val="00E043AB"/>
    <w:rsid w:val="00E04A01"/>
    <w:rsid w:val="00E05AE1"/>
    <w:rsid w:val="00E07945"/>
    <w:rsid w:val="00E100D3"/>
    <w:rsid w:val="00E12CEE"/>
    <w:rsid w:val="00E12E83"/>
    <w:rsid w:val="00E1319D"/>
    <w:rsid w:val="00E138F8"/>
    <w:rsid w:val="00E14C4F"/>
    <w:rsid w:val="00E15008"/>
    <w:rsid w:val="00E241DC"/>
    <w:rsid w:val="00E245F9"/>
    <w:rsid w:val="00E24ECA"/>
    <w:rsid w:val="00E30B10"/>
    <w:rsid w:val="00E310D7"/>
    <w:rsid w:val="00E322FE"/>
    <w:rsid w:val="00E32DC0"/>
    <w:rsid w:val="00E33530"/>
    <w:rsid w:val="00E337FB"/>
    <w:rsid w:val="00E366EE"/>
    <w:rsid w:val="00E37AFC"/>
    <w:rsid w:val="00E419A7"/>
    <w:rsid w:val="00E45641"/>
    <w:rsid w:val="00E45FE2"/>
    <w:rsid w:val="00E466C5"/>
    <w:rsid w:val="00E46942"/>
    <w:rsid w:val="00E50221"/>
    <w:rsid w:val="00E526CD"/>
    <w:rsid w:val="00E5409B"/>
    <w:rsid w:val="00E6057B"/>
    <w:rsid w:val="00E63895"/>
    <w:rsid w:val="00E64879"/>
    <w:rsid w:val="00E6730E"/>
    <w:rsid w:val="00E700E9"/>
    <w:rsid w:val="00E70507"/>
    <w:rsid w:val="00E7113B"/>
    <w:rsid w:val="00E71D12"/>
    <w:rsid w:val="00E725A9"/>
    <w:rsid w:val="00E744D2"/>
    <w:rsid w:val="00E75493"/>
    <w:rsid w:val="00E77298"/>
    <w:rsid w:val="00E775AB"/>
    <w:rsid w:val="00E819BD"/>
    <w:rsid w:val="00E81A34"/>
    <w:rsid w:val="00E84AB9"/>
    <w:rsid w:val="00E85059"/>
    <w:rsid w:val="00E85C10"/>
    <w:rsid w:val="00E86618"/>
    <w:rsid w:val="00E8673E"/>
    <w:rsid w:val="00E90228"/>
    <w:rsid w:val="00E91C8F"/>
    <w:rsid w:val="00E94989"/>
    <w:rsid w:val="00E96027"/>
    <w:rsid w:val="00E96459"/>
    <w:rsid w:val="00E97C80"/>
    <w:rsid w:val="00EA0E02"/>
    <w:rsid w:val="00EA1404"/>
    <w:rsid w:val="00EA1F82"/>
    <w:rsid w:val="00EA3114"/>
    <w:rsid w:val="00EA39C5"/>
    <w:rsid w:val="00EA39F3"/>
    <w:rsid w:val="00EA4047"/>
    <w:rsid w:val="00EA41F2"/>
    <w:rsid w:val="00EB2C59"/>
    <w:rsid w:val="00EB3BF3"/>
    <w:rsid w:val="00EB521F"/>
    <w:rsid w:val="00EB6F8B"/>
    <w:rsid w:val="00EB7192"/>
    <w:rsid w:val="00EC03FC"/>
    <w:rsid w:val="00EC1427"/>
    <w:rsid w:val="00EC3E64"/>
    <w:rsid w:val="00EC5BA7"/>
    <w:rsid w:val="00EC5EA7"/>
    <w:rsid w:val="00EC6D48"/>
    <w:rsid w:val="00EC776C"/>
    <w:rsid w:val="00ED0FEB"/>
    <w:rsid w:val="00ED14CD"/>
    <w:rsid w:val="00ED170F"/>
    <w:rsid w:val="00ED3419"/>
    <w:rsid w:val="00ED4EFD"/>
    <w:rsid w:val="00ED5050"/>
    <w:rsid w:val="00ED6065"/>
    <w:rsid w:val="00ED7ACE"/>
    <w:rsid w:val="00EE0049"/>
    <w:rsid w:val="00EE02B8"/>
    <w:rsid w:val="00EE4663"/>
    <w:rsid w:val="00EE5B78"/>
    <w:rsid w:val="00EE6262"/>
    <w:rsid w:val="00EE62BA"/>
    <w:rsid w:val="00EE693A"/>
    <w:rsid w:val="00EE7AF5"/>
    <w:rsid w:val="00EF0B02"/>
    <w:rsid w:val="00EF2AE4"/>
    <w:rsid w:val="00EF471C"/>
    <w:rsid w:val="00EF4BAC"/>
    <w:rsid w:val="00EF5289"/>
    <w:rsid w:val="00EF69BB"/>
    <w:rsid w:val="00EF7FE1"/>
    <w:rsid w:val="00F00889"/>
    <w:rsid w:val="00F0228B"/>
    <w:rsid w:val="00F07AEE"/>
    <w:rsid w:val="00F11235"/>
    <w:rsid w:val="00F11ED0"/>
    <w:rsid w:val="00F1357C"/>
    <w:rsid w:val="00F13E4E"/>
    <w:rsid w:val="00F13EEE"/>
    <w:rsid w:val="00F155B3"/>
    <w:rsid w:val="00F156EA"/>
    <w:rsid w:val="00F158DE"/>
    <w:rsid w:val="00F15B90"/>
    <w:rsid w:val="00F15E42"/>
    <w:rsid w:val="00F15F92"/>
    <w:rsid w:val="00F15FC9"/>
    <w:rsid w:val="00F160A9"/>
    <w:rsid w:val="00F21669"/>
    <w:rsid w:val="00F21DB3"/>
    <w:rsid w:val="00F22360"/>
    <w:rsid w:val="00F244D4"/>
    <w:rsid w:val="00F24C9C"/>
    <w:rsid w:val="00F254FC"/>
    <w:rsid w:val="00F2594E"/>
    <w:rsid w:val="00F278F6"/>
    <w:rsid w:val="00F316B8"/>
    <w:rsid w:val="00F31FD2"/>
    <w:rsid w:val="00F32CCD"/>
    <w:rsid w:val="00F34BCF"/>
    <w:rsid w:val="00F34C51"/>
    <w:rsid w:val="00F36E0B"/>
    <w:rsid w:val="00F37BB6"/>
    <w:rsid w:val="00F4227A"/>
    <w:rsid w:val="00F4248C"/>
    <w:rsid w:val="00F425B4"/>
    <w:rsid w:val="00F42A5A"/>
    <w:rsid w:val="00F448D3"/>
    <w:rsid w:val="00F45171"/>
    <w:rsid w:val="00F45A92"/>
    <w:rsid w:val="00F45C6C"/>
    <w:rsid w:val="00F472A3"/>
    <w:rsid w:val="00F475BD"/>
    <w:rsid w:val="00F55813"/>
    <w:rsid w:val="00F5764A"/>
    <w:rsid w:val="00F62B5A"/>
    <w:rsid w:val="00F63B97"/>
    <w:rsid w:val="00F6402A"/>
    <w:rsid w:val="00F7066C"/>
    <w:rsid w:val="00F70895"/>
    <w:rsid w:val="00F70A5E"/>
    <w:rsid w:val="00F71728"/>
    <w:rsid w:val="00F71FDD"/>
    <w:rsid w:val="00F73029"/>
    <w:rsid w:val="00F73BE6"/>
    <w:rsid w:val="00F7782A"/>
    <w:rsid w:val="00F814FF"/>
    <w:rsid w:val="00F93C55"/>
    <w:rsid w:val="00FA1A56"/>
    <w:rsid w:val="00FA30B4"/>
    <w:rsid w:val="00FA3254"/>
    <w:rsid w:val="00FA36D3"/>
    <w:rsid w:val="00FA4857"/>
    <w:rsid w:val="00FA5723"/>
    <w:rsid w:val="00FA57B9"/>
    <w:rsid w:val="00FA5B6F"/>
    <w:rsid w:val="00FA6DBA"/>
    <w:rsid w:val="00FA7CB5"/>
    <w:rsid w:val="00FB0DD6"/>
    <w:rsid w:val="00FB18D5"/>
    <w:rsid w:val="00FB3213"/>
    <w:rsid w:val="00FB6747"/>
    <w:rsid w:val="00FB7C98"/>
    <w:rsid w:val="00FC053B"/>
    <w:rsid w:val="00FC0FC7"/>
    <w:rsid w:val="00FC1647"/>
    <w:rsid w:val="00FC1756"/>
    <w:rsid w:val="00FC5B27"/>
    <w:rsid w:val="00FC641D"/>
    <w:rsid w:val="00FC6C69"/>
    <w:rsid w:val="00FC7620"/>
    <w:rsid w:val="00FD0A4B"/>
    <w:rsid w:val="00FD1233"/>
    <w:rsid w:val="00FD18A5"/>
    <w:rsid w:val="00FD18B2"/>
    <w:rsid w:val="00FD1E6E"/>
    <w:rsid w:val="00FD33AE"/>
    <w:rsid w:val="00FD3E2E"/>
    <w:rsid w:val="00FD4BB3"/>
    <w:rsid w:val="00FD71E7"/>
    <w:rsid w:val="00FE0C8C"/>
    <w:rsid w:val="00FE2E69"/>
    <w:rsid w:val="00FE2F52"/>
    <w:rsid w:val="00FE309E"/>
    <w:rsid w:val="00FE53D3"/>
    <w:rsid w:val="00FE585E"/>
    <w:rsid w:val="00FE5CE7"/>
    <w:rsid w:val="00FE63B8"/>
    <w:rsid w:val="00FF0100"/>
    <w:rsid w:val="00FF0350"/>
    <w:rsid w:val="00FF040A"/>
    <w:rsid w:val="00FF093D"/>
    <w:rsid w:val="00FF2361"/>
    <w:rsid w:val="00FF3D47"/>
    <w:rsid w:val="00FF3E2B"/>
    <w:rsid w:val="00FF4E8E"/>
    <w:rsid w:val="00FF72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AFF2E"/>
  <w14:defaultImageDpi w14:val="32767"/>
  <w15:chartTrackingRefBased/>
  <w15:docId w15:val="{59390CBE-97C7-1645-94EC-4650DA6F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7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71B3F"/>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C53E2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76C"/>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B719DC"/>
    <w:pPr>
      <w:ind w:left="720"/>
      <w:contextualSpacing/>
    </w:pPr>
  </w:style>
  <w:style w:type="character" w:styleId="Hyperlink">
    <w:name w:val="Hyperlink"/>
    <w:basedOn w:val="DefaultParagraphFont"/>
    <w:uiPriority w:val="99"/>
    <w:unhideWhenUsed/>
    <w:rsid w:val="00F34BCF"/>
    <w:rPr>
      <w:color w:val="0563C1" w:themeColor="hyperlink"/>
      <w:u w:val="single"/>
    </w:rPr>
  </w:style>
  <w:style w:type="character" w:styleId="UnresolvedMention">
    <w:name w:val="Unresolved Mention"/>
    <w:basedOn w:val="DefaultParagraphFont"/>
    <w:uiPriority w:val="99"/>
    <w:rsid w:val="00F34BCF"/>
    <w:rPr>
      <w:color w:val="605E5C"/>
      <w:shd w:val="clear" w:color="auto" w:fill="E1DFDD"/>
    </w:rPr>
  </w:style>
  <w:style w:type="character" w:styleId="FollowedHyperlink">
    <w:name w:val="FollowedHyperlink"/>
    <w:basedOn w:val="DefaultParagraphFont"/>
    <w:uiPriority w:val="99"/>
    <w:semiHidden/>
    <w:unhideWhenUsed/>
    <w:rsid w:val="003912F3"/>
    <w:rPr>
      <w:color w:val="954F72" w:themeColor="followedHyperlink"/>
      <w:u w:val="single"/>
    </w:rPr>
  </w:style>
  <w:style w:type="character" w:customStyle="1" w:styleId="Heading2Char">
    <w:name w:val="Heading 2 Char"/>
    <w:basedOn w:val="DefaultParagraphFont"/>
    <w:link w:val="Heading2"/>
    <w:uiPriority w:val="9"/>
    <w:rsid w:val="00971B3F"/>
    <w:rPr>
      <w:rFonts w:asciiTheme="majorHAnsi" w:eastAsiaTheme="majorEastAsia" w:hAnsiTheme="majorHAnsi" w:cstheme="majorBidi"/>
      <w:b/>
      <w:color w:val="2F5496" w:themeColor="accent1" w:themeShade="BF"/>
      <w:sz w:val="26"/>
      <w:szCs w:val="26"/>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FB7C98"/>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FB7C98"/>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FB7C98"/>
    <w:rPr>
      <w:vertAlign w:val="superscript"/>
    </w:rPr>
  </w:style>
  <w:style w:type="character" w:customStyle="1" w:styleId="Heading3Char">
    <w:name w:val="Heading 3 Char"/>
    <w:basedOn w:val="DefaultParagraphFont"/>
    <w:link w:val="Heading3"/>
    <w:uiPriority w:val="9"/>
    <w:rsid w:val="00C53E21"/>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196C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E241DC"/>
    <w:pPr>
      <w:keepNext/>
      <w:spacing w:after="200"/>
      <w:jc w:val="both"/>
    </w:pPr>
    <w:rPr>
      <w:i/>
      <w:iCs/>
      <w:color w:val="4472C4" w:themeColor="accent1"/>
    </w:rPr>
  </w:style>
  <w:style w:type="paragraph" w:styleId="NormalWeb">
    <w:name w:val="Normal (Web)"/>
    <w:basedOn w:val="Normal"/>
    <w:uiPriority w:val="99"/>
    <w:semiHidden/>
    <w:unhideWhenUsed/>
    <w:rsid w:val="00912BE7"/>
    <w:rPr>
      <w:rFonts w:ascii="Times New Roman" w:hAnsi="Times New Roman" w:cs="Times New Roman"/>
    </w:rPr>
  </w:style>
  <w:style w:type="paragraph" w:styleId="Header">
    <w:name w:val="header"/>
    <w:basedOn w:val="Normal"/>
    <w:link w:val="HeaderChar"/>
    <w:uiPriority w:val="99"/>
    <w:unhideWhenUsed/>
    <w:rsid w:val="00962809"/>
    <w:pPr>
      <w:tabs>
        <w:tab w:val="center" w:pos="4680"/>
        <w:tab w:val="right" w:pos="9360"/>
      </w:tabs>
    </w:pPr>
  </w:style>
  <w:style w:type="character" w:customStyle="1" w:styleId="HeaderChar">
    <w:name w:val="Header Char"/>
    <w:basedOn w:val="DefaultParagraphFont"/>
    <w:link w:val="Header"/>
    <w:uiPriority w:val="99"/>
    <w:rsid w:val="00962809"/>
  </w:style>
  <w:style w:type="paragraph" w:styleId="Footer">
    <w:name w:val="footer"/>
    <w:basedOn w:val="Normal"/>
    <w:link w:val="FooterChar"/>
    <w:uiPriority w:val="99"/>
    <w:unhideWhenUsed/>
    <w:rsid w:val="00962809"/>
    <w:pPr>
      <w:tabs>
        <w:tab w:val="center" w:pos="4680"/>
        <w:tab w:val="right" w:pos="9360"/>
      </w:tabs>
    </w:pPr>
  </w:style>
  <w:style w:type="character" w:customStyle="1" w:styleId="FooterChar">
    <w:name w:val="Footer Char"/>
    <w:basedOn w:val="DefaultParagraphFont"/>
    <w:link w:val="Footer"/>
    <w:uiPriority w:val="99"/>
    <w:rsid w:val="00962809"/>
  </w:style>
  <w:style w:type="paragraph" w:styleId="TOCHeading">
    <w:name w:val="TOC Heading"/>
    <w:basedOn w:val="Heading1"/>
    <w:next w:val="Normal"/>
    <w:uiPriority w:val="39"/>
    <w:unhideWhenUsed/>
    <w:qFormat/>
    <w:rsid w:val="007B5F24"/>
    <w:pPr>
      <w:spacing w:before="480" w:line="276" w:lineRule="auto"/>
      <w:outlineLvl w:val="9"/>
    </w:pPr>
    <w:rPr>
      <w:b/>
      <w:bCs/>
      <w:sz w:val="28"/>
      <w:szCs w:val="28"/>
    </w:rPr>
  </w:style>
  <w:style w:type="paragraph" w:styleId="TOC1">
    <w:name w:val="toc 1"/>
    <w:basedOn w:val="Normal"/>
    <w:next w:val="Normal"/>
    <w:autoRedefine/>
    <w:uiPriority w:val="39"/>
    <w:unhideWhenUsed/>
    <w:rsid w:val="009D4595"/>
    <w:pPr>
      <w:tabs>
        <w:tab w:val="right" w:leader="dot" w:pos="9350"/>
      </w:tabs>
      <w:spacing w:before="240" w:after="240"/>
    </w:pPr>
    <w:rPr>
      <w:b/>
      <w:bCs/>
      <w:i/>
      <w:iCs/>
    </w:rPr>
  </w:style>
  <w:style w:type="paragraph" w:styleId="TOC2">
    <w:name w:val="toc 2"/>
    <w:basedOn w:val="Normal"/>
    <w:next w:val="Normal"/>
    <w:autoRedefine/>
    <w:uiPriority w:val="39"/>
    <w:unhideWhenUsed/>
    <w:rsid w:val="007B5F24"/>
    <w:pPr>
      <w:spacing w:before="120"/>
      <w:ind w:left="240"/>
    </w:pPr>
    <w:rPr>
      <w:b/>
      <w:bCs/>
      <w:sz w:val="22"/>
      <w:szCs w:val="22"/>
    </w:rPr>
  </w:style>
  <w:style w:type="paragraph" w:styleId="TOC3">
    <w:name w:val="toc 3"/>
    <w:basedOn w:val="Normal"/>
    <w:next w:val="Normal"/>
    <w:autoRedefine/>
    <w:uiPriority w:val="39"/>
    <w:unhideWhenUsed/>
    <w:rsid w:val="007B5F24"/>
    <w:pPr>
      <w:ind w:left="480"/>
    </w:pPr>
    <w:rPr>
      <w:sz w:val="20"/>
      <w:szCs w:val="20"/>
    </w:rPr>
  </w:style>
  <w:style w:type="paragraph" w:styleId="TOC4">
    <w:name w:val="toc 4"/>
    <w:basedOn w:val="Normal"/>
    <w:next w:val="Normal"/>
    <w:autoRedefine/>
    <w:uiPriority w:val="39"/>
    <w:semiHidden/>
    <w:unhideWhenUsed/>
    <w:rsid w:val="007B5F24"/>
    <w:pPr>
      <w:ind w:left="720"/>
    </w:pPr>
    <w:rPr>
      <w:sz w:val="20"/>
      <w:szCs w:val="20"/>
    </w:rPr>
  </w:style>
  <w:style w:type="paragraph" w:styleId="TOC5">
    <w:name w:val="toc 5"/>
    <w:basedOn w:val="Normal"/>
    <w:next w:val="Normal"/>
    <w:autoRedefine/>
    <w:uiPriority w:val="39"/>
    <w:semiHidden/>
    <w:unhideWhenUsed/>
    <w:rsid w:val="007B5F24"/>
    <w:pPr>
      <w:ind w:left="960"/>
    </w:pPr>
    <w:rPr>
      <w:sz w:val="20"/>
      <w:szCs w:val="20"/>
    </w:rPr>
  </w:style>
  <w:style w:type="paragraph" w:styleId="TOC6">
    <w:name w:val="toc 6"/>
    <w:basedOn w:val="Normal"/>
    <w:next w:val="Normal"/>
    <w:autoRedefine/>
    <w:uiPriority w:val="39"/>
    <w:semiHidden/>
    <w:unhideWhenUsed/>
    <w:rsid w:val="007B5F24"/>
    <w:pPr>
      <w:ind w:left="1200"/>
    </w:pPr>
    <w:rPr>
      <w:sz w:val="20"/>
      <w:szCs w:val="20"/>
    </w:rPr>
  </w:style>
  <w:style w:type="paragraph" w:styleId="TOC7">
    <w:name w:val="toc 7"/>
    <w:basedOn w:val="Normal"/>
    <w:next w:val="Normal"/>
    <w:autoRedefine/>
    <w:uiPriority w:val="39"/>
    <w:semiHidden/>
    <w:unhideWhenUsed/>
    <w:rsid w:val="007B5F24"/>
    <w:pPr>
      <w:ind w:left="1440"/>
    </w:pPr>
    <w:rPr>
      <w:sz w:val="20"/>
      <w:szCs w:val="20"/>
    </w:rPr>
  </w:style>
  <w:style w:type="paragraph" w:styleId="TOC8">
    <w:name w:val="toc 8"/>
    <w:basedOn w:val="Normal"/>
    <w:next w:val="Normal"/>
    <w:autoRedefine/>
    <w:uiPriority w:val="39"/>
    <w:semiHidden/>
    <w:unhideWhenUsed/>
    <w:rsid w:val="007B5F24"/>
    <w:pPr>
      <w:ind w:left="1680"/>
    </w:pPr>
    <w:rPr>
      <w:sz w:val="20"/>
      <w:szCs w:val="20"/>
    </w:rPr>
  </w:style>
  <w:style w:type="paragraph" w:styleId="TOC9">
    <w:name w:val="toc 9"/>
    <w:basedOn w:val="Normal"/>
    <w:next w:val="Normal"/>
    <w:autoRedefine/>
    <w:uiPriority w:val="39"/>
    <w:semiHidden/>
    <w:unhideWhenUsed/>
    <w:rsid w:val="007B5F24"/>
    <w:pPr>
      <w:ind w:left="1920"/>
    </w:pPr>
    <w:rPr>
      <w:sz w:val="20"/>
      <w:szCs w:val="20"/>
    </w:rPr>
  </w:style>
  <w:style w:type="character" w:styleId="PageNumber">
    <w:name w:val="page number"/>
    <w:basedOn w:val="DefaultParagraphFont"/>
    <w:uiPriority w:val="99"/>
    <w:semiHidden/>
    <w:unhideWhenUsed/>
    <w:rsid w:val="00BF5E64"/>
  </w:style>
  <w:style w:type="character" w:styleId="CommentReference">
    <w:name w:val="annotation reference"/>
    <w:basedOn w:val="DefaultParagraphFont"/>
    <w:uiPriority w:val="99"/>
    <w:semiHidden/>
    <w:unhideWhenUsed/>
    <w:rsid w:val="0015146A"/>
    <w:rPr>
      <w:sz w:val="16"/>
      <w:szCs w:val="16"/>
    </w:rPr>
  </w:style>
  <w:style w:type="paragraph" w:styleId="CommentText">
    <w:name w:val="annotation text"/>
    <w:basedOn w:val="Normal"/>
    <w:link w:val="CommentTextChar"/>
    <w:uiPriority w:val="99"/>
    <w:unhideWhenUsed/>
    <w:rsid w:val="0015146A"/>
    <w:rPr>
      <w:sz w:val="20"/>
      <w:szCs w:val="20"/>
    </w:rPr>
  </w:style>
  <w:style w:type="character" w:customStyle="1" w:styleId="CommentTextChar">
    <w:name w:val="Comment Text Char"/>
    <w:basedOn w:val="DefaultParagraphFont"/>
    <w:link w:val="CommentText"/>
    <w:uiPriority w:val="99"/>
    <w:rsid w:val="0015146A"/>
    <w:rPr>
      <w:sz w:val="20"/>
      <w:szCs w:val="20"/>
    </w:rPr>
  </w:style>
  <w:style w:type="paragraph" w:styleId="CommentSubject">
    <w:name w:val="annotation subject"/>
    <w:basedOn w:val="CommentText"/>
    <w:next w:val="CommentText"/>
    <w:link w:val="CommentSubjectChar"/>
    <w:uiPriority w:val="99"/>
    <w:semiHidden/>
    <w:unhideWhenUsed/>
    <w:rsid w:val="0015146A"/>
    <w:rPr>
      <w:b/>
      <w:bCs/>
    </w:rPr>
  </w:style>
  <w:style w:type="character" w:customStyle="1" w:styleId="CommentSubjectChar">
    <w:name w:val="Comment Subject Char"/>
    <w:basedOn w:val="CommentTextChar"/>
    <w:link w:val="CommentSubject"/>
    <w:uiPriority w:val="99"/>
    <w:semiHidden/>
    <w:rsid w:val="0015146A"/>
    <w:rPr>
      <w:b/>
      <w:bCs/>
      <w:sz w:val="20"/>
      <w:szCs w:val="20"/>
    </w:rPr>
  </w:style>
  <w:style w:type="character" w:customStyle="1" w:styleId="A3">
    <w:name w:val="A3"/>
    <w:uiPriority w:val="99"/>
    <w:rsid w:val="00867EFA"/>
    <w:rPr>
      <w:rFonts w:cs="FSAlbert"/>
      <w:color w:val="000000"/>
      <w:sz w:val="20"/>
      <w:szCs w:val="20"/>
    </w:rPr>
  </w:style>
  <w:style w:type="paragraph" w:styleId="Revision">
    <w:name w:val="Revision"/>
    <w:hidden/>
    <w:uiPriority w:val="99"/>
    <w:semiHidden/>
    <w:rsid w:val="00AE7BD4"/>
  </w:style>
  <w:style w:type="paragraph" w:customStyle="1" w:styleId="pf0">
    <w:name w:val="pf0"/>
    <w:basedOn w:val="Normal"/>
    <w:rsid w:val="007E217B"/>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7E217B"/>
    <w:rPr>
      <w:rFonts w:ascii="Segoe UI" w:hAnsi="Segoe UI" w:cs="Segoe UI" w:hint="default"/>
      <w:sz w:val="18"/>
      <w:szCs w:val="18"/>
    </w:rPr>
  </w:style>
  <w:style w:type="paragraph" w:styleId="EndnoteText">
    <w:name w:val="endnote text"/>
    <w:basedOn w:val="Normal"/>
    <w:link w:val="EndnoteTextChar"/>
    <w:uiPriority w:val="99"/>
    <w:semiHidden/>
    <w:unhideWhenUsed/>
    <w:rsid w:val="00CE6562"/>
    <w:rPr>
      <w:sz w:val="20"/>
      <w:szCs w:val="20"/>
    </w:rPr>
  </w:style>
  <w:style w:type="character" w:customStyle="1" w:styleId="EndnoteTextChar">
    <w:name w:val="Endnote Text Char"/>
    <w:basedOn w:val="DefaultParagraphFont"/>
    <w:link w:val="EndnoteText"/>
    <w:uiPriority w:val="99"/>
    <w:semiHidden/>
    <w:rsid w:val="00CE6562"/>
    <w:rPr>
      <w:sz w:val="20"/>
      <w:szCs w:val="20"/>
    </w:rPr>
  </w:style>
  <w:style w:type="character" w:styleId="EndnoteReference">
    <w:name w:val="endnote reference"/>
    <w:basedOn w:val="DefaultParagraphFont"/>
    <w:uiPriority w:val="99"/>
    <w:semiHidden/>
    <w:unhideWhenUsed/>
    <w:rsid w:val="00CE6562"/>
    <w:rPr>
      <w:vertAlign w:val="superscript"/>
    </w:rPr>
  </w:style>
  <w:style w:type="paragraph" w:customStyle="1" w:styleId="Para1">
    <w:name w:val="Para1"/>
    <w:basedOn w:val="Normal"/>
    <w:link w:val="Para1Char"/>
    <w:rsid w:val="00E24ECA"/>
    <w:pPr>
      <w:spacing w:before="120" w:after="120"/>
      <w:jc w:val="both"/>
    </w:pPr>
    <w:rPr>
      <w:rFonts w:ascii="Times New Roman" w:eastAsia="Times New Roman" w:hAnsi="Times New Roman" w:cs="Times New Roman"/>
      <w:snapToGrid w:val="0"/>
      <w:sz w:val="22"/>
      <w:szCs w:val="18"/>
      <w:lang w:val="en-GB"/>
    </w:rPr>
  </w:style>
  <w:style w:type="character" w:customStyle="1" w:styleId="Para1Char">
    <w:name w:val="Para1 Char"/>
    <w:link w:val="Para1"/>
    <w:locked/>
    <w:rsid w:val="00E24ECA"/>
    <w:rPr>
      <w:rFonts w:ascii="Times New Roman" w:eastAsia="Times New Roman" w:hAnsi="Times New Roman" w:cs="Times New Roman"/>
      <w:snapToGrid w:val="0"/>
      <w:sz w:val="22"/>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E24ECA"/>
    <w:pPr>
      <w:spacing w:after="160" w:line="240" w:lineRule="exact"/>
      <w:jc w:val="both"/>
    </w:pPr>
    <w:rPr>
      <w:vertAlign w:val="superscript"/>
    </w:rPr>
  </w:style>
  <w:style w:type="paragraph" w:customStyle="1" w:styleId="Cornernotation">
    <w:name w:val="Corner notation"/>
    <w:basedOn w:val="Normal"/>
    <w:rsid w:val="000610B5"/>
    <w:pPr>
      <w:tabs>
        <w:tab w:val="left" w:pos="567"/>
        <w:tab w:val="left" w:pos="1134"/>
        <w:tab w:val="left" w:pos="1701"/>
        <w:tab w:val="left" w:pos="2268"/>
      </w:tabs>
      <w:ind w:left="170" w:right="3119" w:hanging="170"/>
      <w:jc w:val="both"/>
    </w:pPr>
    <w:rPr>
      <w:rFonts w:ascii="Times New Roman" w:eastAsia="SimSun" w:hAnsi="Times New Roman" w:cs="Times New Roman"/>
      <w:b/>
      <w:lang w:val="en-GB"/>
    </w:rPr>
  </w:style>
  <w:style w:type="table" w:customStyle="1" w:styleId="TableGrid1">
    <w:name w:val="Table Grid1"/>
    <w:basedOn w:val="TableNormal"/>
    <w:next w:val="TableGrid"/>
    <w:uiPriority w:val="59"/>
    <w:rsid w:val="000610B5"/>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2237">
      <w:bodyDiv w:val="1"/>
      <w:marLeft w:val="0"/>
      <w:marRight w:val="0"/>
      <w:marTop w:val="0"/>
      <w:marBottom w:val="0"/>
      <w:divBdr>
        <w:top w:val="none" w:sz="0" w:space="0" w:color="auto"/>
        <w:left w:val="none" w:sz="0" w:space="0" w:color="auto"/>
        <w:bottom w:val="none" w:sz="0" w:space="0" w:color="auto"/>
        <w:right w:val="none" w:sz="0" w:space="0" w:color="auto"/>
      </w:divBdr>
    </w:div>
    <w:div w:id="145323055">
      <w:bodyDiv w:val="1"/>
      <w:marLeft w:val="0"/>
      <w:marRight w:val="0"/>
      <w:marTop w:val="0"/>
      <w:marBottom w:val="0"/>
      <w:divBdr>
        <w:top w:val="none" w:sz="0" w:space="0" w:color="auto"/>
        <w:left w:val="none" w:sz="0" w:space="0" w:color="auto"/>
        <w:bottom w:val="none" w:sz="0" w:space="0" w:color="auto"/>
        <w:right w:val="none" w:sz="0" w:space="0" w:color="auto"/>
      </w:divBdr>
    </w:div>
    <w:div w:id="150803543">
      <w:bodyDiv w:val="1"/>
      <w:marLeft w:val="0"/>
      <w:marRight w:val="0"/>
      <w:marTop w:val="0"/>
      <w:marBottom w:val="0"/>
      <w:divBdr>
        <w:top w:val="none" w:sz="0" w:space="0" w:color="auto"/>
        <w:left w:val="none" w:sz="0" w:space="0" w:color="auto"/>
        <w:bottom w:val="none" w:sz="0" w:space="0" w:color="auto"/>
        <w:right w:val="none" w:sz="0" w:space="0" w:color="auto"/>
      </w:divBdr>
    </w:div>
    <w:div w:id="253126498">
      <w:bodyDiv w:val="1"/>
      <w:marLeft w:val="0"/>
      <w:marRight w:val="0"/>
      <w:marTop w:val="0"/>
      <w:marBottom w:val="0"/>
      <w:divBdr>
        <w:top w:val="none" w:sz="0" w:space="0" w:color="auto"/>
        <w:left w:val="none" w:sz="0" w:space="0" w:color="auto"/>
        <w:bottom w:val="none" w:sz="0" w:space="0" w:color="auto"/>
        <w:right w:val="none" w:sz="0" w:space="0" w:color="auto"/>
      </w:divBdr>
    </w:div>
    <w:div w:id="255597563">
      <w:bodyDiv w:val="1"/>
      <w:marLeft w:val="0"/>
      <w:marRight w:val="0"/>
      <w:marTop w:val="0"/>
      <w:marBottom w:val="0"/>
      <w:divBdr>
        <w:top w:val="none" w:sz="0" w:space="0" w:color="auto"/>
        <w:left w:val="none" w:sz="0" w:space="0" w:color="auto"/>
        <w:bottom w:val="none" w:sz="0" w:space="0" w:color="auto"/>
        <w:right w:val="none" w:sz="0" w:space="0" w:color="auto"/>
      </w:divBdr>
    </w:div>
    <w:div w:id="304970687">
      <w:bodyDiv w:val="1"/>
      <w:marLeft w:val="0"/>
      <w:marRight w:val="0"/>
      <w:marTop w:val="0"/>
      <w:marBottom w:val="0"/>
      <w:divBdr>
        <w:top w:val="none" w:sz="0" w:space="0" w:color="auto"/>
        <w:left w:val="none" w:sz="0" w:space="0" w:color="auto"/>
        <w:bottom w:val="none" w:sz="0" w:space="0" w:color="auto"/>
        <w:right w:val="none" w:sz="0" w:space="0" w:color="auto"/>
      </w:divBdr>
    </w:div>
    <w:div w:id="324434551">
      <w:bodyDiv w:val="1"/>
      <w:marLeft w:val="0"/>
      <w:marRight w:val="0"/>
      <w:marTop w:val="0"/>
      <w:marBottom w:val="0"/>
      <w:divBdr>
        <w:top w:val="none" w:sz="0" w:space="0" w:color="auto"/>
        <w:left w:val="none" w:sz="0" w:space="0" w:color="auto"/>
        <w:bottom w:val="none" w:sz="0" w:space="0" w:color="auto"/>
        <w:right w:val="none" w:sz="0" w:space="0" w:color="auto"/>
      </w:divBdr>
    </w:div>
    <w:div w:id="331837814">
      <w:bodyDiv w:val="1"/>
      <w:marLeft w:val="0"/>
      <w:marRight w:val="0"/>
      <w:marTop w:val="0"/>
      <w:marBottom w:val="0"/>
      <w:divBdr>
        <w:top w:val="none" w:sz="0" w:space="0" w:color="auto"/>
        <w:left w:val="none" w:sz="0" w:space="0" w:color="auto"/>
        <w:bottom w:val="none" w:sz="0" w:space="0" w:color="auto"/>
        <w:right w:val="none" w:sz="0" w:space="0" w:color="auto"/>
      </w:divBdr>
      <w:divsChild>
        <w:div w:id="954795446">
          <w:marLeft w:val="0"/>
          <w:marRight w:val="0"/>
          <w:marTop w:val="0"/>
          <w:marBottom w:val="0"/>
          <w:divBdr>
            <w:top w:val="none" w:sz="0" w:space="0" w:color="auto"/>
            <w:left w:val="none" w:sz="0" w:space="0" w:color="auto"/>
            <w:bottom w:val="none" w:sz="0" w:space="0" w:color="auto"/>
            <w:right w:val="none" w:sz="0" w:space="0" w:color="auto"/>
          </w:divBdr>
          <w:divsChild>
            <w:div w:id="1833328134">
              <w:marLeft w:val="0"/>
              <w:marRight w:val="0"/>
              <w:marTop w:val="0"/>
              <w:marBottom w:val="0"/>
              <w:divBdr>
                <w:top w:val="none" w:sz="0" w:space="0" w:color="auto"/>
                <w:left w:val="none" w:sz="0" w:space="0" w:color="auto"/>
                <w:bottom w:val="none" w:sz="0" w:space="0" w:color="auto"/>
                <w:right w:val="none" w:sz="0" w:space="0" w:color="auto"/>
              </w:divBdr>
              <w:divsChild>
                <w:div w:id="4197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762972">
      <w:bodyDiv w:val="1"/>
      <w:marLeft w:val="0"/>
      <w:marRight w:val="0"/>
      <w:marTop w:val="0"/>
      <w:marBottom w:val="0"/>
      <w:divBdr>
        <w:top w:val="none" w:sz="0" w:space="0" w:color="auto"/>
        <w:left w:val="none" w:sz="0" w:space="0" w:color="auto"/>
        <w:bottom w:val="none" w:sz="0" w:space="0" w:color="auto"/>
        <w:right w:val="none" w:sz="0" w:space="0" w:color="auto"/>
      </w:divBdr>
    </w:div>
    <w:div w:id="494996250">
      <w:bodyDiv w:val="1"/>
      <w:marLeft w:val="0"/>
      <w:marRight w:val="0"/>
      <w:marTop w:val="0"/>
      <w:marBottom w:val="0"/>
      <w:divBdr>
        <w:top w:val="none" w:sz="0" w:space="0" w:color="auto"/>
        <w:left w:val="none" w:sz="0" w:space="0" w:color="auto"/>
        <w:bottom w:val="none" w:sz="0" w:space="0" w:color="auto"/>
        <w:right w:val="none" w:sz="0" w:space="0" w:color="auto"/>
      </w:divBdr>
    </w:div>
    <w:div w:id="523712473">
      <w:bodyDiv w:val="1"/>
      <w:marLeft w:val="0"/>
      <w:marRight w:val="0"/>
      <w:marTop w:val="0"/>
      <w:marBottom w:val="0"/>
      <w:divBdr>
        <w:top w:val="none" w:sz="0" w:space="0" w:color="auto"/>
        <w:left w:val="none" w:sz="0" w:space="0" w:color="auto"/>
        <w:bottom w:val="none" w:sz="0" w:space="0" w:color="auto"/>
        <w:right w:val="none" w:sz="0" w:space="0" w:color="auto"/>
      </w:divBdr>
    </w:div>
    <w:div w:id="704403641">
      <w:bodyDiv w:val="1"/>
      <w:marLeft w:val="0"/>
      <w:marRight w:val="0"/>
      <w:marTop w:val="0"/>
      <w:marBottom w:val="0"/>
      <w:divBdr>
        <w:top w:val="none" w:sz="0" w:space="0" w:color="auto"/>
        <w:left w:val="none" w:sz="0" w:space="0" w:color="auto"/>
        <w:bottom w:val="none" w:sz="0" w:space="0" w:color="auto"/>
        <w:right w:val="none" w:sz="0" w:space="0" w:color="auto"/>
      </w:divBdr>
    </w:div>
    <w:div w:id="731268177">
      <w:bodyDiv w:val="1"/>
      <w:marLeft w:val="0"/>
      <w:marRight w:val="0"/>
      <w:marTop w:val="0"/>
      <w:marBottom w:val="0"/>
      <w:divBdr>
        <w:top w:val="none" w:sz="0" w:space="0" w:color="auto"/>
        <w:left w:val="none" w:sz="0" w:space="0" w:color="auto"/>
        <w:bottom w:val="none" w:sz="0" w:space="0" w:color="auto"/>
        <w:right w:val="none" w:sz="0" w:space="0" w:color="auto"/>
      </w:divBdr>
    </w:div>
    <w:div w:id="883904950">
      <w:bodyDiv w:val="1"/>
      <w:marLeft w:val="0"/>
      <w:marRight w:val="0"/>
      <w:marTop w:val="0"/>
      <w:marBottom w:val="0"/>
      <w:divBdr>
        <w:top w:val="none" w:sz="0" w:space="0" w:color="auto"/>
        <w:left w:val="none" w:sz="0" w:space="0" w:color="auto"/>
        <w:bottom w:val="none" w:sz="0" w:space="0" w:color="auto"/>
        <w:right w:val="none" w:sz="0" w:space="0" w:color="auto"/>
      </w:divBdr>
    </w:div>
    <w:div w:id="898436606">
      <w:bodyDiv w:val="1"/>
      <w:marLeft w:val="0"/>
      <w:marRight w:val="0"/>
      <w:marTop w:val="0"/>
      <w:marBottom w:val="0"/>
      <w:divBdr>
        <w:top w:val="none" w:sz="0" w:space="0" w:color="auto"/>
        <w:left w:val="none" w:sz="0" w:space="0" w:color="auto"/>
        <w:bottom w:val="none" w:sz="0" w:space="0" w:color="auto"/>
        <w:right w:val="none" w:sz="0" w:space="0" w:color="auto"/>
      </w:divBdr>
    </w:div>
    <w:div w:id="984626762">
      <w:bodyDiv w:val="1"/>
      <w:marLeft w:val="0"/>
      <w:marRight w:val="0"/>
      <w:marTop w:val="0"/>
      <w:marBottom w:val="0"/>
      <w:divBdr>
        <w:top w:val="none" w:sz="0" w:space="0" w:color="auto"/>
        <w:left w:val="none" w:sz="0" w:space="0" w:color="auto"/>
        <w:bottom w:val="none" w:sz="0" w:space="0" w:color="auto"/>
        <w:right w:val="none" w:sz="0" w:space="0" w:color="auto"/>
      </w:divBdr>
    </w:div>
    <w:div w:id="1106120256">
      <w:bodyDiv w:val="1"/>
      <w:marLeft w:val="0"/>
      <w:marRight w:val="0"/>
      <w:marTop w:val="0"/>
      <w:marBottom w:val="0"/>
      <w:divBdr>
        <w:top w:val="none" w:sz="0" w:space="0" w:color="auto"/>
        <w:left w:val="none" w:sz="0" w:space="0" w:color="auto"/>
        <w:bottom w:val="none" w:sz="0" w:space="0" w:color="auto"/>
        <w:right w:val="none" w:sz="0" w:space="0" w:color="auto"/>
      </w:divBdr>
      <w:divsChild>
        <w:div w:id="1600485139">
          <w:marLeft w:val="0"/>
          <w:marRight w:val="0"/>
          <w:marTop w:val="0"/>
          <w:marBottom w:val="0"/>
          <w:divBdr>
            <w:top w:val="none" w:sz="0" w:space="0" w:color="auto"/>
            <w:left w:val="none" w:sz="0" w:space="0" w:color="auto"/>
            <w:bottom w:val="none" w:sz="0" w:space="0" w:color="auto"/>
            <w:right w:val="none" w:sz="0" w:space="0" w:color="auto"/>
          </w:divBdr>
          <w:divsChild>
            <w:div w:id="1243292600">
              <w:marLeft w:val="0"/>
              <w:marRight w:val="0"/>
              <w:marTop w:val="0"/>
              <w:marBottom w:val="0"/>
              <w:divBdr>
                <w:top w:val="none" w:sz="0" w:space="0" w:color="auto"/>
                <w:left w:val="none" w:sz="0" w:space="0" w:color="auto"/>
                <w:bottom w:val="none" w:sz="0" w:space="0" w:color="auto"/>
                <w:right w:val="none" w:sz="0" w:space="0" w:color="auto"/>
              </w:divBdr>
              <w:divsChild>
                <w:div w:id="18976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185276">
      <w:bodyDiv w:val="1"/>
      <w:marLeft w:val="0"/>
      <w:marRight w:val="0"/>
      <w:marTop w:val="0"/>
      <w:marBottom w:val="0"/>
      <w:divBdr>
        <w:top w:val="none" w:sz="0" w:space="0" w:color="auto"/>
        <w:left w:val="none" w:sz="0" w:space="0" w:color="auto"/>
        <w:bottom w:val="none" w:sz="0" w:space="0" w:color="auto"/>
        <w:right w:val="none" w:sz="0" w:space="0" w:color="auto"/>
      </w:divBdr>
      <w:divsChild>
        <w:div w:id="1174370870">
          <w:marLeft w:val="0"/>
          <w:marRight w:val="0"/>
          <w:marTop w:val="0"/>
          <w:marBottom w:val="0"/>
          <w:divBdr>
            <w:top w:val="none" w:sz="0" w:space="0" w:color="auto"/>
            <w:left w:val="none" w:sz="0" w:space="0" w:color="auto"/>
            <w:bottom w:val="none" w:sz="0" w:space="0" w:color="auto"/>
            <w:right w:val="none" w:sz="0" w:space="0" w:color="auto"/>
          </w:divBdr>
        </w:div>
        <w:div w:id="1634864384">
          <w:marLeft w:val="0"/>
          <w:marRight w:val="0"/>
          <w:marTop w:val="0"/>
          <w:marBottom w:val="0"/>
          <w:divBdr>
            <w:top w:val="none" w:sz="0" w:space="0" w:color="auto"/>
            <w:left w:val="none" w:sz="0" w:space="0" w:color="auto"/>
            <w:bottom w:val="none" w:sz="0" w:space="0" w:color="auto"/>
            <w:right w:val="none" w:sz="0" w:space="0" w:color="auto"/>
          </w:divBdr>
        </w:div>
        <w:div w:id="1872985865">
          <w:marLeft w:val="0"/>
          <w:marRight w:val="0"/>
          <w:marTop w:val="0"/>
          <w:marBottom w:val="0"/>
          <w:divBdr>
            <w:top w:val="none" w:sz="0" w:space="0" w:color="auto"/>
            <w:left w:val="none" w:sz="0" w:space="0" w:color="auto"/>
            <w:bottom w:val="none" w:sz="0" w:space="0" w:color="auto"/>
            <w:right w:val="none" w:sz="0" w:space="0" w:color="auto"/>
          </w:divBdr>
        </w:div>
        <w:div w:id="669523157">
          <w:marLeft w:val="0"/>
          <w:marRight w:val="0"/>
          <w:marTop w:val="0"/>
          <w:marBottom w:val="0"/>
          <w:divBdr>
            <w:top w:val="none" w:sz="0" w:space="0" w:color="auto"/>
            <w:left w:val="none" w:sz="0" w:space="0" w:color="auto"/>
            <w:bottom w:val="none" w:sz="0" w:space="0" w:color="auto"/>
            <w:right w:val="none" w:sz="0" w:space="0" w:color="auto"/>
          </w:divBdr>
        </w:div>
        <w:div w:id="2074884111">
          <w:marLeft w:val="0"/>
          <w:marRight w:val="0"/>
          <w:marTop w:val="0"/>
          <w:marBottom w:val="0"/>
          <w:divBdr>
            <w:top w:val="none" w:sz="0" w:space="0" w:color="auto"/>
            <w:left w:val="none" w:sz="0" w:space="0" w:color="auto"/>
            <w:bottom w:val="none" w:sz="0" w:space="0" w:color="auto"/>
            <w:right w:val="none" w:sz="0" w:space="0" w:color="auto"/>
          </w:divBdr>
        </w:div>
        <w:div w:id="1056583594">
          <w:marLeft w:val="0"/>
          <w:marRight w:val="0"/>
          <w:marTop w:val="0"/>
          <w:marBottom w:val="0"/>
          <w:divBdr>
            <w:top w:val="none" w:sz="0" w:space="0" w:color="auto"/>
            <w:left w:val="none" w:sz="0" w:space="0" w:color="auto"/>
            <w:bottom w:val="none" w:sz="0" w:space="0" w:color="auto"/>
            <w:right w:val="none" w:sz="0" w:space="0" w:color="auto"/>
          </w:divBdr>
        </w:div>
        <w:div w:id="400250659">
          <w:marLeft w:val="0"/>
          <w:marRight w:val="0"/>
          <w:marTop w:val="0"/>
          <w:marBottom w:val="0"/>
          <w:divBdr>
            <w:top w:val="none" w:sz="0" w:space="0" w:color="auto"/>
            <w:left w:val="none" w:sz="0" w:space="0" w:color="auto"/>
            <w:bottom w:val="none" w:sz="0" w:space="0" w:color="auto"/>
            <w:right w:val="none" w:sz="0" w:space="0" w:color="auto"/>
          </w:divBdr>
        </w:div>
        <w:div w:id="1558515658">
          <w:marLeft w:val="0"/>
          <w:marRight w:val="0"/>
          <w:marTop w:val="0"/>
          <w:marBottom w:val="0"/>
          <w:divBdr>
            <w:top w:val="none" w:sz="0" w:space="0" w:color="auto"/>
            <w:left w:val="none" w:sz="0" w:space="0" w:color="auto"/>
            <w:bottom w:val="none" w:sz="0" w:space="0" w:color="auto"/>
            <w:right w:val="none" w:sz="0" w:space="0" w:color="auto"/>
          </w:divBdr>
        </w:div>
        <w:div w:id="468131962">
          <w:marLeft w:val="0"/>
          <w:marRight w:val="0"/>
          <w:marTop w:val="0"/>
          <w:marBottom w:val="0"/>
          <w:divBdr>
            <w:top w:val="none" w:sz="0" w:space="0" w:color="auto"/>
            <w:left w:val="none" w:sz="0" w:space="0" w:color="auto"/>
            <w:bottom w:val="none" w:sz="0" w:space="0" w:color="auto"/>
            <w:right w:val="none" w:sz="0" w:space="0" w:color="auto"/>
          </w:divBdr>
        </w:div>
        <w:div w:id="968627948">
          <w:marLeft w:val="0"/>
          <w:marRight w:val="0"/>
          <w:marTop w:val="0"/>
          <w:marBottom w:val="0"/>
          <w:divBdr>
            <w:top w:val="none" w:sz="0" w:space="0" w:color="auto"/>
            <w:left w:val="none" w:sz="0" w:space="0" w:color="auto"/>
            <w:bottom w:val="none" w:sz="0" w:space="0" w:color="auto"/>
            <w:right w:val="none" w:sz="0" w:space="0" w:color="auto"/>
          </w:divBdr>
        </w:div>
        <w:div w:id="1709916225">
          <w:marLeft w:val="0"/>
          <w:marRight w:val="0"/>
          <w:marTop w:val="0"/>
          <w:marBottom w:val="0"/>
          <w:divBdr>
            <w:top w:val="none" w:sz="0" w:space="0" w:color="auto"/>
            <w:left w:val="none" w:sz="0" w:space="0" w:color="auto"/>
            <w:bottom w:val="none" w:sz="0" w:space="0" w:color="auto"/>
            <w:right w:val="none" w:sz="0" w:space="0" w:color="auto"/>
          </w:divBdr>
        </w:div>
      </w:divsChild>
    </w:div>
    <w:div w:id="1261793872">
      <w:bodyDiv w:val="1"/>
      <w:marLeft w:val="0"/>
      <w:marRight w:val="0"/>
      <w:marTop w:val="0"/>
      <w:marBottom w:val="0"/>
      <w:divBdr>
        <w:top w:val="none" w:sz="0" w:space="0" w:color="auto"/>
        <w:left w:val="none" w:sz="0" w:space="0" w:color="auto"/>
        <w:bottom w:val="none" w:sz="0" w:space="0" w:color="auto"/>
        <w:right w:val="none" w:sz="0" w:space="0" w:color="auto"/>
      </w:divBdr>
    </w:div>
    <w:div w:id="1335767311">
      <w:bodyDiv w:val="1"/>
      <w:marLeft w:val="0"/>
      <w:marRight w:val="0"/>
      <w:marTop w:val="0"/>
      <w:marBottom w:val="0"/>
      <w:divBdr>
        <w:top w:val="none" w:sz="0" w:space="0" w:color="auto"/>
        <w:left w:val="none" w:sz="0" w:space="0" w:color="auto"/>
        <w:bottom w:val="none" w:sz="0" w:space="0" w:color="auto"/>
        <w:right w:val="none" w:sz="0" w:space="0" w:color="auto"/>
      </w:divBdr>
    </w:div>
    <w:div w:id="1420567155">
      <w:bodyDiv w:val="1"/>
      <w:marLeft w:val="0"/>
      <w:marRight w:val="0"/>
      <w:marTop w:val="0"/>
      <w:marBottom w:val="0"/>
      <w:divBdr>
        <w:top w:val="none" w:sz="0" w:space="0" w:color="auto"/>
        <w:left w:val="none" w:sz="0" w:space="0" w:color="auto"/>
        <w:bottom w:val="none" w:sz="0" w:space="0" w:color="auto"/>
        <w:right w:val="none" w:sz="0" w:space="0" w:color="auto"/>
      </w:divBdr>
      <w:divsChild>
        <w:div w:id="1540119035">
          <w:marLeft w:val="0"/>
          <w:marRight w:val="0"/>
          <w:marTop w:val="0"/>
          <w:marBottom w:val="0"/>
          <w:divBdr>
            <w:top w:val="none" w:sz="0" w:space="0" w:color="auto"/>
            <w:left w:val="none" w:sz="0" w:space="0" w:color="auto"/>
            <w:bottom w:val="none" w:sz="0" w:space="0" w:color="auto"/>
            <w:right w:val="none" w:sz="0" w:space="0" w:color="auto"/>
          </w:divBdr>
        </w:div>
        <w:div w:id="1202523359">
          <w:marLeft w:val="0"/>
          <w:marRight w:val="0"/>
          <w:marTop w:val="0"/>
          <w:marBottom w:val="0"/>
          <w:divBdr>
            <w:top w:val="none" w:sz="0" w:space="0" w:color="auto"/>
            <w:left w:val="none" w:sz="0" w:space="0" w:color="auto"/>
            <w:bottom w:val="none" w:sz="0" w:space="0" w:color="auto"/>
            <w:right w:val="none" w:sz="0" w:space="0" w:color="auto"/>
          </w:divBdr>
        </w:div>
        <w:div w:id="1760444857">
          <w:marLeft w:val="0"/>
          <w:marRight w:val="0"/>
          <w:marTop w:val="0"/>
          <w:marBottom w:val="0"/>
          <w:divBdr>
            <w:top w:val="none" w:sz="0" w:space="0" w:color="auto"/>
            <w:left w:val="none" w:sz="0" w:space="0" w:color="auto"/>
            <w:bottom w:val="none" w:sz="0" w:space="0" w:color="auto"/>
            <w:right w:val="none" w:sz="0" w:space="0" w:color="auto"/>
          </w:divBdr>
        </w:div>
        <w:div w:id="729691840">
          <w:marLeft w:val="0"/>
          <w:marRight w:val="0"/>
          <w:marTop w:val="0"/>
          <w:marBottom w:val="0"/>
          <w:divBdr>
            <w:top w:val="none" w:sz="0" w:space="0" w:color="auto"/>
            <w:left w:val="none" w:sz="0" w:space="0" w:color="auto"/>
            <w:bottom w:val="none" w:sz="0" w:space="0" w:color="auto"/>
            <w:right w:val="none" w:sz="0" w:space="0" w:color="auto"/>
          </w:divBdr>
        </w:div>
        <w:div w:id="479542884">
          <w:marLeft w:val="0"/>
          <w:marRight w:val="0"/>
          <w:marTop w:val="0"/>
          <w:marBottom w:val="0"/>
          <w:divBdr>
            <w:top w:val="none" w:sz="0" w:space="0" w:color="auto"/>
            <w:left w:val="none" w:sz="0" w:space="0" w:color="auto"/>
            <w:bottom w:val="none" w:sz="0" w:space="0" w:color="auto"/>
            <w:right w:val="none" w:sz="0" w:space="0" w:color="auto"/>
          </w:divBdr>
        </w:div>
        <w:div w:id="1726953173">
          <w:marLeft w:val="0"/>
          <w:marRight w:val="0"/>
          <w:marTop w:val="0"/>
          <w:marBottom w:val="0"/>
          <w:divBdr>
            <w:top w:val="none" w:sz="0" w:space="0" w:color="auto"/>
            <w:left w:val="none" w:sz="0" w:space="0" w:color="auto"/>
            <w:bottom w:val="none" w:sz="0" w:space="0" w:color="auto"/>
            <w:right w:val="none" w:sz="0" w:space="0" w:color="auto"/>
          </w:divBdr>
        </w:div>
        <w:div w:id="35282534">
          <w:marLeft w:val="0"/>
          <w:marRight w:val="0"/>
          <w:marTop w:val="0"/>
          <w:marBottom w:val="0"/>
          <w:divBdr>
            <w:top w:val="none" w:sz="0" w:space="0" w:color="auto"/>
            <w:left w:val="none" w:sz="0" w:space="0" w:color="auto"/>
            <w:bottom w:val="none" w:sz="0" w:space="0" w:color="auto"/>
            <w:right w:val="none" w:sz="0" w:space="0" w:color="auto"/>
          </w:divBdr>
        </w:div>
      </w:divsChild>
    </w:div>
    <w:div w:id="1709067080">
      <w:bodyDiv w:val="1"/>
      <w:marLeft w:val="0"/>
      <w:marRight w:val="0"/>
      <w:marTop w:val="0"/>
      <w:marBottom w:val="0"/>
      <w:divBdr>
        <w:top w:val="none" w:sz="0" w:space="0" w:color="auto"/>
        <w:left w:val="none" w:sz="0" w:space="0" w:color="auto"/>
        <w:bottom w:val="none" w:sz="0" w:space="0" w:color="auto"/>
        <w:right w:val="none" w:sz="0" w:space="0" w:color="auto"/>
      </w:divBdr>
    </w:div>
    <w:div w:id="1799765272">
      <w:bodyDiv w:val="1"/>
      <w:marLeft w:val="0"/>
      <w:marRight w:val="0"/>
      <w:marTop w:val="0"/>
      <w:marBottom w:val="0"/>
      <w:divBdr>
        <w:top w:val="none" w:sz="0" w:space="0" w:color="auto"/>
        <w:left w:val="none" w:sz="0" w:space="0" w:color="auto"/>
        <w:bottom w:val="none" w:sz="0" w:space="0" w:color="auto"/>
        <w:right w:val="none" w:sz="0" w:space="0" w:color="auto"/>
      </w:divBdr>
    </w:div>
    <w:div w:id="2072077701">
      <w:bodyDiv w:val="1"/>
      <w:marLeft w:val="0"/>
      <w:marRight w:val="0"/>
      <w:marTop w:val="0"/>
      <w:marBottom w:val="0"/>
      <w:divBdr>
        <w:top w:val="none" w:sz="0" w:space="0" w:color="auto"/>
        <w:left w:val="none" w:sz="0" w:space="0" w:color="auto"/>
        <w:bottom w:val="none" w:sz="0" w:space="0" w:color="auto"/>
        <w:right w:val="none" w:sz="0" w:space="0" w:color="auto"/>
      </w:divBdr>
    </w:div>
    <w:div w:id="2081558458">
      <w:bodyDiv w:val="1"/>
      <w:marLeft w:val="0"/>
      <w:marRight w:val="0"/>
      <w:marTop w:val="0"/>
      <w:marBottom w:val="0"/>
      <w:divBdr>
        <w:top w:val="none" w:sz="0" w:space="0" w:color="auto"/>
        <w:left w:val="none" w:sz="0" w:space="0" w:color="auto"/>
        <w:bottom w:val="none" w:sz="0" w:space="0" w:color="auto"/>
        <w:right w:val="none" w:sz="0" w:space="0" w:color="auto"/>
      </w:divBdr>
    </w:div>
    <w:div w:id="2115636650">
      <w:bodyDiv w:val="1"/>
      <w:marLeft w:val="0"/>
      <w:marRight w:val="0"/>
      <w:marTop w:val="0"/>
      <w:marBottom w:val="0"/>
      <w:divBdr>
        <w:top w:val="none" w:sz="0" w:space="0" w:color="auto"/>
        <w:left w:val="none" w:sz="0" w:space="0" w:color="auto"/>
        <w:bottom w:val="none" w:sz="0" w:space="0" w:color="auto"/>
        <w:right w:val="none" w:sz="0" w:space="0" w:color="auto"/>
      </w:divBdr>
    </w:div>
    <w:div w:id="213536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footer" Target="footer2.xml"/><Relationship Id="rId39" Type="http://schemas.openxmlformats.org/officeDocument/2006/relationships/hyperlink" Target="https://thegiin.org/assets/Sizing%20the%20Impact%20Investing%20Market_webfile.pdf" TargetMode="External"/><Relationship Id="rId21" Type="http://schemas.microsoft.com/office/2014/relationships/chartEx" Target="charts/chartEx2.xml"/><Relationship Id="rId34" Type="http://schemas.openxmlformats.org/officeDocument/2006/relationships/hyperlink" Target="https://www.naturefinance.info/"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4.png"/><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32" Type="http://schemas.openxmlformats.org/officeDocument/2006/relationships/hyperlink" Target="https://finance.ec.europa.eu/sustainable-finance/tools-and-standards/eu-taxonomy-sustainable-activities_en" TargetMode="External"/><Relationship Id="rId37" Type="http://schemas.openxmlformats.org/officeDocument/2006/relationships/hyperlink" Target="https://www.forest-trends.org/wp-content/uploads/2017/03/2016SOPICReport_FINAL_Full-REV.pdf" TargetMode="External"/><Relationship Id="rId40" Type="http://schemas.openxmlformats.org/officeDocument/2006/relationships/hyperlink" Target="https://www.unep.org/resources/state-finance-nature-2023"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header" Target="header1.xml"/><Relationship Id="rId28" Type="http://schemas.openxmlformats.org/officeDocument/2006/relationships/image" Target="media/image7.png"/><Relationship Id="rId36" Type="http://schemas.openxmlformats.org/officeDocument/2006/relationships/hyperlink" Target="https://www.forest-trends.org/wp-content/uploads/2017/03/doc_5463.pdf" TargetMode="External"/><Relationship Id="rId10" Type="http://schemas.openxmlformats.org/officeDocument/2006/relationships/endnotes" Target="endnotes.xml"/><Relationship Id="rId19" Type="http://schemas.microsoft.com/office/2014/relationships/chartEx" Target="charts/chartEx1.xml"/><Relationship Id="rId31" Type="http://schemas.openxmlformats.org/officeDocument/2006/relationships/hyperlink" Target="https://seea.un.org/sites/seea.un.org/files/seea_cf_final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image" Target="media/image5.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www.forest-trends.org/wpcontent/uploads/2018/01/doc_5707.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footer" Target="footer1.xml"/><Relationship Id="rId33" Type="http://schemas.openxmlformats.org/officeDocument/2006/relationships/hyperlink" Target="https://finance.ec.europa.eu/sustainable-finance/tools-and-standards/eu-taxonomy-sustainable-activities_en" TargetMode="External"/><Relationship Id="rId38" Type="http://schemas.openxmlformats.org/officeDocument/2006/relationships/hyperlink" Target="https://thegiin.org/assets/GIIN%20Annual%20Impact%20Investor%20Survey%202020.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reenfinanceplatform.org/policies-and-regulations/green-bond-guidelines-issued-chinas-national-development-and-reform" TargetMode="External"/><Relationship Id="rId3" Type="http://schemas.openxmlformats.org/officeDocument/2006/relationships/hyperlink" Target="https://www.climatebonds.net/market/data/" TargetMode="External"/><Relationship Id="rId7" Type="http://schemas.openxmlformats.org/officeDocument/2006/relationships/hyperlink" Target="https://finance.ec.europa.eu/sustainable-finance/tools-and-standards/eu-taxonomy-sustainable-activities_en" TargetMode="External"/><Relationship Id="rId2" Type="http://schemas.openxmlformats.org/officeDocument/2006/relationships/hyperlink" Target="https://www.worldbank.org/en/news/feature/2018/10/29/sovereign-blue-bond-issuance-frequently-asked-questions" TargetMode="External"/><Relationship Id="rId1" Type="http://schemas.openxmlformats.org/officeDocument/2006/relationships/hyperlink" Target="https://www.cbd.int/notifications/2024-043" TargetMode="External"/><Relationship Id="rId6" Type="http://schemas.openxmlformats.org/officeDocument/2006/relationships/hyperlink" Target="https://unstats.un.org/UNSDWebsite/statcom/session_55/documents/BG-4e-CEP-E.pdf" TargetMode="External"/><Relationship Id="rId5" Type="http://schemas.openxmlformats.org/officeDocument/2006/relationships/hyperlink" Target="https://unstats.un.org/unsd/classifications/Meetings/UNCEISC2023/6-1-Classification-of-environmental-purposes-cover-documents.pdf" TargetMode="External"/><Relationship Id="rId10" Type="http://schemas.openxmlformats.org/officeDocument/2006/relationships/hyperlink" Target="https://www.cbd.int/doc/decisions/cop-15/cop-15-dec-05-en.pdf" TargetMode="External"/><Relationship Id="rId4" Type="http://schemas.openxmlformats.org/officeDocument/2006/relationships/hyperlink" Target="https://seea.un.org/sites/seea.un.org/files/seea_cf_final_en.pdf" TargetMode="External"/><Relationship Id="rId9" Type="http://schemas.openxmlformats.org/officeDocument/2006/relationships/hyperlink" Target="https://www.convergence.finance/blended-finance"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cvanw\Dropbox\Career\UNEP\Background%20Note\Report%20Tables%20and%20Figures.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cvanw\Dropbox\Career\UNEP\Background%20Note\Report%20Tables%20and%20Figures.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'Finance Estimates'!$A$3:$A$11</cx:f>
        <cx:lvl ptCount="9">
          <cx:pt idx="0">Biodiversity Offsets</cx:pt>
          <cx:pt idx="1">Sustainable Commodities</cx:pt>
          <cx:pt idx="2">Conservation NGOs</cx:pt>
          <cx:pt idx="3">Philanthropic Foundations</cx:pt>
          <cx:pt idx="4">Private Finance Mobilized by DAC ODF</cx:pt>
          <cx:pt idx="5">Private Finance Leveraged by the GEF</cx:pt>
          <cx:pt idx="6">Forest and Land Use Carbon Finance</cx:pt>
          <cx:pt idx="7">Payments for Ecosytem Services</cx:pt>
          <cx:pt idx="8">Water quality trading and offsets</cx:pt>
        </cx:lvl>
      </cx:strDim>
      <cx:numDim type="size">
        <cx:f>'Finance Estimates'!$B$3:$B$11</cx:f>
        <cx:lvl ptCount="9" formatCode="0.0">
          <cx:pt idx="0">4.9500000000000002</cx:pt>
          <cx:pt idx="1">2.5499999999999998</cx:pt>
          <cx:pt idx="2">1.75</cx:pt>
          <cx:pt idx="3">0.30099999999999999</cx:pt>
          <cx:pt idx="4">0.35499999999999998</cx:pt>
          <cx:pt idx="5">0.098000000000000004</cx:pt>
          <cx:pt idx="6">0.072999999999999995</cx:pt>
          <cx:pt idx="7">0.014999999999999999</cx:pt>
          <cx:pt idx="8">0.032000000000000001</cx:pt>
        </cx:lvl>
      </cx:numDim>
    </cx:data>
  </cx:chartData>
  <cx:chart>
    <cx:plotArea>
      <cx:plotAreaRegion>
        <cx:series layoutId="treemap" uniqueId="{CF877B2C-6601-4833-B9E3-C6596641E4FB}">
          <cx:dataLabels pos="inEnd">
            <cx:txPr>
              <a:bodyPr spcFirstLastPara="1" vertOverflow="ellipsis" horzOverflow="overflow" wrap="square" lIns="0" tIns="0" rIns="0" bIns="0" anchor="ctr" anchorCtr="1"/>
              <a:lstStyle/>
              <a:p>
                <a:pPr algn="ctr" rtl="0">
                  <a:defRPr sz="800"/>
                </a:pPr>
                <a:endParaRPr lang="en-US" sz="800" b="0" i="0" u="none" strike="noStrike" baseline="0">
                  <a:solidFill>
                    <a:sysClr val="window" lastClr="FFFFFF"/>
                  </a:solidFill>
                  <a:latin typeface="Calibri" panose="020F0502020204030204"/>
                </a:endParaRPr>
              </a:p>
            </cx:txPr>
            <cx:visibility seriesName="0" categoryName="1" value="1"/>
            <cx:separator>, </cx:separator>
          </cx:dataLabels>
          <cx:dataId val="0"/>
          <cx:layoutPr>
            <cx:parentLabelLayout val="overlapping"/>
          </cx:layoutPr>
        </cx:series>
      </cx:plotAreaRegion>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'Finance Estimates'!$N$3:$N$11</cx:f>
        <cx:lvl ptCount="9">
          <cx:pt idx="0">Sustainable Supply Chains</cx:pt>
          <cx:pt idx="1">Biodiversity Offsets and Credits</cx:pt>
          <cx:pt idx="2">Impact Investing</cx:pt>
          <cx:pt idx="3">Private Philanthropy</cx:pt>
          <cx:pt idx="4">Conservation NGOs</cx:pt>
          <cx:pt idx="5">Carbon Markets</cx:pt>
          <cx:pt idx="6">Private Finance Mobilized by DAC, GEF, GCF</cx:pt>
          <cx:pt idx="7">Payments for Ecosystem Services</cx:pt>
          <cx:pt idx="8">Farmer investments in conservation agriculture</cx:pt>
        </cx:lvl>
      </cx:strDim>
      <cx:numDim type="size">
        <cx:f>'Finance Estimates'!$O$3:$O$11</cx:f>
        <cx:lvl ptCount="9" formatCode="General">
          <cx:pt idx="0">8.5999999999999996</cx:pt>
          <cx:pt idx="1">11.699999999999999</cx:pt>
          <cx:pt idx="2">4.5999999999999996</cx:pt>
          <cx:pt idx="3">1.3</cx:pt>
          <cx:pt idx="4">1.8999999999999999</cx:pt>
          <cx:pt idx="5">1.5</cx:pt>
          <cx:pt idx="6">0.69999999999999996</cx:pt>
          <cx:pt idx="7">3.5</cx:pt>
          <cx:pt idx="8">1.5</cx:pt>
        </cx:lvl>
      </cx:numDim>
    </cx:data>
  </cx:chartData>
  <cx:chart>
    <cx:plotArea>
      <cx:plotAreaRegion>
        <cx:series layoutId="treemap" uniqueId="{93F2AFA6-FD11-45C6-BE47-67C678C56EA2}">
          <cx:spPr>
            <a:solidFill>
              <a:schemeClr val="accent1"/>
            </a:solidFill>
          </cx:spPr>
          <cx:dataPt idx="0">
            <cx:spPr>
              <a:solidFill>
                <a:srgbClr val="ED7D31"/>
              </a:solidFill>
            </cx:spPr>
          </cx:dataPt>
          <cx:dataPt idx="2">
            <cx:spPr>
              <a:solidFill>
                <a:srgbClr val="70AD47"/>
              </a:solidFill>
            </cx:spPr>
          </cx:dataPt>
          <cx:dataPt idx="3">
            <cx:spPr>
              <a:solidFill>
                <a:srgbClr val="FFC000"/>
              </a:solidFill>
            </cx:spPr>
          </cx:dataPt>
          <cx:dataPt idx="4">
            <cx:spPr>
              <a:solidFill>
                <a:srgbClr val="A5A5A5"/>
              </a:solidFill>
            </cx:spPr>
          </cx:dataPt>
          <cx:dataPt idx="5">
            <cx:spPr>
              <a:solidFill>
                <a:srgbClr val="4472C4">
                  <a:lumMod val="50000"/>
                </a:srgbClr>
              </a:solidFill>
            </cx:spPr>
          </cx:dataPt>
          <cx:dataPt idx="6">
            <cx:spPr>
              <a:solidFill>
                <a:srgbClr val="44546A"/>
              </a:solidFill>
            </cx:spPr>
          </cx:dataPt>
          <cx:dataPt idx="7">
            <cx:spPr>
              <a:solidFill>
                <a:srgbClr val="ED7D31">
                  <a:lumMod val="50000"/>
                </a:srgbClr>
              </a:solidFill>
            </cx:spPr>
          </cx:dataPt>
          <cx:dataLabels pos="inEnd">
            <cx:visibility seriesName="0" categoryName="1" value="1"/>
            <cx:separator>, </cx:separator>
          </cx:dataLabels>
          <cx:dataId val="0"/>
          <cx:layoutPr>
            <cx:parentLabelLayout val="overlapping"/>
          </cx:layoutPr>
        </cx:series>
      </cx:plotAreaRegion>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4D78B0-99ED-3643-BFE7-BFE98F6C9E76}" type="doc">
      <dgm:prSet loTypeId="urn:microsoft.com/office/officeart/2005/8/layout/vProcess5" loCatId="" qsTypeId="urn:microsoft.com/office/officeart/2005/8/quickstyle/simple1" qsCatId="simple" csTypeId="urn:microsoft.com/office/officeart/2005/8/colors/accent1_2" csCatId="accent1" phldr="1"/>
      <dgm:spPr/>
      <dgm:t>
        <a:bodyPr/>
        <a:lstStyle/>
        <a:p>
          <a:endParaRPr lang="en-US"/>
        </a:p>
      </dgm:t>
    </dgm:pt>
    <dgm:pt modelId="{8C7C30F0-939A-A54F-8069-5BE47715D06A}">
      <dgm:prSet phldrT="[Text]" custT="1"/>
      <dgm:spPr/>
      <dgm:t>
        <a:bodyPr/>
        <a:lstStyle/>
        <a:p>
          <a:pPr algn="ctr"/>
          <a:r>
            <a:rPr lang="en-US" sz="1200">
              <a:solidFill>
                <a:schemeClr val="bg1"/>
              </a:solidFill>
            </a:rPr>
            <a:t>Source</a:t>
          </a:r>
        </a:p>
      </dgm:t>
    </dgm:pt>
    <dgm:pt modelId="{37AADBB3-9036-C84E-88E1-D5FD478B3E74}" type="parTrans" cxnId="{DAA9DBAA-1F46-9942-8736-EAC21FB0EAEB}">
      <dgm:prSet/>
      <dgm:spPr/>
      <dgm:t>
        <a:bodyPr/>
        <a:lstStyle/>
        <a:p>
          <a:pPr algn="l"/>
          <a:endParaRPr lang="en-US"/>
        </a:p>
      </dgm:t>
    </dgm:pt>
    <dgm:pt modelId="{1054D712-9808-1647-A9F6-0ADF979D5DC1}" type="sibTrans" cxnId="{DAA9DBAA-1F46-9942-8736-EAC21FB0EAEB}">
      <dgm:prSet/>
      <dgm:spPr>
        <a:ln>
          <a:solidFill>
            <a:schemeClr val="accent1">
              <a:lumMod val="50000"/>
              <a:alpha val="90000"/>
            </a:schemeClr>
          </a:solidFill>
        </a:ln>
      </dgm:spPr>
      <dgm:t>
        <a:bodyPr/>
        <a:lstStyle/>
        <a:p>
          <a:pPr algn="l"/>
          <a:endParaRPr lang="en-US"/>
        </a:p>
      </dgm:t>
    </dgm:pt>
    <dgm:pt modelId="{02430012-85A7-6947-91C9-062CD358641B}">
      <dgm:prSet phldrT="[Text]" custT="1"/>
      <dgm:spPr/>
      <dgm:t>
        <a:bodyPr/>
        <a:lstStyle/>
        <a:p>
          <a:pPr algn="l"/>
          <a:r>
            <a:rPr lang="en-US" sz="1100">
              <a:solidFill>
                <a:schemeClr val="bg1"/>
              </a:solidFill>
            </a:rPr>
            <a:t>Household revenues and savings</a:t>
          </a:r>
        </a:p>
      </dgm:t>
    </dgm:pt>
    <dgm:pt modelId="{55F2D3B0-01E7-CE47-B22A-DB8D7B2314D4}" type="parTrans" cxnId="{F6119758-E865-414A-AD78-70D4051DF3C2}">
      <dgm:prSet/>
      <dgm:spPr/>
      <dgm:t>
        <a:bodyPr/>
        <a:lstStyle/>
        <a:p>
          <a:pPr algn="l"/>
          <a:endParaRPr lang="en-US"/>
        </a:p>
      </dgm:t>
    </dgm:pt>
    <dgm:pt modelId="{F9D579E2-418A-F549-B5BE-1BF7A6C9277E}" type="sibTrans" cxnId="{F6119758-E865-414A-AD78-70D4051DF3C2}">
      <dgm:prSet/>
      <dgm:spPr/>
      <dgm:t>
        <a:bodyPr/>
        <a:lstStyle/>
        <a:p>
          <a:pPr algn="l"/>
          <a:endParaRPr lang="en-US"/>
        </a:p>
      </dgm:t>
    </dgm:pt>
    <dgm:pt modelId="{C903C5A6-AD31-8342-B990-10F3DEC0C891}">
      <dgm:prSet phldrT="[Text]" custT="1"/>
      <dgm:spPr/>
      <dgm:t>
        <a:bodyPr/>
        <a:lstStyle/>
        <a:p>
          <a:pPr algn="l"/>
          <a:r>
            <a:rPr lang="en-US" sz="1100">
              <a:solidFill>
                <a:schemeClr val="bg1"/>
              </a:solidFill>
            </a:rPr>
            <a:t>Corporate revenues and savings</a:t>
          </a:r>
        </a:p>
      </dgm:t>
    </dgm:pt>
    <dgm:pt modelId="{D73EC7F1-B5A0-D944-B8F8-58B9C5CABA80}" type="parTrans" cxnId="{7E5B774D-C70F-C549-93CD-15BE7575FC64}">
      <dgm:prSet/>
      <dgm:spPr/>
      <dgm:t>
        <a:bodyPr/>
        <a:lstStyle/>
        <a:p>
          <a:pPr algn="l"/>
          <a:endParaRPr lang="en-US"/>
        </a:p>
      </dgm:t>
    </dgm:pt>
    <dgm:pt modelId="{D76F3DC7-0D8C-EB48-919B-A9BC68C21AAD}" type="sibTrans" cxnId="{7E5B774D-C70F-C549-93CD-15BE7575FC64}">
      <dgm:prSet/>
      <dgm:spPr/>
      <dgm:t>
        <a:bodyPr/>
        <a:lstStyle/>
        <a:p>
          <a:pPr algn="l"/>
          <a:endParaRPr lang="en-US"/>
        </a:p>
      </dgm:t>
    </dgm:pt>
    <dgm:pt modelId="{C2E796B1-4001-AA4F-842A-78AE0C2A8AE8}">
      <dgm:prSet phldrT="[Text]" custT="1"/>
      <dgm:spPr/>
      <dgm:t>
        <a:bodyPr/>
        <a:lstStyle/>
        <a:p>
          <a:pPr algn="ctr"/>
          <a:r>
            <a:rPr lang="en-US" sz="1200"/>
            <a:t>Intermediaries</a:t>
          </a:r>
        </a:p>
      </dgm:t>
    </dgm:pt>
    <dgm:pt modelId="{E73497F9-C96F-0741-93D8-C4F698159D0B}" type="parTrans" cxnId="{DB74C921-0E2B-4D41-8364-BD2FE5878918}">
      <dgm:prSet/>
      <dgm:spPr/>
      <dgm:t>
        <a:bodyPr/>
        <a:lstStyle/>
        <a:p>
          <a:pPr algn="l"/>
          <a:endParaRPr lang="en-US"/>
        </a:p>
      </dgm:t>
    </dgm:pt>
    <dgm:pt modelId="{E6C49192-FE7D-314E-BB81-6684F0E4EC7C}" type="sibTrans" cxnId="{DB74C921-0E2B-4D41-8364-BD2FE5878918}">
      <dgm:prSet/>
      <dgm:spPr>
        <a:ln>
          <a:solidFill>
            <a:schemeClr val="accent1">
              <a:lumMod val="50000"/>
              <a:alpha val="90000"/>
            </a:schemeClr>
          </a:solidFill>
        </a:ln>
      </dgm:spPr>
      <dgm:t>
        <a:bodyPr/>
        <a:lstStyle/>
        <a:p>
          <a:pPr algn="l"/>
          <a:endParaRPr lang="en-US"/>
        </a:p>
      </dgm:t>
    </dgm:pt>
    <dgm:pt modelId="{4870597C-CF61-234A-8C5A-63E869B1C1B5}">
      <dgm:prSet phldrT="[Text]" custT="1"/>
      <dgm:spPr/>
      <dgm:t>
        <a:bodyPr/>
        <a:lstStyle/>
        <a:p>
          <a:pPr algn="l"/>
          <a:r>
            <a:rPr lang="en-US" sz="1100"/>
            <a:t>Institutional Investors</a:t>
          </a:r>
        </a:p>
      </dgm:t>
    </dgm:pt>
    <dgm:pt modelId="{A9B38E1A-6E75-4442-B684-96B793C97D8E}" type="parTrans" cxnId="{2896112B-80E0-7E40-B13F-E27A6BF665FD}">
      <dgm:prSet/>
      <dgm:spPr/>
      <dgm:t>
        <a:bodyPr/>
        <a:lstStyle/>
        <a:p>
          <a:pPr algn="l"/>
          <a:endParaRPr lang="en-US"/>
        </a:p>
      </dgm:t>
    </dgm:pt>
    <dgm:pt modelId="{58FE41D4-F31E-104C-8D79-EDFC8EEC045E}" type="sibTrans" cxnId="{2896112B-80E0-7E40-B13F-E27A6BF665FD}">
      <dgm:prSet/>
      <dgm:spPr/>
      <dgm:t>
        <a:bodyPr/>
        <a:lstStyle/>
        <a:p>
          <a:pPr algn="l"/>
          <a:endParaRPr lang="en-US"/>
        </a:p>
      </dgm:t>
    </dgm:pt>
    <dgm:pt modelId="{240463A5-FFAA-294C-AA27-B235D71B563B}">
      <dgm:prSet phldrT="[Text]" custT="1"/>
      <dgm:spPr/>
      <dgm:t>
        <a:bodyPr/>
        <a:lstStyle/>
        <a:p>
          <a:pPr algn="l"/>
          <a:r>
            <a:rPr lang="en-US" sz="1100"/>
            <a:t>Asset Managers</a:t>
          </a:r>
        </a:p>
      </dgm:t>
    </dgm:pt>
    <dgm:pt modelId="{2466C90E-8D1C-114E-834F-99E8E3F86EDB}" type="parTrans" cxnId="{E8D30AED-F004-0F46-85CA-0607A8CC78DF}">
      <dgm:prSet/>
      <dgm:spPr/>
      <dgm:t>
        <a:bodyPr/>
        <a:lstStyle/>
        <a:p>
          <a:pPr algn="l"/>
          <a:endParaRPr lang="en-US"/>
        </a:p>
      </dgm:t>
    </dgm:pt>
    <dgm:pt modelId="{A2C74D95-7C8B-614B-8EC2-1E35A7EB0912}" type="sibTrans" cxnId="{E8D30AED-F004-0F46-85CA-0607A8CC78DF}">
      <dgm:prSet/>
      <dgm:spPr/>
      <dgm:t>
        <a:bodyPr/>
        <a:lstStyle/>
        <a:p>
          <a:pPr algn="l"/>
          <a:endParaRPr lang="en-US"/>
        </a:p>
      </dgm:t>
    </dgm:pt>
    <dgm:pt modelId="{6B27D1B4-CF54-F847-AF6F-21038AB30E50}">
      <dgm:prSet phldrT="[Text]" custT="1"/>
      <dgm:spPr/>
      <dgm:t>
        <a:bodyPr/>
        <a:lstStyle/>
        <a:p>
          <a:pPr algn="ctr"/>
          <a:r>
            <a:rPr lang="en-US" sz="1200"/>
            <a:t>Implementers</a:t>
          </a:r>
        </a:p>
      </dgm:t>
    </dgm:pt>
    <dgm:pt modelId="{D7F28F60-B1E2-8C48-AEDC-9E8A8EF8B25F}" type="parTrans" cxnId="{EA9D6110-DF6C-3946-B808-6077BBE7F0FC}">
      <dgm:prSet/>
      <dgm:spPr/>
      <dgm:t>
        <a:bodyPr/>
        <a:lstStyle/>
        <a:p>
          <a:pPr algn="l"/>
          <a:endParaRPr lang="en-US"/>
        </a:p>
      </dgm:t>
    </dgm:pt>
    <dgm:pt modelId="{04FE0A0B-8914-2446-AD10-79B78A1F5B6B}" type="sibTrans" cxnId="{EA9D6110-DF6C-3946-B808-6077BBE7F0FC}">
      <dgm:prSet/>
      <dgm:spPr/>
      <dgm:t>
        <a:bodyPr/>
        <a:lstStyle/>
        <a:p>
          <a:pPr algn="l"/>
          <a:endParaRPr lang="en-US"/>
        </a:p>
      </dgm:t>
    </dgm:pt>
    <dgm:pt modelId="{D750A81C-3001-EF4D-A109-86D20FD273B9}">
      <dgm:prSet phldrT="[Text]" custT="1"/>
      <dgm:spPr/>
      <dgm:t>
        <a:bodyPr/>
        <a:lstStyle/>
        <a:p>
          <a:pPr algn="l"/>
          <a:r>
            <a:rPr lang="en-US" sz="1100"/>
            <a:t>Conservation NGOs</a:t>
          </a:r>
        </a:p>
      </dgm:t>
    </dgm:pt>
    <dgm:pt modelId="{F4C6AED6-151A-CC47-9BA2-F0611D65FAF8}" type="parTrans" cxnId="{432BB806-03A4-924F-A96F-37A1784668BD}">
      <dgm:prSet/>
      <dgm:spPr/>
      <dgm:t>
        <a:bodyPr/>
        <a:lstStyle/>
        <a:p>
          <a:pPr algn="l"/>
          <a:endParaRPr lang="en-US"/>
        </a:p>
      </dgm:t>
    </dgm:pt>
    <dgm:pt modelId="{2E22003C-2F6C-C447-ACE5-A57BAC0E5F0A}" type="sibTrans" cxnId="{432BB806-03A4-924F-A96F-37A1784668BD}">
      <dgm:prSet/>
      <dgm:spPr/>
      <dgm:t>
        <a:bodyPr/>
        <a:lstStyle/>
        <a:p>
          <a:pPr algn="l"/>
          <a:endParaRPr lang="en-US"/>
        </a:p>
      </dgm:t>
    </dgm:pt>
    <dgm:pt modelId="{798F818C-6B6B-2C48-BD1E-415CB7C2D1BB}">
      <dgm:prSet phldrT="[Text]" custT="1"/>
      <dgm:spPr/>
      <dgm:t>
        <a:bodyPr/>
        <a:lstStyle/>
        <a:p>
          <a:pPr algn="l"/>
          <a:r>
            <a:rPr lang="en-US" sz="1100">
              <a:solidFill>
                <a:schemeClr val="bg1"/>
              </a:solidFill>
            </a:rPr>
            <a:t>Private Companies</a:t>
          </a:r>
        </a:p>
      </dgm:t>
    </dgm:pt>
    <dgm:pt modelId="{1E152C49-79B2-A34F-B55F-DDCB90929ACB}" type="parTrans" cxnId="{F0B38942-0F4A-2A44-8EEC-11A5408F4139}">
      <dgm:prSet/>
      <dgm:spPr/>
      <dgm:t>
        <a:bodyPr/>
        <a:lstStyle/>
        <a:p>
          <a:pPr algn="l"/>
          <a:endParaRPr lang="en-US"/>
        </a:p>
      </dgm:t>
    </dgm:pt>
    <dgm:pt modelId="{E24BE24A-F98C-DC41-8928-61D1266F1EB9}" type="sibTrans" cxnId="{F0B38942-0F4A-2A44-8EEC-11A5408F4139}">
      <dgm:prSet/>
      <dgm:spPr/>
      <dgm:t>
        <a:bodyPr/>
        <a:lstStyle/>
        <a:p>
          <a:pPr algn="l"/>
          <a:endParaRPr lang="en-US"/>
        </a:p>
      </dgm:t>
    </dgm:pt>
    <dgm:pt modelId="{30D11A2C-E257-7844-9B3A-E058D987EF59}">
      <dgm:prSet phldrT="[Text]" custT="1"/>
      <dgm:spPr/>
      <dgm:t>
        <a:bodyPr/>
        <a:lstStyle/>
        <a:p>
          <a:pPr algn="l"/>
          <a:r>
            <a:rPr lang="en-US" sz="1100"/>
            <a:t>Commercial Banks</a:t>
          </a:r>
        </a:p>
      </dgm:t>
    </dgm:pt>
    <dgm:pt modelId="{FA751818-1F6B-7E44-9B9C-83A339DDD01F}" type="parTrans" cxnId="{A5C25617-9BA8-1F43-9E2F-97C44862CB7E}">
      <dgm:prSet/>
      <dgm:spPr/>
      <dgm:t>
        <a:bodyPr/>
        <a:lstStyle/>
        <a:p>
          <a:pPr algn="l"/>
          <a:endParaRPr lang="en-US"/>
        </a:p>
      </dgm:t>
    </dgm:pt>
    <dgm:pt modelId="{244B85CD-32E2-4A48-A4BE-775F2E50235E}" type="sibTrans" cxnId="{A5C25617-9BA8-1F43-9E2F-97C44862CB7E}">
      <dgm:prSet/>
      <dgm:spPr/>
      <dgm:t>
        <a:bodyPr/>
        <a:lstStyle/>
        <a:p>
          <a:pPr algn="l"/>
          <a:endParaRPr lang="en-US"/>
        </a:p>
      </dgm:t>
    </dgm:pt>
    <dgm:pt modelId="{170CE425-CC7A-AD4F-91E0-FE9A2AAEA6D7}">
      <dgm:prSet phldrT="[Text]" custT="1"/>
      <dgm:spPr/>
      <dgm:t>
        <a:bodyPr/>
        <a:lstStyle/>
        <a:p>
          <a:pPr algn="l"/>
          <a:r>
            <a:rPr lang="en-US" sz="1100"/>
            <a:t>Philanthropic Foundations</a:t>
          </a:r>
        </a:p>
      </dgm:t>
    </dgm:pt>
    <dgm:pt modelId="{7190B8CB-C35B-2C46-B595-7B4DF3ABFDE4}" type="parTrans" cxnId="{134F13BD-D315-3142-9F2D-2555D499DDC0}">
      <dgm:prSet/>
      <dgm:spPr/>
      <dgm:t>
        <a:bodyPr/>
        <a:lstStyle/>
        <a:p>
          <a:pPr algn="l"/>
          <a:endParaRPr lang="en-US"/>
        </a:p>
      </dgm:t>
    </dgm:pt>
    <dgm:pt modelId="{151C93EE-993B-1141-9B3D-6557E17723FD}" type="sibTrans" cxnId="{134F13BD-D315-3142-9F2D-2555D499DDC0}">
      <dgm:prSet/>
      <dgm:spPr/>
      <dgm:t>
        <a:bodyPr/>
        <a:lstStyle/>
        <a:p>
          <a:pPr algn="l"/>
          <a:endParaRPr lang="en-US"/>
        </a:p>
      </dgm:t>
    </dgm:pt>
    <dgm:pt modelId="{1BC68130-9E1C-5241-9590-F6888AC4C9DA}">
      <dgm:prSet phldrT="[Text]" custT="1"/>
      <dgm:spPr/>
      <dgm:t>
        <a:bodyPr/>
        <a:lstStyle/>
        <a:p>
          <a:pPr algn="l"/>
          <a:r>
            <a:rPr lang="en-US" sz="1100"/>
            <a:t>Households and communities</a:t>
          </a:r>
        </a:p>
      </dgm:t>
    </dgm:pt>
    <dgm:pt modelId="{8065D815-B221-1D49-A21E-B2B75FACA0C1}" type="parTrans" cxnId="{EDA8A457-B2D0-2E45-97EC-D416045EF246}">
      <dgm:prSet/>
      <dgm:spPr/>
      <dgm:t>
        <a:bodyPr/>
        <a:lstStyle/>
        <a:p>
          <a:pPr algn="l"/>
          <a:endParaRPr lang="en-US"/>
        </a:p>
      </dgm:t>
    </dgm:pt>
    <dgm:pt modelId="{0873DD71-58A3-7845-82D3-7BC7CE461157}" type="sibTrans" cxnId="{EDA8A457-B2D0-2E45-97EC-D416045EF246}">
      <dgm:prSet/>
      <dgm:spPr/>
      <dgm:t>
        <a:bodyPr/>
        <a:lstStyle/>
        <a:p>
          <a:pPr algn="l"/>
          <a:endParaRPr lang="en-US"/>
        </a:p>
      </dgm:t>
    </dgm:pt>
    <dgm:pt modelId="{88389641-8875-264A-B98D-4997617DEDE4}" type="pres">
      <dgm:prSet presAssocID="{4F4D78B0-99ED-3643-BFE7-BFE98F6C9E76}" presName="outerComposite" presStyleCnt="0">
        <dgm:presLayoutVars>
          <dgm:chMax val="5"/>
          <dgm:dir/>
          <dgm:resizeHandles val="exact"/>
        </dgm:presLayoutVars>
      </dgm:prSet>
      <dgm:spPr/>
    </dgm:pt>
    <dgm:pt modelId="{B53235E3-C6F5-D144-9078-5F938222D1BC}" type="pres">
      <dgm:prSet presAssocID="{4F4D78B0-99ED-3643-BFE7-BFE98F6C9E76}" presName="dummyMaxCanvas" presStyleCnt="0">
        <dgm:presLayoutVars/>
      </dgm:prSet>
      <dgm:spPr/>
    </dgm:pt>
    <dgm:pt modelId="{3B1939F0-157C-D64B-B467-EDEC726FE41E}" type="pres">
      <dgm:prSet presAssocID="{4F4D78B0-99ED-3643-BFE7-BFE98F6C9E76}" presName="ThreeNodes_1" presStyleLbl="node1" presStyleIdx="0" presStyleCnt="3" custLinFactNeighborX="-9399" custLinFactNeighborY="-1107">
        <dgm:presLayoutVars>
          <dgm:bulletEnabled val="1"/>
        </dgm:presLayoutVars>
      </dgm:prSet>
      <dgm:spPr/>
    </dgm:pt>
    <dgm:pt modelId="{C7D4BDD9-0991-8342-B186-15E61B12D654}" type="pres">
      <dgm:prSet presAssocID="{4F4D78B0-99ED-3643-BFE7-BFE98F6C9E76}" presName="ThreeNodes_2" presStyleLbl="node1" presStyleIdx="1" presStyleCnt="3">
        <dgm:presLayoutVars>
          <dgm:bulletEnabled val="1"/>
        </dgm:presLayoutVars>
      </dgm:prSet>
      <dgm:spPr/>
    </dgm:pt>
    <dgm:pt modelId="{6816F23E-7348-E94B-9618-DE752448C72A}" type="pres">
      <dgm:prSet presAssocID="{4F4D78B0-99ED-3643-BFE7-BFE98F6C9E76}" presName="ThreeNodes_3" presStyleLbl="node1" presStyleIdx="2" presStyleCnt="3">
        <dgm:presLayoutVars>
          <dgm:bulletEnabled val="1"/>
        </dgm:presLayoutVars>
      </dgm:prSet>
      <dgm:spPr/>
    </dgm:pt>
    <dgm:pt modelId="{CAB84CEA-B003-D746-902E-BAD1EF98EB17}" type="pres">
      <dgm:prSet presAssocID="{4F4D78B0-99ED-3643-BFE7-BFE98F6C9E76}" presName="ThreeConn_1-2" presStyleLbl="fgAccFollowNode1" presStyleIdx="0" presStyleCnt="2" custScaleX="60662" custScaleY="126682" custLinFactNeighborX="-73261" custLinFactNeighborY="-10222">
        <dgm:presLayoutVars>
          <dgm:bulletEnabled val="1"/>
        </dgm:presLayoutVars>
      </dgm:prSet>
      <dgm:spPr/>
    </dgm:pt>
    <dgm:pt modelId="{82DD5812-80EF-7540-9127-AA99E4361FE2}" type="pres">
      <dgm:prSet presAssocID="{4F4D78B0-99ED-3643-BFE7-BFE98F6C9E76}" presName="ThreeConn_2-3" presStyleLbl="fgAccFollowNode1" presStyleIdx="1" presStyleCnt="2" custScaleX="70119" custLinFactX="-19260" custLinFactNeighborX="-100000" custLinFactNeighborY="18741">
        <dgm:presLayoutVars>
          <dgm:bulletEnabled val="1"/>
        </dgm:presLayoutVars>
      </dgm:prSet>
      <dgm:spPr/>
    </dgm:pt>
    <dgm:pt modelId="{F2F4E502-28B2-B44E-A917-8698D9CCDC8B}" type="pres">
      <dgm:prSet presAssocID="{4F4D78B0-99ED-3643-BFE7-BFE98F6C9E76}" presName="ThreeNodes_1_text" presStyleLbl="node1" presStyleIdx="2" presStyleCnt="3">
        <dgm:presLayoutVars>
          <dgm:bulletEnabled val="1"/>
        </dgm:presLayoutVars>
      </dgm:prSet>
      <dgm:spPr/>
    </dgm:pt>
    <dgm:pt modelId="{B355BF29-7255-C645-BDD2-032461EFB67B}" type="pres">
      <dgm:prSet presAssocID="{4F4D78B0-99ED-3643-BFE7-BFE98F6C9E76}" presName="ThreeNodes_2_text" presStyleLbl="node1" presStyleIdx="2" presStyleCnt="3">
        <dgm:presLayoutVars>
          <dgm:bulletEnabled val="1"/>
        </dgm:presLayoutVars>
      </dgm:prSet>
      <dgm:spPr/>
    </dgm:pt>
    <dgm:pt modelId="{C6A69726-AD76-0E4D-AB6E-EB462150C702}" type="pres">
      <dgm:prSet presAssocID="{4F4D78B0-99ED-3643-BFE7-BFE98F6C9E76}" presName="ThreeNodes_3_text" presStyleLbl="node1" presStyleIdx="2" presStyleCnt="3">
        <dgm:presLayoutVars>
          <dgm:bulletEnabled val="1"/>
        </dgm:presLayoutVars>
      </dgm:prSet>
      <dgm:spPr/>
    </dgm:pt>
  </dgm:ptLst>
  <dgm:cxnLst>
    <dgm:cxn modelId="{AC613C03-5BB8-EC42-8C1C-F75A3239A8CA}" type="presOf" srcId="{4F4D78B0-99ED-3643-BFE7-BFE98F6C9E76}" destId="{88389641-8875-264A-B98D-4997617DEDE4}" srcOrd="0" destOrd="0" presId="urn:microsoft.com/office/officeart/2005/8/layout/vProcess5"/>
    <dgm:cxn modelId="{BA901904-03DE-5640-B988-17CB5E72E8FD}" type="presOf" srcId="{D750A81C-3001-EF4D-A109-86D20FD273B9}" destId="{C6A69726-AD76-0E4D-AB6E-EB462150C702}" srcOrd="1" destOrd="1" presId="urn:microsoft.com/office/officeart/2005/8/layout/vProcess5"/>
    <dgm:cxn modelId="{432BB806-03A4-924F-A96F-37A1784668BD}" srcId="{6B27D1B4-CF54-F847-AF6F-21038AB30E50}" destId="{D750A81C-3001-EF4D-A109-86D20FD273B9}" srcOrd="0" destOrd="0" parTransId="{F4C6AED6-151A-CC47-9BA2-F0611D65FAF8}" sibTransId="{2E22003C-2F6C-C447-ACE5-A57BAC0E5F0A}"/>
    <dgm:cxn modelId="{88D82E10-5570-924E-A68D-3D7E919972D5}" type="presOf" srcId="{1054D712-9808-1647-A9F6-0ADF979D5DC1}" destId="{CAB84CEA-B003-D746-902E-BAD1EF98EB17}" srcOrd="0" destOrd="0" presId="urn:microsoft.com/office/officeart/2005/8/layout/vProcess5"/>
    <dgm:cxn modelId="{EA9D6110-DF6C-3946-B808-6077BBE7F0FC}" srcId="{4F4D78B0-99ED-3643-BFE7-BFE98F6C9E76}" destId="{6B27D1B4-CF54-F847-AF6F-21038AB30E50}" srcOrd="2" destOrd="0" parTransId="{D7F28F60-B1E2-8C48-AEDC-9E8A8EF8B25F}" sibTransId="{04FE0A0B-8914-2446-AD10-79B78A1F5B6B}"/>
    <dgm:cxn modelId="{EA8F6614-089B-2F46-B557-A123C7CC7852}" type="presOf" srcId="{C2E796B1-4001-AA4F-842A-78AE0C2A8AE8}" destId="{B355BF29-7255-C645-BDD2-032461EFB67B}" srcOrd="1" destOrd="0" presId="urn:microsoft.com/office/officeart/2005/8/layout/vProcess5"/>
    <dgm:cxn modelId="{A5C25617-9BA8-1F43-9E2F-97C44862CB7E}" srcId="{C2E796B1-4001-AA4F-842A-78AE0C2A8AE8}" destId="{30D11A2C-E257-7844-9B3A-E058D987EF59}" srcOrd="2" destOrd="0" parTransId="{FA751818-1F6B-7E44-9B9C-83A339DDD01F}" sibTransId="{244B85CD-32E2-4A48-A4BE-775F2E50235E}"/>
    <dgm:cxn modelId="{DB74C921-0E2B-4D41-8364-BD2FE5878918}" srcId="{4F4D78B0-99ED-3643-BFE7-BFE98F6C9E76}" destId="{C2E796B1-4001-AA4F-842A-78AE0C2A8AE8}" srcOrd="1" destOrd="0" parTransId="{E73497F9-C96F-0741-93D8-C4F698159D0B}" sibTransId="{E6C49192-FE7D-314E-BB81-6684F0E4EC7C}"/>
    <dgm:cxn modelId="{0EEFEC25-CE49-614F-9B85-7CD0AB280853}" type="presOf" srcId="{02430012-85A7-6947-91C9-062CD358641B}" destId="{F2F4E502-28B2-B44E-A917-8698D9CCDC8B}" srcOrd="1" destOrd="1" presId="urn:microsoft.com/office/officeart/2005/8/layout/vProcess5"/>
    <dgm:cxn modelId="{2896112B-80E0-7E40-B13F-E27A6BF665FD}" srcId="{C2E796B1-4001-AA4F-842A-78AE0C2A8AE8}" destId="{4870597C-CF61-234A-8C5A-63E869B1C1B5}" srcOrd="0" destOrd="0" parTransId="{A9B38E1A-6E75-4442-B684-96B793C97D8E}" sibTransId="{58FE41D4-F31E-104C-8D79-EDFC8EEC045E}"/>
    <dgm:cxn modelId="{7C271E3C-B3EE-9C48-B8C2-C835100C2C22}" type="presOf" srcId="{1BC68130-9E1C-5241-9590-F6888AC4C9DA}" destId="{6816F23E-7348-E94B-9618-DE752448C72A}" srcOrd="0" destOrd="3" presId="urn:microsoft.com/office/officeart/2005/8/layout/vProcess5"/>
    <dgm:cxn modelId="{1017AB40-0D2E-6B4F-AAC4-A7DB608A03A6}" type="presOf" srcId="{02430012-85A7-6947-91C9-062CD358641B}" destId="{3B1939F0-157C-D64B-B467-EDEC726FE41E}" srcOrd="0" destOrd="1" presId="urn:microsoft.com/office/officeart/2005/8/layout/vProcess5"/>
    <dgm:cxn modelId="{F0B38942-0F4A-2A44-8EEC-11A5408F4139}" srcId="{6B27D1B4-CF54-F847-AF6F-21038AB30E50}" destId="{798F818C-6B6B-2C48-BD1E-415CB7C2D1BB}" srcOrd="1" destOrd="0" parTransId="{1E152C49-79B2-A34F-B55F-DDCB90929ACB}" sibTransId="{E24BE24A-F98C-DC41-8928-61D1266F1EB9}"/>
    <dgm:cxn modelId="{DFE83563-65D8-2C41-A311-0AFEC79C76EE}" type="presOf" srcId="{C903C5A6-AD31-8342-B990-10F3DEC0C891}" destId="{F2F4E502-28B2-B44E-A917-8698D9CCDC8B}" srcOrd="1" destOrd="2" presId="urn:microsoft.com/office/officeart/2005/8/layout/vProcess5"/>
    <dgm:cxn modelId="{ACDFE949-31C7-3E41-B231-DE704A0D061D}" type="presOf" srcId="{798F818C-6B6B-2C48-BD1E-415CB7C2D1BB}" destId="{C6A69726-AD76-0E4D-AB6E-EB462150C702}" srcOrd="1" destOrd="2" presId="urn:microsoft.com/office/officeart/2005/8/layout/vProcess5"/>
    <dgm:cxn modelId="{A4C7624C-3EDC-F141-9692-1A1FCFBBBBBD}" type="presOf" srcId="{1BC68130-9E1C-5241-9590-F6888AC4C9DA}" destId="{C6A69726-AD76-0E4D-AB6E-EB462150C702}" srcOrd="1" destOrd="3" presId="urn:microsoft.com/office/officeart/2005/8/layout/vProcess5"/>
    <dgm:cxn modelId="{A3FD7E6C-F97C-AC48-A6D3-AD3072923409}" type="presOf" srcId="{8C7C30F0-939A-A54F-8069-5BE47715D06A}" destId="{F2F4E502-28B2-B44E-A917-8698D9CCDC8B}" srcOrd="1" destOrd="0" presId="urn:microsoft.com/office/officeart/2005/8/layout/vProcess5"/>
    <dgm:cxn modelId="{F888764D-1081-794B-931E-F1025EA6EBA3}" type="presOf" srcId="{170CE425-CC7A-AD4F-91E0-FE9A2AAEA6D7}" destId="{B355BF29-7255-C645-BDD2-032461EFB67B}" srcOrd="1" destOrd="4" presId="urn:microsoft.com/office/officeart/2005/8/layout/vProcess5"/>
    <dgm:cxn modelId="{7E5B774D-C70F-C549-93CD-15BE7575FC64}" srcId="{8C7C30F0-939A-A54F-8069-5BE47715D06A}" destId="{C903C5A6-AD31-8342-B990-10F3DEC0C891}" srcOrd="1" destOrd="0" parTransId="{D73EC7F1-B5A0-D944-B8F8-58B9C5CABA80}" sibTransId="{D76F3DC7-0D8C-EB48-919B-A9BC68C21AAD}"/>
    <dgm:cxn modelId="{F2E60C6F-5770-824A-B7E9-DE28EC1C4D60}" type="presOf" srcId="{4870597C-CF61-234A-8C5A-63E869B1C1B5}" destId="{B355BF29-7255-C645-BDD2-032461EFB67B}" srcOrd="1" destOrd="1" presId="urn:microsoft.com/office/officeart/2005/8/layout/vProcess5"/>
    <dgm:cxn modelId="{10357F6F-1AB4-ED48-9BE2-C993C4573253}" type="presOf" srcId="{6B27D1B4-CF54-F847-AF6F-21038AB30E50}" destId="{C6A69726-AD76-0E4D-AB6E-EB462150C702}" srcOrd="1" destOrd="0" presId="urn:microsoft.com/office/officeart/2005/8/layout/vProcess5"/>
    <dgm:cxn modelId="{DA75AE51-7010-9043-A4E1-70893FC5F514}" type="presOf" srcId="{E6C49192-FE7D-314E-BB81-6684F0E4EC7C}" destId="{82DD5812-80EF-7540-9127-AA99E4361FE2}" srcOrd="0" destOrd="0" presId="urn:microsoft.com/office/officeart/2005/8/layout/vProcess5"/>
    <dgm:cxn modelId="{EDA8A457-B2D0-2E45-97EC-D416045EF246}" srcId="{6B27D1B4-CF54-F847-AF6F-21038AB30E50}" destId="{1BC68130-9E1C-5241-9590-F6888AC4C9DA}" srcOrd="2" destOrd="0" parTransId="{8065D815-B221-1D49-A21E-B2B75FACA0C1}" sibTransId="{0873DD71-58A3-7845-82D3-7BC7CE461157}"/>
    <dgm:cxn modelId="{F6119758-E865-414A-AD78-70D4051DF3C2}" srcId="{8C7C30F0-939A-A54F-8069-5BE47715D06A}" destId="{02430012-85A7-6947-91C9-062CD358641B}" srcOrd="0" destOrd="0" parTransId="{55F2D3B0-01E7-CE47-B22A-DB8D7B2314D4}" sibTransId="{F9D579E2-418A-F549-B5BE-1BF7A6C9277E}"/>
    <dgm:cxn modelId="{EF27017A-8668-0046-A000-B921F30A9BDE}" type="presOf" srcId="{D750A81C-3001-EF4D-A109-86D20FD273B9}" destId="{6816F23E-7348-E94B-9618-DE752448C72A}" srcOrd="0" destOrd="1" presId="urn:microsoft.com/office/officeart/2005/8/layout/vProcess5"/>
    <dgm:cxn modelId="{44A0257E-8AD1-0947-B528-4A71268EC5FF}" type="presOf" srcId="{30D11A2C-E257-7844-9B3A-E058D987EF59}" destId="{C7D4BDD9-0991-8342-B186-15E61B12D654}" srcOrd="0" destOrd="3" presId="urn:microsoft.com/office/officeart/2005/8/layout/vProcess5"/>
    <dgm:cxn modelId="{A8F59A87-CE71-5244-902F-38345BBA5C43}" type="presOf" srcId="{C2E796B1-4001-AA4F-842A-78AE0C2A8AE8}" destId="{C7D4BDD9-0991-8342-B186-15E61B12D654}" srcOrd="0" destOrd="0" presId="urn:microsoft.com/office/officeart/2005/8/layout/vProcess5"/>
    <dgm:cxn modelId="{7D14B39C-276B-0D4A-998E-E36014E40ECD}" type="presOf" srcId="{170CE425-CC7A-AD4F-91E0-FE9A2AAEA6D7}" destId="{C7D4BDD9-0991-8342-B186-15E61B12D654}" srcOrd="0" destOrd="4" presId="urn:microsoft.com/office/officeart/2005/8/layout/vProcess5"/>
    <dgm:cxn modelId="{3E74DAA0-9A1F-6949-B21B-179C559F6B19}" type="presOf" srcId="{30D11A2C-E257-7844-9B3A-E058D987EF59}" destId="{B355BF29-7255-C645-BDD2-032461EFB67B}" srcOrd="1" destOrd="3" presId="urn:microsoft.com/office/officeart/2005/8/layout/vProcess5"/>
    <dgm:cxn modelId="{D4E7D6A1-65AA-8945-855C-735C6C529CD8}" type="presOf" srcId="{6B27D1B4-CF54-F847-AF6F-21038AB30E50}" destId="{6816F23E-7348-E94B-9618-DE752448C72A}" srcOrd="0" destOrd="0" presId="urn:microsoft.com/office/officeart/2005/8/layout/vProcess5"/>
    <dgm:cxn modelId="{C16E2EA6-FAAC-7C40-9669-A43265238BE2}" type="presOf" srcId="{8C7C30F0-939A-A54F-8069-5BE47715D06A}" destId="{3B1939F0-157C-D64B-B467-EDEC726FE41E}" srcOrd="0" destOrd="0" presId="urn:microsoft.com/office/officeart/2005/8/layout/vProcess5"/>
    <dgm:cxn modelId="{24E945A6-3609-4342-BB7B-C8FEB0A63A41}" type="presOf" srcId="{C903C5A6-AD31-8342-B990-10F3DEC0C891}" destId="{3B1939F0-157C-D64B-B467-EDEC726FE41E}" srcOrd="0" destOrd="2" presId="urn:microsoft.com/office/officeart/2005/8/layout/vProcess5"/>
    <dgm:cxn modelId="{DAA9DBAA-1F46-9942-8736-EAC21FB0EAEB}" srcId="{4F4D78B0-99ED-3643-BFE7-BFE98F6C9E76}" destId="{8C7C30F0-939A-A54F-8069-5BE47715D06A}" srcOrd="0" destOrd="0" parTransId="{37AADBB3-9036-C84E-88E1-D5FD478B3E74}" sibTransId="{1054D712-9808-1647-A9F6-0ADF979D5DC1}"/>
    <dgm:cxn modelId="{0BC3E2B4-541A-D043-A7AD-9E9C684F56E0}" type="presOf" srcId="{240463A5-FFAA-294C-AA27-B235D71B563B}" destId="{C7D4BDD9-0991-8342-B186-15E61B12D654}" srcOrd="0" destOrd="2" presId="urn:microsoft.com/office/officeart/2005/8/layout/vProcess5"/>
    <dgm:cxn modelId="{E582EBB7-04D0-5B46-8893-94E1BA9042FD}" type="presOf" srcId="{798F818C-6B6B-2C48-BD1E-415CB7C2D1BB}" destId="{6816F23E-7348-E94B-9618-DE752448C72A}" srcOrd="0" destOrd="2" presId="urn:microsoft.com/office/officeart/2005/8/layout/vProcess5"/>
    <dgm:cxn modelId="{134F13BD-D315-3142-9F2D-2555D499DDC0}" srcId="{C2E796B1-4001-AA4F-842A-78AE0C2A8AE8}" destId="{170CE425-CC7A-AD4F-91E0-FE9A2AAEA6D7}" srcOrd="3" destOrd="0" parTransId="{7190B8CB-C35B-2C46-B595-7B4DF3ABFDE4}" sibTransId="{151C93EE-993B-1141-9B3D-6557E17723FD}"/>
    <dgm:cxn modelId="{D1C5ECD5-EB3F-1240-91AD-D4CA18080439}" type="presOf" srcId="{4870597C-CF61-234A-8C5A-63E869B1C1B5}" destId="{C7D4BDD9-0991-8342-B186-15E61B12D654}" srcOrd="0" destOrd="1" presId="urn:microsoft.com/office/officeart/2005/8/layout/vProcess5"/>
    <dgm:cxn modelId="{D1C31DD8-1F47-844A-88E5-467DF1262FC5}" type="presOf" srcId="{240463A5-FFAA-294C-AA27-B235D71B563B}" destId="{B355BF29-7255-C645-BDD2-032461EFB67B}" srcOrd="1" destOrd="2" presId="urn:microsoft.com/office/officeart/2005/8/layout/vProcess5"/>
    <dgm:cxn modelId="{E8D30AED-F004-0F46-85CA-0607A8CC78DF}" srcId="{C2E796B1-4001-AA4F-842A-78AE0C2A8AE8}" destId="{240463A5-FFAA-294C-AA27-B235D71B563B}" srcOrd="1" destOrd="0" parTransId="{2466C90E-8D1C-114E-834F-99E8E3F86EDB}" sibTransId="{A2C74D95-7C8B-614B-8EC2-1E35A7EB0912}"/>
    <dgm:cxn modelId="{2C73CF5B-55FE-6742-8165-4E0AE8B38836}" type="presParOf" srcId="{88389641-8875-264A-B98D-4997617DEDE4}" destId="{B53235E3-C6F5-D144-9078-5F938222D1BC}" srcOrd="0" destOrd="0" presId="urn:microsoft.com/office/officeart/2005/8/layout/vProcess5"/>
    <dgm:cxn modelId="{11916669-FA34-184B-B7AC-3B0590B323CC}" type="presParOf" srcId="{88389641-8875-264A-B98D-4997617DEDE4}" destId="{3B1939F0-157C-D64B-B467-EDEC726FE41E}" srcOrd="1" destOrd="0" presId="urn:microsoft.com/office/officeart/2005/8/layout/vProcess5"/>
    <dgm:cxn modelId="{C28F7548-F2AD-1647-843E-0EE451FDA876}" type="presParOf" srcId="{88389641-8875-264A-B98D-4997617DEDE4}" destId="{C7D4BDD9-0991-8342-B186-15E61B12D654}" srcOrd="2" destOrd="0" presId="urn:microsoft.com/office/officeart/2005/8/layout/vProcess5"/>
    <dgm:cxn modelId="{B1970B10-4381-D849-9F91-0974D1A319D5}" type="presParOf" srcId="{88389641-8875-264A-B98D-4997617DEDE4}" destId="{6816F23E-7348-E94B-9618-DE752448C72A}" srcOrd="3" destOrd="0" presId="urn:microsoft.com/office/officeart/2005/8/layout/vProcess5"/>
    <dgm:cxn modelId="{ABFEA7AE-359D-C246-81B8-5A52B49E032A}" type="presParOf" srcId="{88389641-8875-264A-B98D-4997617DEDE4}" destId="{CAB84CEA-B003-D746-902E-BAD1EF98EB17}" srcOrd="4" destOrd="0" presId="urn:microsoft.com/office/officeart/2005/8/layout/vProcess5"/>
    <dgm:cxn modelId="{0C4109FB-5893-324D-98E7-B86AD10A6BD3}" type="presParOf" srcId="{88389641-8875-264A-B98D-4997617DEDE4}" destId="{82DD5812-80EF-7540-9127-AA99E4361FE2}" srcOrd="5" destOrd="0" presId="urn:microsoft.com/office/officeart/2005/8/layout/vProcess5"/>
    <dgm:cxn modelId="{36B4367E-1CF0-124C-9DA0-7DF6C1A8E9E5}" type="presParOf" srcId="{88389641-8875-264A-B98D-4997617DEDE4}" destId="{F2F4E502-28B2-B44E-A917-8698D9CCDC8B}" srcOrd="6" destOrd="0" presId="urn:microsoft.com/office/officeart/2005/8/layout/vProcess5"/>
    <dgm:cxn modelId="{481158CD-BCB2-0E40-A2F2-062D3F4DE637}" type="presParOf" srcId="{88389641-8875-264A-B98D-4997617DEDE4}" destId="{B355BF29-7255-C645-BDD2-032461EFB67B}" srcOrd="7" destOrd="0" presId="urn:microsoft.com/office/officeart/2005/8/layout/vProcess5"/>
    <dgm:cxn modelId="{ACCFCA71-42A6-BE47-924A-04CEE0D7DF76}" type="presParOf" srcId="{88389641-8875-264A-B98D-4997617DEDE4}" destId="{C6A69726-AD76-0E4D-AB6E-EB462150C702}" srcOrd="8" destOrd="0" presId="urn:microsoft.com/office/officeart/2005/8/layout/vProcess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939F0-157C-D64B-B467-EDEC726FE41E}">
      <dsp:nvSpPr>
        <dsp:cNvPr id="0" name=""/>
        <dsp:cNvSpPr/>
      </dsp:nvSpPr>
      <dsp:spPr>
        <a:xfrm>
          <a:off x="0" y="0"/>
          <a:ext cx="3280675" cy="9601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Source</a:t>
          </a:r>
        </a:p>
        <a:p>
          <a:pPr marL="57150" lvl="1" indent="-57150" algn="l" defTabSz="488950">
            <a:lnSpc>
              <a:spcPct val="90000"/>
            </a:lnSpc>
            <a:spcBef>
              <a:spcPct val="0"/>
            </a:spcBef>
            <a:spcAft>
              <a:spcPct val="15000"/>
            </a:spcAft>
            <a:buChar char="•"/>
          </a:pPr>
          <a:r>
            <a:rPr lang="en-US" sz="1100" kern="1200">
              <a:solidFill>
                <a:schemeClr val="bg1"/>
              </a:solidFill>
            </a:rPr>
            <a:t>Household revenues and savings</a:t>
          </a:r>
        </a:p>
        <a:p>
          <a:pPr marL="57150" lvl="1" indent="-57150" algn="l" defTabSz="488950">
            <a:lnSpc>
              <a:spcPct val="90000"/>
            </a:lnSpc>
            <a:spcBef>
              <a:spcPct val="0"/>
            </a:spcBef>
            <a:spcAft>
              <a:spcPct val="15000"/>
            </a:spcAft>
            <a:buChar char="•"/>
          </a:pPr>
          <a:r>
            <a:rPr lang="en-US" sz="1100" kern="1200">
              <a:solidFill>
                <a:schemeClr val="bg1"/>
              </a:solidFill>
            </a:rPr>
            <a:t>Corporate revenues and savings</a:t>
          </a:r>
        </a:p>
      </dsp:txBody>
      <dsp:txXfrm>
        <a:off x="28121" y="28121"/>
        <a:ext cx="2244630" cy="903878"/>
      </dsp:txXfrm>
    </dsp:sp>
    <dsp:sp modelId="{C7D4BDD9-0991-8342-B186-15E61B12D654}">
      <dsp:nvSpPr>
        <dsp:cNvPr id="0" name=""/>
        <dsp:cNvSpPr/>
      </dsp:nvSpPr>
      <dsp:spPr>
        <a:xfrm>
          <a:off x="289471" y="1120140"/>
          <a:ext cx="3280675" cy="9601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Intermediaries</a:t>
          </a:r>
        </a:p>
        <a:p>
          <a:pPr marL="57150" lvl="1" indent="-57150" algn="l" defTabSz="488950">
            <a:lnSpc>
              <a:spcPct val="90000"/>
            </a:lnSpc>
            <a:spcBef>
              <a:spcPct val="0"/>
            </a:spcBef>
            <a:spcAft>
              <a:spcPct val="15000"/>
            </a:spcAft>
            <a:buChar char="•"/>
          </a:pPr>
          <a:r>
            <a:rPr lang="en-US" sz="1100" kern="1200"/>
            <a:t>Institutional Investors</a:t>
          </a:r>
        </a:p>
        <a:p>
          <a:pPr marL="57150" lvl="1" indent="-57150" algn="l" defTabSz="488950">
            <a:lnSpc>
              <a:spcPct val="90000"/>
            </a:lnSpc>
            <a:spcBef>
              <a:spcPct val="0"/>
            </a:spcBef>
            <a:spcAft>
              <a:spcPct val="15000"/>
            </a:spcAft>
            <a:buChar char="•"/>
          </a:pPr>
          <a:r>
            <a:rPr lang="en-US" sz="1100" kern="1200"/>
            <a:t>Asset Managers</a:t>
          </a:r>
        </a:p>
        <a:p>
          <a:pPr marL="57150" lvl="1" indent="-57150" algn="l" defTabSz="488950">
            <a:lnSpc>
              <a:spcPct val="90000"/>
            </a:lnSpc>
            <a:spcBef>
              <a:spcPct val="0"/>
            </a:spcBef>
            <a:spcAft>
              <a:spcPct val="15000"/>
            </a:spcAft>
            <a:buChar char="•"/>
          </a:pPr>
          <a:r>
            <a:rPr lang="en-US" sz="1100" kern="1200"/>
            <a:t>Commercial Banks</a:t>
          </a:r>
        </a:p>
        <a:p>
          <a:pPr marL="57150" lvl="1" indent="-57150" algn="l" defTabSz="488950">
            <a:lnSpc>
              <a:spcPct val="90000"/>
            </a:lnSpc>
            <a:spcBef>
              <a:spcPct val="0"/>
            </a:spcBef>
            <a:spcAft>
              <a:spcPct val="15000"/>
            </a:spcAft>
            <a:buChar char="•"/>
          </a:pPr>
          <a:r>
            <a:rPr lang="en-US" sz="1100" kern="1200"/>
            <a:t>Philanthropic Foundations</a:t>
          </a:r>
        </a:p>
      </dsp:txBody>
      <dsp:txXfrm>
        <a:off x="317592" y="1148261"/>
        <a:ext cx="2310883" cy="903878"/>
      </dsp:txXfrm>
    </dsp:sp>
    <dsp:sp modelId="{6816F23E-7348-E94B-9618-DE752448C72A}">
      <dsp:nvSpPr>
        <dsp:cNvPr id="0" name=""/>
        <dsp:cNvSpPr/>
      </dsp:nvSpPr>
      <dsp:spPr>
        <a:xfrm>
          <a:off x="578942" y="2240280"/>
          <a:ext cx="3280675" cy="9601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Implementers</a:t>
          </a:r>
        </a:p>
        <a:p>
          <a:pPr marL="57150" lvl="1" indent="-57150" algn="l" defTabSz="488950">
            <a:lnSpc>
              <a:spcPct val="90000"/>
            </a:lnSpc>
            <a:spcBef>
              <a:spcPct val="0"/>
            </a:spcBef>
            <a:spcAft>
              <a:spcPct val="15000"/>
            </a:spcAft>
            <a:buChar char="•"/>
          </a:pPr>
          <a:r>
            <a:rPr lang="en-US" sz="1100" kern="1200"/>
            <a:t>Conservation NGOs</a:t>
          </a:r>
        </a:p>
        <a:p>
          <a:pPr marL="57150" lvl="1" indent="-57150" algn="l" defTabSz="488950">
            <a:lnSpc>
              <a:spcPct val="90000"/>
            </a:lnSpc>
            <a:spcBef>
              <a:spcPct val="0"/>
            </a:spcBef>
            <a:spcAft>
              <a:spcPct val="15000"/>
            </a:spcAft>
            <a:buChar char="•"/>
          </a:pPr>
          <a:r>
            <a:rPr lang="en-US" sz="1100" kern="1200">
              <a:solidFill>
                <a:schemeClr val="bg1"/>
              </a:solidFill>
            </a:rPr>
            <a:t>Private Companies</a:t>
          </a:r>
        </a:p>
        <a:p>
          <a:pPr marL="57150" lvl="1" indent="-57150" algn="l" defTabSz="488950">
            <a:lnSpc>
              <a:spcPct val="90000"/>
            </a:lnSpc>
            <a:spcBef>
              <a:spcPct val="0"/>
            </a:spcBef>
            <a:spcAft>
              <a:spcPct val="15000"/>
            </a:spcAft>
            <a:buChar char="•"/>
          </a:pPr>
          <a:r>
            <a:rPr lang="en-US" sz="1100" kern="1200"/>
            <a:t>Households and communities</a:t>
          </a:r>
        </a:p>
      </dsp:txBody>
      <dsp:txXfrm>
        <a:off x="607063" y="2268401"/>
        <a:ext cx="2310883" cy="903878"/>
      </dsp:txXfrm>
    </dsp:sp>
    <dsp:sp modelId="{CAB84CEA-B003-D746-902E-BAD1EF98EB17}">
      <dsp:nvSpPr>
        <dsp:cNvPr id="0" name=""/>
        <dsp:cNvSpPr/>
      </dsp:nvSpPr>
      <dsp:spPr>
        <a:xfrm>
          <a:off x="2322141" y="581039"/>
          <a:ext cx="378578" cy="790594"/>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lumMod val="5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l" defTabSz="1511300">
            <a:lnSpc>
              <a:spcPct val="90000"/>
            </a:lnSpc>
            <a:spcBef>
              <a:spcPct val="0"/>
            </a:spcBef>
            <a:spcAft>
              <a:spcPct val="35000"/>
            </a:spcAft>
            <a:buNone/>
          </a:pPr>
          <a:endParaRPr lang="en-US" sz="3400" kern="1200"/>
        </a:p>
      </dsp:txBody>
      <dsp:txXfrm>
        <a:off x="2407321" y="581039"/>
        <a:ext cx="208218" cy="696896"/>
      </dsp:txXfrm>
    </dsp:sp>
    <dsp:sp modelId="{82DD5812-80EF-7540-9127-AA99E4361FE2}">
      <dsp:nvSpPr>
        <dsp:cNvPr id="0" name=""/>
        <dsp:cNvSpPr/>
      </dsp:nvSpPr>
      <dsp:spPr>
        <a:xfrm>
          <a:off x="2295033" y="1958788"/>
          <a:ext cx="437597" cy="624078"/>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lumMod val="50000"/>
              <a:alpha val="9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9370" tIns="39370" rIns="39370" bIns="39370" numCol="1" spcCol="1270" anchor="ctr" anchorCtr="0">
          <a:noAutofit/>
        </a:bodyPr>
        <a:lstStyle/>
        <a:p>
          <a:pPr marL="0" lvl="0" indent="0" algn="l" defTabSz="1377950">
            <a:lnSpc>
              <a:spcPct val="90000"/>
            </a:lnSpc>
            <a:spcBef>
              <a:spcPct val="0"/>
            </a:spcBef>
            <a:spcAft>
              <a:spcPct val="35000"/>
            </a:spcAft>
            <a:buNone/>
          </a:pPr>
          <a:endParaRPr lang="en-US" sz="3100" kern="1200"/>
        </a:p>
      </dsp:txBody>
      <dsp:txXfrm>
        <a:off x="2393492" y="1958788"/>
        <a:ext cx="240679" cy="515773"/>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E1B9B0-FB77-4A25-BD7B-82D6FB015657}">
  <we:reference id="a3b40b4f-8edf-490e-9df1-7e66f93912bf"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F85F66-A964-9E45-B929-C0E8B48005FD}">
  <ds:schemaRefs>
    <ds:schemaRef ds:uri="http://schemas.openxmlformats.org/officeDocument/2006/bibliography"/>
  </ds:schemaRefs>
</ds:datastoreItem>
</file>

<file path=customXml/itemProps2.xml><?xml version="1.0" encoding="utf-8"?>
<ds:datastoreItem xmlns:ds="http://schemas.openxmlformats.org/officeDocument/2006/customXml" ds:itemID="{F2CF0A35-15E1-4E55-94FC-0BD0DF841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8254A4-494B-494A-B798-BE0147267EF3}">
  <ds:schemaRefs>
    <ds:schemaRef ds:uri="http://schemas.microsoft.com/sharepoint/v3/contenttype/forms"/>
  </ds:schemaRefs>
</ds:datastoreItem>
</file>

<file path=customXml/itemProps4.xml><?xml version="1.0" encoding="utf-8"?>
<ds:datastoreItem xmlns:ds="http://schemas.openxmlformats.org/officeDocument/2006/customXml" ds:itemID="{11C85536-25D2-4628-949A-3662C7DE96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22775</Words>
  <Characters>132098</Characters>
  <Application>Microsoft Office Word</Application>
  <DocSecurity>0</DocSecurity>
  <Lines>3387</Lines>
  <Paragraphs>1800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Van Winkle</dc:creator>
  <cp:keywords/>
  <dc:description/>
  <cp:lastModifiedBy>Veronique Lefebvre</cp:lastModifiedBy>
  <cp:revision>4</cp:revision>
  <cp:lastPrinted>2024-04-19T09:38:00Z</cp:lastPrinted>
  <dcterms:created xsi:type="dcterms:W3CDTF">2024-10-03T19:23:00Z</dcterms:created>
  <dcterms:modified xsi:type="dcterms:W3CDTF">2024-10-03T19:24:00Z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ECDProjectOwnerStructure">
    <vt:lpwstr/>
  </property>
  <property fmtid="{D5CDD505-2E9C-101B-9397-08002B2CF9AE}" pid="3" name="OECDHorizontalProjects">
    <vt:lpwstr/>
  </property>
  <property fmtid="{D5CDD505-2E9C-101B-9397-08002B2CF9AE}" pid="4" name="OECDCountry">
    <vt:lpwstr/>
  </property>
  <property fmtid="{D5CDD505-2E9C-101B-9397-08002B2CF9AE}" pid="5" name="OECDTopic">
    <vt:lpwstr/>
  </property>
  <property fmtid="{D5CDD505-2E9C-101B-9397-08002B2CF9AE}" pid="6" name="OECDCommittee">
    <vt:lpwstr/>
  </property>
  <property fmtid="{D5CDD505-2E9C-101B-9397-08002B2CF9AE}" pid="7" name="OECDPWB">
    <vt:lpwstr>1687;#2.3 Environmental Sustainability|777d15ed-1524-4a8d-ad08-4d5125d7a655</vt:lpwstr>
  </property>
  <property fmtid="{D5CDD505-2E9C-101B-9397-08002B2CF9AE}" pid="8" name="OECDKeywords">
    <vt:lpwstr/>
  </property>
  <property fmtid="{D5CDD505-2E9C-101B-9397-08002B2CF9AE}" pid="9" name="OECDDeliverablePartnersStructure">
    <vt:lpwstr/>
  </property>
  <property fmtid="{D5CDD505-2E9C-101B-9397-08002B2CF9AE}" pid="10" name="eShareOrganisationTaxHTField0">
    <vt:lpwstr/>
  </property>
  <property fmtid="{D5CDD505-2E9C-101B-9397-08002B2CF9AE}" pid="11" name="OECDOrganisation">
    <vt:lpwstr/>
  </property>
  <property fmtid="{D5CDD505-2E9C-101B-9397-08002B2CF9AE}" pid="12" name="ContentTypeId">
    <vt:lpwstr>0x01010069BFACF6D92CD24AA50050CE23F68F74</vt:lpwstr>
  </property>
  <property fmtid="{D5CDD505-2E9C-101B-9397-08002B2CF9AE}" pid="13" name="MediaServiceImageTags">
    <vt:lpwstr/>
  </property>
</Properties>
</file>