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9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5141"/>
        <w:gridCol w:w="4407"/>
      </w:tblGrid>
      <w:tr w:rsidR="00EA5786" w:rsidRPr="00B324FA" w14:paraId="07F6750D" w14:textId="77777777" w:rsidTr="00573D57">
        <w:trPr>
          <w:trHeight w:val="851"/>
        </w:trPr>
        <w:tc>
          <w:tcPr>
            <w:tcW w:w="851" w:type="dxa"/>
            <w:tcBorders>
              <w:bottom w:val="single" w:sz="12" w:space="0" w:color="auto"/>
            </w:tcBorders>
          </w:tcPr>
          <w:p w14:paraId="1DEFF495" w14:textId="78C5D595" w:rsidR="00C9161D" w:rsidRPr="00B324FA" w:rsidRDefault="00573D57" w:rsidP="00866F16">
            <w:pPr>
              <w:suppressLineNumbers/>
              <w:suppressAutoHyphens/>
              <w:kinsoku w:val="0"/>
              <w:overflowPunct w:val="0"/>
              <w:autoSpaceDE w:val="0"/>
              <w:autoSpaceDN w:val="0"/>
              <w:adjustRightInd w:val="0"/>
              <w:snapToGrid w:val="0"/>
              <w:rPr>
                <w:kern w:val="22"/>
                <w:szCs w:val="22"/>
              </w:rPr>
            </w:pPr>
            <w:r w:rsidRPr="002E1EF6">
              <w:rPr>
                <w:noProof/>
                <w:kern w:val="22"/>
                <w:lang w:eastAsia="en-CA"/>
              </w:rPr>
              <w:drawing>
                <wp:inline distT="0" distB="0" distL="0" distR="0" wp14:anchorId="589FA43F" wp14:editId="7F6CED1C">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986B63F" w14:textId="567062A1" w:rsidR="00FA663B" w:rsidRPr="00B324FA" w:rsidRDefault="00573D57" w:rsidP="00866F16">
            <w:pPr>
              <w:suppressLineNumbers/>
              <w:suppressAutoHyphens/>
              <w:kinsoku w:val="0"/>
              <w:overflowPunct w:val="0"/>
              <w:autoSpaceDE w:val="0"/>
              <w:autoSpaceDN w:val="0"/>
              <w:adjustRightInd w:val="0"/>
              <w:snapToGrid w:val="0"/>
              <w:rPr>
                <w:kern w:val="22"/>
                <w:szCs w:val="22"/>
              </w:rPr>
            </w:pPr>
            <w:r w:rsidRPr="00573D57">
              <w:rPr>
                <w:noProof/>
              </w:rPr>
              <w:drawing>
                <wp:inline distT="0" distB="0" distL="0" distR="0" wp14:anchorId="3084A87C" wp14:editId="6C406965">
                  <wp:extent cx="940435" cy="59309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3"/>
                          <a:stretch>
                            <a:fillRect/>
                          </a:stretch>
                        </pic:blipFill>
                        <pic:spPr>
                          <a:xfrm>
                            <a:off x="0" y="0"/>
                            <a:ext cx="940435" cy="593090"/>
                          </a:xfrm>
                          <a:prstGeom prst="rect">
                            <a:avLst/>
                          </a:prstGeom>
                        </pic:spPr>
                      </pic:pic>
                    </a:graphicData>
                  </a:graphic>
                </wp:inline>
              </w:drawing>
            </w:r>
          </w:p>
        </w:tc>
        <w:tc>
          <w:tcPr>
            <w:tcW w:w="4407" w:type="dxa"/>
            <w:tcBorders>
              <w:bottom w:val="single" w:sz="12" w:space="0" w:color="auto"/>
            </w:tcBorders>
          </w:tcPr>
          <w:p w14:paraId="600A589D" w14:textId="77777777" w:rsidR="00C9161D" w:rsidRPr="00B324FA" w:rsidRDefault="00C9161D" w:rsidP="00866F16">
            <w:pPr>
              <w:suppressLineNumbers/>
              <w:suppressAutoHyphens/>
              <w:kinsoku w:val="0"/>
              <w:overflowPunct w:val="0"/>
              <w:autoSpaceDE w:val="0"/>
              <w:autoSpaceDN w:val="0"/>
              <w:adjustRightInd w:val="0"/>
              <w:snapToGrid w:val="0"/>
              <w:jc w:val="right"/>
              <w:rPr>
                <w:rFonts w:ascii="Arial" w:hAnsi="Arial" w:cs="Arial"/>
                <w:b/>
                <w:kern w:val="22"/>
                <w:sz w:val="32"/>
                <w:szCs w:val="32"/>
              </w:rPr>
            </w:pPr>
            <w:r w:rsidRPr="00B324FA">
              <w:rPr>
                <w:rFonts w:ascii="Arial" w:hAnsi="Arial" w:cs="Arial"/>
                <w:b/>
                <w:kern w:val="22"/>
                <w:sz w:val="32"/>
                <w:szCs w:val="32"/>
              </w:rPr>
              <w:t>CBD</w:t>
            </w:r>
          </w:p>
        </w:tc>
      </w:tr>
      <w:tr w:rsidR="00EA5786" w:rsidRPr="00B324FA" w14:paraId="6F751905" w14:textId="77777777" w:rsidTr="00573D57">
        <w:tc>
          <w:tcPr>
            <w:tcW w:w="5989" w:type="dxa"/>
            <w:gridSpan w:val="2"/>
            <w:tcBorders>
              <w:top w:val="single" w:sz="12" w:space="0" w:color="auto"/>
              <w:bottom w:val="single" w:sz="36" w:space="0" w:color="auto"/>
            </w:tcBorders>
            <w:vAlign w:val="center"/>
          </w:tcPr>
          <w:p w14:paraId="14F52A6C" w14:textId="77777777" w:rsidR="00C9161D" w:rsidRPr="00B324FA" w:rsidRDefault="00C9161D" w:rsidP="00866F16">
            <w:pPr>
              <w:suppressLineNumbers/>
              <w:suppressAutoHyphens/>
              <w:kinsoku w:val="0"/>
              <w:overflowPunct w:val="0"/>
              <w:autoSpaceDE w:val="0"/>
              <w:autoSpaceDN w:val="0"/>
              <w:adjustRightInd w:val="0"/>
              <w:snapToGrid w:val="0"/>
              <w:rPr>
                <w:kern w:val="22"/>
                <w:szCs w:val="22"/>
              </w:rPr>
            </w:pPr>
            <w:r w:rsidRPr="00D45BE8">
              <w:rPr>
                <w:noProof/>
                <w:kern w:val="22"/>
                <w:szCs w:val="22"/>
              </w:rPr>
              <w:drawing>
                <wp:inline distT="0" distB="0" distL="0" distR="0" wp14:anchorId="7BABC8B6" wp14:editId="083FE5C8">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407" w:type="dxa"/>
            <w:tcBorders>
              <w:top w:val="single" w:sz="12" w:space="0" w:color="auto"/>
              <w:bottom w:val="single" w:sz="36" w:space="0" w:color="auto"/>
            </w:tcBorders>
          </w:tcPr>
          <w:p w14:paraId="1C693BA4" w14:textId="77777777" w:rsidR="00C9161D" w:rsidRPr="00B324FA" w:rsidRDefault="00C9161D" w:rsidP="00866F16">
            <w:pPr>
              <w:suppressLineNumbers/>
              <w:suppressAutoHyphens/>
              <w:kinsoku w:val="0"/>
              <w:overflowPunct w:val="0"/>
              <w:autoSpaceDE w:val="0"/>
              <w:autoSpaceDN w:val="0"/>
              <w:adjustRightInd w:val="0"/>
              <w:snapToGrid w:val="0"/>
              <w:ind w:left="1215"/>
              <w:jc w:val="left"/>
              <w:rPr>
                <w:kern w:val="22"/>
                <w:szCs w:val="22"/>
              </w:rPr>
            </w:pPr>
            <w:r w:rsidRPr="00B324FA">
              <w:rPr>
                <w:kern w:val="22"/>
                <w:szCs w:val="22"/>
              </w:rPr>
              <w:t>Distr.</w:t>
            </w:r>
          </w:p>
          <w:p w14:paraId="0C21C438" w14:textId="79E12067" w:rsidR="00C9161D" w:rsidRPr="00B324FA" w:rsidRDefault="00134846" w:rsidP="00866F16">
            <w:pPr>
              <w:suppressLineNumbers/>
              <w:suppressAutoHyphens/>
              <w:kinsoku w:val="0"/>
              <w:overflowPunct w:val="0"/>
              <w:autoSpaceDE w:val="0"/>
              <w:autoSpaceDN w:val="0"/>
              <w:adjustRightInd w:val="0"/>
              <w:snapToGrid w:val="0"/>
              <w:ind w:left="1215"/>
              <w:jc w:val="left"/>
              <w:rPr>
                <w:kern w:val="22"/>
                <w:szCs w:val="22"/>
              </w:rPr>
            </w:pPr>
            <w:r w:rsidRPr="00B324FA">
              <w:rPr>
                <w:kern w:val="22"/>
                <w:szCs w:val="22"/>
              </w:rPr>
              <w:t>GENERAL</w:t>
            </w:r>
          </w:p>
          <w:p w14:paraId="06715052" w14:textId="77777777" w:rsidR="00C9161D" w:rsidRPr="00B324FA" w:rsidRDefault="00C9161D" w:rsidP="00866F16">
            <w:pPr>
              <w:suppressLineNumbers/>
              <w:suppressAutoHyphens/>
              <w:kinsoku w:val="0"/>
              <w:overflowPunct w:val="0"/>
              <w:autoSpaceDE w:val="0"/>
              <w:autoSpaceDN w:val="0"/>
              <w:adjustRightInd w:val="0"/>
              <w:snapToGrid w:val="0"/>
              <w:ind w:left="1215"/>
              <w:jc w:val="left"/>
              <w:rPr>
                <w:kern w:val="22"/>
                <w:szCs w:val="22"/>
              </w:rPr>
            </w:pPr>
          </w:p>
          <w:p w14:paraId="44230134" w14:textId="358B2ADC" w:rsidR="00C9161D" w:rsidRPr="00B324FA" w:rsidRDefault="008D4FDB" w:rsidP="00866F16">
            <w:pPr>
              <w:suppressLineNumbers/>
              <w:suppressAutoHyphens/>
              <w:kinsoku w:val="0"/>
              <w:overflowPunct w:val="0"/>
              <w:autoSpaceDE w:val="0"/>
              <w:autoSpaceDN w:val="0"/>
              <w:adjustRightInd w:val="0"/>
              <w:snapToGrid w:val="0"/>
              <w:ind w:left="1215"/>
              <w:jc w:val="left"/>
              <w:rPr>
                <w:kern w:val="22"/>
                <w:szCs w:val="22"/>
              </w:rPr>
            </w:pPr>
            <w:sdt>
              <w:sdtPr>
                <w:rPr>
                  <w:kern w:val="22"/>
                  <w:szCs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EA5786" w:rsidRPr="00B324FA">
                  <w:rPr>
                    <w:kern w:val="22"/>
                    <w:szCs w:val="22"/>
                  </w:rPr>
                  <w:t>CBD/</w:t>
                </w:r>
                <w:proofErr w:type="spellStart"/>
                <w:r w:rsidR="00EA5786" w:rsidRPr="00B324FA">
                  <w:rPr>
                    <w:kern w:val="22"/>
                    <w:szCs w:val="22"/>
                  </w:rPr>
                  <w:t>SBSTTA</w:t>
                </w:r>
                <w:proofErr w:type="spellEnd"/>
                <w:r w:rsidR="00EA5786" w:rsidRPr="00B324FA">
                  <w:rPr>
                    <w:kern w:val="22"/>
                    <w:szCs w:val="22"/>
                  </w:rPr>
                  <w:t>/24/3Add.1</w:t>
                </w:r>
              </w:sdtContent>
            </w:sdt>
          </w:p>
          <w:p w14:paraId="0DF1F033" w14:textId="24AC574F" w:rsidR="00C9161D" w:rsidRPr="00B324FA" w:rsidRDefault="00CD40A1" w:rsidP="00866F16">
            <w:pPr>
              <w:suppressLineNumbers/>
              <w:suppressAutoHyphens/>
              <w:kinsoku w:val="0"/>
              <w:overflowPunct w:val="0"/>
              <w:autoSpaceDE w:val="0"/>
              <w:autoSpaceDN w:val="0"/>
              <w:adjustRightInd w:val="0"/>
              <w:snapToGrid w:val="0"/>
              <w:ind w:left="1215"/>
              <w:jc w:val="left"/>
              <w:rPr>
                <w:kern w:val="22"/>
                <w:szCs w:val="22"/>
              </w:rPr>
            </w:pPr>
            <w:r w:rsidRPr="00B324FA">
              <w:rPr>
                <w:kern w:val="22"/>
                <w:szCs w:val="22"/>
              </w:rPr>
              <w:t>2</w:t>
            </w:r>
            <w:r w:rsidR="00015BEF" w:rsidRPr="00B324FA">
              <w:rPr>
                <w:kern w:val="22"/>
                <w:szCs w:val="22"/>
              </w:rPr>
              <w:t>5</w:t>
            </w:r>
            <w:r w:rsidR="009843D8" w:rsidRPr="00B324FA">
              <w:rPr>
                <w:kern w:val="22"/>
                <w:szCs w:val="22"/>
              </w:rPr>
              <w:t xml:space="preserve"> </w:t>
            </w:r>
            <w:r w:rsidR="00015BEF" w:rsidRPr="00B324FA">
              <w:rPr>
                <w:kern w:val="22"/>
                <w:szCs w:val="22"/>
              </w:rPr>
              <w:t>November</w:t>
            </w:r>
            <w:r w:rsidRPr="00B324FA">
              <w:rPr>
                <w:kern w:val="22"/>
                <w:szCs w:val="22"/>
              </w:rPr>
              <w:t xml:space="preserve"> </w:t>
            </w:r>
            <w:r w:rsidR="00F6586C" w:rsidRPr="00B324FA">
              <w:rPr>
                <w:kern w:val="22"/>
                <w:szCs w:val="22"/>
              </w:rPr>
              <w:t>20</w:t>
            </w:r>
            <w:r w:rsidR="00303403" w:rsidRPr="00B324FA">
              <w:rPr>
                <w:kern w:val="22"/>
                <w:szCs w:val="22"/>
              </w:rPr>
              <w:t>20</w:t>
            </w:r>
          </w:p>
          <w:p w14:paraId="159892DF" w14:textId="77777777" w:rsidR="00C9161D" w:rsidRPr="00B324FA" w:rsidRDefault="00C9161D" w:rsidP="00866F16">
            <w:pPr>
              <w:suppressLineNumbers/>
              <w:suppressAutoHyphens/>
              <w:kinsoku w:val="0"/>
              <w:overflowPunct w:val="0"/>
              <w:autoSpaceDE w:val="0"/>
              <w:autoSpaceDN w:val="0"/>
              <w:adjustRightInd w:val="0"/>
              <w:snapToGrid w:val="0"/>
              <w:ind w:left="1215"/>
              <w:jc w:val="left"/>
              <w:rPr>
                <w:kern w:val="22"/>
                <w:szCs w:val="22"/>
              </w:rPr>
            </w:pPr>
          </w:p>
          <w:p w14:paraId="5AA10CCE" w14:textId="20A23716" w:rsidR="00C9161D" w:rsidRPr="00B324FA" w:rsidRDefault="006B2290" w:rsidP="00866F16">
            <w:pPr>
              <w:suppressLineNumbers/>
              <w:suppressAutoHyphens/>
              <w:kinsoku w:val="0"/>
              <w:overflowPunct w:val="0"/>
              <w:autoSpaceDE w:val="0"/>
              <w:autoSpaceDN w:val="0"/>
              <w:adjustRightInd w:val="0"/>
              <w:snapToGrid w:val="0"/>
              <w:ind w:left="1215"/>
              <w:jc w:val="left"/>
              <w:rPr>
                <w:kern w:val="22"/>
                <w:szCs w:val="22"/>
              </w:rPr>
            </w:pPr>
            <w:r w:rsidRPr="00B324FA">
              <w:rPr>
                <w:kern w:val="22"/>
                <w:szCs w:val="22"/>
              </w:rPr>
              <w:t xml:space="preserve">ORIGINAL: </w:t>
            </w:r>
            <w:r w:rsidR="00C9161D" w:rsidRPr="00B324FA">
              <w:rPr>
                <w:kern w:val="22"/>
                <w:szCs w:val="22"/>
              </w:rPr>
              <w:t>ENGLISH</w:t>
            </w:r>
          </w:p>
        </w:tc>
      </w:tr>
    </w:tbl>
    <w:p w14:paraId="757BA44C" w14:textId="08E74BC6" w:rsidR="00BB57B6" w:rsidRPr="00B324FA" w:rsidRDefault="00BB57B6" w:rsidP="00866F16">
      <w:pPr>
        <w:pStyle w:val="meetingname"/>
        <w:suppressLineNumbers/>
        <w:suppressAutoHyphens/>
        <w:kinsoku w:val="0"/>
        <w:overflowPunct w:val="0"/>
        <w:autoSpaceDE w:val="0"/>
        <w:autoSpaceDN w:val="0"/>
        <w:adjustRightInd w:val="0"/>
        <w:snapToGrid w:val="0"/>
        <w:ind w:right="4784"/>
        <w:jc w:val="left"/>
        <w:rPr>
          <w:kern w:val="22"/>
        </w:rPr>
      </w:pPr>
      <w:r w:rsidRPr="00B324FA">
        <w:rPr>
          <w:kern w:val="22"/>
        </w:rPr>
        <w:t>SUBSIDIARY BODY ON SCIENTIFIC, TECHNICAL AND TECHNOLOGICAL ADVICE</w:t>
      </w:r>
    </w:p>
    <w:p w14:paraId="235AF963" w14:textId="77777777" w:rsidR="00BB57B6" w:rsidRPr="00B324FA" w:rsidRDefault="00BB57B6" w:rsidP="00866F16">
      <w:pPr>
        <w:suppressLineNumbers/>
        <w:suppressAutoHyphens/>
        <w:kinsoku w:val="0"/>
        <w:overflowPunct w:val="0"/>
        <w:autoSpaceDE w:val="0"/>
        <w:autoSpaceDN w:val="0"/>
        <w:adjustRightInd w:val="0"/>
        <w:snapToGrid w:val="0"/>
        <w:ind w:left="142" w:right="4784" w:hanging="142"/>
        <w:jc w:val="left"/>
        <w:rPr>
          <w:snapToGrid w:val="0"/>
          <w:kern w:val="22"/>
          <w:szCs w:val="22"/>
          <w:lang w:eastAsia="nb-NO"/>
        </w:rPr>
      </w:pPr>
      <w:r w:rsidRPr="00B324FA">
        <w:rPr>
          <w:snapToGrid w:val="0"/>
          <w:kern w:val="22"/>
          <w:szCs w:val="22"/>
          <w:lang w:eastAsia="nb-NO"/>
        </w:rPr>
        <w:t>Twenty-fourth meeting</w:t>
      </w:r>
    </w:p>
    <w:p w14:paraId="617EF6D0" w14:textId="3F8C494F" w:rsidR="00134846" w:rsidRPr="00B324FA" w:rsidRDefault="00CD40A1" w:rsidP="00866F16">
      <w:pPr>
        <w:suppressLineNumbers/>
        <w:suppressAutoHyphens/>
        <w:kinsoku w:val="0"/>
        <w:overflowPunct w:val="0"/>
        <w:autoSpaceDE w:val="0"/>
        <w:autoSpaceDN w:val="0"/>
        <w:adjustRightInd w:val="0"/>
        <w:snapToGrid w:val="0"/>
        <w:ind w:left="142" w:right="4784" w:hanging="142"/>
        <w:jc w:val="left"/>
        <w:rPr>
          <w:snapToGrid w:val="0"/>
          <w:kern w:val="22"/>
          <w:szCs w:val="22"/>
          <w:lang w:eastAsia="nb-NO"/>
        </w:rPr>
      </w:pPr>
      <w:r w:rsidRPr="00B324FA">
        <w:rPr>
          <w:snapToGrid w:val="0"/>
          <w:kern w:val="22"/>
          <w:szCs w:val="22"/>
          <w:lang w:eastAsia="nb-NO"/>
        </w:rPr>
        <w:t>Venue and dates to be determined</w:t>
      </w:r>
    </w:p>
    <w:p w14:paraId="5ECF7635" w14:textId="3B399D8B" w:rsidR="00C9161D" w:rsidRPr="00B324FA" w:rsidRDefault="00134846" w:rsidP="00866F16">
      <w:pPr>
        <w:suppressLineNumbers/>
        <w:suppressAutoHyphens/>
        <w:kinsoku w:val="0"/>
        <w:overflowPunct w:val="0"/>
        <w:autoSpaceDE w:val="0"/>
        <w:autoSpaceDN w:val="0"/>
        <w:adjustRightInd w:val="0"/>
        <w:snapToGrid w:val="0"/>
        <w:ind w:right="4784"/>
        <w:jc w:val="left"/>
        <w:rPr>
          <w:kern w:val="22"/>
          <w:szCs w:val="22"/>
        </w:rPr>
      </w:pPr>
      <w:r w:rsidRPr="00B324FA">
        <w:rPr>
          <w:snapToGrid w:val="0"/>
          <w:kern w:val="22"/>
          <w:szCs w:val="22"/>
        </w:rPr>
        <w:t xml:space="preserve">Item </w:t>
      </w:r>
      <w:r w:rsidR="00954E0F" w:rsidRPr="00B324FA">
        <w:rPr>
          <w:snapToGrid w:val="0"/>
          <w:kern w:val="22"/>
          <w:szCs w:val="22"/>
        </w:rPr>
        <w:t xml:space="preserve">3 </w:t>
      </w:r>
      <w:r w:rsidRPr="00B324FA">
        <w:rPr>
          <w:snapToGrid w:val="0"/>
          <w:kern w:val="22"/>
          <w:szCs w:val="22"/>
        </w:rPr>
        <w:t>of the provisional agenda</w:t>
      </w:r>
      <w:r w:rsidR="007C6D48" w:rsidRPr="00B324FA">
        <w:rPr>
          <w:rStyle w:val="FootnoteReference"/>
          <w:snapToGrid w:val="0"/>
          <w:kern w:val="22"/>
          <w:szCs w:val="22"/>
        </w:rPr>
        <w:footnoteReference w:customMarkFollows="1" w:id="2"/>
        <w:t>*</w:t>
      </w:r>
    </w:p>
    <w:p w14:paraId="6B15599B" w14:textId="076FE6EE" w:rsidR="00BF7422" w:rsidRPr="00866F16" w:rsidRDefault="008D4FDB" w:rsidP="00866F16">
      <w:pPr>
        <w:pStyle w:val="Style1"/>
        <w:suppressLineNumbers/>
        <w:tabs>
          <w:tab w:val="clear" w:pos="720"/>
        </w:tabs>
        <w:suppressAutoHyphens/>
        <w:kinsoku w:val="0"/>
        <w:overflowPunct w:val="0"/>
        <w:autoSpaceDE w:val="0"/>
        <w:autoSpaceDN w:val="0"/>
        <w:adjustRightInd w:val="0"/>
        <w:snapToGrid w:val="0"/>
        <w:spacing w:before="240"/>
        <w:rPr>
          <w:rStyle w:val="Heading2Char"/>
          <w:rFonts w:asciiTheme="majorBidi" w:hAnsiTheme="majorBidi" w:cs="Times New Roman Bold"/>
          <w:b/>
          <w:i w:val="0"/>
          <w:caps/>
          <w:kern w:val="22"/>
        </w:rPr>
      </w:pPr>
      <w:sdt>
        <w:sdtPr>
          <w:rPr>
            <w:rFonts w:asciiTheme="majorBidi" w:hAnsiTheme="majorBidi" w:cs="Times New Roman Bold"/>
            <w:b w:val="0"/>
            <w:bCs w:val="0"/>
            <w:i w:val="0"/>
            <w:iCs w:val="0"/>
            <w:caps/>
            <w:kern w:val="22"/>
          </w:rPr>
          <w:alias w:val="Title"/>
          <w:tag w:val=""/>
          <w:id w:val="-1110497623"/>
          <w:placeholder>
            <w:docPart w:val="948461170BAC4BF29C33FFD3D82D7C0C"/>
          </w:placeholder>
          <w:dataBinding w:prefixMappings="xmlns:ns0='http://purl.org/dc/elements/1.1/' xmlns:ns1='http://schemas.openxmlformats.org/package/2006/metadata/core-properties' " w:xpath="/ns1:coreProperties[1]/ns0:title[1]" w:storeItemID="{6C3C8BC8-F283-45AE-878A-BAB7291924A1}"/>
          <w:text/>
        </w:sdtPr>
        <w:sdtEndPr/>
        <w:sdtContent>
          <w:r w:rsidR="00EA5786" w:rsidRPr="00866F16">
            <w:rPr>
              <w:rFonts w:asciiTheme="majorBidi" w:hAnsiTheme="majorBidi" w:cs="Times New Roman Bold"/>
              <w:bCs w:val="0"/>
              <w:i w:val="0"/>
              <w:caps/>
              <w:kern w:val="22"/>
            </w:rPr>
            <w:t>Post-2020 global biodiversity framework: scientific and technical information to support the review of the updated goals and targets, and related indicators and baselines</w:t>
          </w:r>
        </w:sdtContent>
      </w:sdt>
    </w:p>
    <w:p w14:paraId="757142DB" w14:textId="5510E3F6" w:rsidR="004D1AA7" w:rsidRPr="00866F16" w:rsidRDefault="00195F8C" w:rsidP="00866F16">
      <w:pPr>
        <w:pStyle w:val="Style1"/>
        <w:suppressLineNumbers/>
        <w:tabs>
          <w:tab w:val="clear" w:pos="720"/>
        </w:tabs>
        <w:suppressAutoHyphens/>
        <w:kinsoku w:val="0"/>
        <w:overflowPunct w:val="0"/>
        <w:autoSpaceDE w:val="0"/>
        <w:autoSpaceDN w:val="0"/>
        <w:adjustRightInd w:val="0"/>
        <w:snapToGrid w:val="0"/>
        <w:rPr>
          <w:rStyle w:val="Heading2Char"/>
          <w:rFonts w:asciiTheme="majorBidi" w:hAnsiTheme="majorBidi"/>
          <w:i w:val="0"/>
          <w:caps/>
          <w:kern w:val="22"/>
          <w:szCs w:val="22"/>
        </w:rPr>
      </w:pPr>
      <w:r w:rsidRPr="00B324FA">
        <w:rPr>
          <w:rStyle w:val="Heading2Char"/>
          <w:rFonts w:asciiTheme="majorBidi" w:hAnsiTheme="majorBidi" w:cstheme="majorBidi"/>
          <w:b/>
          <w:i w:val="0"/>
          <w:iCs/>
          <w:caps/>
          <w:kern w:val="22"/>
          <w:szCs w:val="22"/>
        </w:rPr>
        <w:t>P</w:t>
      </w:r>
      <w:r w:rsidR="004D1AA7" w:rsidRPr="00B324FA">
        <w:rPr>
          <w:rStyle w:val="Heading2Char"/>
          <w:rFonts w:asciiTheme="majorBidi" w:hAnsiTheme="majorBidi" w:cstheme="majorBidi"/>
          <w:b/>
          <w:i w:val="0"/>
          <w:iCs/>
          <w:caps/>
          <w:kern w:val="22"/>
          <w:szCs w:val="22"/>
        </w:rPr>
        <w:t>roposed</w:t>
      </w:r>
      <w:r w:rsidR="004D1AA7" w:rsidRPr="00866F16">
        <w:rPr>
          <w:rStyle w:val="Heading2Char"/>
          <w:rFonts w:asciiTheme="majorBidi" w:hAnsiTheme="majorBidi"/>
          <w:b/>
          <w:i w:val="0"/>
          <w:caps/>
          <w:kern w:val="22"/>
          <w:szCs w:val="22"/>
        </w:rPr>
        <w:t xml:space="preserve"> </w:t>
      </w:r>
      <w:r w:rsidR="00963403" w:rsidRPr="00866F16">
        <w:rPr>
          <w:rStyle w:val="Heading2Char"/>
          <w:rFonts w:asciiTheme="majorBidi" w:hAnsiTheme="majorBidi"/>
          <w:b/>
          <w:i w:val="0"/>
          <w:caps/>
          <w:kern w:val="22"/>
          <w:szCs w:val="22"/>
        </w:rPr>
        <w:t xml:space="preserve">indicators </w:t>
      </w:r>
      <w:r w:rsidR="00963403" w:rsidRPr="00B324FA">
        <w:rPr>
          <w:rStyle w:val="Heading2Char"/>
          <w:rFonts w:asciiTheme="majorBidi" w:hAnsiTheme="majorBidi" w:cstheme="majorBidi"/>
          <w:b/>
          <w:i w:val="0"/>
          <w:iCs/>
          <w:caps/>
          <w:kern w:val="22"/>
          <w:szCs w:val="22"/>
        </w:rPr>
        <w:t>and monitoring approach</w:t>
      </w:r>
      <w:r w:rsidR="00963403" w:rsidRPr="00866F16">
        <w:rPr>
          <w:rStyle w:val="Heading2Char"/>
          <w:rFonts w:asciiTheme="majorBidi" w:hAnsiTheme="majorBidi"/>
          <w:b/>
          <w:i w:val="0"/>
          <w:caps/>
          <w:kern w:val="22"/>
          <w:szCs w:val="22"/>
        </w:rPr>
        <w:t xml:space="preserve"> </w:t>
      </w:r>
      <w:r w:rsidR="004D1AA7" w:rsidRPr="00866F16">
        <w:rPr>
          <w:rStyle w:val="Heading2Char"/>
          <w:rFonts w:asciiTheme="majorBidi" w:hAnsiTheme="majorBidi"/>
          <w:b/>
          <w:i w:val="0"/>
          <w:caps/>
          <w:kern w:val="22"/>
          <w:szCs w:val="22"/>
        </w:rPr>
        <w:t>for the post-2020 global</w:t>
      </w:r>
      <w:r w:rsidR="00186C83" w:rsidRPr="00B324FA">
        <w:rPr>
          <w:rStyle w:val="Heading2Char"/>
          <w:rFonts w:asciiTheme="majorBidi" w:hAnsiTheme="majorBidi" w:cstheme="majorBidi"/>
          <w:b/>
          <w:i w:val="0"/>
          <w:iCs/>
          <w:caps/>
          <w:kern w:val="22"/>
          <w:szCs w:val="22"/>
        </w:rPr>
        <w:t> </w:t>
      </w:r>
      <w:r w:rsidR="004D1AA7" w:rsidRPr="00866F16">
        <w:rPr>
          <w:rStyle w:val="Heading2Char"/>
          <w:rFonts w:asciiTheme="majorBidi" w:hAnsiTheme="majorBidi"/>
          <w:b/>
          <w:i w:val="0"/>
          <w:caps/>
          <w:kern w:val="22"/>
          <w:szCs w:val="22"/>
        </w:rPr>
        <w:t>biodiversity framework</w:t>
      </w:r>
    </w:p>
    <w:p w14:paraId="339A4782" w14:textId="72881EE0" w:rsidR="00176CEE" w:rsidRPr="00B324FA" w:rsidRDefault="0030169D" w:rsidP="00866F16">
      <w:pPr>
        <w:pStyle w:val="Style1"/>
        <w:suppressLineNumbers/>
        <w:tabs>
          <w:tab w:val="clear" w:pos="720"/>
        </w:tabs>
        <w:suppressAutoHyphens/>
        <w:kinsoku w:val="0"/>
        <w:overflowPunct w:val="0"/>
        <w:autoSpaceDE w:val="0"/>
        <w:autoSpaceDN w:val="0"/>
        <w:adjustRightInd w:val="0"/>
        <w:snapToGrid w:val="0"/>
        <w:rPr>
          <w:i w:val="0"/>
          <w:caps/>
          <w:kern w:val="22"/>
          <w:szCs w:val="22"/>
        </w:rPr>
      </w:pPr>
      <w:r w:rsidRPr="00B324FA">
        <w:rPr>
          <w:b w:val="0"/>
          <w:kern w:val="22"/>
          <w:szCs w:val="22"/>
        </w:rPr>
        <w:t>Note by the Executive Secretary</w:t>
      </w:r>
    </w:p>
    <w:p w14:paraId="40B61068" w14:textId="7C7DC887" w:rsidR="00C9161D" w:rsidRPr="00B324FA" w:rsidRDefault="006D61E2" w:rsidP="00866F16">
      <w:pPr>
        <w:pStyle w:val="Heading1"/>
        <w:numPr>
          <w:ilvl w:val="0"/>
          <w:numId w:val="9"/>
        </w:numPr>
        <w:suppressLineNumbers/>
        <w:tabs>
          <w:tab w:val="clear" w:pos="720"/>
          <w:tab w:val="left" w:pos="284"/>
        </w:tabs>
        <w:suppressAutoHyphens/>
        <w:kinsoku w:val="0"/>
        <w:overflowPunct w:val="0"/>
        <w:autoSpaceDE w:val="0"/>
        <w:autoSpaceDN w:val="0"/>
        <w:adjustRightInd w:val="0"/>
        <w:snapToGrid w:val="0"/>
        <w:spacing w:before="120"/>
        <w:ind w:left="0" w:firstLine="0"/>
        <w:rPr>
          <w:kern w:val="22"/>
          <w:szCs w:val="22"/>
        </w:rPr>
      </w:pPr>
      <w:r w:rsidRPr="00B324FA">
        <w:rPr>
          <w:kern w:val="22"/>
          <w:szCs w:val="22"/>
        </w:rPr>
        <w:t>introduction</w:t>
      </w:r>
    </w:p>
    <w:p w14:paraId="6A55472A" w14:textId="10F99E2B" w:rsidR="00EF4B29" w:rsidRPr="00B324FA" w:rsidRDefault="00F679CE" w:rsidP="00866F16">
      <w:pPr>
        <w:pStyle w:val="Para1"/>
        <w:numPr>
          <w:ilvl w:val="0"/>
          <w:numId w:val="2"/>
        </w:numPr>
        <w:suppressLineNumbers/>
        <w:tabs>
          <w:tab w:val="clear" w:pos="360"/>
        </w:tabs>
        <w:suppressAutoHyphens/>
        <w:kinsoku w:val="0"/>
        <w:overflowPunct w:val="0"/>
        <w:autoSpaceDE w:val="0"/>
        <w:autoSpaceDN w:val="0"/>
        <w:adjustRightInd w:val="0"/>
        <w:snapToGrid w:val="0"/>
        <w:spacing w:line="235" w:lineRule="auto"/>
        <w:rPr>
          <w:rFonts w:eastAsia="Malgun Gothic"/>
          <w:kern w:val="22"/>
          <w:szCs w:val="22"/>
        </w:rPr>
      </w:pPr>
      <w:r w:rsidRPr="00B324FA">
        <w:rPr>
          <w:kern w:val="22"/>
          <w:szCs w:val="22"/>
        </w:rPr>
        <w:t xml:space="preserve">In </w:t>
      </w:r>
      <w:r w:rsidR="00EB59B3" w:rsidRPr="00B324FA">
        <w:rPr>
          <w:kern w:val="22"/>
          <w:szCs w:val="22"/>
        </w:rPr>
        <w:t xml:space="preserve">the </w:t>
      </w:r>
      <w:r w:rsidRPr="00B324FA">
        <w:rPr>
          <w:kern w:val="22"/>
          <w:szCs w:val="22"/>
        </w:rPr>
        <w:t xml:space="preserve">light of the </w:t>
      </w:r>
      <w:r w:rsidR="004D1AA7" w:rsidRPr="00B324FA">
        <w:rPr>
          <w:kern w:val="22"/>
          <w:szCs w:val="22"/>
        </w:rPr>
        <w:t xml:space="preserve">relevant </w:t>
      </w:r>
      <w:r w:rsidRPr="00B324FA">
        <w:rPr>
          <w:kern w:val="22"/>
          <w:szCs w:val="22"/>
        </w:rPr>
        <w:t>requests</w:t>
      </w:r>
      <w:r w:rsidR="004D1AA7" w:rsidRPr="00B324FA">
        <w:rPr>
          <w:kern w:val="22"/>
          <w:szCs w:val="22"/>
        </w:rPr>
        <w:t xml:space="preserve"> </w:t>
      </w:r>
      <w:r w:rsidR="000335A2" w:rsidRPr="00B324FA">
        <w:rPr>
          <w:kern w:val="22"/>
          <w:szCs w:val="22"/>
        </w:rPr>
        <w:t>by</w:t>
      </w:r>
      <w:r w:rsidR="004D1AA7" w:rsidRPr="00B324FA">
        <w:rPr>
          <w:kern w:val="22"/>
          <w:szCs w:val="22"/>
        </w:rPr>
        <w:t xml:space="preserve"> the Conference of the Parties at its fourteenth meeting, </w:t>
      </w:r>
      <w:r w:rsidR="000335A2" w:rsidRPr="00B324FA">
        <w:rPr>
          <w:kern w:val="22"/>
          <w:szCs w:val="22"/>
        </w:rPr>
        <w:t>by</w:t>
      </w:r>
      <w:r w:rsidR="00A25FDA" w:rsidRPr="00B324FA">
        <w:rPr>
          <w:kern w:val="22"/>
          <w:szCs w:val="22"/>
        </w:rPr>
        <w:t xml:space="preserve"> </w:t>
      </w:r>
      <w:r w:rsidR="004D1AA7" w:rsidRPr="00B324FA">
        <w:rPr>
          <w:kern w:val="22"/>
          <w:szCs w:val="22"/>
        </w:rPr>
        <w:t xml:space="preserve">the </w:t>
      </w:r>
      <w:r w:rsidR="00A25FDA" w:rsidRPr="00B324FA">
        <w:rPr>
          <w:kern w:val="22"/>
          <w:szCs w:val="22"/>
        </w:rPr>
        <w:t xml:space="preserve">Subsidiary Body on </w:t>
      </w:r>
      <w:r w:rsidR="004D1AA7" w:rsidRPr="00B324FA">
        <w:rPr>
          <w:kern w:val="22"/>
          <w:szCs w:val="22"/>
        </w:rPr>
        <w:t xml:space="preserve">Scientific, Technical and Technological Advice at its twenty-third meeting, and </w:t>
      </w:r>
      <w:r w:rsidR="000335A2" w:rsidRPr="00B324FA">
        <w:rPr>
          <w:kern w:val="22"/>
          <w:szCs w:val="22"/>
        </w:rPr>
        <w:t>by</w:t>
      </w:r>
      <w:r w:rsidR="00DA7904" w:rsidRPr="00B324FA">
        <w:rPr>
          <w:kern w:val="22"/>
          <w:szCs w:val="22"/>
        </w:rPr>
        <w:t xml:space="preserve"> </w:t>
      </w:r>
      <w:r w:rsidR="004D1AA7" w:rsidRPr="00B324FA">
        <w:rPr>
          <w:kern w:val="22"/>
          <w:szCs w:val="22"/>
        </w:rPr>
        <w:t xml:space="preserve">the Open-ended Working Group on the Post-2020 Global Biodiversity Framework at its first and second meetings (see </w:t>
      </w:r>
      <w:r w:rsidR="004D1AA7" w:rsidRPr="00D45BE8">
        <w:rPr>
          <w:kern w:val="22"/>
          <w:szCs w:val="22"/>
        </w:rPr>
        <w:t>CBD/SBSTTA/24/3</w:t>
      </w:r>
      <w:r w:rsidR="004D1AA7" w:rsidRPr="00B324FA">
        <w:rPr>
          <w:kern w:val="22"/>
          <w:szCs w:val="22"/>
        </w:rPr>
        <w:t>)</w:t>
      </w:r>
      <w:r w:rsidR="004A453F" w:rsidRPr="00B324FA">
        <w:rPr>
          <w:kern w:val="22"/>
          <w:szCs w:val="22"/>
        </w:rPr>
        <w:t>,</w:t>
      </w:r>
      <w:r w:rsidRPr="00B324FA">
        <w:rPr>
          <w:kern w:val="22"/>
          <w:szCs w:val="22"/>
        </w:rPr>
        <w:t xml:space="preserve"> the present document</w:t>
      </w:r>
      <w:r w:rsidR="00DA7904" w:rsidRPr="00B324FA">
        <w:rPr>
          <w:kern w:val="22"/>
          <w:szCs w:val="22"/>
        </w:rPr>
        <w:t>,</w:t>
      </w:r>
      <w:r w:rsidRPr="00B324FA">
        <w:rPr>
          <w:kern w:val="22"/>
          <w:szCs w:val="22"/>
        </w:rPr>
        <w:t xml:space="preserve"> in section I</w:t>
      </w:r>
      <w:r w:rsidR="00001D60" w:rsidRPr="00B324FA">
        <w:rPr>
          <w:kern w:val="22"/>
          <w:szCs w:val="22"/>
        </w:rPr>
        <w:t>I</w:t>
      </w:r>
      <w:r w:rsidR="00DA7904" w:rsidRPr="00B324FA">
        <w:rPr>
          <w:kern w:val="22"/>
          <w:szCs w:val="22"/>
        </w:rPr>
        <w:t>,</w:t>
      </w:r>
      <w:r w:rsidRPr="00B324FA">
        <w:rPr>
          <w:kern w:val="22"/>
          <w:szCs w:val="22"/>
        </w:rPr>
        <w:t xml:space="preserve"> proposes</w:t>
      </w:r>
      <w:r w:rsidR="004D1AA7" w:rsidRPr="00B324FA">
        <w:rPr>
          <w:kern w:val="22"/>
          <w:szCs w:val="22"/>
        </w:rPr>
        <w:t xml:space="preserve"> an approach for the use of</w:t>
      </w:r>
      <w:r w:rsidRPr="00B324FA">
        <w:rPr>
          <w:kern w:val="22"/>
          <w:szCs w:val="22"/>
        </w:rPr>
        <w:t xml:space="preserve"> indicators to help monitor progress in the implementation of the post-2020 global biodiversity framework, </w:t>
      </w:r>
      <w:r w:rsidR="001D77A0" w:rsidRPr="00B324FA">
        <w:rPr>
          <w:kern w:val="22"/>
          <w:szCs w:val="22"/>
        </w:rPr>
        <w:t xml:space="preserve">and, </w:t>
      </w:r>
      <w:r w:rsidRPr="00B324FA">
        <w:rPr>
          <w:kern w:val="22"/>
          <w:szCs w:val="22"/>
        </w:rPr>
        <w:t>in section II</w:t>
      </w:r>
      <w:r w:rsidR="00001D60" w:rsidRPr="00B324FA">
        <w:rPr>
          <w:kern w:val="22"/>
          <w:szCs w:val="22"/>
        </w:rPr>
        <w:t>I</w:t>
      </w:r>
      <w:r w:rsidR="001D77A0" w:rsidRPr="00B324FA">
        <w:rPr>
          <w:kern w:val="22"/>
          <w:szCs w:val="22"/>
        </w:rPr>
        <w:t>,</w:t>
      </w:r>
      <w:r w:rsidRPr="00B324FA">
        <w:rPr>
          <w:kern w:val="22"/>
          <w:szCs w:val="22"/>
        </w:rPr>
        <w:t xml:space="preserve"> provides considerations for the establishment of baselines for the post-2020 global biodiversity framework. </w:t>
      </w:r>
      <w:r w:rsidR="004D1AA7" w:rsidRPr="00B324FA">
        <w:rPr>
          <w:kern w:val="22"/>
          <w:szCs w:val="22"/>
        </w:rPr>
        <w:t>Proposed headline indic</w:t>
      </w:r>
      <w:r w:rsidR="00A13632" w:rsidRPr="00B324FA">
        <w:rPr>
          <w:kern w:val="22"/>
          <w:szCs w:val="22"/>
        </w:rPr>
        <w:t>a</w:t>
      </w:r>
      <w:r w:rsidR="004D1AA7" w:rsidRPr="00B324FA">
        <w:rPr>
          <w:kern w:val="22"/>
          <w:szCs w:val="22"/>
        </w:rPr>
        <w:t xml:space="preserve">tors are listed in </w:t>
      </w:r>
      <w:r w:rsidR="00A25FDA" w:rsidRPr="00B324FA">
        <w:rPr>
          <w:kern w:val="22"/>
          <w:szCs w:val="22"/>
        </w:rPr>
        <w:t>a</w:t>
      </w:r>
      <w:r w:rsidR="004D1AA7" w:rsidRPr="00B324FA">
        <w:rPr>
          <w:kern w:val="22"/>
          <w:szCs w:val="22"/>
        </w:rPr>
        <w:t xml:space="preserve">nnex </w:t>
      </w:r>
      <w:r w:rsidR="006F1726" w:rsidRPr="00B324FA">
        <w:rPr>
          <w:kern w:val="22"/>
          <w:szCs w:val="22"/>
        </w:rPr>
        <w:t>I</w:t>
      </w:r>
      <w:r w:rsidR="00A25FDA" w:rsidRPr="00B324FA">
        <w:rPr>
          <w:kern w:val="22"/>
          <w:szCs w:val="22"/>
        </w:rPr>
        <w:t xml:space="preserve"> </w:t>
      </w:r>
      <w:r w:rsidR="006F1726" w:rsidRPr="00B324FA">
        <w:rPr>
          <w:kern w:val="22"/>
          <w:szCs w:val="22"/>
        </w:rPr>
        <w:t>to</w:t>
      </w:r>
      <w:r w:rsidR="00A25FDA" w:rsidRPr="00B324FA">
        <w:rPr>
          <w:kern w:val="22"/>
          <w:szCs w:val="22"/>
        </w:rPr>
        <w:t xml:space="preserve"> document </w:t>
      </w:r>
      <w:r w:rsidR="006F1726" w:rsidRPr="00B324FA">
        <w:rPr>
          <w:kern w:val="22"/>
          <w:szCs w:val="22"/>
        </w:rPr>
        <w:t>CBD/</w:t>
      </w:r>
      <w:proofErr w:type="spellStart"/>
      <w:r w:rsidR="004D1AA7" w:rsidRPr="00B324FA">
        <w:rPr>
          <w:kern w:val="22"/>
          <w:szCs w:val="22"/>
        </w:rPr>
        <w:t>SBSTTA</w:t>
      </w:r>
      <w:proofErr w:type="spellEnd"/>
      <w:r w:rsidR="004D1AA7" w:rsidRPr="00B324FA">
        <w:rPr>
          <w:kern w:val="22"/>
          <w:szCs w:val="22"/>
        </w:rPr>
        <w:t xml:space="preserve">/24/3. A full list of headline, component and complementary indicators are included in </w:t>
      </w:r>
      <w:r w:rsidR="000335A2" w:rsidRPr="00B324FA">
        <w:rPr>
          <w:kern w:val="22"/>
          <w:szCs w:val="22"/>
        </w:rPr>
        <w:t>the</w:t>
      </w:r>
      <w:r w:rsidR="004D1AA7" w:rsidRPr="00B324FA">
        <w:rPr>
          <w:kern w:val="22"/>
          <w:szCs w:val="22"/>
        </w:rPr>
        <w:t xml:space="preserve"> annex to this document. </w:t>
      </w:r>
      <w:r w:rsidRPr="00B324FA">
        <w:rPr>
          <w:kern w:val="22"/>
          <w:szCs w:val="22"/>
        </w:rPr>
        <w:t xml:space="preserve">A draft recommendation for the consideration of the Subsidiary Body is presented in </w:t>
      </w:r>
      <w:r w:rsidR="004D1AA7" w:rsidRPr="00B324FA">
        <w:rPr>
          <w:kern w:val="22"/>
          <w:szCs w:val="22"/>
        </w:rPr>
        <w:t xml:space="preserve">document </w:t>
      </w:r>
      <w:r w:rsidR="004D1AA7" w:rsidRPr="00D45BE8">
        <w:rPr>
          <w:kern w:val="22"/>
          <w:szCs w:val="22"/>
        </w:rPr>
        <w:t>CBD/SBSTTA/24/3</w:t>
      </w:r>
      <w:r w:rsidRPr="00B324FA">
        <w:rPr>
          <w:kern w:val="22"/>
          <w:szCs w:val="22"/>
        </w:rPr>
        <w:t xml:space="preserve">. </w:t>
      </w:r>
      <w:r w:rsidR="004D1AA7" w:rsidRPr="00B324FA">
        <w:rPr>
          <w:rFonts w:eastAsia="Malgun Gothic"/>
          <w:kern w:val="22"/>
          <w:szCs w:val="22"/>
          <w:lang w:eastAsia="x-none"/>
        </w:rPr>
        <w:t>The</w:t>
      </w:r>
      <w:r w:rsidR="008730A3" w:rsidRPr="00B324FA">
        <w:rPr>
          <w:rFonts w:eastAsia="Malgun Gothic"/>
          <w:kern w:val="22"/>
          <w:szCs w:val="22"/>
          <w:lang w:eastAsia="x-none"/>
        </w:rPr>
        <w:t xml:space="preserve"> </w:t>
      </w:r>
      <w:r w:rsidR="00AE7657" w:rsidRPr="00B324FA">
        <w:rPr>
          <w:rFonts w:eastAsia="Malgun Gothic"/>
          <w:kern w:val="22"/>
          <w:szCs w:val="22"/>
          <w:lang w:eastAsia="x-none"/>
        </w:rPr>
        <w:t xml:space="preserve">updated </w:t>
      </w:r>
      <w:r w:rsidR="00D22A07" w:rsidRPr="00B324FA">
        <w:rPr>
          <w:rFonts w:eastAsia="Malgun Gothic"/>
          <w:kern w:val="22"/>
          <w:szCs w:val="22"/>
          <w:lang w:eastAsia="x-none"/>
        </w:rPr>
        <w:t>zero</w:t>
      </w:r>
      <w:r w:rsidR="00AE7657" w:rsidRPr="00B324FA">
        <w:rPr>
          <w:rFonts w:eastAsia="Malgun Gothic"/>
          <w:kern w:val="22"/>
          <w:szCs w:val="22"/>
          <w:lang w:eastAsia="x-none"/>
        </w:rPr>
        <w:t xml:space="preserve"> draft </w:t>
      </w:r>
      <w:r w:rsidR="00D22A07" w:rsidRPr="00B324FA">
        <w:rPr>
          <w:rFonts w:eastAsia="Malgun Gothic"/>
          <w:kern w:val="22"/>
          <w:szCs w:val="22"/>
          <w:lang w:eastAsia="x-none"/>
        </w:rPr>
        <w:t xml:space="preserve">of the </w:t>
      </w:r>
      <w:r w:rsidR="00AE7657" w:rsidRPr="00B324FA">
        <w:rPr>
          <w:rFonts w:eastAsia="Malgun Gothic"/>
          <w:kern w:val="22"/>
          <w:szCs w:val="22"/>
          <w:lang w:eastAsia="x-none"/>
        </w:rPr>
        <w:t xml:space="preserve">post-2020 global biodiversity framework </w:t>
      </w:r>
      <w:r w:rsidR="00D22A07" w:rsidRPr="00B324FA">
        <w:rPr>
          <w:rFonts w:eastAsia="Malgun Gothic"/>
          <w:kern w:val="22"/>
          <w:szCs w:val="22"/>
          <w:lang w:eastAsia="x-none"/>
        </w:rPr>
        <w:t>is</w:t>
      </w:r>
      <w:r w:rsidR="00AE7657" w:rsidRPr="00B324FA">
        <w:rPr>
          <w:rFonts w:eastAsia="Malgun Gothic"/>
          <w:kern w:val="22"/>
          <w:szCs w:val="22"/>
        </w:rPr>
        <w:t xml:space="preserve"> presented in CBD/POST2020/PREP/2/1.</w:t>
      </w:r>
    </w:p>
    <w:p w14:paraId="460BDBCB" w14:textId="5335A22D" w:rsidR="004D4B6A" w:rsidRPr="00B324FA" w:rsidRDefault="009C1B85" w:rsidP="00866F16">
      <w:pPr>
        <w:pStyle w:val="Para1"/>
        <w:numPr>
          <w:ilvl w:val="0"/>
          <w:numId w:val="2"/>
        </w:numPr>
        <w:suppressLineNumbers/>
        <w:tabs>
          <w:tab w:val="clear" w:pos="360"/>
        </w:tabs>
        <w:suppressAutoHyphens/>
        <w:kinsoku w:val="0"/>
        <w:overflowPunct w:val="0"/>
        <w:autoSpaceDE w:val="0"/>
        <w:autoSpaceDN w:val="0"/>
        <w:adjustRightInd w:val="0"/>
        <w:snapToGrid w:val="0"/>
        <w:spacing w:line="235" w:lineRule="auto"/>
        <w:rPr>
          <w:kern w:val="22"/>
          <w:szCs w:val="22"/>
        </w:rPr>
      </w:pPr>
      <w:r w:rsidRPr="00B324FA">
        <w:rPr>
          <w:rFonts w:eastAsia="MS Mincho"/>
          <w:kern w:val="22"/>
          <w:szCs w:val="22"/>
        </w:rPr>
        <w:t xml:space="preserve">The Secretariat has </w:t>
      </w:r>
      <w:r w:rsidR="000335A2" w:rsidRPr="00B324FA">
        <w:rPr>
          <w:rFonts w:eastAsia="MS Mincho"/>
          <w:kern w:val="22"/>
          <w:szCs w:val="22"/>
        </w:rPr>
        <w:t xml:space="preserve">also </w:t>
      </w:r>
      <w:r w:rsidRPr="00B324FA">
        <w:rPr>
          <w:rFonts w:eastAsia="MS Mincho"/>
          <w:kern w:val="22"/>
          <w:szCs w:val="22"/>
        </w:rPr>
        <w:t xml:space="preserve">issued an </w:t>
      </w:r>
      <w:r w:rsidR="00AE7657" w:rsidRPr="00B324FA">
        <w:rPr>
          <w:rFonts w:eastAsia="MS Mincho"/>
          <w:kern w:val="22"/>
          <w:szCs w:val="22"/>
        </w:rPr>
        <w:t>information document</w:t>
      </w:r>
      <w:r w:rsidR="00AE7657" w:rsidRPr="00B324FA">
        <w:rPr>
          <w:rFonts w:eastAsia="Malgun Gothic"/>
          <w:iCs/>
          <w:kern w:val="22"/>
          <w:szCs w:val="22"/>
        </w:rPr>
        <w:t xml:space="preserve"> </w:t>
      </w:r>
      <w:r w:rsidR="007372F4" w:rsidRPr="00B324FA">
        <w:rPr>
          <w:rFonts w:eastAsia="Malgun Gothic"/>
          <w:kern w:val="22"/>
          <w:szCs w:val="22"/>
        </w:rPr>
        <w:t xml:space="preserve">pursuant </w:t>
      </w:r>
      <w:r w:rsidR="00AE7657" w:rsidRPr="00B324FA">
        <w:rPr>
          <w:rFonts w:eastAsia="Malgun Gothic"/>
          <w:kern w:val="22"/>
          <w:szCs w:val="22"/>
        </w:rPr>
        <w:t xml:space="preserve">to </w:t>
      </w:r>
      <w:r w:rsidR="007372F4" w:rsidRPr="00B324FA">
        <w:rPr>
          <w:rFonts w:eastAsia="Malgun Gothic"/>
          <w:kern w:val="22"/>
          <w:szCs w:val="22"/>
        </w:rPr>
        <w:t xml:space="preserve">paragraph 13 of </w:t>
      </w:r>
      <w:r w:rsidR="00AE7657" w:rsidRPr="00B324FA">
        <w:rPr>
          <w:rFonts w:eastAsia="Malgun Gothic"/>
          <w:kern w:val="22"/>
          <w:szCs w:val="22"/>
        </w:rPr>
        <w:t xml:space="preserve">recommendation </w:t>
      </w:r>
      <w:hyperlink r:id="rId15" w:history="1">
        <w:r w:rsidR="00AE7657" w:rsidRPr="00B324FA">
          <w:rPr>
            <w:rStyle w:val="Hyperlink"/>
            <w:rFonts w:eastAsia="Malgun Gothic"/>
            <w:kern w:val="22"/>
            <w:sz w:val="22"/>
            <w:szCs w:val="22"/>
          </w:rPr>
          <w:t>SBSTTA-23/1</w:t>
        </w:r>
      </w:hyperlink>
      <w:r w:rsidR="006C70D2" w:rsidRPr="00B324FA">
        <w:rPr>
          <w:rFonts w:eastAsia="Malgun Gothic"/>
          <w:kern w:val="22"/>
          <w:szCs w:val="22"/>
        </w:rPr>
        <w:t>,</w:t>
      </w:r>
      <w:r w:rsidR="00AE7657" w:rsidRPr="00B324FA">
        <w:rPr>
          <w:rFonts w:eastAsia="Malgun Gothic"/>
          <w:kern w:val="22"/>
          <w:szCs w:val="22"/>
        </w:rPr>
        <w:t xml:space="preserve"> </w:t>
      </w:r>
      <w:r w:rsidR="00AE7657" w:rsidRPr="00B324FA">
        <w:rPr>
          <w:rFonts w:eastAsia="MS Mincho"/>
          <w:kern w:val="22"/>
          <w:szCs w:val="22"/>
        </w:rPr>
        <w:t>which</w:t>
      </w:r>
      <w:r w:rsidR="00AE7657" w:rsidRPr="00B324FA">
        <w:rPr>
          <w:rFonts w:eastAsia="Malgun Gothic"/>
          <w:kern w:val="22"/>
          <w:szCs w:val="22"/>
        </w:rPr>
        <w:t xml:space="preserve"> identifies the range of relevant existing indicators, baselines, baseline dates, or other appropriate methods for monitoring changes in biodiversity, indicator gaps</w:t>
      </w:r>
      <w:r w:rsidR="00AE7657" w:rsidRPr="00B324FA">
        <w:rPr>
          <w:kern w:val="22"/>
          <w:szCs w:val="22"/>
        </w:rPr>
        <w:t xml:space="preserve"> and, where relevant, options for filling such gaps and </w:t>
      </w:r>
      <w:r w:rsidR="00AE7657" w:rsidRPr="00B324FA">
        <w:rPr>
          <w:rFonts w:eastAsia="Malgun Gothic"/>
          <w:kern w:val="22"/>
          <w:szCs w:val="22"/>
        </w:rPr>
        <w:t xml:space="preserve">for </w:t>
      </w:r>
      <w:r w:rsidR="00AE7657" w:rsidRPr="00B324FA">
        <w:rPr>
          <w:kern w:val="22"/>
          <w:szCs w:val="22"/>
        </w:rPr>
        <w:t xml:space="preserve">a monitoring framework </w:t>
      </w:r>
      <w:r w:rsidR="00AE7657" w:rsidRPr="00B324FA">
        <w:rPr>
          <w:rFonts w:eastAsia="Malgun Gothic"/>
          <w:kern w:val="22"/>
          <w:szCs w:val="22"/>
        </w:rPr>
        <w:t xml:space="preserve">for the post-2020 global biodiversity framework, taking into account the outcomes of the second meeting of the Open-ended </w:t>
      </w:r>
      <w:r w:rsidR="00AE7657" w:rsidRPr="00B324FA">
        <w:rPr>
          <w:rFonts w:eastAsia="Malgun Gothic"/>
          <w:kern w:val="22"/>
          <w:szCs w:val="22"/>
          <w:lang w:eastAsia="x-none"/>
        </w:rPr>
        <w:t>Working Group on the Post</w:t>
      </w:r>
      <w:r w:rsidR="00AE7657" w:rsidRPr="00B324FA">
        <w:rPr>
          <w:rFonts w:eastAsia="Malgun Gothic"/>
          <w:kern w:val="22"/>
          <w:szCs w:val="22"/>
          <w:lang w:eastAsia="x-none"/>
        </w:rPr>
        <w:noBreakHyphen/>
        <w:t>2020 Global Biodiversity Framework.</w:t>
      </w:r>
      <w:r w:rsidR="00DA7904" w:rsidRPr="00B324FA">
        <w:rPr>
          <w:rFonts w:eastAsia="Malgun Gothic"/>
          <w:kern w:val="22"/>
          <w:szCs w:val="22"/>
          <w:lang w:eastAsia="x-none"/>
        </w:rPr>
        <w:t xml:space="preserve"> In addition, t</w:t>
      </w:r>
      <w:r w:rsidR="00363651" w:rsidRPr="00B324FA">
        <w:rPr>
          <w:rFonts w:eastAsia="Malgun Gothic"/>
          <w:kern w:val="22"/>
          <w:szCs w:val="22"/>
          <w:lang w:eastAsia="x-none"/>
        </w:rPr>
        <w:t>he present</w:t>
      </w:r>
      <w:r w:rsidR="00EF4B29" w:rsidRPr="00B324FA">
        <w:rPr>
          <w:rFonts w:eastAsia="Malgun Gothic"/>
          <w:kern w:val="22"/>
          <w:szCs w:val="22"/>
          <w:lang w:eastAsia="x-none"/>
        </w:rPr>
        <w:t xml:space="preserve"> document is </w:t>
      </w:r>
      <w:r w:rsidR="00DA7904" w:rsidRPr="00B324FA">
        <w:rPr>
          <w:rFonts w:eastAsia="Malgun Gothic"/>
          <w:kern w:val="22"/>
          <w:szCs w:val="22"/>
          <w:lang w:eastAsia="x-none"/>
        </w:rPr>
        <w:t xml:space="preserve">also </w:t>
      </w:r>
      <w:r w:rsidR="00EF4B29" w:rsidRPr="00B324FA">
        <w:rPr>
          <w:rFonts w:eastAsia="Malgun Gothic"/>
          <w:kern w:val="22"/>
          <w:szCs w:val="22"/>
          <w:lang w:eastAsia="x-none"/>
        </w:rPr>
        <w:t xml:space="preserve">supported by an information document prepared in line with the recommendation of </w:t>
      </w:r>
      <w:r w:rsidR="00EF4B29" w:rsidRPr="00B324FA">
        <w:rPr>
          <w:rFonts w:eastAsia="Malgun Gothic"/>
          <w:kern w:val="22"/>
          <w:szCs w:val="22"/>
        </w:rPr>
        <w:t xml:space="preserve">the </w:t>
      </w:r>
      <w:r w:rsidR="00EF4B29" w:rsidRPr="00B324FA">
        <w:rPr>
          <w:rFonts w:eastAsia="Malgun Gothic"/>
          <w:kern w:val="22"/>
          <w:szCs w:val="22"/>
          <w:lang w:eastAsia="x-none"/>
        </w:rPr>
        <w:t xml:space="preserve">Working Group on the Post-2020 Global Biodiversity Framework </w:t>
      </w:r>
      <w:r w:rsidR="00363651" w:rsidRPr="00B324FA">
        <w:rPr>
          <w:rFonts w:eastAsia="Malgun Gothic"/>
          <w:kern w:val="22"/>
          <w:szCs w:val="22"/>
          <w:lang w:eastAsia="x-none"/>
        </w:rPr>
        <w:t>at its second meeting</w:t>
      </w:r>
      <w:r w:rsidR="00363651" w:rsidRPr="00B324FA">
        <w:rPr>
          <w:rFonts w:eastAsia="Malgun Gothic"/>
          <w:kern w:val="22"/>
          <w:szCs w:val="22"/>
        </w:rPr>
        <w:t xml:space="preserve"> </w:t>
      </w:r>
      <w:r w:rsidR="00EF4B29" w:rsidRPr="00B324FA">
        <w:rPr>
          <w:rFonts w:eastAsia="Malgun Gothic"/>
          <w:kern w:val="22"/>
          <w:szCs w:val="22"/>
          <w:lang w:eastAsia="x-none"/>
        </w:rPr>
        <w:t>(</w:t>
      </w:r>
      <w:r w:rsidR="00EF4B29" w:rsidRPr="00B324FA">
        <w:rPr>
          <w:kern w:val="22"/>
          <w:szCs w:val="22"/>
        </w:rPr>
        <w:t>CBD/WG2020/REC/2/1, para</w:t>
      </w:r>
      <w:r w:rsidR="001D0B1D" w:rsidRPr="00B324FA">
        <w:rPr>
          <w:kern w:val="22"/>
          <w:szCs w:val="22"/>
        </w:rPr>
        <w:t>.</w:t>
      </w:r>
      <w:r w:rsidR="00EF4B29" w:rsidRPr="00B324FA">
        <w:rPr>
          <w:kern w:val="22"/>
          <w:szCs w:val="22"/>
        </w:rPr>
        <w:t xml:space="preserve"> 6)</w:t>
      </w:r>
      <w:r w:rsidR="00DA7904" w:rsidRPr="00B324FA">
        <w:rPr>
          <w:kern w:val="22"/>
          <w:szCs w:val="22"/>
        </w:rPr>
        <w:t xml:space="preserve"> </w:t>
      </w:r>
      <w:r w:rsidR="00EF4B29" w:rsidRPr="00B324FA">
        <w:rPr>
          <w:rFonts w:eastAsia="Malgun Gothic"/>
          <w:kern w:val="22"/>
          <w:szCs w:val="22"/>
          <w:lang w:eastAsia="x-none"/>
        </w:rPr>
        <w:t>providing an</w:t>
      </w:r>
      <w:r w:rsidR="00EF4B29" w:rsidRPr="00B324FA">
        <w:rPr>
          <w:kern w:val="22"/>
          <w:szCs w:val="22"/>
        </w:rPr>
        <w:t xml:space="preserve"> analysis of the linkages between the proposed goals, </w:t>
      </w:r>
      <w:proofErr w:type="gramStart"/>
      <w:r w:rsidR="00EF4B29" w:rsidRPr="00B324FA">
        <w:rPr>
          <w:kern w:val="22"/>
          <w:szCs w:val="22"/>
        </w:rPr>
        <w:t>targets</w:t>
      </w:r>
      <w:proofErr w:type="gramEnd"/>
      <w:r w:rsidR="00EF4B29" w:rsidRPr="00B324FA">
        <w:rPr>
          <w:kern w:val="22"/>
          <w:szCs w:val="22"/>
        </w:rPr>
        <w:t xml:space="preserve"> and monitoring framework of the post-2020 global biodiversity framework and the Sustainable Development Goals within the scope of the Convention.</w:t>
      </w:r>
    </w:p>
    <w:p w14:paraId="61D16482" w14:textId="3909BFB2" w:rsidR="00C8289E" w:rsidRDefault="00C8289E" w:rsidP="00866F16">
      <w:pPr>
        <w:pStyle w:val="Para1"/>
        <w:numPr>
          <w:ilvl w:val="0"/>
          <w:numId w:val="2"/>
        </w:numPr>
        <w:suppressLineNumbers/>
        <w:tabs>
          <w:tab w:val="clear" w:pos="360"/>
        </w:tabs>
        <w:suppressAutoHyphens/>
        <w:kinsoku w:val="0"/>
        <w:overflowPunct w:val="0"/>
        <w:autoSpaceDE w:val="0"/>
        <w:autoSpaceDN w:val="0"/>
        <w:adjustRightInd w:val="0"/>
        <w:snapToGrid w:val="0"/>
        <w:spacing w:line="235" w:lineRule="auto"/>
        <w:rPr>
          <w:kern w:val="22"/>
          <w:szCs w:val="22"/>
        </w:rPr>
        <w:sectPr w:rsidR="00C8289E" w:rsidSect="00EA5786">
          <w:headerReference w:type="even" r:id="rId16"/>
          <w:headerReference w:type="default" r:id="rId17"/>
          <w:footerReference w:type="even" r:id="rId18"/>
          <w:footerReference w:type="default" r:id="rId19"/>
          <w:footerReference w:type="first" r:id="rId20"/>
          <w:pgSz w:w="12240" w:h="15840"/>
          <w:pgMar w:top="567" w:right="1389" w:bottom="1134" w:left="1389" w:header="709" w:footer="709" w:gutter="0"/>
          <w:cols w:space="708"/>
          <w:titlePg/>
          <w:docGrid w:linePitch="360"/>
        </w:sectPr>
      </w:pPr>
    </w:p>
    <w:p w14:paraId="7161990C" w14:textId="62E7240A" w:rsidR="006D61E2" w:rsidRPr="00866F16" w:rsidRDefault="009D0E5D" w:rsidP="00866F16">
      <w:pPr>
        <w:pStyle w:val="Heading1"/>
        <w:numPr>
          <w:ilvl w:val="0"/>
          <w:numId w:val="9"/>
        </w:numPr>
        <w:suppressLineNumbers/>
        <w:tabs>
          <w:tab w:val="clear" w:pos="720"/>
        </w:tabs>
        <w:suppressAutoHyphens/>
        <w:kinsoku w:val="0"/>
        <w:overflowPunct w:val="0"/>
        <w:autoSpaceDE w:val="0"/>
        <w:autoSpaceDN w:val="0"/>
        <w:adjustRightInd w:val="0"/>
        <w:snapToGrid w:val="0"/>
        <w:spacing w:before="120" w:line="235" w:lineRule="auto"/>
        <w:ind w:left="992" w:hanging="425"/>
        <w:jc w:val="left"/>
        <w:rPr>
          <w:caps w:val="0"/>
          <w:kern w:val="22"/>
          <w:szCs w:val="22"/>
        </w:rPr>
      </w:pPr>
      <w:r w:rsidRPr="00866F16">
        <w:rPr>
          <w:caps w:val="0"/>
          <w:kern w:val="22"/>
          <w:szCs w:val="22"/>
        </w:rPr>
        <w:lastRenderedPageBreak/>
        <w:t>PROPOSED MONITORING FRAMEWORK FOR THE POST-2020 GLOBAL BIODIVERSITY FRAMEWORK</w:t>
      </w:r>
    </w:p>
    <w:p w14:paraId="23A038E1" w14:textId="4A078A40" w:rsidR="0093169E" w:rsidRPr="00D45BE8" w:rsidRDefault="006D61E2" w:rsidP="00866F16">
      <w:pPr>
        <w:pStyle w:val="Heading2"/>
        <w:numPr>
          <w:ilvl w:val="0"/>
          <w:numId w:val="6"/>
        </w:numPr>
        <w:suppressLineNumbers/>
        <w:tabs>
          <w:tab w:val="clear" w:pos="720"/>
          <w:tab w:val="left" w:pos="426"/>
        </w:tabs>
        <w:suppressAutoHyphens/>
        <w:kinsoku w:val="0"/>
        <w:overflowPunct w:val="0"/>
        <w:autoSpaceDE w:val="0"/>
        <w:autoSpaceDN w:val="0"/>
        <w:adjustRightInd w:val="0"/>
        <w:snapToGrid w:val="0"/>
        <w:spacing w:line="235" w:lineRule="auto"/>
        <w:ind w:left="0" w:firstLine="0"/>
        <w:rPr>
          <w:kern w:val="22"/>
          <w:szCs w:val="22"/>
        </w:rPr>
      </w:pPr>
      <w:r w:rsidRPr="00D45BE8">
        <w:rPr>
          <w:kern w:val="22"/>
          <w:szCs w:val="22"/>
        </w:rPr>
        <w:t>Background</w:t>
      </w:r>
    </w:p>
    <w:p w14:paraId="5CD1FEF8" w14:textId="4B9B67EC" w:rsidR="00DA7904" w:rsidRPr="00B324FA" w:rsidRDefault="003A2F6C" w:rsidP="00866F16">
      <w:pPr>
        <w:pStyle w:val="Para1"/>
        <w:numPr>
          <w:ilvl w:val="0"/>
          <w:numId w:val="2"/>
        </w:numPr>
        <w:suppressLineNumbers/>
        <w:tabs>
          <w:tab w:val="clear" w:pos="360"/>
        </w:tabs>
        <w:suppressAutoHyphens/>
        <w:kinsoku w:val="0"/>
        <w:overflowPunct w:val="0"/>
        <w:autoSpaceDE w:val="0"/>
        <w:autoSpaceDN w:val="0"/>
        <w:adjustRightInd w:val="0"/>
        <w:snapToGrid w:val="0"/>
        <w:spacing w:line="235" w:lineRule="auto"/>
        <w:rPr>
          <w:rFonts w:eastAsia="Malgun Gothic"/>
          <w:kern w:val="22"/>
          <w:szCs w:val="22"/>
          <w:lang w:eastAsia="x-none"/>
        </w:rPr>
      </w:pPr>
      <w:r w:rsidRPr="00B324FA">
        <w:rPr>
          <w:rFonts w:eastAsia="Malgun Gothic"/>
          <w:kern w:val="22"/>
          <w:szCs w:val="22"/>
          <w:lang w:eastAsia="x-none"/>
        </w:rPr>
        <w:t xml:space="preserve">A draft </w:t>
      </w:r>
      <w:r w:rsidR="001F7B48" w:rsidRPr="00B324FA">
        <w:rPr>
          <w:rFonts w:eastAsia="Malgun Gothic"/>
          <w:kern w:val="22"/>
          <w:szCs w:val="22"/>
          <w:lang w:eastAsia="x-none"/>
        </w:rPr>
        <w:t>monitoring framework</w:t>
      </w:r>
      <w:r w:rsidRPr="00B324FA">
        <w:rPr>
          <w:rFonts w:eastAsia="Malgun Gothic"/>
          <w:kern w:val="22"/>
          <w:szCs w:val="22"/>
          <w:lang w:eastAsia="x-none"/>
        </w:rPr>
        <w:t xml:space="preserve"> for the </w:t>
      </w:r>
      <w:r w:rsidR="00DA7904" w:rsidRPr="00B324FA">
        <w:rPr>
          <w:rFonts w:eastAsia="Malgun Gothic"/>
          <w:kern w:val="22"/>
          <w:szCs w:val="22"/>
          <w:lang w:eastAsia="x-none"/>
        </w:rPr>
        <w:t>post-2020 global biodiversity framework</w:t>
      </w:r>
      <w:r w:rsidRPr="00B324FA">
        <w:rPr>
          <w:rFonts w:eastAsia="Malgun Gothic"/>
          <w:kern w:val="22"/>
          <w:szCs w:val="22"/>
          <w:lang w:eastAsia="x-none"/>
        </w:rPr>
        <w:t xml:space="preserve"> was prepared </w:t>
      </w:r>
      <w:proofErr w:type="gramStart"/>
      <w:r w:rsidRPr="00B324FA">
        <w:rPr>
          <w:rFonts w:eastAsia="Malgun Gothic"/>
          <w:kern w:val="22"/>
          <w:szCs w:val="22"/>
          <w:lang w:eastAsia="x-none"/>
        </w:rPr>
        <w:t>on the basis of</w:t>
      </w:r>
      <w:proofErr w:type="gramEnd"/>
      <w:r w:rsidR="00DA7904" w:rsidRPr="00B324FA">
        <w:rPr>
          <w:rFonts w:eastAsia="Malgun Gothic"/>
          <w:kern w:val="22"/>
          <w:szCs w:val="22"/>
          <w:lang w:eastAsia="x-none"/>
        </w:rPr>
        <w:t>:</w:t>
      </w:r>
    </w:p>
    <w:p w14:paraId="556A9987" w14:textId="5B250AC2" w:rsidR="00DA7904" w:rsidRPr="00B324FA" w:rsidRDefault="006F1726" w:rsidP="00866F16">
      <w:pPr>
        <w:pStyle w:val="Para1"/>
        <w:numPr>
          <w:ilvl w:val="1"/>
          <w:numId w:val="2"/>
        </w:numPr>
        <w:suppressLineNumbers/>
        <w:suppressAutoHyphens/>
        <w:kinsoku w:val="0"/>
        <w:overflowPunct w:val="0"/>
        <w:autoSpaceDE w:val="0"/>
        <w:autoSpaceDN w:val="0"/>
        <w:adjustRightInd w:val="0"/>
        <w:snapToGrid w:val="0"/>
        <w:spacing w:line="235" w:lineRule="auto"/>
        <w:rPr>
          <w:rFonts w:eastAsia="Malgun Gothic"/>
          <w:kern w:val="22"/>
          <w:szCs w:val="22"/>
          <w:lang w:eastAsia="x-none"/>
        </w:rPr>
      </w:pPr>
      <w:r w:rsidRPr="00B324FA">
        <w:rPr>
          <w:rFonts w:eastAsia="Malgun Gothic"/>
          <w:kern w:val="22"/>
          <w:szCs w:val="22"/>
          <w:lang w:eastAsia="x-none"/>
        </w:rPr>
        <w:t>T</w:t>
      </w:r>
      <w:r w:rsidR="003A2F6C" w:rsidRPr="00B324FA">
        <w:rPr>
          <w:rFonts w:eastAsia="Malgun Gothic"/>
          <w:kern w:val="22"/>
          <w:szCs w:val="22"/>
          <w:lang w:eastAsia="x-none"/>
        </w:rPr>
        <w:t xml:space="preserve">he indicators identified in decisions </w:t>
      </w:r>
      <w:hyperlink r:id="rId21" w:history="1">
        <w:r w:rsidR="003A2F6C" w:rsidRPr="00B324FA">
          <w:rPr>
            <w:rStyle w:val="Hyperlink"/>
            <w:rFonts w:eastAsia="Malgun Gothic"/>
            <w:kern w:val="22"/>
            <w:sz w:val="22"/>
            <w:szCs w:val="22"/>
            <w:lang w:eastAsia="x-none"/>
          </w:rPr>
          <w:t>XIII/28</w:t>
        </w:r>
      </w:hyperlink>
      <w:r w:rsidR="003A2F6C" w:rsidRPr="00B324FA">
        <w:rPr>
          <w:rFonts w:eastAsia="Malgun Gothic"/>
          <w:kern w:val="22"/>
          <w:szCs w:val="22"/>
          <w:lang w:eastAsia="x-none"/>
        </w:rPr>
        <w:t xml:space="preserve"> and </w:t>
      </w:r>
      <w:hyperlink r:id="rId22" w:history="1">
        <w:r w:rsidR="003A2F6C" w:rsidRPr="00B324FA">
          <w:rPr>
            <w:rStyle w:val="Hyperlink"/>
            <w:rFonts w:eastAsia="Malgun Gothic"/>
            <w:kern w:val="22"/>
            <w:sz w:val="22"/>
            <w:szCs w:val="22"/>
            <w:lang w:eastAsia="x-none"/>
          </w:rPr>
          <w:t>X/3</w:t>
        </w:r>
      </w:hyperlink>
      <w:r w:rsidR="00DA7904" w:rsidRPr="00B324FA">
        <w:rPr>
          <w:rFonts w:eastAsia="Malgun Gothic"/>
          <w:kern w:val="22"/>
          <w:szCs w:val="22"/>
          <w:lang w:eastAsia="x-none"/>
        </w:rPr>
        <w:t>;</w:t>
      </w:r>
    </w:p>
    <w:p w14:paraId="4C10FAE8" w14:textId="371A9655" w:rsidR="00DA7904" w:rsidRPr="00B324FA" w:rsidRDefault="006F1726" w:rsidP="00866F16">
      <w:pPr>
        <w:pStyle w:val="Para1"/>
        <w:numPr>
          <w:ilvl w:val="1"/>
          <w:numId w:val="2"/>
        </w:numPr>
        <w:suppressLineNumbers/>
        <w:suppressAutoHyphens/>
        <w:kinsoku w:val="0"/>
        <w:overflowPunct w:val="0"/>
        <w:autoSpaceDE w:val="0"/>
        <w:autoSpaceDN w:val="0"/>
        <w:adjustRightInd w:val="0"/>
        <w:snapToGrid w:val="0"/>
        <w:spacing w:line="235" w:lineRule="auto"/>
        <w:rPr>
          <w:rFonts w:eastAsia="Malgun Gothic"/>
          <w:kern w:val="22"/>
          <w:szCs w:val="22"/>
          <w:lang w:eastAsia="x-none"/>
        </w:rPr>
      </w:pPr>
      <w:r w:rsidRPr="00B324FA">
        <w:rPr>
          <w:rFonts w:eastAsia="Malgun Gothic"/>
          <w:kern w:val="22"/>
          <w:szCs w:val="22"/>
          <w:lang w:eastAsia="x-none"/>
        </w:rPr>
        <w:t>E</w:t>
      </w:r>
      <w:r w:rsidR="003A2F6C" w:rsidRPr="00B324FA">
        <w:rPr>
          <w:rFonts w:eastAsia="Malgun Gothic"/>
          <w:kern w:val="22"/>
          <w:szCs w:val="22"/>
          <w:lang w:eastAsia="x-none"/>
        </w:rPr>
        <w:t>xisting reporting processes under the Convention and its Protocols</w:t>
      </w:r>
      <w:r w:rsidR="00DA7904" w:rsidRPr="00B324FA">
        <w:rPr>
          <w:rFonts w:eastAsia="Malgun Gothic"/>
          <w:kern w:val="22"/>
          <w:szCs w:val="22"/>
          <w:lang w:eastAsia="x-none"/>
        </w:rPr>
        <w:t>;</w:t>
      </w:r>
    </w:p>
    <w:p w14:paraId="373E03C9" w14:textId="0F9D59C7" w:rsidR="00DA7904" w:rsidRPr="00866F16" w:rsidRDefault="006F1726" w:rsidP="00866F16">
      <w:pPr>
        <w:pStyle w:val="Para1"/>
        <w:numPr>
          <w:ilvl w:val="1"/>
          <w:numId w:val="2"/>
        </w:numPr>
        <w:suppressLineNumbers/>
        <w:suppressAutoHyphens/>
        <w:kinsoku w:val="0"/>
        <w:overflowPunct w:val="0"/>
        <w:autoSpaceDE w:val="0"/>
        <w:autoSpaceDN w:val="0"/>
        <w:adjustRightInd w:val="0"/>
        <w:snapToGrid w:val="0"/>
        <w:spacing w:line="235" w:lineRule="auto"/>
        <w:rPr>
          <w:rFonts w:eastAsia="Malgun Gothic"/>
          <w:spacing w:val="-2"/>
          <w:kern w:val="22"/>
          <w:szCs w:val="22"/>
          <w:lang w:eastAsia="x-none"/>
        </w:rPr>
      </w:pPr>
      <w:r w:rsidRPr="00866F16">
        <w:rPr>
          <w:rFonts w:eastAsia="Malgun Gothic"/>
          <w:spacing w:val="-2"/>
          <w:kern w:val="22"/>
          <w:szCs w:val="22"/>
          <w:lang w:eastAsia="x-none"/>
        </w:rPr>
        <w:t>T</w:t>
      </w:r>
      <w:r w:rsidR="003A2F6C" w:rsidRPr="00866F16">
        <w:rPr>
          <w:rFonts w:eastAsia="Malgun Gothic"/>
          <w:spacing w:val="-2"/>
          <w:kern w:val="22"/>
          <w:szCs w:val="22"/>
          <w:lang w:eastAsia="x-none"/>
        </w:rPr>
        <w:t>he indicators used for monitoring the implementation of the Sustainable Development Goals</w:t>
      </w:r>
      <w:r w:rsidR="00DA7904" w:rsidRPr="00866F16">
        <w:rPr>
          <w:rFonts w:eastAsia="Malgun Gothic"/>
          <w:spacing w:val="-2"/>
          <w:kern w:val="22"/>
          <w:szCs w:val="22"/>
          <w:lang w:eastAsia="x-none"/>
        </w:rPr>
        <w:t>;</w:t>
      </w:r>
    </w:p>
    <w:p w14:paraId="2777EDDC" w14:textId="704128FB" w:rsidR="00DA7904" w:rsidRPr="00B324FA" w:rsidRDefault="006F1726" w:rsidP="00866F16">
      <w:pPr>
        <w:pStyle w:val="Para1"/>
        <w:numPr>
          <w:ilvl w:val="1"/>
          <w:numId w:val="2"/>
        </w:numPr>
        <w:suppressLineNumbers/>
        <w:suppressAutoHyphens/>
        <w:kinsoku w:val="0"/>
        <w:overflowPunct w:val="0"/>
        <w:autoSpaceDE w:val="0"/>
        <w:autoSpaceDN w:val="0"/>
        <w:adjustRightInd w:val="0"/>
        <w:snapToGrid w:val="0"/>
        <w:spacing w:line="235" w:lineRule="auto"/>
        <w:rPr>
          <w:rFonts w:eastAsia="Malgun Gothic"/>
          <w:kern w:val="22"/>
          <w:szCs w:val="22"/>
          <w:lang w:eastAsia="x-none"/>
        </w:rPr>
      </w:pPr>
      <w:r w:rsidRPr="00B324FA">
        <w:rPr>
          <w:rFonts w:eastAsia="Malgun Gothic"/>
          <w:kern w:val="22"/>
          <w:szCs w:val="22"/>
          <w:lang w:eastAsia="x-none"/>
        </w:rPr>
        <w:t>I</w:t>
      </w:r>
      <w:r w:rsidR="003A2F6C" w:rsidRPr="00B324FA">
        <w:rPr>
          <w:rFonts w:eastAsia="Malgun Gothic"/>
          <w:kern w:val="22"/>
          <w:szCs w:val="22"/>
          <w:lang w:eastAsia="x-none"/>
        </w:rPr>
        <w:t>ndicators developed by the members of the Biodiversity Indicators Partnership</w:t>
      </w:r>
      <w:r w:rsidR="000335A2" w:rsidRPr="00B324FA">
        <w:rPr>
          <w:rFonts w:eastAsia="Malgun Gothic"/>
          <w:kern w:val="22"/>
          <w:szCs w:val="22"/>
          <w:lang w:eastAsia="x-none"/>
        </w:rPr>
        <w:t>;</w:t>
      </w:r>
    </w:p>
    <w:p w14:paraId="1C768BE2" w14:textId="50ECF4E0" w:rsidR="00DA7904" w:rsidRPr="00B324FA" w:rsidRDefault="006F1726" w:rsidP="00866F16">
      <w:pPr>
        <w:pStyle w:val="Para1"/>
        <w:numPr>
          <w:ilvl w:val="1"/>
          <w:numId w:val="2"/>
        </w:numPr>
        <w:suppressLineNumbers/>
        <w:suppressAutoHyphens/>
        <w:kinsoku w:val="0"/>
        <w:overflowPunct w:val="0"/>
        <w:autoSpaceDE w:val="0"/>
        <w:autoSpaceDN w:val="0"/>
        <w:adjustRightInd w:val="0"/>
        <w:snapToGrid w:val="0"/>
        <w:spacing w:line="235" w:lineRule="auto"/>
        <w:rPr>
          <w:rFonts w:eastAsia="Malgun Gothic"/>
          <w:kern w:val="22"/>
          <w:szCs w:val="22"/>
          <w:lang w:eastAsia="x-none"/>
        </w:rPr>
      </w:pPr>
      <w:r w:rsidRPr="00B324FA">
        <w:rPr>
          <w:rFonts w:eastAsia="Malgun Gothic"/>
          <w:kern w:val="22"/>
          <w:szCs w:val="22"/>
          <w:lang w:eastAsia="x-none"/>
        </w:rPr>
        <w:t>I</w:t>
      </w:r>
      <w:r w:rsidR="003A2F6C" w:rsidRPr="00B324FA">
        <w:rPr>
          <w:rFonts w:eastAsia="Malgun Gothic"/>
          <w:kern w:val="22"/>
          <w:szCs w:val="22"/>
          <w:lang w:eastAsia="x-none"/>
        </w:rPr>
        <w:t xml:space="preserve">nformation provided to the Working Group </w:t>
      </w:r>
      <w:r w:rsidR="000335A2" w:rsidRPr="00B324FA">
        <w:rPr>
          <w:rFonts w:eastAsia="Malgun Gothic"/>
          <w:kern w:val="22"/>
          <w:szCs w:val="22"/>
          <w:lang w:eastAsia="x-none"/>
        </w:rPr>
        <w:t xml:space="preserve">on the </w:t>
      </w:r>
      <w:r w:rsidR="00F40C02" w:rsidRPr="00B324FA">
        <w:rPr>
          <w:rFonts w:eastAsia="Malgun Gothic"/>
          <w:kern w:val="22"/>
          <w:szCs w:val="22"/>
          <w:lang w:eastAsia="x-none"/>
        </w:rPr>
        <w:t>P</w:t>
      </w:r>
      <w:r w:rsidR="000335A2" w:rsidRPr="00B324FA">
        <w:rPr>
          <w:rFonts w:eastAsia="Malgun Gothic"/>
          <w:kern w:val="22"/>
          <w:szCs w:val="22"/>
          <w:lang w:eastAsia="x-none"/>
        </w:rPr>
        <w:t xml:space="preserve">ost-2020 </w:t>
      </w:r>
      <w:r w:rsidR="00F40C02" w:rsidRPr="00B324FA">
        <w:rPr>
          <w:rFonts w:eastAsia="Malgun Gothic"/>
          <w:kern w:val="22"/>
          <w:szCs w:val="22"/>
          <w:lang w:eastAsia="x-none"/>
        </w:rPr>
        <w:t>G</w:t>
      </w:r>
      <w:r w:rsidR="000335A2" w:rsidRPr="00B324FA">
        <w:rPr>
          <w:rFonts w:eastAsia="Malgun Gothic"/>
          <w:kern w:val="22"/>
          <w:szCs w:val="22"/>
          <w:lang w:eastAsia="x-none"/>
        </w:rPr>
        <w:t xml:space="preserve">lobal </w:t>
      </w:r>
      <w:r w:rsidR="00F40C02" w:rsidRPr="00B324FA">
        <w:rPr>
          <w:rFonts w:eastAsia="Malgun Gothic"/>
          <w:kern w:val="22"/>
          <w:szCs w:val="22"/>
          <w:lang w:eastAsia="x-none"/>
        </w:rPr>
        <w:t>B</w:t>
      </w:r>
      <w:r w:rsidR="000335A2" w:rsidRPr="00B324FA">
        <w:rPr>
          <w:rFonts w:eastAsia="Malgun Gothic"/>
          <w:kern w:val="22"/>
          <w:szCs w:val="22"/>
          <w:lang w:eastAsia="x-none"/>
        </w:rPr>
        <w:t xml:space="preserve">iodiversity </w:t>
      </w:r>
      <w:r w:rsidR="00F40C02" w:rsidRPr="00B324FA">
        <w:rPr>
          <w:rFonts w:eastAsia="Malgun Gothic"/>
          <w:kern w:val="22"/>
          <w:szCs w:val="22"/>
          <w:lang w:eastAsia="x-none"/>
        </w:rPr>
        <w:t>F</w:t>
      </w:r>
      <w:r w:rsidR="000335A2" w:rsidRPr="00B324FA">
        <w:rPr>
          <w:rFonts w:eastAsia="Malgun Gothic"/>
          <w:kern w:val="22"/>
          <w:szCs w:val="22"/>
          <w:lang w:eastAsia="x-none"/>
        </w:rPr>
        <w:t>ram</w:t>
      </w:r>
      <w:r w:rsidR="005D52E1" w:rsidRPr="00B324FA">
        <w:rPr>
          <w:rFonts w:eastAsia="Malgun Gothic"/>
          <w:kern w:val="22"/>
          <w:szCs w:val="22"/>
          <w:lang w:eastAsia="x-none"/>
        </w:rPr>
        <w:t>e</w:t>
      </w:r>
      <w:r w:rsidR="000335A2" w:rsidRPr="00B324FA">
        <w:rPr>
          <w:rFonts w:eastAsia="Malgun Gothic"/>
          <w:kern w:val="22"/>
          <w:szCs w:val="22"/>
          <w:lang w:eastAsia="x-none"/>
        </w:rPr>
        <w:t xml:space="preserve">work </w:t>
      </w:r>
      <w:r w:rsidR="00927160" w:rsidRPr="00B324FA">
        <w:rPr>
          <w:rFonts w:eastAsia="Malgun Gothic"/>
          <w:kern w:val="22"/>
          <w:szCs w:val="22"/>
          <w:lang w:eastAsia="x-none"/>
        </w:rPr>
        <w:t>at its second meeting</w:t>
      </w:r>
      <w:r w:rsidR="000335A2" w:rsidRPr="00B324FA">
        <w:rPr>
          <w:rFonts w:eastAsia="Malgun Gothic"/>
          <w:kern w:val="22"/>
          <w:szCs w:val="22"/>
          <w:lang w:eastAsia="x-none"/>
        </w:rPr>
        <w:t>.</w:t>
      </w:r>
    </w:p>
    <w:p w14:paraId="4D3489CD" w14:textId="2D7B1A01" w:rsidR="002C365C" w:rsidRPr="00B324FA" w:rsidRDefault="00DA7904" w:rsidP="00866F16">
      <w:pPr>
        <w:pStyle w:val="Para1"/>
        <w:numPr>
          <w:ilvl w:val="0"/>
          <w:numId w:val="2"/>
        </w:numPr>
        <w:suppressLineNumbers/>
        <w:tabs>
          <w:tab w:val="clear" w:pos="360"/>
        </w:tabs>
        <w:suppressAutoHyphens/>
        <w:kinsoku w:val="0"/>
        <w:overflowPunct w:val="0"/>
        <w:autoSpaceDE w:val="0"/>
        <w:autoSpaceDN w:val="0"/>
        <w:adjustRightInd w:val="0"/>
        <w:snapToGrid w:val="0"/>
        <w:spacing w:line="235" w:lineRule="auto"/>
        <w:rPr>
          <w:rFonts w:eastAsia="Malgun Gothic"/>
          <w:kern w:val="22"/>
          <w:szCs w:val="22"/>
          <w:lang w:eastAsia="x-none"/>
        </w:rPr>
      </w:pPr>
      <w:r w:rsidRPr="00B324FA">
        <w:rPr>
          <w:rFonts w:eastAsia="Malgun Gothic"/>
          <w:kern w:val="22"/>
          <w:szCs w:val="22"/>
          <w:lang w:eastAsia="x-none"/>
        </w:rPr>
        <w:t xml:space="preserve">The draft monitoring framework </w:t>
      </w:r>
      <w:r w:rsidR="003A2F6C" w:rsidRPr="00B324FA">
        <w:rPr>
          <w:rFonts w:eastAsia="Malgun Gothic"/>
          <w:kern w:val="22"/>
          <w:szCs w:val="22"/>
          <w:lang w:eastAsia="x-none"/>
        </w:rPr>
        <w:t>was made available for peer review from 24 June to 15 August 2020</w:t>
      </w:r>
      <w:r w:rsidR="00A13695" w:rsidRPr="00B324FA">
        <w:rPr>
          <w:rFonts w:eastAsia="Malgun Gothic"/>
          <w:kern w:val="22"/>
          <w:szCs w:val="22"/>
          <w:lang w:eastAsia="x-none"/>
        </w:rPr>
        <w:t>.</w:t>
      </w:r>
      <w:r w:rsidRPr="00B324FA">
        <w:rPr>
          <w:rStyle w:val="FootnoteReference"/>
          <w:rFonts w:eastAsia="Malgun Gothic"/>
          <w:kern w:val="22"/>
          <w:szCs w:val="22"/>
          <w:lang w:eastAsia="x-none"/>
        </w:rPr>
        <w:footnoteReference w:id="3"/>
      </w:r>
      <w:r w:rsidR="003A2F6C" w:rsidRPr="00B324FA">
        <w:rPr>
          <w:rFonts w:eastAsia="Malgun Gothic"/>
          <w:kern w:val="22"/>
          <w:szCs w:val="22"/>
          <w:lang w:eastAsia="x-none"/>
        </w:rPr>
        <w:t xml:space="preserve"> </w:t>
      </w:r>
      <w:r w:rsidRPr="00B324FA">
        <w:rPr>
          <w:rFonts w:eastAsia="Malgun Gothic"/>
          <w:kern w:val="22"/>
          <w:szCs w:val="22"/>
          <w:lang w:eastAsia="x-none"/>
        </w:rPr>
        <w:t>T</w:t>
      </w:r>
      <w:r w:rsidR="00D22A07" w:rsidRPr="00B324FA">
        <w:rPr>
          <w:rFonts w:eastAsia="Malgun Gothic"/>
          <w:kern w:val="22"/>
          <w:szCs w:val="22"/>
          <w:lang w:eastAsia="x-none"/>
        </w:rPr>
        <w:t>he</w:t>
      </w:r>
      <w:r w:rsidR="003A2F6C" w:rsidRPr="00B324FA">
        <w:rPr>
          <w:rFonts w:eastAsia="Malgun Gothic"/>
          <w:kern w:val="22"/>
          <w:szCs w:val="22"/>
          <w:lang w:eastAsia="x-none"/>
        </w:rPr>
        <w:t xml:space="preserve"> </w:t>
      </w:r>
      <w:r w:rsidR="00D22A07" w:rsidRPr="00B324FA">
        <w:rPr>
          <w:rFonts w:eastAsia="Malgun Gothic"/>
          <w:kern w:val="22"/>
          <w:szCs w:val="22"/>
          <w:lang w:eastAsia="x-none"/>
        </w:rPr>
        <w:t xml:space="preserve">Secretariat </w:t>
      </w:r>
      <w:r w:rsidR="003A2F6C" w:rsidRPr="00B324FA">
        <w:rPr>
          <w:rFonts w:eastAsia="Malgun Gothic"/>
          <w:kern w:val="22"/>
          <w:szCs w:val="22"/>
          <w:lang w:eastAsia="x-none"/>
        </w:rPr>
        <w:t xml:space="preserve">received </w:t>
      </w:r>
      <w:r w:rsidR="00D22A07" w:rsidRPr="00B324FA">
        <w:rPr>
          <w:rFonts w:eastAsia="Malgun Gothic"/>
          <w:kern w:val="22"/>
          <w:szCs w:val="22"/>
          <w:lang w:eastAsia="x-none"/>
        </w:rPr>
        <w:t>233</w:t>
      </w:r>
      <w:r w:rsidR="001F0073" w:rsidRPr="00B324FA">
        <w:rPr>
          <w:rFonts w:eastAsia="Malgun Gothic"/>
          <w:kern w:val="22"/>
          <w:szCs w:val="22"/>
          <w:lang w:eastAsia="x-none"/>
        </w:rPr>
        <w:t xml:space="preserve"> submissions </w:t>
      </w:r>
      <w:r w:rsidR="003A2F6C" w:rsidRPr="00B324FA">
        <w:rPr>
          <w:rFonts w:eastAsia="Malgun Gothic"/>
          <w:kern w:val="22"/>
          <w:szCs w:val="22"/>
          <w:lang w:eastAsia="x-none"/>
        </w:rPr>
        <w:t xml:space="preserve">from </w:t>
      </w:r>
      <w:r w:rsidR="00D22A07" w:rsidRPr="00B324FA">
        <w:rPr>
          <w:rFonts w:eastAsia="Malgun Gothic"/>
          <w:kern w:val="22"/>
          <w:szCs w:val="22"/>
          <w:lang w:eastAsia="x-none"/>
        </w:rPr>
        <w:t>53</w:t>
      </w:r>
      <w:r w:rsidR="003A2F6C" w:rsidRPr="00B324FA">
        <w:rPr>
          <w:rFonts w:eastAsia="Malgun Gothic"/>
          <w:kern w:val="22"/>
          <w:szCs w:val="22"/>
          <w:lang w:eastAsia="x-none"/>
        </w:rPr>
        <w:t xml:space="preserve"> Parties</w:t>
      </w:r>
      <w:r w:rsidR="00D22A07" w:rsidRPr="00B324FA">
        <w:rPr>
          <w:rFonts w:eastAsia="Malgun Gothic"/>
          <w:kern w:val="22"/>
          <w:szCs w:val="22"/>
          <w:lang w:eastAsia="x-none"/>
        </w:rPr>
        <w:t xml:space="preserve">, 1 other </w:t>
      </w:r>
      <w:r w:rsidR="0073102A" w:rsidRPr="00B324FA">
        <w:rPr>
          <w:rFonts w:eastAsia="Malgun Gothic"/>
          <w:kern w:val="22"/>
          <w:szCs w:val="22"/>
          <w:lang w:eastAsia="x-none"/>
        </w:rPr>
        <w:t>G</w:t>
      </w:r>
      <w:r w:rsidR="00D22A07" w:rsidRPr="00B324FA">
        <w:rPr>
          <w:rFonts w:eastAsia="Malgun Gothic"/>
          <w:kern w:val="22"/>
          <w:szCs w:val="22"/>
          <w:lang w:eastAsia="x-none"/>
        </w:rPr>
        <w:t>overnment</w:t>
      </w:r>
      <w:r w:rsidR="003A2F6C" w:rsidRPr="00B324FA">
        <w:rPr>
          <w:rFonts w:eastAsia="Malgun Gothic"/>
          <w:kern w:val="22"/>
          <w:szCs w:val="22"/>
          <w:lang w:eastAsia="x-none"/>
        </w:rPr>
        <w:t xml:space="preserve"> and </w:t>
      </w:r>
      <w:r w:rsidR="00D22A07" w:rsidRPr="00B324FA">
        <w:rPr>
          <w:rFonts w:eastAsia="Malgun Gothic"/>
          <w:kern w:val="22"/>
          <w:szCs w:val="22"/>
          <w:lang w:eastAsia="x-none"/>
        </w:rPr>
        <w:t>179</w:t>
      </w:r>
      <w:r w:rsidR="003A2F6C" w:rsidRPr="00B324FA">
        <w:rPr>
          <w:rFonts w:eastAsia="Malgun Gothic"/>
          <w:kern w:val="22"/>
          <w:szCs w:val="22"/>
          <w:lang w:eastAsia="x-none"/>
        </w:rPr>
        <w:t xml:space="preserve"> observers.</w:t>
      </w:r>
      <w:r w:rsidR="003A2F6C" w:rsidRPr="00B324FA">
        <w:rPr>
          <w:rStyle w:val="FootnoteReference"/>
          <w:rFonts w:eastAsia="Malgun Gothic"/>
          <w:kern w:val="22"/>
          <w:szCs w:val="22"/>
          <w:lang w:eastAsia="x-none"/>
        </w:rPr>
        <w:footnoteReference w:id="4"/>
      </w:r>
      <w:r w:rsidR="00B7128C" w:rsidRPr="00B324FA">
        <w:rPr>
          <w:rFonts w:eastAsia="Malgun Gothic"/>
          <w:kern w:val="22"/>
          <w:szCs w:val="22"/>
          <w:lang w:eastAsia="x-none"/>
        </w:rPr>
        <w:t xml:space="preserve"> The peer review </w:t>
      </w:r>
      <w:r w:rsidR="00001D60" w:rsidRPr="00B324FA">
        <w:rPr>
          <w:rFonts w:eastAsia="Malgun Gothic"/>
          <w:kern w:val="22"/>
          <w:szCs w:val="22"/>
          <w:lang w:eastAsia="x-none"/>
        </w:rPr>
        <w:t xml:space="preserve">comments </w:t>
      </w:r>
      <w:r w:rsidR="00B7128C" w:rsidRPr="00B324FA">
        <w:rPr>
          <w:rFonts w:eastAsia="Malgun Gothic"/>
          <w:kern w:val="22"/>
          <w:szCs w:val="22"/>
          <w:lang w:eastAsia="x-none"/>
        </w:rPr>
        <w:t>included general comments on the design of a monitoring framework for the post</w:t>
      </w:r>
      <w:r w:rsidR="00601679" w:rsidRPr="00B324FA">
        <w:rPr>
          <w:rFonts w:eastAsia="Malgun Gothic"/>
          <w:kern w:val="22"/>
          <w:szCs w:val="22"/>
          <w:lang w:eastAsia="x-none"/>
        </w:rPr>
        <w:t>-</w:t>
      </w:r>
      <w:r w:rsidR="00B7128C" w:rsidRPr="00B324FA">
        <w:rPr>
          <w:rFonts w:eastAsia="Malgun Gothic"/>
          <w:kern w:val="22"/>
          <w:szCs w:val="22"/>
          <w:lang w:eastAsia="x-none"/>
        </w:rPr>
        <w:t xml:space="preserve">2020 </w:t>
      </w:r>
      <w:r w:rsidR="001F7B48" w:rsidRPr="00B324FA">
        <w:rPr>
          <w:rFonts w:eastAsia="Malgun Gothic"/>
          <w:kern w:val="22"/>
          <w:szCs w:val="22"/>
          <w:lang w:eastAsia="x-none"/>
        </w:rPr>
        <w:t xml:space="preserve">global biodiversity framework </w:t>
      </w:r>
      <w:r w:rsidR="00B7128C" w:rsidRPr="00B324FA">
        <w:rPr>
          <w:rFonts w:eastAsia="Malgun Gothic"/>
          <w:kern w:val="22"/>
          <w:szCs w:val="22"/>
          <w:lang w:eastAsia="x-none"/>
        </w:rPr>
        <w:t xml:space="preserve">as well as specific comments on indicators. Many of the comments highlighted the need for </w:t>
      </w:r>
      <w:r w:rsidR="001F7B48" w:rsidRPr="00B324FA">
        <w:rPr>
          <w:rFonts w:eastAsia="Malgun Gothic"/>
          <w:kern w:val="22"/>
          <w:szCs w:val="22"/>
          <w:lang w:eastAsia="x-none"/>
        </w:rPr>
        <w:t>a simple monitoring framework which is</w:t>
      </w:r>
      <w:r w:rsidR="00B7128C" w:rsidRPr="00B324FA">
        <w:rPr>
          <w:rFonts w:eastAsia="Malgun Gothic"/>
          <w:kern w:val="22"/>
          <w:szCs w:val="22"/>
          <w:lang w:eastAsia="x-none"/>
        </w:rPr>
        <w:t xml:space="preserve"> </w:t>
      </w:r>
      <w:r w:rsidR="001F7B48" w:rsidRPr="00B324FA">
        <w:rPr>
          <w:rFonts w:eastAsia="Malgun Gothic"/>
          <w:kern w:val="22"/>
          <w:szCs w:val="22"/>
          <w:lang w:eastAsia="x-none"/>
        </w:rPr>
        <w:t>nationally</w:t>
      </w:r>
      <w:r w:rsidR="00B7128C" w:rsidRPr="00B324FA">
        <w:rPr>
          <w:rFonts w:eastAsia="Malgun Gothic"/>
          <w:kern w:val="22"/>
          <w:szCs w:val="22"/>
          <w:lang w:eastAsia="x-none"/>
        </w:rPr>
        <w:t xml:space="preserve"> releva</w:t>
      </w:r>
      <w:r w:rsidR="001F7B48" w:rsidRPr="00B324FA">
        <w:rPr>
          <w:rFonts w:eastAsia="Malgun Gothic"/>
          <w:kern w:val="22"/>
          <w:szCs w:val="22"/>
          <w:lang w:eastAsia="x-none"/>
        </w:rPr>
        <w:t>nt</w:t>
      </w:r>
      <w:r w:rsidR="00B7128C" w:rsidRPr="00B324FA">
        <w:rPr>
          <w:rFonts w:eastAsia="Malgun Gothic"/>
          <w:kern w:val="22"/>
          <w:szCs w:val="22"/>
          <w:lang w:eastAsia="x-none"/>
        </w:rPr>
        <w:t xml:space="preserve">, </w:t>
      </w:r>
      <w:r w:rsidR="00302582" w:rsidRPr="00B324FA">
        <w:rPr>
          <w:rFonts w:eastAsia="Malgun Gothic"/>
          <w:kern w:val="22"/>
          <w:szCs w:val="22"/>
          <w:lang w:eastAsia="x-none"/>
        </w:rPr>
        <w:t xml:space="preserve">imbued with </w:t>
      </w:r>
      <w:r w:rsidR="00B7128C" w:rsidRPr="00B324FA">
        <w:rPr>
          <w:rFonts w:eastAsia="Malgun Gothic"/>
          <w:kern w:val="22"/>
          <w:szCs w:val="22"/>
          <w:lang w:eastAsia="x-none"/>
        </w:rPr>
        <w:t xml:space="preserve">a clear monitoring logic, </w:t>
      </w:r>
      <w:r w:rsidR="001F7B48" w:rsidRPr="00B324FA">
        <w:rPr>
          <w:rFonts w:eastAsia="Malgun Gothic"/>
          <w:kern w:val="22"/>
          <w:szCs w:val="22"/>
          <w:lang w:eastAsia="x-none"/>
        </w:rPr>
        <w:t xml:space="preserve">is aligned </w:t>
      </w:r>
      <w:r w:rsidR="00B7128C" w:rsidRPr="00B324FA">
        <w:rPr>
          <w:rFonts w:eastAsia="Malgun Gothic"/>
          <w:kern w:val="22"/>
          <w:szCs w:val="22"/>
          <w:lang w:eastAsia="x-none"/>
        </w:rPr>
        <w:t xml:space="preserve">with existing </w:t>
      </w:r>
      <w:proofErr w:type="gramStart"/>
      <w:r w:rsidR="00B7128C" w:rsidRPr="00B324FA">
        <w:rPr>
          <w:rFonts w:eastAsia="Malgun Gothic"/>
          <w:kern w:val="22"/>
          <w:szCs w:val="22"/>
          <w:lang w:eastAsia="x-none"/>
        </w:rPr>
        <w:t>processes</w:t>
      </w:r>
      <w:proofErr w:type="gramEnd"/>
      <w:r w:rsidR="001F0073" w:rsidRPr="00B324FA">
        <w:rPr>
          <w:rFonts w:eastAsia="Malgun Gothic"/>
          <w:kern w:val="22"/>
          <w:szCs w:val="22"/>
          <w:lang w:eastAsia="x-none"/>
        </w:rPr>
        <w:t xml:space="preserve"> and</w:t>
      </w:r>
      <w:r w:rsidR="000B4C65" w:rsidRPr="00B324FA">
        <w:rPr>
          <w:rFonts w:eastAsia="Malgun Gothic"/>
          <w:kern w:val="22"/>
          <w:szCs w:val="22"/>
          <w:lang w:eastAsia="x-none"/>
        </w:rPr>
        <w:t xml:space="preserve"> agreed measurement frameworks</w:t>
      </w:r>
      <w:r w:rsidR="00B7128C" w:rsidRPr="00B324FA">
        <w:rPr>
          <w:rFonts w:eastAsia="Malgun Gothic"/>
          <w:kern w:val="22"/>
          <w:szCs w:val="22"/>
          <w:lang w:eastAsia="x-none"/>
        </w:rPr>
        <w:t xml:space="preserve"> and </w:t>
      </w:r>
      <w:r w:rsidR="001F7B48" w:rsidRPr="00B324FA">
        <w:rPr>
          <w:rFonts w:eastAsia="Malgun Gothic"/>
          <w:kern w:val="22"/>
          <w:szCs w:val="22"/>
          <w:lang w:eastAsia="x-none"/>
        </w:rPr>
        <w:t xml:space="preserve">is structured around </w:t>
      </w:r>
      <w:r w:rsidR="00B7128C" w:rsidRPr="00B324FA">
        <w:rPr>
          <w:rFonts w:eastAsia="Malgun Gothic"/>
          <w:kern w:val="22"/>
          <w:szCs w:val="22"/>
          <w:lang w:eastAsia="x-none"/>
        </w:rPr>
        <w:t xml:space="preserve">agreed </w:t>
      </w:r>
      <w:r w:rsidR="001F7B48" w:rsidRPr="00B324FA">
        <w:rPr>
          <w:rFonts w:eastAsia="Malgun Gothic"/>
          <w:kern w:val="22"/>
          <w:szCs w:val="22"/>
          <w:lang w:eastAsia="x-none"/>
        </w:rPr>
        <w:t>h</w:t>
      </w:r>
      <w:r w:rsidR="00B7128C" w:rsidRPr="00B324FA">
        <w:rPr>
          <w:rFonts w:eastAsia="Malgun Gothic"/>
          <w:kern w:val="22"/>
          <w:szCs w:val="22"/>
          <w:lang w:eastAsia="x-none"/>
        </w:rPr>
        <w:t>eadline indicators.</w:t>
      </w:r>
    </w:p>
    <w:p w14:paraId="36021370" w14:textId="75E55325" w:rsidR="001648DB" w:rsidRPr="00B324FA" w:rsidRDefault="000335A2" w:rsidP="00866F16">
      <w:pPr>
        <w:pStyle w:val="Para1"/>
        <w:numPr>
          <w:ilvl w:val="0"/>
          <w:numId w:val="2"/>
        </w:numPr>
        <w:suppressLineNumbers/>
        <w:tabs>
          <w:tab w:val="clear" w:pos="360"/>
        </w:tabs>
        <w:suppressAutoHyphens/>
        <w:kinsoku w:val="0"/>
        <w:overflowPunct w:val="0"/>
        <w:autoSpaceDE w:val="0"/>
        <w:autoSpaceDN w:val="0"/>
        <w:adjustRightInd w:val="0"/>
        <w:snapToGrid w:val="0"/>
        <w:spacing w:line="235" w:lineRule="auto"/>
        <w:rPr>
          <w:rFonts w:eastAsia="Malgun Gothic"/>
          <w:kern w:val="22"/>
          <w:szCs w:val="22"/>
          <w:lang w:eastAsia="x-none"/>
        </w:rPr>
      </w:pPr>
      <w:r w:rsidRPr="00B324FA">
        <w:rPr>
          <w:rFonts w:eastAsia="Malgun Gothic"/>
          <w:kern w:val="22"/>
          <w:szCs w:val="22"/>
          <w:lang w:eastAsia="x-none"/>
        </w:rPr>
        <w:t>A</w:t>
      </w:r>
      <w:r w:rsidR="002C365C" w:rsidRPr="00B324FA">
        <w:rPr>
          <w:rFonts w:eastAsia="Malgun Gothic"/>
          <w:kern w:val="22"/>
          <w:szCs w:val="22"/>
          <w:lang w:eastAsia="x-none"/>
        </w:rPr>
        <w:t xml:space="preserve">n analysis of the use of indicators in </w:t>
      </w:r>
      <w:r w:rsidR="00863519" w:rsidRPr="00B324FA">
        <w:rPr>
          <w:rFonts w:eastAsia="Malgun Gothic"/>
          <w:kern w:val="22"/>
          <w:szCs w:val="22"/>
          <w:lang w:eastAsia="x-none"/>
        </w:rPr>
        <w:t xml:space="preserve">the </w:t>
      </w:r>
      <w:r w:rsidR="001648DB" w:rsidRPr="00B324FA">
        <w:rPr>
          <w:kern w:val="22"/>
          <w:szCs w:val="22"/>
        </w:rPr>
        <w:t xml:space="preserve">fifth </w:t>
      </w:r>
      <w:r w:rsidR="002C365C" w:rsidRPr="00B324FA">
        <w:rPr>
          <w:kern w:val="22"/>
          <w:szCs w:val="22"/>
        </w:rPr>
        <w:t xml:space="preserve">and </w:t>
      </w:r>
      <w:r w:rsidR="001648DB" w:rsidRPr="00B324FA">
        <w:rPr>
          <w:kern w:val="22"/>
          <w:szCs w:val="22"/>
        </w:rPr>
        <w:t>sixth n</w:t>
      </w:r>
      <w:r w:rsidR="002C365C" w:rsidRPr="00B324FA">
        <w:rPr>
          <w:kern w:val="22"/>
          <w:szCs w:val="22"/>
        </w:rPr>
        <w:t xml:space="preserve">ational </w:t>
      </w:r>
      <w:r w:rsidR="001648DB" w:rsidRPr="00B324FA">
        <w:rPr>
          <w:kern w:val="22"/>
          <w:szCs w:val="22"/>
        </w:rPr>
        <w:t>r</w:t>
      </w:r>
      <w:r w:rsidR="002C365C" w:rsidRPr="00B324FA">
        <w:rPr>
          <w:kern w:val="22"/>
          <w:szCs w:val="22"/>
        </w:rPr>
        <w:t xml:space="preserve">eports to the Convention on Biological Diversity was </w:t>
      </w:r>
      <w:r w:rsidRPr="00B324FA">
        <w:rPr>
          <w:kern w:val="22"/>
          <w:szCs w:val="22"/>
        </w:rPr>
        <w:t xml:space="preserve">also </w:t>
      </w:r>
      <w:r w:rsidR="00863519" w:rsidRPr="00B324FA">
        <w:rPr>
          <w:kern w:val="22"/>
          <w:szCs w:val="22"/>
        </w:rPr>
        <w:t xml:space="preserve">undertaken to, among other things, further </w:t>
      </w:r>
      <w:r w:rsidR="001648DB" w:rsidRPr="00B324FA">
        <w:rPr>
          <w:kern w:val="22"/>
          <w:szCs w:val="22"/>
        </w:rPr>
        <w:t>inform the development of the monitoring framework</w:t>
      </w:r>
      <w:r w:rsidRPr="00B324FA">
        <w:rPr>
          <w:kern w:val="22"/>
          <w:szCs w:val="22"/>
        </w:rPr>
        <w:t xml:space="preserve"> for the post-2020 global biodiversity framework</w:t>
      </w:r>
      <w:r w:rsidR="002C365C" w:rsidRPr="00B324FA">
        <w:rPr>
          <w:kern w:val="22"/>
          <w:szCs w:val="22"/>
        </w:rPr>
        <w:t>.</w:t>
      </w:r>
      <w:r w:rsidR="002C365C" w:rsidRPr="00B324FA">
        <w:rPr>
          <w:rStyle w:val="FootnoteReference"/>
          <w:kern w:val="22"/>
          <w:szCs w:val="22"/>
        </w:rPr>
        <w:footnoteReference w:id="5"/>
      </w:r>
      <w:r w:rsidR="002C365C" w:rsidRPr="00B324FA">
        <w:rPr>
          <w:kern w:val="22"/>
          <w:szCs w:val="22"/>
        </w:rPr>
        <w:t xml:space="preserve"> </w:t>
      </w:r>
      <w:r w:rsidR="001648DB" w:rsidRPr="00B324FA">
        <w:rPr>
          <w:kern w:val="22"/>
          <w:szCs w:val="22"/>
        </w:rPr>
        <w:t>Th</w:t>
      </w:r>
      <w:r w:rsidR="00863519" w:rsidRPr="00B324FA">
        <w:rPr>
          <w:kern w:val="22"/>
          <w:szCs w:val="22"/>
        </w:rPr>
        <w:t>e</w:t>
      </w:r>
      <w:r w:rsidR="001648DB" w:rsidRPr="00B324FA">
        <w:rPr>
          <w:kern w:val="22"/>
          <w:szCs w:val="22"/>
        </w:rPr>
        <w:t xml:space="preserve"> analysis </w:t>
      </w:r>
      <w:r w:rsidR="001648DB" w:rsidRPr="00B324FA">
        <w:rPr>
          <w:rFonts w:eastAsia="Malgun Gothic"/>
          <w:kern w:val="22"/>
          <w:szCs w:val="22"/>
          <w:lang w:eastAsia="x-none"/>
        </w:rPr>
        <w:t xml:space="preserve">highlighted the need for indicators which are built on national data sources and which are nationally relevant. </w:t>
      </w:r>
      <w:r w:rsidR="00863519" w:rsidRPr="00B324FA">
        <w:rPr>
          <w:rFonts w:eastAsia="Malgun Gothic"/>
          <w:kern w:val="22"/>
          <w:szCs w:val="22"/>
          <w:lang w:eastAsia="x-none"/>
        </w:rPr>
        <w:t>Among its main findings were:</w:t>
      </w:r>
    </w:p>
    <w:p w14:paraId="358680DB" w14:textId="7E381158" w:rsidR="002C365C" w:rsidRPr="00B324FA" w:rsidRDefault="002C365C" w:rsidP="00866F16">
      <w:pPr>
        <w:pStyle w:val="Para1"/>
        <w:numPr>
          <w:ilvl w:val="1"/>
          <w:numId w:val="3"/>
        </w:numPr>
        <w:suppressLineNumbers/>
        <w:suppressAutoHyphens/>
        <w:kinsoku w:val="0"/>
        <w:overflowPunct w:val="0"/>
        <w:autoSpaceDE w:val="0"/>
        <w:autoSpaceDN w:val="0"/>
        <w:adjustRightInd w:val="0"/>
        <w:snapToGrid w:val="0"/>
        <w:spacing w:line="235" w:lineRule="auto"/>
        <w:rPr>
          <w:kern w:val="22"/>
          <w:szCs w:val="22"/>
        </w:rPr>
      </w:pPr>
      <w:r w:rsidRPr="00B324FA">
        <w:rPr>
          <w:kern w:val="22"/>
          <w:szCs w:val="22"/>
        </w:rPr>
        <w:t xml:space="preserve">The total number of indicators </w:t>
      </w:r>
      <w:r w:rsidR="00863519" w:rsidRPr="00B324FA">
        <w:rPr>
          <w:kern w:val="22"/>
          <w:szCs w:val="22"/>
        </w:rPr>
        <w:t xml:space="preserve">used in the national reports </w:t>
      </w:r>
      <w:r w:rsidRPr="00B324FA">
        <w:rPr>
          <w:kern w:val="22"/>
          <w:szCs w:val="22"/>
        </w:rPr>
        <w:t>significantly increased from an average of 49</w:t>
      </w:r>
      <w:r w:rsidR="00863519" w:rsidRPr="00B324FA">
        <w:rPr>
          <w:kern w:val="22"/>
          <w:szCs w:val="22"/>
        </w:rPr>
        <w:t xml:space="preserve"> indicators in the fifth national reports</w:t>
      </w:r>
      <w:r w:rsidRPr="00B324FA">
        <w:rPr>
          <w:kern w:val="22"/>
          <w:szCs w:val="22"/>
        </w:rPr>
        <w:t xml:space="preserve"> to 84 indicators in </w:t>
      </w:r>
      <w:r w:rsidR="00863519" w:rsidRPr="00B324FA">
        <w:rPr>
          <w:kern w:val="22"/>
          <w:szCs w:val="22"/>
        </w:rPr>
        <w:t>the</w:t>
      </w:r>
      <w:r w:rsidR="00FB6708" w:rsidRPr="00B324FA">
        <w:rPr>
          <w:kern w:val="22"/>
          <w:szCs w:val="22"/>
        </w:rPr>
        <w:t xml:space="preserve"> sixth n</w:t>
      </w:r>
      <w:r w:rsidRPr="00B324FA">
        <w:rPr>
          <w:kern w:val="22"/>
          <w:szCs w:val="22"/>
        </w:rPr>
        <w:t xml:space="preserve">ational </w:t>
      </w:r>
      <w:r w:rsidR="00FB6708" w:rsidRPr="00B324FA">
        <w:rPr>
          <w:kern w:val="22"/>
          <w:szCs w:val="22"/>
        </w:rPr>
        <w:t>r</w:t>
      </w:r>
      <w:r w:rsidRPr="00B324FA">
        <w:rPr>
          <w:kern w:val="22"/>
          <w:szCs w:val="22"/>
        </w:rPr>
        <w:t>eports</w:t>
      </w:r>
      <w:r w:rsidR="00FB6708" w:rsidRPr="00B324FA">
        <w:rPr>
          <w:kern w:val="22"/>
          <w:szCs w:val="22"/>
        </w:rPr>
        <w:t>;</w:t>
      </w:r>
    </w:p>
    <w:p w14:paraId="040A1B24" w14:textId="3B94DF07" w:rsidR="002C365C" w:rsidRPr="00B324FA" w:rsidRDefault="001648DB" w:rsidP="00866F16">
      <w:pPr>
        <w:pStyle w:val="Para1"/>
        <w:numPr>
          <w:ilvl w:val="1"/>
          <w:numId w:val="3"/>
        </w:numPr>
        <w:suppressLineNumbers/>
        <w:suppressAutoHyphens/>
        <w:kinsoku w:val="0"/>
        <w:overflowPunct w:val="0"/>
        <w:autoSpaceDE w:val="0"/>
        <w:autoSpaceDN w:val="0"/>
        <w:adjustRightInd w:val="0"/>
        <w:snapToGrid w:val="0"/>
        <w:spacing w:line="235" w:lineRule="auto"/>
        <w:rPr>
          <w:kern w:val="22"/>
          <w:szCs w:val="22"/>
        </w:rPr>
      </w:pPr>
      <w:r w:rsidRPr="00B324FA">
        <w:rPr>
          <w:kern w:val="22"/>
          <w:szCs w:val="22"/>
        </w:rPr>
        <w:t>In the sixth national reports,</w:t>
      </w:r>
      <w:r w:rsidRPr="00B324FA" w:rsidDel="001648DB">
        <w:rPr>
          <w:kern w:val="22"/>
          <w:szCs w:val="22"/>
        </w:rPr>
        <w:t xml:space="preserve"> </w:t>
      </w:r>
      <w:r w:rsidRPr="00B324FA">
        <w:rPr>
          <w:kern w:val="22"/>
          <w:szCs w:val="22"/>
        </w:rPr>
        <w:t>n</w:t>
      </w:r>
      <w:r w:rsidR="002C365C" w:rsidRPr="00B324FA">
        <w:rPr>
          <w:kern w:val="22"/>
          <w:szCs w:val="22"/>
        </w:rPr>
        <w:t>ational</w:t>
      </w:r>
      <w:r w:rsidR="009E7B09" w:rsidRPr="00B324FA">
        <w:rPr>
          <w:kern w:val="22"/>
          <w:szCs w:val="22"/>
        </w:rPr>
        <w:t>ly compiled</w:t>
      </w:r>
      <w:r w:rsidR="002C365C" w:rsidRPr="00B324FA">
        <w:rPr>
          <w:kern w:val="22"/>
          <w:szCs w:val="22"/>
        </w:rPr>
        <w:t xml:space="preserve"> indicators were used 11 times more frequently compared to indicators</w:t>
      </w:r>
      <w:r w:rsidR="009E7B09" w:rsidRPr="00B324FA">
        <w:rPr>
          <w:kern w:val="22"/>
          <w:szCs w:val="22"/>
        </w:rPr>
        <w:t xml:space="preserve"> from global data providers</w:t>
      </w:r>
      <w:r w:rsidR="00FB6708" w:rsidRPr="00B324FA">
        <w:rPr>
          <w:kern w:val="22"/>
          <w:szCs w:val="22"/>
        </w:rPr>
        <w:t>;</w:t>
      </w:r>
    </w:p>
    <w:p w14:paraId="12BFF5CB" w14:textId="47FE47E4" w:rsidR="002C365C" w:rsidRPr="00B324FA" w:rsidRDefault="000335A2" w:rsidP="00866F16">
      <w:pPr>
        <w:pStyle w:val="Para1"/>
        <w:numPr>
          <w:ilvl w:val="1"/>
          <w:numId w:val="3"/>
        </w:numPr>
        <w:suppressLineNumbers/>
        <w:suppressAutoHyphens/>
        <w:kinsoku w:val="0"/>
        <w:overflowPunct w:val="0"/>
        <w:autoSpaceDE w:val="0"/>
        <w:autoSpaceDN w:val="0"/>
        <w:adjustRightInd w:val="0"/>
        <w:snapToGrid w:val="0"/>
        <w:spacing w:line="235" w:lineRule="auto"/>
        <w:rPr>
          <w:kern w:val="22"/>
          <w:szCs w:val="22"/>
        </w:rPr>
      </w:pPr>
      <w:r w:rsidRPr="00B324FA">
        <w:rPr>
          <w:kern w:val="22"/>
          <w:szCs w:val="22"/>
        </w:rPr>
        <w:t>T</w:t>
      </w:r>
      <w:r w:rsidR="002C365C" w:rsidRPr="00B324FA">
        <w:rPr>
          <w:kern w:val="22"/>
          <w:szCs w:val="22"/>
        </w:rPr>
        <w:t xml:space="preserve">he proportion of indicators </w:t>
      </w:r>
      <w:r w:rsidRPr="00B324FA">
        <w:rPr>
          <w:kern w:val="22"/>
          <w:szCs w:val="22"/>
        </w:rPr>
        <w:t xml:space="preserve">used in the national reports </w:t>
      </w:r>
      <w:r w:rsidR="002C365C" w:rsidRPr="00B324FA">
        <w:rPr>
          <w:kern w:val="22"/>
          <w:szCs w:val="22"/>
        </w:rPr>
        <w:t>derived from global sources increased slightly</w:t>
      </w:r>
      <w:r w:rsidRPr="00B324FA">
        <w:rPr>
          <w:kern w:val="22"/>
          <w:szCs w:val="22"/>
        </w:rPr>
        <w:t xml:space="preserve"> between the fifth and sixth national reports</w:t>
      </w:r>
      <w:r w:rsidR="002C365C" w:rsidRPr="00B324FA">
        <w:rPr>
          <w:kern w:val="22"/>
          <w:szCs w:val="22"/>
        </w:rPr>
        <w:t>, while the proportion of indicators from national data sources decreased slightly</w:t>
      </w:r>
      <w:r w:rsidR="00FB6708" w:rsidRPr="00B324FA">
        <w:rPr>
          <w:kern w:val="22"/>
          <w:szCs w:val="22"/>
        </w:rPr>
        <w:t>;</w:t>
      </w:r>
    </w:p>
    <w:p w14:paraId="69452BAF" w14:textId="2D947908" w:rsidR="002C365C" w:rsidRPr="00B324FA" w:rsidRDefault="002C365C" w:rsidP="00866F16">
      <w:pPr>
        <w:pStyle w:val="Para1"/>
        <w:numPr>
          <w:ilvl w:val="1"/>
          <w:numId w:val="3"/>
        </w:numPr>
        <w:suppressLineNumbers/>
        <w:suppressAutoHyphens/>
        <w:kinsoku w:val="0"/>
        <w:overflowPunct w:val="0"/>
        <w:autoSpaceDE w:val="0"/>
        <w:autoSpaceDN w:val="0"/>
        <w:adjustRightInd w:val="0"/>
        <w:snapToGrid w:val="0"/>
        <w:spacing w:line="235" w:lineRule="auto"/>
        <w:rPr>
          <w:kern w:val="22"/>
          <w:szCs w:val="22"/>
        </w:rPr>
      </w:pPr>
      <w:r w:rsidRPr="00B324FA">
        <w:rPr>
          <w:kern w:val="22"/>
          <w:szCs w:val="22"/>
        </w:rPr>
        <w:t xml:space="preserve">While there remains a strong bias towards the use of indicators </w:t>
      </w:r>
      <w:r w:rsidR="001648DB" w:rsidRPr="00B324FA">
        <w:rPr>
          <w:kern w:val="22"/>
          <w:szCs w:val="22"/>
        </w:rPr>
        <w:t xml:space="preserve">related to Strategic </w:t>
      </w:r>
      <w:r w:rsidRPr="00B324FA">
        <w:rPr>
          <w:kern w:val="22"/>
          <w:szCs w:val="22"/>
        </w:rPr>
        <w:t>Goals B</w:t>
      </w:r>
      <w:r w:rsidR="000335A2" w:rsidRPr="00B324FA">
        <w:rPr>
          <w:kern w:val="22"/>
          <w:szCs w:val="22"/>
        </w:rPr>
        <w:t xml:space="preserve"> (direct pressures on biodiversity)</w:t>
      </w:r>
      <w:r w:rsidRPr="00B324FA">
        <w:rPr>
          <w:i/>
          <w:iCs/>
          <w:kern w:val="22"/>
          <w:szCs w:val="22"/>
        </w:rPr>
        <w:t xml:space="preserve"> </w:t>
      </w:r>
      <w:r w:rsidRPr="00B324FA">
        <w:rPr>
          <w:kern w:val="22"/>
          <w:szCs w:val="22"/>
        </w:rPr>
        <w:t>and C</w:t>
      </w:r>
      <w:r w:rsidR="000335A2" w:rsidRPr="00B324FA">
        <w:rPr>
          <w:kern w:val="22"/>
          <w:szCs w:val="22"/>
        </w:rPr>
        <w:t xml:space="preserve"> (the status of biodiversity)</w:t>
      </w:r>
      <w:r w:rsidR="001648DB" w:rsidRPr="00B324FA">
        <w:rPr>
          <w:kern w:val="22"/>
          <w:szCs w:val="22"/>
        </w:rPr>
        <w:t xml:space="preserve"> of the Strategic Plan for Biodiversity</w:t>
      </w:r>
      <w:r w:rsidR="00863519" w:rsidRPr="00B324FA">
        <w:rPr>
          <w:kern w:val="22"/>
          <w:szCs w:val="22"/>
        </w:rPr>
        <w:t xml:space="preserve"> 2011-2020</w:t>
      </w:r>
      <w:r w:rsidR="001648DB" w:rsidRPr="00B324FA">
        <w:rPr>
          <w:kern w:val="22"/>
          <w:szCs w:val="22"/>
        </w:rPr>
        <w:t xml:space="preserve">, </w:t>
      </w:r>
      <w:r w:rsidRPr="00B324FA">
        <w:rPr>
          <w:kern w:val="22"/>
          <w:szCs w:val="22"/>
        </w:rPr>
        <w:t xml:space="preserve">there was a marked improvement in indicator use across all </w:t>
      </w:r>
      <w:r w:rsidR="001648DB" w:rsidRPr="00B324FA">
        <w:rPr>
          <w:kern w:val="22"/>
          <w:szCs w:val="22"/>
        </w:rPr>
        <w:t xml:space="preserve">Strategic </w:t>
      </w:r>
      <w:r w:rsidRPr="00B324FA">
        <w:rPr>
          <w:kern w:val="22"/>
          <w:szCs w:val="22"/>
        </w:rPr>
        <w:t>Goals, particularly for Goals A</w:t>
      </w:r>
      <w:r w:rsidR="000335A2" w:rsidRPr="00B324FA">
        <w:rPr>
          <w:kern w:val="22"/>
          <w:szCs w:val="22"/>
        </w:rPr>
        <w:t xml:space="preserve"> (underlying causes of biodiversity loss)</w:t>
      </w:r>
      <w:r w:rsidRPr="00B324FA">
        <w:rPr>
          <w:kern w:val="22"/>
          <w:szCs w:val="22"/>
        </w:rPr>
        <w:t xml:space="preserve"> and E</w:t>
      </w:r>
      <w:r w:rsidR="000335A2" w:rsidRPr="00B324FA">
        <w:rPr>
          <w:kern w:val="22"/>
          <w:szCs w:val="22"/>
        </w:rPr>
        <w:t xml:space="preserve"> (implementation)</w:t>
      </w:r>
      <w:r w:rsidR="0051054A" w:rsidRPr="00B324FA">
        <w:rPr>
          <w:kern w:val="22"/>
          <w:szCs w:val="22"/>
        </w:rPr>
        <w:t>;</w:t>
      </w:r>
    </w:p>
    <w:p w14:paraId="1DA9C898" w14:textId="7FB49C22" w:rsidR="002C365C" w:rsidRPr="00B324FA" w:rsidRDefault="002C365C" w:rsidP="00866F16">
      <w:pPr>
        <w:pStyle w:val="Para1"/>
        <w:numPr>
          <w:ilvl w:val="1"/>
          <w:numId w:val="3"/>
        </w:numPr>
        <w:suppressLineNumbers/>
        <w:suppressAutoHyphens/>
        <w:kinsoku w:val="0"/>
        <w:overflowPunct w:val="0"/>
        <w:autoSpaceDE w:val="0"/>
        <w:autoSpaceDN w:val="0"/>
        <w:adjustRightInd w:val="0"/>
        <w:snapToGrid w:val="0"/>
        <w:spacing w:line="235" w:lineRule="auto"/>
        <w:rPr>
          <w:kern w:val="22"/>
          <w:szCs w:val="22"/>
        </w:rPr>
      </w:pPr>
      <w:bookmarkStart w:id="0" w:name="_Hlk54853984"/>
      <w:r w:rsidRPr="00B324FA">
        <w:rPr>
          <w:kern w:val="22"/>
          <w:szCs w:val="22"/>
        </w:rPr>
        <w:t xml:space="preserve">The proportion of indicators </w:t>
      </w:r>
      <w:r w:rsidR="001D26CE" w:rsidRPr="00B324FA">
        <w:rPr>
          <w:kern w:val="22"/>
          <w:szCs w:val="22"/>
        </w:rPr>
        <w:t xml:space="preserve">in the sixth national reports </w:t>
      </w:r>
      <w:r w:rsidR="00567C85" w:rsidRPr="00B324FA">
        <w:rPr>
          <w:kern w:val="22"/>
          <w:szCs w:val="22"/>
        </w:rPr>
        <w:t xml:space="preserve">which </w:t>
      </w:r>
      <w:r w:rsidRPr="00B324FA">
        <w:rPr>
          <w:kern w:val="22"/>
          <w:szCs w:val="22"/>
        </w:rPr>
        <w:t xml:space="preserve">matched </w:t>
      </w:r>
      <w:r w:rsidR="001648DB" w:rsidRPr="00B324FA">
        <w:rPr>
          <w:kern w:val="22"/>
          <w:szCs w:val="22"/>
        </w:rPr>
        <w:t xml:space="preserve">those </w:t>
      </w:r>
      <w:r w:rsidR="00567C85" w:rsidRPr="00B324FA">
        <w:rPr>
          <w:kern w:val="22"/>
          <w:szCs w:val="22"/>
        </w:rPr>
        <w:t>o</w:t>
      </w:r>
      <w:r w:rsidR="001648DB" w:rsidRPr="00B324FA">
        <w:rPr>
          <w:kern w:val="22"/>
          <w:szCs w:val="22"/>
        </w:rPr>
        <w:t xml:space="preserve">n the list of indicators developed by </w:t>
      </w:r>
      <w:r w:rsidR="00F50DA9" w:rsidRPr="00B324FA">
        <w:rPr>
          <w:kern w:val="22"/>
          <w:szCs w:val="22"/>
        </w:rPr>
        <w:t xml:space="preserve">the </w:t>
      </w:r>
      <w:r w:rsidR="005402C5" w:rsidRPr="00B324FA">
        <w:rPr>
          <w:color w:val="111111"/>
          <w:kern w:val="22"/>
          <w:szCs w:val="22"/>
          <w:shd w:val="clear" w:color="auto" w:fill="FFFFFF"/>
        </w:rPr>
        <w:t xml:space="preserve">Ad Hoc Technical Expert Group (AHTEG) on Indicators for the Strategic Plan for Biodiversity </w:t>
      </w:r>
      <w:r w:rsidR="005402C5" w:rsidRPr="00B324FA">
        <w:rPr>
          <w:rStyle w:val="Strong"/>
          <w:b w:val="0"/>
          <w:bCs w:val="0"/>
          <w:color w:val="111111"/>
          <w:kern w:val="22"/>
          <w:szCs w:val="22"/>
        </w:rPr>
        <w:t>2011-2020</w:t>
      </w:r>
      <w:r w:rsidR="005402C5" w:rsidRPr="00B324FA">
        <w:rPr>
          <w:rStyle w:val="FootnoteReference"/>
          <w:kern w:val="22"/>
          <w:szCs w:val="22"/>
        </w:rPr>
        <w:footnoteReference w:id="6"/>
      </w:r>
      <w:r w:rsidRPr="00B324FA">
        <w:rPr>
          <w:kern w:val="22"/>
          <w:szCs w:val="22"/>
        </w:rPr>
        <w:t xml:space="preserve"> </w:t>
      </w:r>
      <w:r w:rsidR="00567C85" w:rsidRPr="00B324FA">
        <w:rPr>
          <w:kern w:val="22"/>
          <w:szCs w:val="22"/>
        </w:rPr>
        <w:t xml:space="preserve">and </w:t>
      </w:r>
      <w:r w:rsidRPr="00B324FA">
        <w:rPr>
          <w:kern w:val="22"/>
          <w:szCs w:val="22"/>
        </w:rPr>
        <w:t xml:space="preserve">recommended </w:t>
      </w:r>
      <w:r w:rsidR="00567C85" w:rsidRPr="00B324FA">
        <w:rPr>
          <w:kern w:val="22"/>
          <w:szCs w:val="22"/>
        </w:rPr>
        <w:t xml:space="preserve">as generic </w:t>
      </w:r>
      <w:r w:rsidRPr="00B324FA">
        <w:rPr>
          <w:kern w:val="22"/>
          <w:szCs w:val="22"/>
        </w:rPr>
        <w:t xml:space="preserve">indicators increased </w:t>
      </w:r>
      <w:r w:rsidR="00515A12" w:rsidRPr="00B324FA">
        <w:rPr>
          <w:kern w:val="22"/>
          <w:szCs w:val="22"/>
        </w:rPr>
        <w:t xml:space="preserve">significantly, </w:t>
      </w:r>
      <w:r w:rsidRPr="00B324FA">
        <w:rPr>
          <w:kern w:val="22"/>
          <w:szCs w:val="22"/>
        </w:rPr>
        <w:t>to 30</w:t>
      </w:r>
      <w:r w:rsidR="0051054A" w:rsidRPr="00B324FA">
        <w:rPr>
          <w:kern w:val="22"/>
          <w:szCs w:val="22"/>
        </w:rPr>
        <w:t xml:space="preserve"> per cent</w:t>
      </w:r>
      <w:bookmarkEnd w:id="0"/>
      <w:r w:rsidR="005D52E1" w:rsidRPr="00B324FA">
        <w:rPr>
          <w:kern w:val="22"/>
          <w:szCs w:val="22"/>
        </w:rPr>
        <w:t>,</w:t>
      </w:r>
      <w:r w:rsidR="000335A2" w:rsidRPr="00B324FA">
        <w:rPr>
          <w:kern w:val="22"/>
          <w:szCs w:val="22"/>
        </w:rPr>
        <w:t xml:space="preserve"> compared to the fifth national reports</w:t>
      </w:r>
      <w:r w:rsidR="001648DB" w:rsidRPr="00B324FA">
        <w:rPr>
          <w:kern w:val="22"/>
          <w:szCs w:val="22"/>
        </w:rPr>
        <w:t>. In the fifth national reports</w:t>
      </w:r>
      <w:r w:rsidR="00F65683" w:rsidRPr="00B324FA">
        <w:rPr>
          <w:kern w:val="22"/>
          <w:szCs w:val="22"/>
        </w:rPr>
        <w:t>,</w:t>
      </w:r>
      <w:r w:rsidR="001648DB" w:rsidRPr="00B324FA">
        <w:rPr>
          <w:kern w:val="22"/>
          <w:szCs w:val="22"/>
        </w:rPr>
        <w:t xml:space="preserve"> the proportion was</w:t>
      </w:r>
      <w:r w:rsidRPr="00B324FA">
        <w:rPr>
          <w:kern w:val="22"/>
          <w:szCs w:val="22"/>
        </w:rPr>
        <w:t xml:space="preserve"> 22</w:t>
      </w:r>
      <w:r w:rsidR="0051054A" w:rsidRPr="00B324FA">
        <w:rPr>
          <w:kern w:val="22"/>
          <w:szCs w:val="22"/>
        </w:rPr>
        <w:t xml:space="preserve"> per cent</w:t>
      </w:r>
      <w:r w:rsidR="005E1934" w:rsidRPr="00B324FA">
        <w:rPr>
          <w:kern w:val="22"/>
          <w:szCs w:val="22"/>
        </w:rPr>
        <w:t>. Though the proportion is increasing, the</w:t>
      </w:r>
      <w:r w:rsidRPr="00B324FA">
        <w:rPr>
          <w:kern w:val="22"/>
          <w:szCs w:val="22"/>
        </w:rPr>
        <w:t xml:space="preserve"> analysis</w:t>
      </w:r>
      <w:r w:rsidR="002A03D0" w:rsidRPr="00B324FA">
        <w:rPr>
          <w:kern w:val="22"/>
          <w:szCs w:val="22"/>
        </w:rPr>
        <w:t xml:space="preserve"> still </w:t>
      </w:r>
      <w:r w:rsidR="005E1934" w:rsidRPr="00B324FA">
        <w:rPr>
          <w:kern w:val="22"/>
          <w:szCs w:val="22"/>
        </w:rPr>
        <w:t>indicates a</w:t>
      </w:r>
      <w:r w:rsidR="002A03D0" w:rsidRPr="00B324FA">
        <w:rPr>
          <w:kern w:val="22"/>
          <w:szCs w:val="22"/>
        </w:rPr>
        <w:t xml:space="preserve"> minimal utilization of the recommended indicators by Parties</w:t>
      </w:r>
      <w:r w:rsidR="005E1934" w:rsidRPr="00B324FA">
        <w:rPr>
          <w:kern w:val="22"/>
          <w:szCs w:val="22"/>
        </w:rPr>
        <w:t xml:space="preserve"> in their national reports</w:t>
      </w:r>
      <w:r w:rsidR="00DE1ADD" w:rsidRPr="00B324FA">
        <w:rPr>
          <w:kern w:val="22"/>
          <w:szCs w:val="22"/>
        </w:rPr>
        <w:t>.</w:t>
      </w:r>
    </w:p>
    <w:p w14:paraId="43C0A049" w14:textId="66A17007" w:rsidR="00863519" w:rsidRPr="00B324FA" w:rsidRDefault="00863519" w:rsidP="00866F16">
      <w:pPr>
        <w:pStyle w:val="Para1"/>
        <w:suppressLineNumbers/>
        <w:tabs>
          <w:tab w:val="clear" w:pos="360"/>
        </w:tabs>
        <w:suppressAutoHyphens/>
        <w:kinsoku w:val="0"/>
        <w:overflowPunct w:val="0"/>
        <w:autoSpaceDE w:val="0"/>
        <w:autoSpaceDN w:val="0"/>
        <w:adjustRightInd w:val="0"/>
        <w:snapToGrid w:val="0"/>
        <w:spacing w:line="235" w:lineRule="auto"/>
        <w:rPr>
          <w:rFonts w:eastAsia="Malgun Gothic"/>
          <w:kern w:val="22"/>
          <w:szCs w:val="22"/>
          <w:lang w:eastAsia="x-none"/>
        </w:rPr>
      </w:pPr>
      <w:r w:rsidRPr="00B324FA">
        <w:rPr>
          <w:rFonts w:eastAsia="Malgun Gothic"/>
          <w:kern w:val="22"/>
          <w:szCs w:val="22"/>
          <w:lang w:eastAsia="x-none"/>
        </w:rPr>
        <w:lastRenderedPageBreak/>
        <w:t xml:space="preserve">The draft monitoring framework for the post-2020 global biodiversity framework was updated to </w:t>
      </w:r>
      <w:proofErr w:type="gramStart"/>
      <w:r w:rsidRPr="00B324FA">
        <w:rPr>
          <w:rFonts w:eastAsia="Malgun Gothic"/>
          <w:kern w:val="22"/>
          <w:szCs w:val="22"/>
          <w:lang w:eastAsia="x-none"/>
        </w:rPr>
        <w:t>take into account</w:t>
      </w:r>
      <w:proofErr w:type="gramEnd"/>
      <w:r w:rsidRPr="00B324FA">
        <w:rPr>
          <w:rFonts w:eastAsia="Malgun Gothic"/>
          <w:kern w:val="22"/>
          <w:szCs w:val="22"/>
          <w:lang w:eastAsia="x-none"/>
        </w:rPr>
        <w:t xml:space="preserve"> the comments received through the peer review process </w:t>
      </w:r>
      <w:r w:rsidR="000335A2" w:rsidRPr="00B324FA">
        <w:rPr>
          <w:rFonts w:eastAsia="Malgun Gothic"/>
          <w:kern w:val="22"/>
          <w:szCs w:val="22"/>
          <w:lang w:eastAsia="x-none"/>
        </w:rPr>
        <w:t>n</w:t>
      </w:r>
      <w:r w:rsidRPr="00B324FA">
        <w:rPr>
          <w:rFonts w:eastAsia="Malgun Gothic"/>
          <w:kern w:val="22"/>
          <w:szCs w:val="22"/>
          <w:lang w:eastAsia="x-none"/>
        </w:rPr>
        <w:t>o</w:t>
      </w:r>
      <w:r w:rsidR="000335A2" w:rsidRPr="00B324FA">
        <w:rPr>
          <w:rFonts w:eastAsia="Malgun Gothic"/>
          <w:kern w:val="22"/>
          <w:szCs w:val="22"/>
          <w:lang w:eastAsia="x-none"/>
        </w:rPr>
        <w:t>ted above</w:t>
      </w:r>
      <w:r w:rsidRPr="00B324FA">
        <w:rPr>
          <w:rFonts w:eastAsia="Malgun Gothic"/>
          <w:kern w:val="22"/>
          <w:szCs w:val="22"/>
          <w:lang w:eastAsia="x-none"/>
        </w:rPr>
        <w:t xml:space="preserve"> as well as the results of the analysis of the fifth and sixth national reports.</w:t>
      </w:r>
    </w:p>
    <w:p w14:paraId="61D0F1FF" w14:textId="61A7A68D" w:rsidR="001F7B48" w:rsidRPr="00B324FA" w:rsidRDefault="000A2DA8" w:rsidP="00866F16">
      <w:pPr>
        <w:pStyle w:val="Heading2"/>
        <w:numPr>
          <w:ilvl w:val="0"/>
          <w:numId w:val="6"/>
        </w:numPr>
        <w:suppressLineNumbers/>
        <w:tabs>
          <w:tab w:val="clear" w:pos="720"/>
        </w:tabs>
        <w:suppressAutoHyphens/>
        <w:kinsoku w:val="0"/>
        <w:overflowPunct w:val="0"/>
        <w:autoSpaceDE w:val="0"/>
        <w:autoSpaceDN w:val="0"/>
        <w:adjustRightInd w:val="0"/>
        <w:snapToGrid w:val="0"/>
        <w:spacing w:line="235" w:lineRule="auto"/>
        <w:ind w:left="714" w:hanging="357"/>
        <w:rPr>
          <w:kern w:val="22"/>
          <w:szCs w:val="22"/>
        </w:rPr>
      </w:pPr>
      <w:r w:rsidRPr="00B324FA">
        <w:rPr>
          <w:kern w:val="22"/>
          <w:szCs w:val="22"/>
        </w:rPr>
        <w:t xml:space="preserve">Proposed </w:t>
      </w:r>
      <w:r w:rsidR="00D15FD0" w:rsidRPr="00B324FA">
        <w:rPr>
          <w:kern w:val="22"/>
          <w:szCs w:val="22"/>
        </w:rPr>
        <w:t>m</w:t>
      </w:r>
      <w:r w:rsidRPr="00B324FA">
        <w:rPr>
          <w:kern w:val="22"/>
          <w:szCs w:val="22"/>
        </w:rPr>
        <w:t xml:space="preserve">onitoring </w:t>
      </w:r>
      <w:r w:rsidR="00D15FD0" w:rsidRPr="00B324FA">
        <w:rPr>
          <w:kern w:val="22"/>
          <w:szCs w:val="22"/>
        </w:rPr>
        <w:t>a</w:t>
      </w:r>
      <w:r w:rsidR="001F7B48" w:rsidRPr="00B324FA">
        <w:rPr>
          <w:kern w:val="22"/>
          <w:szCs w:val="22"/>
        </w:rPr>
        <w:t>pproach</w:t>
      </w:r>
    </w:p>
    <w:p w14:paraId="2EA2B85F" w14:textId="759A07E2" w:rsidR="00C26E3A" w:rsidRPr="00B324FA" w:rsidRDefault="00C26E3A" w:rsidP="00866F16">
      <w:pPr>
        <w:pStyle w:val="Para1"/>
        <w:numPr>
          <w:ilvl w:val="0"/>
          <w:numId w:val="2"/>
        </w:numPr>
        <w:suppressLineNumbers/>
        <w:tabs>
          <w:tab w:val="clear" w:pos="360"/>
        </w:tabs>
        <w:suppressAutoHyphens/>
        <w:kinsoku w:val="0"/>
        <w:overflowPunct w:val="0"/>
        <w:autoSpaceDE w:val="0"/>
        <w:autoSpaceDN w:val="0"/>
        <w:adjustRightInd w:val="0"/>
        <w:snapToGrid w:val="0"/>
        <w:spacing w:line="235" w:lineRule="auto"/>
        <w:rPr>
          <w:rFonts w:eastAsia="Malgun Gothic"/>
          <w:kern w:val="22"/>
          <w:szCs w:val="22"/>
          <w:lang w:eastAsia="x-none"/>
        </w:rPr>
      </w:pPr>
      <w:r w:rsidRPr="00B324FA">
        <w:rPr>
          <w:rFonts w:eastAsia="Malgun Gothic"/>
          <w:kern w:val="22"/>
          <w:szCs w:val="22"/>
          <w:lang w:eastAsia="x-none"/>
        </w:rPr>
        <w:t xml:space="preserve">In </w:t>
      </w:r>
      <w:r w:rsidR="00D15FD0" w:rsidRPr="00B324FA">
        <w:rPr>
          <w:rFonts w:eastAsia="Malgun Gothic"/>
          <w:kern w:val="22"/>
          <w:szCs w:val="22"/>
          <w:lang w:eastAsia="x-none"/>
        </w:rPr>
        <w:t xml:space="preserve">the </w:t>
      </w:r>
      <w:r w:rsidRPr="00B324FA">
        <w:rPr>
          <w:rFonts w:eastAsia="Malgun Gothic"/>
          <w:kern w:val="22"/>
          <w:szCs w:val="22"/>
          <w:lang w:eastAsia="x-none"/>
        </w:rPr>
        <w:t>light of the above</w:t>
      </w:r>
      <w:r w:rsidR="00B74957" w:rsidRPr="00B324FA">
        <w:rPr>
          <w:rFonts w:eastAsia="Malgun Gothic"/>
          <w:kern w:val="22"/>
          <w:szCs w:val="22"/>
          <w:lang w:eastAsia="x-none"/>
        </w:rPr>
        <w:t>,</w:t>
      </w:r>
      <w:r w:rsidRPr="00B324FA">
        <w:rPr>
          <w:rFonts w:eastAsia="Malgun Gothic"/>
          <w:kern w:val="22"/>
          <w:szCs w:val="22"/>
          <w:lang w:eastAsia="x-none"/>
        </w:rPr>
        <w:t xml:space="preserve"> a monitoring framework composed of three </w:t>
      </w:r>
      <w:r w:rsidR="00B7128C" w:rsidRPr="00B324FA">
        <w:rPr>
          <w:rFonts w:eastAsia="Malgun Gothic"/>
          <w:kern w:val="22"/>
          <w:szCs w:val="22"/>
          <w:lang w:eastAsia="x-none"/>
        </w:rPr>
        <w:t>groups</w:t>
      </w:r>
      <w:r w:rsidRPr="00B324FA">
        <w:rPr>
          <w:rFonts w:eastAsia="Malgun Gothic"/>
          <w:kern w:val="22"/>
          <w:szCs w:val="22"/>
          <w:lang w:eastAsia="x-none"/>
        </w:rPr>
        <w:t xml:space="preserve"> of indicators is proposed</w:t>
      </w:r>
      <w:r w:rsidR="00B74957" w:rsidRPr="00B324FA">
        <w:rPr>
          <w:rFonts w:eastAsia="Malgun Gothic"/>
          <w:kern w:val="22"/>
          <w:szCs w:val="22"/>
          <w:lang w:eastAsia="x-none"/>
        </w:rPr>
        <w:t xml:space="preserve"> for monitoring the implementation of the post-2020 global biodiversity framework</w:t>
      </w:r>
      <w:r w:rsidR="005E1934" w:rsidRPr="00B324FA">
        <w:rPr>
          <w:rFonts w:eastAsia="Malgun Gothic"/>
          <w:kern w:val="22"/>
          <w:szCs w:val="22"/>
          <w:lang w:eastAsia="x-none"/>
        </w:rPr>
        <w:t>:</w:t>
      </w:r>
    </w:p>
    <w:p w14:paraId="245C32E7" w14:textId="310E9758" w:rsidR="00B74957" w:rsidRPr="00B324FA" w:rsidRDefault="00B7128C" w:rsidP="00866F16">
      <w:pPr>
        <w:pStyle w:val="Header"/>
        <w:numPr>
          <w:ilvl w:val="1"/>
          <w:numId w:val="2"/>
        </w:numPr>
        <w:suppressLineNumbers/>
        <w:tabs>
          <w:tab w:val="clear" w:pos="4320"/>
          <w:tab w:val="clear" w:pos="8640"/>
          <w:tab w:val="right" w:pos="9360"/>
        </w:tabs>
        <w:suppressAutoHyphens/>
        <w:kinsoku w:val="0"/>
        <w:overflowPunct w:val="0"/>
        <w:autoSpaceDE w:val="0"/>
        <w:autoSpaceDN w:val="0"/>
        <w:adjustRightInd w:val="0"/>
        <w:snapToGrid w:val="0"/>
        <w:spacing w:before="120" w:after="120" w:line="235" w:lineRule="auto"/>
        <w:jc w:val="left"/>
        <w:rPr>
          <w:bCs/>
          <w:kern w:val="22"/>
          <w:szCs w:val="22"/>
        </w:rPr>
      </w:pPr>
      <w:r w:rsidRPr="00B324FA">
        <w:rPr>
          <w:bCs/>
          <w:kern w:val="22"/>
          <w:szCs w:val="22"/>
        </w:rPr>
        <w:t>Group</w:t>
      </w:r>
      <w:r w:rsidR="00C26E3A" w:rsidRPr="00B324FA">
        <w:rPr>
          <w:bCs/>
          <w:kern w:val="22"/>
          <w:szCs w:val="22"/>
        </w:rPr>
        <w:t xml:space="preserve"> 1 - Headline indicators: </w:t>
      </w:r>
      <w:r w:rsidR="009E7B09" w:rsidRPr="00B324FA">
        <w:rPr>
          <w:bCs/>
          <w:kern w:val="22"/>
          <w:szCs w:val="22"/>
        </w:rPr>
        <w:t>A</w:t>
      </w:r>
      <w:r w:rsidR="00AA1F50" w:rsidRPr="00B324FA">
        <w:rPr>
          <w:bCs/>
          <w:kern w:val="22"/>
          <w:szCs w:val="22"/>
        </w:rPr>
        <w:t xml:space="preserve"> minimum set of</w:t>
      </w:r>
      <w:r w:rsidR="00C26E3A" w:rsidRPr="00B324FA">
        <w:rPr>
          <w:bCs/>
          <w:kern w:val="22"/>
          <w:szCs w:val="22"/>
        </w:rPr>
        <w:t xml:space="preserve"> high-level indicators</w:t>
      </w:r>
      <w:r w:rsidR="009E7B09" w:rsidRPr="00B324FA">
        <w:rPr>
          <w:bCs/>
          <w:kern w:val="22"/>
          <w:szCs w:val="22"/>
        </w:rPr>
        <w:t xml:space="preserve"> which capture the overall scope </w:t>
      </w:r>
      <w:r w:rsidR="005E1934" w:rsidRPr="00B324FA">
        <w:rPr>
          <w:bCs/>
          <w:kern w:val="22"/>
          <w:szCs w:val="22"/>
        </w:rPr>
        <w:t>of the</w:t>
      </w:r>
      <w:r w:rsidR="009E7B09" w:rsidRPr="00B324FA">
        <w:rPr>
          <w:bCs/>
          <w:kern w:val="22"/>
          <w:szCs w:val="22"/>
        </w:rPr>
        <w:t xml:space="preserve"> goal</w:t>
      </w:r>
      <w:r w:rsidR="005E1934" w:rsidRPr="00B324FA">
        <w:rPr>
          <w:bCs/>
          <w:kern w:val="22"/>
          <w:szCs w:val="22"/>
        </w:rPr>
        <w:t>s</w:t>
      </w:r>
      <w:r w:rsidR="009E7B09" w:rsidRPr="00B324FA">
        <w:rPr>
          <w:bCs/>
          <w:kern w:val="22"/>
          <w:szCs w:val="22"/>
        </w:rPr>
        <w:t xml:space="preserve"> </w:t>
      </w:r>
      <w:r w:rsidR="005E1934" w:rsidRPr="00B324FA">
        <w:rPr>
          <w:bCs/>
          <w:kern w:val="22"/>
          <w:szCs w:val="22"/>
        </w:rPr>
        <w:t xml:space="preserve">and </w:t>
      </w:r>
      <w:r w:rsidR="009E7B09" w:rsidRPr="00B324FA">
        <w:rPr>
          <w:bCs/>
          <w:kern w:val="22"/>
          <w:szCs w:val="22"/>
        </w:rPr>
        <w:t>target</w:t>
      </w:r>
      <w:r w:rsidR="005E1934" w:rsidRPr="00B324FA">
        <w:rPr>
          <w:bCs/>
          <w:kern w:val="22"/>
          <w:szCs w:val="22"/>
        </w:rPr>
        <w:t xml:space="preserve">s of the post-2020 global biodiversity framework </w:t>
      </w:r>
      <w:r w:rsidR="003E2693" w:rsidRPr="00B324FA">
        <w:rPr>
          <w:bCs/>
          <w:kern w:val="22"/>
          <w:szCs w:val="22"/>
        </w:rPr>
        <w:t>which can be used for tracking national progress, as well as for tracking</w:t>
      </w:r>
      <w:r w:rsidR="00C26E3A" w:rsidRPr="00B324FA">
        <w:rPr>
          <w:bCs/>
          <w:kern w:val="22"/>
          <w:szCs w:val="22"/>
        </w:rPr>
        <w:t xml:space="preserve"> regional </w:t>
      </w:r>
      <w:r w:rsidR="000B4C65" w:rsidRPr="00B324FA">
        <w:rPr>
          <w:bCs/>
          <w:kern w:val="22"/>
          <w:szCs w:val="22"/>
        </w:rPr>
        <w:t>and</w:t>
      </w:r>
      <w:r w:rsidR="00C26E3A" w:rsidRPr="00B324FA">
        <w:rPr>
          <w:bCs/>
          <w:kern w:val="22"/>
          <w:szCs w:val="22"/>
        </w:rPr>
        <w:t xml:space="preserve"> global progress</w:t>
      </w:r>
      <w:r w:rsidR="005E1934" w:rsidRPr="00B324FA">
        <w:rPr>
          <w:bCs/>
          <w:kern w:val="22"/>
          <w:szCs w:val="22"/>
        </w:rPr>
        <w:t xml:space="preserve">. </w:t>
      </w:r>
      <w:r w:rsidR="003E2693" w:rsidRPr="00B324FA">
        <w:rPr>
          <w:bCs/>
          <w:kern w:val="22"/>
          <w:szCs w:val="22"/>
        </w:rPr>
        <w:t>T</w:t>
      </w:r>
      <w:r w:rsidR="005E1934" w:rsidRPr="00B324FA">
        <w:rPr>
          <w:bCs/>
          <w:kern w:val="22"/>
          <w:szCs w:val="22"/>
        </w:rPr>
        <w:t>hese indicators could</w:t>
      </w:r>
      <w:r w:rsidR="003E2693" w:rsidRPr="00B324FA">
        <w:rPr>
          <w:bCs/>
          <w:kern w:val="22"/>
          <w:szCs w:val="22"/>
        </w:rPr>
        <w:t xml:space="preserve"> also</w:t>
      </w:r>
      <w:r w:rsidR="005E1934" w:rsidRPr="00B324FA">
        <w:rPr>
          <w:bCs/>
          <w:kern w:val="22"/>
          <w:szCs w:val="22"/>
        </w:rPr>
        <w:t xml:space="preserve"> be used for communication purposes</w:t>
      </w:r>
      <w:r w:rsidR="003E2693" w:rsidRPr="00B324FA">
        <w:rPr>
          <w:bCs/>
          <w:kern w:val="22"/>
          <w:szCs w:val="22"/>
        </w:rPr>
        <w:t xml:space="preserve">. Additionally, some countries may wish to use a subset of these indicators or only the </w:t>
      </w:r>
      <w:r w:rsidR="0063334A" w:rsidRPr="00B324FA">
        <w:rPr>
          <w:bCs/>
          <w:kern w:val="22"/>
          <w:szCs w:val="22"/>
        </w:rPr>
        <w:t>g</w:t>
      </w:r>
      <w:r w:rsidR="003E2693" w:rsidRPr="00B324FA">
        <w:rPr>
          <w:bCs/>
          <w:kern w:val="22"/>
          <w:szCs w:val="22"/>
        </w:rPr>
        <w:t xml:space="preserve">oal level </w:t>
      </w:r>
      <w:r w:rsidR="0063334A" w:rsidRPr="00B324FA">
        <w:rPr>
          <w:bCs/>
          <w:kern w:val="22"/>
          <w:szCs w:val="22"/>
        </w:rPr>
        <w:t>h</w:t>
      </w:r>
      <w:r w:rsidR="003E2693" w:rsidRPr="00B324FA">
        <w:rPr>
          <w:bCs/>
          <w:kern w:val="22"/>
          <w:szCs w:val="22"/>
        </w:rPr>
        <w:t>eadline indicators for high-level communication and outreach</w:t>
      </w:r>
      <w:r w:rsidR="00F71F6E" w:rsidRPr="00B324FA">
        <w:rPr>
          <w:bCs/>
          <w:kern w:val="22"/>
          <w:szCs w:val="22"/>
        </w:rPr>
        <w:t>;</w:t>
      </w:r>
    </w:p>
    <w:p w14:paraId="11D0F817" w14:textId="312D5599" w:rsidR="00B74957" w:rsidRPr="00B324FA" w:rsidRDefault="00B7128C" w:rsidP="00866F16">
      <w:pPr>
        <w:pStyle w:val="Header"/>
        <w:numPr>
          <w:ilvl w:val="1"/>
          <w:numId w:val="2"/>
        </w:numPr>
        <w:suppressLineNumbers/>
        <w:tabs>
          <w:tab w:val="clear" w:pos="4320"/>
          <w:tab w:val="clear" w:pos="8640"/>
          <w:tab w:val="right" w:pos="9360"/>
        </w:tabs>
        <w:suppressAutoHyphens/>
        <w:kinsoku w:val="0"/>
        <w:overflowPunct w:val="0"/>
        <w:autoSpaceDE w:val="0"/>
        <w:autoSpaceDN w:val="0"/>
        <w:adjustRightInd w:val="0"/>
        <w:snapToGrid w:val="0"/>
        <w:spacing w:before="120" w:after="120" w:line="235" w:lineRule="auto"/>
        <w:rPr>
          <w:bCs/>
          <w:kern w:val="22"/>
          <w:szCs w:val="22"/>
        </w:rPr>
      </w:pPr>
      <w:r w:rsidRPr="00B324FA">
        <w:rPr>
          <w:bCs/>
          <w:kern w:val="22"/>
          <w:szCs w:val="22"/>
        </w:rPr>
        <w:t xml:space="preserve">Group </w:t>
      </w:r>
      <w:r w:rsidR="00C26E3A" w:rsidRPr="00B324FA">
        <w:rPr>
          <w:bCs/>
          <w:kern w:val="22"/>
          <w:szCs w:val="22"/>
        </w:rPr>
        <w:t xml:space="preserve">2 - Component indicators: </w:t>
      </w:r>
      <w:r w:rsidR="00CC2E8B" w:rsidRPr="00B324FA">
        <w:rPr>
          <w:bCs/>
          <w:kern w:val="22"/>
          <w:szCs w:val="22"/>
        </w:rPr>
        <w:t xml:space="preserve">A set </w:t>
      </w:r>
      <w:r w:rsidR="005E1934" w:rsidRPr="00B324FA">
        <w:rPr>
          <w:bCs/>
          <w:kern w:val="22"/>
          <w:szCs w:val="22"/>
        </w:rPr>
        <w:t xml:space="preserve">of </w:t>
      </w:r>
      <w:r w:rsidR="00B74957" w:rsidRPr="00B324FA">
        <w:rPr>
          <w:bCs/>
          <w:kern w:val="22"/>
          <w:szCs w:val="22"/>
        </w:rPr>
        <w:t xml:space="preserve">indicators </w:t>
      </w:r>
      <w:r w:rsidR="00C26E3A" w:rsidRPr="00B324FA">
        <w:rPr>
          <w:bCs/>
          <w:kern w:val="22"/>
          <w:szCs w:val="22"/>
        </w:rPr>
        <w:t xml:space="preserve">for monitoring each component of </w:t>
      </w:r>
      <w:r w:rsidR="00CC2E8B" w:rsidRPr="00B324FA">
        <w:rPr>
          <w:bCs/>
          <w:kern w:val="22"/>
          <w:szCs w:val="22"/>
        </w:rPr>
        <w:t>each</w:t>
      </w:r>
      <w:r w:rsidR="00C26E3A" w:rsidRPr="00B324FA">
        <w:rPr>
          <w:bCs/>
          <w:kern w:val="22"/>
          <w:szCs w:val="22"/>
        </w:rPr>
        <w:t xml:space="preserve"> </w:t>
      </w:r>
      <w:r w:rsidR="00B74957" w:rsidRPr="00B324FA">
        <w:rPr>
          <w:bCs/>
          <w:kern w:val="22"/>
          <w:szCs w:val="22"/>
        </w:rPr>
        <w:t>goal and target</w:t>
      </w:r>
      <w:r w:rsidR="00CC2E8B" w:rsidRPr="00B324FA">
        <w:rPr>
          <w:bCs/>
          <w:kern w:val="22"/>
          <w:szCs w:val="22"/>
        </w:rPr>
        <w:t xml:space="preserve"> </w:t>
      </w:r>
      <w:r w:rsidR="00B74957" w:rsidRPr="00B324FA">
        <w:rPr>
          <w:bCs/>
          <w:kern w:val="22"/>
          <w:szCs w:val="22"/>
        </w:rPr>
        <w:t>of the post-2020 global biodiversity framework</w:t>
      </w:r>
      <w:r w:rsidR="000B4C65" w:rsidRPr="00B324FA">
        <w:rPr>
          <w:bCs/>
          <w:kern w:val="22"/>
          <w:szCs w:val="22"/>
        </w:rPr>
        <w:t xml:space="preserve"> at the national</w:t>
      </w:r>
      <w:r w:rsidR="003E2693" w:rsidRPr="00B324FA">
        <w:rPr>
          <w:bCs/>
          <w:kern w:val="22"/>
          <w:szCs w:val="22"/>
        </w:rPr>
        <w:t xml:space="preserve"> level as well as for tracking </w:t>
      </w:r>
      <w:r w:rsidR="000B4C65" w:rsidRPr="00B324FA">
        <w:rPr>
          <w:bCs/>
          <w:kern w:val="22"/>
          <w:szCs w:val="22"/>
        </w:rPr>
        <w:t xml:space="preserve">regional and global </w:t>
      </w:r>
      <w:r w:rsidR="003E2693" w:rsidRPr="00B324FA">
        <w:rPr>
          <w:bCs/>
          <w:kern w:val="22"/>
          <w:szCs w:val="22"/>
        </w:rPr>
        <w:t>progress</w:t>
      </w:r>
      <w:r w:rsidR="00B74957" w:rsidRPr="00B324FA">
        <w:rPr>
          <w:bCs/>
          <w:kern w:val="22"/>
          <w:szCs w:val="22"/>
        </w:rPr>
        <w:t>;</w:t>
      </w:r>
    </w:p>
    <w:p w14:paraId="3BF52241" w14:textId="5A53AA50" w:rsidR="005132C5" w:rsidRPr="00B324FA" w:rsidRDefault="00B7128C" w:rsidP="00866F16">
      <w:pPr>
        <w:pStyle w:val="Header"/>
        <w:numPr>
          <w:ilvl w:val="1"/>
          <w:numId w:val="2"/>
        </w:numPr>
        <w:suppressLineNumbers/>
        <w:tabs>
          <w:tab w:val="clear" w:pos="4320"/>
          <w:tab w:val="clear" w:pos="8640"/>
          <w:tab w:val="right" w:pos="9360"/>
        </w:tabs>
        <w:suppressAutoHyphens/>
        <w:kinsoku w:val="0"/>
        <w:overflowPunct w:val="0"/>
        <w:autoSpaceDE w:val="0"/>
        <w:autoSpaceDN w:val="0"/>
        <w:adjustRightInd w:val="0"/>
        <w:snapToGrid w:val="0"/>
        <w:spacing w:before="120" w:after="120" w:line="235" w:lineRule="auto"/>
        <w:rPr>
          <w:rFonts w:eastAsia="Malgun Gothic"/>
          <w:kern w:val="22"/>
          <w:szCs w:val="22"/>
        </w:rPr>
      </w:pPr>
      <w:r w:rsidRPr="00B324FA">
        <w:rPr>
          <w:bCs/>
          <w:kern w:val="22"/>
          <w:szCs w:val="22"/>
        </w:rPr>
        <w:t>Group</w:t>
      </w:r>
      <w:r w:rsidR="00C26E3A" w:rsidRPr="00B324FA">
        <w:rPr>
          <w:bCs/>
          <w:kern w:val="22"/>
          <w:szCs w:val="22"/>
        </w:rPr>
        <w:t xml:space="preserve"> 3 - </w:t>
      </w:r>
      <w:r w:rsidR="004D1AA7" w:rsidRPr="00B324FA">
        <w:rPr>
          <w:bCs/>
          <w:kern w:val="22"/>
          <w:szCs w:val="22"/>
        </w:rPr>
        <w:t xml:space="preserve">Complementary </w:t>
      </w:r>
      <w:r w:rsidR="00C26E3A" w:rsidRPr="00B324FA">
        <w:rPr>
          <w:bCs/>
          <w:kern w:val="22"/>
          <w:szCs w:val="22"/>
        </w:rPr>
        <w:t xml:space="preserve">indicators: </w:t>
      </w:r>
      <w:r w:rsidR="00AA6AC7" w:rsidRPr="00B324FA">
        <w:rPr>
          <w:bCs/>
          <w:kern w:val="22"/>
          <w:szCs w:val="22"/>
        </w:rPr>
        <w:t>A set of indicators for thematic or in-depth analysis of each goal and target</w:t>
      </w:r>
      <w:r w:rsidR="004D1AA7" w:rsidRPr="00B324FA">
        <w:rPr>
          <w:bCs/>
          <w:kern w:val="22"/>
          <w:szCs w:val="22"/>
        </w:rPr>
        <w:t xml:space="preserve"> These indic</w:t>
      </w:r>
      <w:r w:rsidR="00A13632" w:rsidRPr="00B324FA">
        <w:rPr>
          <w:bCs/>
          <w:kern w:val="22"/>
          <w:szCs w:val="22"/>
        </w:rPr>
        <w:t>a</w:t>
      </w:r>
      <w:r w:rsidR="004D1AA7" w:rsidRPr="00B324FA">
        <w:rPr>
          <w:bCs/>
          <w:kern w:val="22"/>
          <w:szCs w:val="22"/>
        </w:rPr>
        <w:t>tors will be used at the global level, and, as appropriate at regional and national levels. However, these indic</w:t>
      </w:r>
      <w:r w:rsidR="00A13632" w:rsidRPr="00B324FA">
        <w:rPr>
          <w:bCs/>
          <w:kern w:val="22"/>
          <w:szCs w:val="22"/>
        </w:rPr>
        <w:t>a</w:t>
      </w:r>
      <w:r w:rsidR="004D1AA7" w:rsidRPr="00B324FA">
        <w:rPr>
          <w:bCs/>
          <w:kern w:val="22"/>
          <w:szCs w:val="22"/>
        </w:rPr>
        <w:t xml:space="preserve">tors may be </w:t>
      </w:r>
      <w:r w:rsidR="003E2693" w:rsidRPr="00B324FA">
        <w:rPr>
          <w:bCs/>
          <w:kern w:val="22"/>
          <w:szCs w:val="22"/>
        </w:rPr>
        <w:t>less relevant</w:t>
      </w:r>
      <w:r w:rsidR="004D1AA7" w:rsidRPr="00B324FA">
        <w:rPr>
          <w:bCs/>
          <w:kern w:val="22"/>
          <w:szCs w:val="22"/>
        </w:rPr>
        <w:t xml:space="preserve"> or applicable,</w:t>
      </w:r>
      <w:r w:rsidR="003E2693" w:rsidRPr="00B324FA">
        <w:rPr>
          <w:bCs/>
          <w:kern w:val="22"/>
          <w:szCs w:val="22"/>
        </w:rPr>
        <w:t xml:space="preserve"> for </w:t>
      </w:r>
      <w:proofErr w:type="gramStart"/>
      <w:r w:rsidR="003E2693" w:rsidRPr="00B324FA">
        <w:rPr>
          <w:bCs/>
          <w:kern w:val="22"/>
          <w:szCs w:val="22"/>
        </w:rPr>
        <w:t>a majority of</w:t>
      </w:r>
      <w:proofErr w:type="gramEnd"/>
      <w:r w:rsidR="003E2693" w:rsidRPr="00B324FA">
        <w:rPr>
          <w:bCs/>
          <w:kern w:val="22"/>
          <w:szCs w:val="22"/>
        </w:rPr>
        <w:t xml:space="preserve"> countries</w:t>
      </w:r>
      <w:r w:rsidR="004D1AA7" w:rsidRPr="00B324FA">
        <w:rPr>
          <w:bCs/>
          <w:kern w:val="22"/>
          <w:szCs w:val="22"/>
        </w:rPr>
        <w:t>. Some of these indicators</w:t>
      </w:r>
      <w:r w:rsidR="003E2693" w:rsidRPr="00B324FA">
        <w:rPr>
          <w:bCs/>
          <w:kern w:val="22"/>
          <w:szCs w:val="22"/>
        </w:rPr>
        <w:t xml:space="preserve"> have significant data collection gaps</w:t>
      </w:r>
      <w:r w:rsidR="004D1AA7" w:rsidRPr="00B324FA">
        <w:rPr>
          <w:bCs/>
          <w:kern w:val="22"/>
          <w:szCs w:val="22"/>
        </w:rPr>
        <w:t xml:space="preserve"> or</w:t>
      </w:r>
      <w:r w:rsidR="003E2693" w:rsidRPr="00B324FA">
        <w:rPr>
          <w:bCs/>
          <w:kern w:val="22"/>
          <w:szCs w:val="22"/>
        </w:rPr>
        <w:t xml:space="preserve"> are highly specific</w:t>
      </w:r>
      <w:r w:rsidR="00F71F6E" w:rsidRPr="00B324FA">
        <w:rPr>
          <w:bCs/>
          <w:kern w:val="22"/>
          <w:szCs w:val="22"/>
        </w:rPr>
        <w:t>.</w:t>
      </w:r>
    </w:p>
    <w:p w14:paraId="3440F33C" w14:textId="56B99CDF" w:rsidR="009E7B09" w:rsidRPr="00B324FA" w:rsidRDefault="00AA6AC7" w:rsidP="00866F16">
      <w:pPr>
        <w:pStyle w:val="Para1"/>
        <w:numPr>
          <w:ilvl w:val="0"/>
          <w:numId w:val="2"/>
        </w:numPr>
        <w:suppressLineNumbers/>
        <w:tabs>
          <w:tab w:val="clear" w:pos="360"/>
        </w:tabs>
        <w:suppressAutoHyphens/>
        <w:kinsoku w:val="0"/>
        <w:overflowPunct w:val="0"/>
        <w:autoSpaceDE w:val="0"/>
        <w:autoSpaceDN w:val="0"/>
        <w:adjustRightInd w:val="0"/>
        <w:snapToGrid w:val="0"/>
        <w:spacing w:line="235" w:lineRule="auto"/>
        <w:rPr>
          <w:rFonts w:eastAsia="Malgun Gothic"/>
          <w:kern w:val="22"/>
          <w:szCs w:val="22"/>
          <w:lang w:eastAsia="x-none"/>
        </w:rPr>
      </w:pPr>
      <w:r w:rsidRPr="00B324FA">
        <w:rPr>
          <w:rFonts w:eastAsia="Malgun Gothic"/>
          <w:kern w:val="22"/>
          <w:szCs w:val="22"/>
          <w:lang w:eastAsia="x-none"/>
        </w:rPr>
        <w:t xml:space="preserve">Within these three groups, </w:t>
      </w:r>
      <w:r w:rsidR="004D1AA7" w:rsidRPr="00B324FA">
        <w:rPr>
          <w:rFonts w:eastAsia="Malgun Gothic"/>
          <w:kern w:val="22"/>
          <w:szCs w:val="22"/>
          <w:lang w:eastAsia="x-none"/>
        </w:rPr>
        <w:t>a range</w:t>
      </w:r>
      <w:r w:rsidR="005D52E1" w:rsidRPr="00B324FA">
        <w:rPr>
          <w:rFonts w:eastAsia="Malgun Gothic"/>
          <w:kern w:val="22"/>
          <w:szCs w:val="22"/>
          <w:lang w:eastAsia="x-none"/>
        </w:rPr>
        <w:t xml:space="preserve"> </w:t>
      </w:r>
      <w:r w:rsidR="00A46F1F" w:rsidRPr="00B324FA">
        <w:rPr>
          <w:rFonts w:eastAsia="Malgun Gothic"/>
          <w:kern w:val="22"/>
          <w:szCs w:val="22"/>
          <w:lang w:eastAsia="x-none"/>
        </w:rPr>
        <w:t xml:space="preserve">of </w:t>
      </w:r>
      <w:r w:rsidR="00A136C5" w:rsidRPr="00B324FA">
        <w:rPr>
          <w:rFonts w:eastAsia="Malgun Gothic"/>
          <w:kern w:val="22"/>
          <w:szCs w:val="22"/>
          <w:lang w:eastAsia="x-none"/>
        </w:rPr>
        <w:t>indicator</w:t>
      </w:r>
      <w:r w:rsidR="005D52E1" w:rsidRPr="00B324FA">
        <w:rPr>
          <w:rFonts w:eastAsia="Malgun Gothic"/>
          <w:kern w:val="22"/>
          <w:szCs w:val="22"/>
          <w:lang w:eastAsia="x-none"/>
        </w:rPr>
        <w:t xml:space="preserve"> types</w:t>
      </w:r>
      <w:r w:rsidR="00A136C5" w:rsidRPr="00B324FA">
        <w:rPr>
          <w:rFonts w:eastAsia="Malgun Gothic"/>
          <w:kern w:val="22"/>
          <w:szCs w:val="22"/>
          <w:lang w:eastAsia="x-none"/>
        </w:rPr>
        <w:t xml:space="preserve"> </w:t>
      </w:r>
      <w:r w:rsidRPr="00B324FA">
        <w:rPr>
          <w:rFonts w:eastAsia="Malgun Gothic"/>
          <w:kern w:val="22"/>
          <w:szCs w:val="22"/>
          <w:lang w:eastAsia="x-none"/>
        </w:rPr>
        <w:t>are proposed for the</w:t>
      </w:r>
      <w:r w:rsidR="00A136C5" w:rsidRPr="00B324FA">
        <w:rPr>
          <w:rFonts w:eastAsia="Malgun Gothic"/>
          <w:kern w:val="22"/>
          <w:szCs w:val="22"/>
          <w:lang w:eastAsia="x-none"/>
        </w:rPr>
        <w:t xml:space="preserve"> goals and targets of the post-2020 global biodiversity framework. </w:t>
      </w:r>
      <w:r w:rsidR="00321002" w:rsidRPr="00B324FA">
        <w:rPr>
          <w:rFonts w:eastAsia="Malgun Gothic"/>
          <w:kern w:val="22"/>
          <w:szCs w:val="22"/>
          <w:lang w:eastAsia="x-none"/>
        </w:rPr>
        <w:t xml:space="preserve">The </w:t>
      </w:r>
      <w:r w:rsidRPr="00B324FA">
        <w:rPr>
          <w:rFonts w:eastAsia="Malgun Gothic"/>
          <w:kern w:val="22"/>
          <w:szCs w:val="22"/>
          <w:lang w:eastAsia="x-none"/>
        </w:rPr>
        <w:t>indicators proposed for</w:t>
      </w:r>
      <w:r w:rsidR="00A136C5" w:rsidRPr="00B324FA">
        <w:rPr>
          <w:rFonts w:eastAsia="Malgun Gothic"/>
          <w:kern w:val="22"/>
          <w:szCs w:val="22"/>
          <w:lang w:eastAsia="x-none"/>
        </w:rPr>
        <w:t xml:space="preserve"> the </w:t>
      </w:r>
      <w:r w:rsidRPr="00B324FA">
        <w:rPr>
          <w:rFonts w:eastAsia="Malgun Gothic"/>
          <w:kern w:val="22"/>
          <w:szCs w:val="22"/>
          <w:lang w:eastAsia="x-none"/>
        </w:rPr>
        <w:t>g</w:t>
      </w:r>
      <w:r w:rsidR="00A136C5" w:rsidRPr="00B324FA">
        <w:rPr>
          <w:rFonts w:eastAsia="Malgun Gothic"/>
          <w:kern w:val="22"/>
          <w:szCs w:val="22"/>
          <w:lang w:eastAsia="x-none"/>
        </w:rPr>
        <w:t xml:space="preserve">oals </w:t>
      </w:r>
      <w:r w:rsidR="00321002" w:rsidRPr="00B324FA">
        <w:rPr>
          <w:rFonts w:eastAsia="Malgun Gothic"/>
          <w:kern w:val="22"/>
          <w:szCs w:val="22"/>
          <w:lang w:eastAsia="x-none"/>
        </w:rPr>
        <w:t>focus on</w:t>
      </w:r>
      <w:r w:rsidR="00A136C5" w:rsidRPr="00B324FA">
        <w:rPr>
          <w:rFonts w:eastAsia="Malgun Gothic"/>
          <w:kern w:val="22"/>
          <w:szCs w:val="22"/>
          <w:lang w:eastAsia="x-none"/>
        </w:rPr>
        <w:t xml:space="preserve"> </w:t>
      </w:r>
      <w:r w:rsidR="004D1AA7" w:rsidRPr="00B324FA">
        <w:rPr>
          <w:rFonts w:eastAsia="Malgun Gothic"/>
          <w:kern w:val="22"/>
          <w:szCs w:val="22"/>
          <w:lang w:eastAsia="x-none"/>
        </w:rPr>
        <w:t xml:space="preserve">outcomes (i.e. </w:t>
      </w:r>
      <w:r w:rsidR="00A136C5" w:rsidRPr="00B324FA">
        <w:rPr>
          <w:rFonts w:eastAsia="Malgun Gothic"/>
          <w:kern w:val="22"/>
          <w:szCs w:val="22"/>
          <w:lang w:eastAsia="x-none"/>
        </w:rPr>
        <w:t>the stat</w:t>
      </w:r>
      <w:r w:rsidRPr="00B324FA">
        <w:rPr>
          <w:rFonts w:eastAsia="Malgun Gothic"/>
          <w:kern w:val="22"/>
          <w:szCs w:val="22"/>
          <w:lang w:eastAsia="x-none"/>
        </w:rPr>
        <w:t>us</w:t>
      </w:r>
      <w:r w:rsidR="00A136C5" w:rsidRPr="00B324FA">
        <w:rPr>
          <w:rFonts w:eastAsia="Malgun Gothic"/>
          <w:kern w:val="22"/>
          <w:szCs w:val="22"/>
          <w:lang w:eastAsia="x-none"/>
        </w:rPr>
        <w:t xml:space="preserve"> </w:t>
      </w:r>
      <w:r w:rsidRPr="00B324FA">
        <w:rPr>
          <w:rFonts w:eastAsia="Malgun Gothic"/>
          <w:kern w:val="22"/>
          <w:szCs w:val="22"/>
          <w:lang w:eastAsia="x-none"/>
        </w:rPr>
        <w:t xml:space="preserve">and </w:t>
      </w:r>
      <w:r w:rsidR="00A136C5" w:rsidRPr="00B324FA">
        <w:rPr>
          <w:rFonts w:eastAsia="Malgun Gothic"/>
          <w:kern w:val="22"/>
          <w:szCs w:val="22"/>
          <w:lang w:eastAsia="x-none"/>
        </w:rPr>
        <w:t>trends</w:t>
      </w:r>
      <w:r w:rsidR="009E7B09" w:rsidRPr="00B324FA">
        <w:rPr>
          <w:rFonts w:eastAsia="Malgun Gothic"/>
          <w:kern w:val="22"/>
          <w:szCs w:val="22"/>
          <w:lang w:eastAsia="x-none"/>
        </w:rPr>
        <w:t xml:space="preserve"> </w:t>
      </w:r>
      <w:r w:rsidR="00A136C5" w:rsidRPr="00B324FA">
        <w:rPr>
          <w:rFonts w:eastAsia="Malgun Gothic"/>
          <w:kern w:val="22"/>
          <w:szCs w:val="22"/>
          <w:lang w:eastAsia="x-none"/>
        </w:rPr>
        <w:t>of biodiversity</w:t>
      </w:r>
      <w:r w:rsidR="004D1AA7" w:rsidRPr="00B324FA">
        <w:rPr>
          <w:rFonts w:eastAsia="Malgun Gothic"/>
          <w:kern w:val="22"/>
          <w:szCs w:val="22"/>
          <w:lang w:eastAsia="x-none"/>
        </w:rPr>
        <w:t>)</w:t>
      </w:r>
      <w:r w:rsidR="00A136C5" w:rsidRPr="00B324FA">
        <w:rPr>
          <w:rFonts w:eastAsia="Malgun Gothic"/>
          <w:kern w:val="22"/>
          <w:szCs w:val="22"/>
          <w:lang w:eastAsia="x-none"/>
        </w:rPr>
        <w:t>,</w:t>
      </w:r>
      <w:r w:rsidR="009E7B09" w:rsidRPr="00B324FA">
        <w:rPr>
          <w:rFonts w:eastAsia="Malgun Gothic"/>
          <w:kern w:val="22"/>
          <w:szCs w:val="22"/>
          <w:lang w:eastAsia="x-none"/>
        </w:rPr>
        <w:t xml:space="preserve"> </w:t>
      </w:r>
      <w:r w:rsidR="004D1AA7" w:rsidRPr="00B324FA">
        <w:rPr>
          <w:rFonts w:eastAsia="Malgun Gothic"/>
          <w:kern w:val="22"/>
          <w:szCs w:val="22"/>
          <w:lang w:eastAsia="x-none"/>
        </w:rPr>
        <w:t xml:space="preserve">and the </w:t>
      </w:r>
      <w:r w:rsidR="00A136C5" w:rsidRPr="00B324FA">
        <w:rPr>
          <w:rFonts w:eastAsia="Malgun Gothic"/>
          <w:kern w:val="22"/>
          <w:szCs w:val="22"/>
          <w:lang w:eastAsia="x-none"/>
        </w:rPr>
        <w:t>benefits biodiversity provides to peopl</w:t>
      </w:r>
      <w:r w:rsidR="004D1AA7" w:rsidRPr="00B324FA">
        <w:rPr>
          <w:rFonts w:eastAsia="Malgun Gothic"/>
          <w:kern w:val="22"/>
          <w:szCs w:val="22"/>
          <w:lang w:eastAsia="x-none"/>
        </w:rPr>
        <w:t>e, as well as</w:t>
      </w:r>
      <w:r w:rsidR="00A136C5" w:rsidRPr="00B324FA">
        <w:rPr>
          <w:rFonts w:eastAsia="Malgun Gothic"/>
          <w:kern w:val="22"/>
          <w:szCs w:val="22"/>
          <w:lang w:eastAsia="x-none"/>
        </w:rPr>
        <w:t xml:space="preserve"> the conditions necessary for </w:t>
      </w:r>
      <w:r w:rsidR="00E339DA" w:rsidRPr="00B324FA">
        <w:rPr>
          <w:rFonts w:eastAsia="Malgun Gothic"/>
          <w:kern w:val="22"/>
          <w:szCs w:val="22"/>
          <w:lang w:eastAsia="x-none"/>
        </w:rPr>
        <w:t xml:space="preserve">implementing </w:t>
      </w:r>
      <w:r w:rsidR="00A136C5" w:rsidRPr="00B324FA">
        <w:rPr>
          <w:rFonts w:eastAsia="Malgun Gothic"/>
          <w:kern w:val="22"/>
          <w:szCs w:val="22"/>
          <w:lang w:eastAsia="x-none"/>
        </w:rPr>
        <w:t xml:space="preserve">the framework. </w:t>
      </w:r>
      <w:r w:rsidRPr="00B324FA">
        <w:rPr>
          <w:rFonts w:eastAsia="Malgun Gothic"/>
          <w:kern w:val="22"/>
          <w:szCs w:val="22"/>
          <w:lang w:eastAsia="x-none"/>
        </w:rPr>
        <w:t xml:space="preserve">The indicators proposed for the targets </w:t>
      </w:r>
      <w:r w:rsidR="009E7B09" w:rsidRPr="00B324FA">
        <w:rPr>
          <w:rFonts w:eastAsia="Malgun Gothic"/>
          <w:kern w:val="22"/>
          <w:szCs w:val="22"/>
          <w:lang w:eastAsia="x-none"/>
        </w:rPr>
        <w:t xml:space="preserve">aim to </w:t>
      </w:r>
      <w:r w:rsidRPr="00B324FA">
        <w:rPr>
          <w:rFonts w:eastAsia="Malgun Gothic"/>
          <w:kern w:val="22"/>
          <w:szCs w:val="22"/>
          <w:lang w:eastAsia="x-none"/>
        </w:rPr>
        <w:t>monitor the actions taken to reach the targets and their impacts. To the extent possible</w:t>
      </w:r>
      <w:r w:rsidR="009B59E7" w:rsidRPr="00B324FA">
        <w:rPr>
          <w:rFonts w:eastAsia="Malgun Gothic"/>
          <w:kern w:val="22"/>
          <w:szCs w:val="22"/>
          <w:lang w:eastAsia="x-none"/>
        </w:rPr>
        <w:t>,</w:t>
      </w:r>
      <w:r w:rsidRPr="00B324FA">
        <w:rPr>
          <w:rFonts w:eastAsia="Malgun Gothic"/>
          <w:kern w:val="22"/>
          <w:szCs w:val="22"/>
          <w:lang w:eastAsia="x-none"/>
        </w:rPr>
        <w:t xml:space="preserve"> each indicator has been included in the monitoring framework only once. However</w:t>
      </w:r>
      <w:r w:rsidR="009B59E7" w:rsidRPr="00B324FA">
        <w:rPr>
          <w:rFonts w:eastAsia="Malgun Gothic"/>
          <w:kern w:val="22"/>
          <w:szCs w:val="22"/>
          <w:lang w:eastAsia="x-none"/>
        </w:rPr>
        <w:t>,</w:t>
      </w:r>
      <w:r w:rsidR="009E7B09" w:rsidRPr="00B324FA">
        <w:rPr>
          <w:rFonts w:eastAsia="Malgun Gothic"/>
          <w:kern w:val="22"/>
          <w:szCs w:val="22"/>
          <w:lang w:eastAsia="x-none"/>
        </w:rPr>
        <w:t xml:space="preserve"> for some of the proposed component and </w:t>
      </w:r>
      <w:r w:rsidR="005D52E1" w:rsidRPr="00B324FA">
        <w:rPr>
          <w:rFonts w:eastAsia="Malgun Gothic"/>
          <w:kern w:val="22"/>
          <w:szCs w:val="22"/>
          <w:lang w:eastAsia="x-none"/>
        </w:rPr>
        <w:t xml:space="preserve">complementary </w:t>
      </w:r>
      <w:r w:rsidR="009E7B09" w:rsidRPr="00B324FA">
        <w:rPr>
          <w:rFonts w:eastAsia="Malgun Gothic"/>
          <w:kern w:val="22"/>
          <w:szCs w:val="22"/>
          <w:lang w:eastAsia="x-none"/>
        </w:rPr>
        <w:t xml:space="preserve">indicators, </w:t>
      </w:r>
      <w:r w:rsidRPr="00B324FA">
        <w:rPr>
          <w:rFonts w:eastAsia="Malgun Gothic"/>
          <w:kern w:val="22"/>
          <w:szCs w:val="22"/>
          <w:lang w:eastAsia="x-none"/>
        </w:rPr>
        <w:t xml:space="preserve">there is some duplication </w:t>
      </w:r>
      <w:r w:rsidR="009E7B09" w:rsidRPr="00B324FA">
        <w:rPr>
          <w:rFonts w:eastAsia="Malgun Gothic"/>
          <w:kern w:val="22"/>
          <w:szCs w:val="22"/>
          <w:lang w:eastAsia="x-none"/>
        </w:rPr>
        <w:t>owing to the linkages that exist within the post-2020 global biodiversity framework.</w:t>
      </w:r>
    </w:p>
    <w:p w14:paraId="556BE7E8" w14:textId="0B74EBF4" w:rsidR="004D1AA7" w:rsidRPr="00B324FA" w:rsidRDefault="004D1AA7" w:rsidP="00866F16">
      <w:pPr>
        <w:pStyle w:val="Para1"/>
        <w:numPr>
          <w:ilvl w:val="0"/>
          <w:numId w:val="2"/>
        </w:numPr>
        <w:suppressLineNumbers/>
        <w:tabs>
          <w:tab w:val="clear" w:pos="360"/>
        </w:tabs>
        <w:suppressAutoHyphens/>
        <w:kinsoku w:val="0"/>
        <w:overflowPunct w:val="0"/>
        <w:autoSpaceDE w:val="0"/>
        <w:autoSpaceDN w:val="0"/>
        <w:adjustRightInd w:val="0"/>
        <w:snapToGrid w:val="0"/>
        <w:spacing w:line="235" w:lineRule="auto"/>
        <w:rPr>
          <w:rFonts w:eastAsia="Malgun Gothic"/>
          <w:kern w:val="22"/>
          <w:szCs w:val="22"/>
          <w:lang w:eastAsia="x-none"/>
        </w:rPr>
      </w:pPr>
      <w:bookmarkStart w:id="1" w:name="_Ref57908260"/>
      <w:proofErr w:type="gramStart"/>
      <w:r w:rsidRPr="00B324FA">
        <w:rPr>
          <w:rFonts w:eastAsia="Malgun Gothic"/>
          <w:kern w:val="22"/>
          <w:szCs w:val="22"/>
          <w:lang w:eastAsia="x-none"/>
        </w:rPr>
        <w:t>All of</w:t>
      </w:r>
      <w:proofErr w:type="gramEnd"/>
      <w:r w:rsidRPr="00B324FA">
        <w:rPr>
          <w:rFonts w:eastAsia="Malgun Gothic"/>
          <w:kern w:val="22"/>
          <w:szCs w:val="22"/>
          <w:lang w:eastAsia="x-none"/>
        </w:rPr>
        <w:t xml:space="preserve"> the indic</w:t>
      </w:r>
      <w:r w:rsidR="00A13632" w:rsidRPr="00B324FA">
        <w:rPr>
          <w:rFonts w:eastAsia="Malgun Gothic"/>
          <w:kern w:val="22"/>
          <w:szCs w:val="22"/>
          <w:lang w:eastAsia="x-none"/>
        </w:rPr>
        <w:t>a</w:t>
      </w:r>
      <w:r w:rsidRPr="00B324FA">
        <w:rPr>
          <w:rFonts w:eastAsia="Malgun Gothic"/>
          <w:kern w:val="22"/>
          <w:szCs w:val="22"/>
          <w:lang w:eastAsia="x-none"/>
        </w:rPr>
        <w:t xml:space="preserve">tors </w:t>
      </w:r>
      <w:r w:rsidR="00E90F30" w:rsidRPr="00B324FA">
        <w:rPr>
          <w:rFonts w:eastAsia="Malgun Gothic"/>
          <w:kern w:val="22"/>
          <w:szCs w:val="22"/>
          <w:lang w:eastAsia="x-none"/>
        </w:rPr>
        <w:t xml:space="preserve">in the monitoring framework for the post-2020 global biodiversity framework </w:t>
      </w:r>
      <w:r w:rsidRPr="00B324FA">
        <w:rPr>
          <w:rFonts w:eastAsia="Malgun Gothic"/>
          <w:kern w:val="22"/>
          <w:szCs w:val="22"/>
          <w:lang w:eastAsia="x-none"/>
        </w:rPr>
        <w:t>should meet the following criteria:</w:t>
      </w:r>
      <w:bookmarkEnd w:id="1"/>
    </w:p>
    <w:p w14:paraId="27AC8E5E" w14:textId="77777777" w:rsidR="004D1AA7" w:rsidRPr="00B324FA" w:rsidRDefault="004D1AA7" w:rsidP="00866F16">
      <w:pPr>
        <w:pStyle w:val="Para1"/>
        <w:numPr>
          <w:ilvl w:val="1"/>
          <w:numId w:val="2"/>
        </w:numPr>
        <w:suppressLineNumbers/>
        <w:suppressAutoHyphens/>
        <w:kinsoku w:val="0"/>
        <w:overflowPunct w:val="0"/>
        <w:autoSpaceDE w:val="0"/>
        <w:autoSpaceDN w:val="0"/>
        <w:adjustRightInd w:val="0"/>
        <w:snapToGrid w:val="0"/>
        <w:spacing w:line="235" w:lineRule="auto"/>
        <w:rPr>
          <w:rFonts w:eastAsia="Malgun Gothic"/>
          <w:kern w:val="22"/>
          <w:szCs w:val="22"/>
          <w:lang w:eastAsia="x-none"/>
        </w:rPr>
      </w:pPr>
      <w:r w:rsidRPr="00B324FA">
        <w:rPr>
          <w:rFonts w:eastAsia="Malgun Gothic"/>
          <w:kern w:val="22"/>
          <w:szCs w:val="22"/>
          <w:lang w:eastAsia="x-none"/>
        </w:rPr>
        <w:t xml:space="preserve">The data </w:t>
      </w:r>
      <w:r w:rsidRPr="00B324FA">
        <w:rPr>
          <w:bCs/>
          <w:kern w:val="22"/>
          <w:szCs w:val="22"/>
        </w:rPr>
        <w:t>and metadata related to the indicator are (or will be) publicly available;</w:t>
      </w:r>
    </w:p>
    <w:p w14:paraId="21DE72E2" w14:textId="77777777" w:rsidR="004D1AA7" w:rsidRPr="00B324FA" w:rsidRDefault="004D1AA7" w:rsidP="00866F16">
      <w:pPr>
        <w:pStyle w:val="Para1"/>
        <w:numPr>
          <w:ilvl w:val="1"/>
          <w:numId w:val="2"/>
        </w:numPr>
        <w:suppressLineNumbers/>
        <w:suppressAutoHyphens/>
        <w:kinsoku w:val="0"/>
        <w:overflowPunct w:val="0"/>
        <w:autoSpaceDE w:val="0"/>
        <w:autoSpaceDN w:val="0"/>
        <w:adjustRightInd w:val="0"/>
        <w:snapToGrid w:val="0"/>
        <w:spacing w:line="235" w:lineRule="auto"/>
        <w:rPr>
          <w:rFonts w:eastAsia="Malgun Gothic"/>
          <w:kern w:val="22"/>
          <w:szCs w:val="22"/>
          <w:lang w:eastAsia="x-none"/>
        </w:rPr>
      </w:pPr>
      <w:r w:rsidRPr="00B324FA">
        <w:rPr>
          <w:bCs/>
          <w:kern w:val="22"/>
          <w:szCs w:val="22"/>
        </w:rPr>
        <w:t>The methodology for the data product is either published in a peer reviewed academic journal or has gone through a scientific peer review process;</w:t>
      </w:r>
    </w:p>
    <w:p w14:paraId="6DEA0D8F" w14:textId="77777777" w:rsidR="004D1AA7" w:rsidRPr="00B324FA" w:rsidRDefault="004D1AA7" w:rsidP="00866F16">
      <w:pPr>
        <w:pStyle w:val="Para1"/>
        <w:numPr>
          <w:ilvl w:val="1"/>
          <w:numId w:val="2"/>
        </w:numPr>
        <w:suppressLineNumbers/>
        <w:suppressAutoHyphens/>
        <w:kinsoku w:val="0"/>
        <w:overflowPunct w:val="0"/>
        <w:autoSpaceDE w:val="0"/>
        <w:autoSpaceDN w:val="0"/>
        <w:adjustRightInd w:val="0"/>
        <w:snapToGrid w:val="0"/>
        <w:spacing w:line="235" w:lineRule="auto"/>
        <w:rPr>
          <w:rFonts w:eastAsia="Malgun Gothic"/>
          <w:kern w:val="22"/>
          <w:szCs w:val="22"/>
          <w:lang w:eastAsia="x-none"/>
        </w:rPr>
      </w:pPr>
      <w:r w:rsidRPr="00B324FA">
        <w:rPr>
          <w:bCs/>
          <w:kern w:val="22"/>
          <w:szCs w:val="22"/>
        </w:rPr>
        <w:t>There is evidence that the indicators will be regularly updated with a time lag of less than five years between updates;</w:t>
      </w:r>
    </w:p>
    <w:p w14:paraId="47170F66" w14:textId="77777777" w:rsidR="004D1AA7" w:rsidRPr="00B324FA" w:rsidRDefault="004D1AA7" w:rsidP="00866F16">
      <w:pPr>
        <w:pStyle w:val="Para1"/>
        <w:numPr>
          <w:ilvl w:val="1"/>
          <w:numId w:val="2"/>
        </w:numPr>
        <w:suppressLineNumbers/>
        <w:suppressAutoHyphens/>
        <w:kinsoku w:val="0"/>
        <w:overflowPunct w:val="0"/>
        <w:autoSpaceDE w:val="0"/>
        <w:autoSpaceDN w:val="0"/>
        <w:adjustRightInd w:val="0"/>
        <w:snapToGrid w:val="0"/>
        <w:spacing w:line="235" w:lineRule="auto"/>
        <w:rPr>
          <w:rFonts w:eastAsia="Malgun Gothic"/>
          <w:kern w:val="22"/>
          <w:szCs w:val="22"/>
          <w:lang w:eastAsia="x-none"/>
        </w:rPr>
      </w:pPr>
      <w:r w:rsidRPr="00B324FA">
        <w:rPr>
          <w:rFonts w:eastAsia="Malgun Gothic"/>
          <w:kern w:val="22"/>
          <w:szCs w:val="22"/>
          <w:lang w:eastAsia="x-none"/>
        </w:rPr>
        <w:t>There is an existing mechanism for maintaining the indicators, including, for example, by a member of the Biodiversity Indicators Partnership, an intergovernmental organization or a well-established scientific or research institution.</w:t>
      </w:r>
    </w:p>
    <w:p w14:paraId="62619A5E" w14:textId="1F8CA3DE" w:rsidR="004D1AA7" w:rsidRPr="00B324FA" w:rsidRDefault="004D1AA7" w:rsidP="00866F16">
      <w:pPr>
        <w:pStyle w:val="Para1"/>
        <w:numPr>
          <w:ilvl w:val="0"/>
          <w:numId w:val="2"/>
        </w:numPr>
        <w:suppressLineNumbers/>
        <w:tabs>
          <w:tab w:val="clear" w:pos="360"/>
        </w:tabs>
        <w:suppressAutoHyphens/>
        <w:kinsoku w:val="0"/>
        <w:overflowPunct w:val="0"/>
        <w:autoSpaceDE w:val="0"/>
        <w:autoSpaceDN w:val="0"/>
        <w:adjustRightInd w:val="0"/>
        <w:snapToGrid w:val="0"/>
        <w:spacing w:line="235" w:lineRule="auto"/>
        <w:rPr>
          <w:rFonts w:eastAsia="Malgun Gothic"/>
          <w:kern w:val="22"/>
          <w:szCs w:val="22"/>
          <w:lang w:eastAsia="x-none"/>
        </w:rPr>
      </w:pPr>
      <w:r w:rsidRPr="00B324FA">
        <w:rPr>
          <w:rFonts w:eastAsia="Malgun Gothic"/>
          <w:kern w:val="22"/>
          <w:szCs w:val="22"/>
          <w:lang w:eastAsia="x-none"/>
        </w:rPr>
        <w:t>Further headline indic</w:t>
      </w:r>
      <w:r w:rsidR="00A13632" w:rsidRPr="00B324FA">
        <w:rPr>
          <w:rFonts w:eastAsia="Malgun Gothic"/>
          <w:kern w:val="22"/>
          <w:szCs w:val="22"/>
          <w:lang w:eastAsia="x-none"/>
        </w:rPr>
        <w:t>a</w:t>
      </w:r>
      <w:r w:rsidRPr="00B324FA">
        <w:rPr>
          <w:rFonts w:eastAsia="Malgun Gothic"/>
          <w:kern w:val="22"/>
          <w:szCs w:val="22"/>
          <w:lang w:eastAsia="x-none"/>
        </w:rPr>
        <w:t>tors should meet additional criteria as specified below.</w:t>
      </w:r>
    </w:p>
    <w:p w14:paraId="7D84FAFD" w14:textId="739F7E1A" w:rsidR="006D61E2" w:rsidRPr="00B324FA" w:rsidRDefault="00670F09" w:rsidP="00866F16">
      <w:pPr>
        <w:pStyle w:val="Heading2"/>
        <w:numPr>
          <w:ilvl w:val="0"/>
          <w:numId w:val="6"/>
        </w:numPr>
        <w:suppressLineNumbers/>
        <w:tabs>
          <w:tab w:val="clear" w:pos="720"/>
        </w:tabs>
        <w:suppressAutoHyphens/>
        <w:kinsoku w:val="0"/>
        <w:overflowPunct w:val="0"/>
        <w:autoSpaceDE w:val="0"/>
        <w:autoSpaceDN w:val="0"/>
        <w:adjustRightInd w:val="0"/>
        <w:snapToGrid w:val="0"/>
        <w:spacing w:line="235" w:lineRule="auto"/>
        <w:ind w:left="714" w:hanging="357"/>
        <w:rPr>
          <w:kern w:val="22"/>
          <w:szCs w:val="22"/>
        </w:rPr>
      </w:pPr>
      <w:r w:rsidRPr="00B324FA">
        <w:rPr>
          <w:kern w:val="22"/>
          <w:szCs w:val="22"/>
        </w:rPr>
        <w:t xml:space="preserve">Group </w:t>
      </w:r>
      <w:r w:rsidR="00BF7422" w:rsidRPr="00B324FA">
        <w:rPr>
          <w:kern w:val="22"/>
          <w:szCs w:val="22"/>
        </w:rPr>
        <w:t xml:space="preserve">1 - Headline </w:t>
      </w:r>
      <w:r w:rsidR="00D47887" w:rsidRPr="00B324FA">
        <w:rPr>
          <w:kern w:val="22"/>
          <w:szCs w:val="22"/>
        </w:rPr>
        <w:t>i</w:t>
      </w:r>
      <w:r w:rsidR="00BF7422" w:rsidRPr="00B324FA">
        <w:rPr>
          <w:kern w:val="22"/>
          <w:szCs w:val="22"/>
        </w:rPr>
        <w:t>ndicators</w:t>
      </w:r>
    </w:p>
    <w:p w14:paraId="7C19CA3D" w14:textId="6E0E3C07" w:rsidR="00AA1F50" w:rsidRPr="00866F16" w:rsidRDefault="002A2029" w:rsidP="00866F16">
      <w:pPr>
        <w:pStyle w:val="Para1"/>
        <w:numPr>
          <w:ilvl w:val="0"/>
          <w:numId w:val="2"/>
        </w:numPr>
        <w:suppressLineNumbers/>
        <w:tabs>
          <w:tab w:val="clear" w:pos="360"/>
        </w:tabs>
        <w:suppressAutoHyphens/>
        <w:kinsoku w:val="0"/>
        <w:overflowPunct w:val="0"/>
        <w:autoSpaceDE w:val="0"/>
        <w:autoSpaceDN w:val="0"/>
        <w:adjustRightInd w:val="0"/>
        <w:snapToGrid w:val="0"/>
        <w:spacing w:line="235" w:lineRule="auto"/>
        <w:rPr>
          <w:rFonts w:eastAsia="Malgun Gothic"/>
          <w:spacing w:val="-1"/>
          <w:kern w:val="22"/>
          <w:szCs w:val="22"/>
          <w:lang w:eastAsia="x-none"/>
        </w:rPr>
      </w:pPr>
      <w:r w:rsidRPr="00866F16">
        <w:rPr>
          <w:spacing w:val="-1"/>
          <w:kern w:val="22"/>
          <w:szCs w:val="22"/>
        </w:rPr>
        <w:t xml:space="preserve">Headline indicators </w:t>
      </w:r>
      <w:r w:rsidR="001634CD" w:rsidRPr="00866F16">
        <w:rPr>
          <w:rFonts w:eastAsia="Malgun Gothic"/>
          <w:spacing w:val="-1"/>
          <w:kern w:val="22"/>
          <w:szCs w:val="22"/>
          <w:lang w:eastAsia="x-none"/>
        </w:rPr>
        <w:t>c</w:t>
      </w:r>
      <w:r w:rsidR="00AA6AC7" w:rsidRPr="00866F16">
        <w:rPr>
          <w:rFonts w:eastAsia="Malgun Gothic"/>
          <w:bCs/>
          <w:spacing w:val="-1"/>
          <w:kern w:val="22"/>
          <w:szCs w:val="22"/>
          <w:lang w:eastAsia="x-none"/>
        </w:rPr>
        <w:t>onstitute</w:t>
      </w:r>
      <w:r w:rsidR="00AA6AC7" w:rsidRPr="00866F16">
        <w:rPr>
          <w:bCs/>
          <w:spacing w:val="-1"/>
          <w:kern w:val="22"/>
          <w:szCs w:val="22"/>
        </w:rPr>
        <w:t xml:space="preserve"> a minimum set of high-level indicators which capture the overall scope of the goals and targets of the post-2020 global biodiversity framework and which are necessary for tracking progress towards </w:t>
      </w:r>
      <w:r w:rsidR="00D80EA8" w:rsidRPr="00866F16">
        <w:rPr>
          <w:bCs/>
          <w:spacing w:val="-1"/>
          <w:kern w:val="22"/>
          <w:szCs w:val="22"/>
        </w:rPr>
        <w:t>them</w:t>
      </w:r>
      <w:r w:rsidR="00AA6AC7" w:rsidRPr="00866F16">
        <w:rPr>
          <w:bCs/>
          <w:spacing w:val="-1"/>
          <w:kern w:val="22"/>
          <w:szCs w:val="22"/>
        </w:rPr>
        <w:t xml:space="preserve">. </w:t>
      </w:r>
      <w:r w:rsidR="001634CD" w:rsidRPr="00866F16">
        <w:rPr>
          <w:spacing w:val="-1"/>
          <w:kern w:val="22"/>
          <w:szCs w:val="22"/>
        </w:rPr>
        <w:t>They are</w:t>
      </w:r>
      <w:r w:rsidRPr="00866F16">
        <w:rPr>
          <w:spacing w:val="-1"/>
          <w:kern w:val="22"/>
          <w:szCs w:val="22"/>
        </w:rPr>
        <w:t xml:space="preserve"> </w:t>
      </w:r>
      <w:r w:rsidR="00683F3E" w:rsidRPr="00866F16">
        <w:rPr>
          <w:spacing w:val="-1"/>
          <w:kern w:val="22"/>
          <w:szCs w:val="22"/>
        </w:rPr>
        <w:t>nationally</w:t>
      </w:r>
      <w:r w:rsidR="00D80EA8" w:rsidRPr="00866F16">
        <w:rPr>
          <w:spacing w:val="-1"/>
          <w:kern w:val="22"/>
          <w:szCs w:val="22"/>
        </w:rPr>
        <w:t xml:space="preserve"> </w:t>
      </w:r>
      <w:r w:rsidRPr="00866F16">
        <w:rPr>
          <w:spacing w:val="-1"/>
          <w:kern w:val="22"/>
          <w:szCs w:val="22"/>
        </w:rPr>
        <w:t xml:space="preserve">relevant indicators which can be used by all Parties, </w:t>
      </w:r>
      <w:r w:rsidR="00AA1F50" w:rsidRPr="00866F16">
        <w:rPr>
          <w:spacing w:val="-1"/>
          <w:kern w:val="22"/>
          <w:szCs w:val="22"/>
        </w:rPr>
        <w:t>and at the</w:t>
      </w:r>
      <w:r w:rsidRPr="00866F16">
        <w:rPr>
          <w:spacing w:val="-1"/>
          <w:kern w:val="22"/>
          <w:szCs w:val="22"/>
        </w:rPr>
        <w:t xml:space="preserve"> </w:t>
      </w:r>
      <w:r w:rsidR="00FE181F" w:rsidRPr="00866F16">
        <w:rPr>
          <w:spacing w:val="-1"/>
          <w:kern w:val="22"/>
          <w:szCs w:val="22"/>
        </w:rPr>
        <w:t xml:space="preserve">regional and </w:t>
      </w:r>
      <w:r w:rsidRPr="00866F16">
        <w:rPr>
          <w:spacing w:val="-1"/>
          <w:kern w:val="22"/>
          <w:szCs w:val="22"/>
        </w:rPr>
        <w:t>global</w:t>
      </w:r>
      <w:r w:rsidR="00AA1F50" w:rsidRPr="00866F16">
        <w:rPr>
          <w:spacing w:val="-1"/>
          <w:kern w:val="22"/>
          <w:szCs w:val="22"/>
        </w:rPr>
        <w:t xml:space="preserve"> level</w:t>
      </w:r>
      <w:r w:rsidR="00FE181F" w:rsidRPr="00866F16">
        <w:rPr>
          <w:spacing w:val="-1"/>
          <w:kern w:val="22"/>
          <w:szCs w:val="22"/>
        </w:rPr>
        <w:t>s</w:t>
      </w:r>
      <w:r w:rsidRPr="00866F16">
        <w:rPr>
          <w:spacing w:val="-1"/>
          <w:kern w:val="22"/>
          <w:szCs w:val="22"/>
        </w:rPr>
        <w:t xml:space="preserve">. </w:t>
      </w:r>
      <w:r w:rsidR="00FE181F" w:rsidRPr="00866F16">
        <w:rPr>
          <w:spacing w:val="-1"/>
          <w:kern w:val="22"/>
          <w:szCs w:val="22"/>
        </w:rPr>
        <w:t>In addition</w:t>
      </w:r>
      <w:r w:rsidR="00731BDD" w:rsidRPr="00866F16">
        <w:rPr>
          <w:spacing w:val="-1"/>
          <w:kern w:val="22"/>
          <w:szCs w:val="22"/>
        </w:rPr>
        <w:t>,</w:t>
      </w:r>
      <w:r w:rsidR="00FE181F" w:rsidRPr="00866F16">
        <w:rPr>
          <w:spacing w:val="-1"/>
          <w:kern w:val="22"/>
          <w:szCs w:val="22"/>
        </w:rPr>
        <w:t xml:space="preserve"> h</w:t>
      </w:r>
      <w:r w:rsidR="00AA1F50" w:rsidRPr="00866F16">
        <w:rPr>
          <w:spacing w:val="-1"/>
          <w:kern w:val="22"/>
          <w:szCs w:val="22"/>
        </w:rPr>
        <w:t xml:space="preserve">eadline indicators </w:t>
      </w:r>
      <w:r w:rsidR="00FE181F" w:rsidRPr="00866F16">
        <w:rPr>
          <w:spacing w:val="-1"/>
          <w:kern w:val="22"/>
          <w:szCs w:val="22"/>
        </w:rPr>
        <w:t>should</w:t>
      </w:r>
      <w:r w:rsidR="001634CD" w:rsidRPr="00866F16">
        <w:rPr>
          <w:spacing w:val="-1"/>
          <w:kern w:val="22"/>
          <w:szCs w:val="22"/>
        </w:rPr>
        <w:t xml:space="preserve"> constitute one of the main components of the national reports and </w:t>
      </w:r>
      <w:r w:rsidR="00FE181F" w:rsidRPr="00866F16">
        <w:rPr>
          <w:spacing w:val="-1"/>
          <w:kern w:val="22"/>
          <w:szCs w:val="22"/>
        </w:rPr>
        <w:t>support</w:t>
      </w:r>
      <w:r w:rsidR="001634CD" w:rsidRPr="00866F16">
        <w:rPr>
          <w:spacing w:val="-1"/>
          <w:kern w:val="22"/>
          <w:szCs w:val="22"/>
        </w:rPr>
        <w:t xml:space="preserve"> </w:t>
      </w:r>
      <w:r w:rsidR="00AA1F50" w:rsidRPr="00866F16">
        <w:rPr>
          <w:spacing w:val="-1"/>
          <w:kern w:val="22"/>
          <w:szCs w:val="22"/>
        </w:rPr>
        <w:t>national planning</w:t>
      </w:r>
      <w:r w:rsidR="001634CD" w:rsidRPr="00866F16">
        <w:rPr>
          <w:spacing w:val="-1"/>
          <w:kern w:val="22"/>
          <w:szCs w:val="22"/>
        </w:rPr>
        <w:t xml:space="preserve"> processes</w:t>
      </w:r>
      <w:r w:rsidR="00AA1F50" w:rsidRPr="00866F16">
        <w:rPr>
          <w:spacing w:val="-1"/>
          <w:kern w:val="22"/>
          <w:szCs w:val="22"/>
        </w:rPr>
        <w:t xml:space="preserve">. </w:t>
      </w:r>
      <w:r w:rsidR="00A336C1" w:rsidRPr="00866F16">
        <w:rPr>
          <w:spacing w:val="-1"/>
          <w:kern w:val="22"/>
          <w:szCs w:val="22"/>
        </w:rPr>
        <w:t xml:space="preserve">These indicators should </w:t>
      </w:r>
      <w:r w:rsidR="00FE181F" w:rsidRPr="00866F16">
        <w:rPr>
          <w:spacing w:val="-1"/>
          <w:kern w:val="22"/>
          <w:szCs w:val="22"/>
        </w:rPr>
        <w:t xml:space="preserve">use methodologies agreed by Parties and </w:t>
      </w:r>
      <w:r w:rsidR="00A336C1" w:rsidRPr="00866F16">
        <w:rPr>
          <w:spacing w:val="-1"/>
          <w:kern w:val="22"/>
          <w:szCs w:val="22"/>
        </w:rPr>
        <w:t xml:space="preserve">be </w:t>
      </w:r>
      <w:r w:rsidR="001634CD" w:rsidRPr="00866F16">
        <w:rPr>
          <w:spacing w:val="-1"/>
          <w:kern w:val="22"/>
          <w:szCs w:val="22"/>
        </w:rPr>
        <w:t xml:space="preserve">calculated </w:t>
      </w:r>
      <w:r w:rsidR="00A336C1" w:rsidRPr="00866F16">
        <w:rPr>
          <w:spacing w:val="-1"/>
          <w:kern w:val="22"/>
          <w:szCs w:val="22"/>
        </w:rPr>
        <w:t xml:space="preserve">based on national data </w:t>
      </w:r>
      <w:r w:rsidR="001634CD" w:rsidRPr="00866F16">
        <w:rPr>
          <w:spacing w:val="-1"/>
          <w:kern w:val="22"/>
          <w:szCs w:val="22"/>
        </w:rPr>
        <w:t>provided</w:t>
      </w:r>
      <w:r w:rsidR="00FE181F" w:rsidRPr="00866F16">
        <w:rPr>
          <w:spacing w:val="-1"/>
          <w:kern w:val="22"/>
          <w:szCs w:val="22"/>
        </w:rPr>
        <w:t xml:space="preserve"> and/or validated</w:t>
      </w:r>
      <w:r w:rsidR="001634CD" w:rsidRPr="00866F16">
        <w:rPr>
          <w:spacing w:val="-1"/>
          <w:kern w:val="22"/>
          <w:szCs w:val="22"/>
        </w:rPr>
        <w:t xml:space="preserve"> by Parties, including through their </w:t>
      </w:r>
      <w:r w:rsidR="00822B68" w:rsidRPr="00866F16">
        <w:rPr>
          <w:spacing w:val="-1"/>
          <w:kern w:val="22"/>
          <w:szCs w:val="22"/>
        </w:rPr>
        <w:t>n</w:t>
      </w:r>
      <w:r w:rsidR="00A336C1" w:rsidRPr="00866F16">
        <w:rPr>
          <w:spacing w:val="-1"/>
          <w:kern w:val="22"/>
          <w:szCs w:val="22"/>
        </w:rPr>
        <w:t xml:space="preserve">ational </w:t>
      </w:r>
      <w:r w:rsidR="00822B68" w:rsidRPr="00866F16">
        <w:rPr>
          <w:spacing w:val="-1"/>
          <w:kern w:val="22"/>
          <w:szCs w:val="22"/>
        </w:rPr>
        <w:t>s</w:t>
      </w:r>
      <w:r w:rsidR="00A336C1" w:rsidRPr="00866F16">
        <w:rPr>
          <w:spacing w:val="-1"/>
          <w:kern w:val="22"/>
          <w:szCs w:val="22"/>
        </w:rPr>
        <w:t xml:space="preserve">tatistical </w:t>
      </w:r>
      <w:r w:rsidR="00822B68" w:rsidRPr="00866F16">
        <w:rPr>
          <w:spacing w:val="-1"/>
          <w:kern w:val="22"/>
          <w:szCs w:val="22"/>
        </w:rPr>
        <w:t>o</w:t>
      </w:r>
      <w:r w:rsidR="00A336C1" w:rsidRPr="00866F16">
        <w:rPr>
          <w:spacing w:val="-1"/>
          <w:kern w:val="22"/>
          <w:szCs w:val="22"/>
        </w:rPr>
        <w:t>ffices.</w:t>
      </w:r>
      <w:r w:rsidR="00FE181F" w:rsidRPr="00866F16">
        <w:rPr>
          <w:spacing w:val="-1"/>
          <w:kern w:val="22"/>
          <w:szCs w:val="22"/>
        </w:rPr>
        <w:t xml:space="preserve"> Headline indicators would allow for consistent, </w:t>
      </w:r>
      <w:proofErr w:type="gramStart"/>
      <w:r w:rsidR="00FE181F" w:rsidRPr="00866F16">
        <w:rPr>
          <w:spacing w:val="-1"/>
          <w:kern w:val="22"/>
          <w:szCs w:val="22"/>
        </w:rPr>
        <w:t>standardized</w:t>
      </w:r>
      <w:proofErr w:type="gramEnd"/>
      <w:r w:rsidR="00FE181F" w:rsidRPr="00866F16">
        <w:rPr>
          <w:spacing w:val="-1"/>
          <w:kern w:val="22"/>
          <w:szCs w:val="22"/>
        </w:rPr>
        <w:t xml:space="preserve"> and </w:t>
      </w:r>
      <w:r w:rsidR="00FE181F" w:rsidRPr="00866F16">
        <w:rPr>
          <w:spacing w:val="-1"/>
          <w:kern w:val="22"/>
          <w:szCs w:val="22"/>
        </w:rPr>
        <w:lastRenderedPageBreak/>
        <w:t>scalable tracking of global goals and targets.</w:t>
      </w:r>
      <w:r w:rsidR="00B91567" w:rsidRPr="00866F16">
        <w:rPr>
          <w:spacing w:val="-1"/>
          <w:kern w:val="22"/>
          <w:szCs w:val="22"/>
        </w:rPr>
        <w:t xml:space="preserve"> To</w:t>
      </w:r>
      <w:r w:rsidR="00B91567" w:rsidRPr="00866F16">
        <w:rPr>
          <w:rFonts w:eastAsia="Malgun Gothic"/>
          <w:spacing w:val="-1"/>
          <w:kern w:val="22"/>
          <w:szCs w:val="22"/>
          <w:lang w:eastAsia="x-none"/>
        </w:rPr>
        <w:t xml:space="preserve"> facilitate the use of these headline indicators at the national level</w:t>
      </w:r>
      <w:r w:rsidR="00E0616C" w:rsidRPr="00866F16">
        <w:rPr>
          <w:rFonts w:eastAsia="Malgun Gothic"/>
          <w:spacing w:val="-1"/>
          <w:kern w:val="22"/>
          <w:szCs w:val="22"/>
          <w:lang w:eastAsia="x-none"/>
        </w:rPr>
        <w:t>,</w:t>
      </w:r>
      <w:r w:rsidR="00B91567" w:rsidRPr="00866F16">
        <w:rPr>
          <w:rFonts w:eastAsia="Malgun Gothic"/>
          <w:spacing w:val="-1"/>
          <w:kern w:val="22"/>
          <w:szCs w:val="22"/>
          <w:lang w:eastAsia="x-none"/>
        </w:rPr>
        <w:t xml:space="preserve"> capacity</w:t>
      </w:r>
      <w:r w:rsidR="00E0616C" w:rsidRPr="00866F16">
        <w:rPr>
          <w:rFonts w:eastAsia="Malgun Gothic"/>
          <w:spacing w:val="-1"/>
          <w:kern w:val="22"/>
          <w:szCs w:val="22"/>
          <w:lang w:eastAsia="x-none"/>
        </w:rPr>
        <w:t>-</w:t>
      </w:r>
      <w:r w:rsidR="00B91567" w:rsidRPr="00866F16">
        <w:rPr>
          <w:rFonts w:eastAsia="Malgun Gothic"/>
          <w:spacing w:val="-1"/>
          <w:kern w:val="22"/>
          <w:szCs w:val="22"/>
          <w:lang w:eastAsia="x-none"/>
        </w:rPr>
        <w:t>building activities and other support would likely be needed in many countries.</w:t>
      </w:r>
    </w:p>
    <w:p w14:paraId="2959B95B" w14:textId="29C400BD" w:rsidR="00AA1F50" w:rsidRPr="00B324FA" w:rsidRDefault="00AA1F50" w:rsidP="00866F16">
      <w:pPr>
        <w:pStyle w:val="Para1"/>
        <w:suppressLineNumbers/>
        <w:tabs>
          <w:tab w:val="clear" w:pos="360"/>
        </w:tabs>
        <w:suppressAutoHyphens/>
        <w:kinsoku w:val="0"/>
        <w:overflowPunct w:val="0"/>
        <w:autoSpaceDE w:val="0"/>
        <w:autoSpaceDN w:val="0"/>
        <w:adjustRightInd w:val="0"/>
        <w:snapToGrid w:val="0"/>
        <w:spacing w:line="235" w:lineRule="auto"/>
        <w:rPr>
          <w:kern w:val="22"/>
          <w:szCs w:val="22"/>
        </w:rPr>
      </w:pPr>
      <w:r w:rsidRPr="00B324FA">
        <w:rPr>
          <w:kern w:val="22"/>
          <w:szCs w:val="22"/>
        </w:rPr>
        <w:t xml:space="preserve">In order to maximize uptake and minimize the reporting burden, the </w:t>
      </w:r>
      <w:r w:rsidR="00FE181F" w:rsidRPr="00B324FA">
        <w:rPr>
          <w:kern w:val="22"/>
          <w:szCs w:val="22"/>
        </w:rPr>
        <w:t xml:space="preserve">proposed </w:t>
      </w:r>
      <w:r w:rsidRPr="00B324FA">
        <w:rPr>
          <w:kern w:val="22"/>
          <w:szCs w:val="22"/>
        </w:rPr>
        <w:t xml:space="preserve">list of </w:t>
      </w:r>
      <w:r w:rsidR="000808A2" w:rsidRPr="00B324FA">
        <w:rPr>
          <w:kern w:val="22"/>
          <w:szCs w:val="22"/>
        </w:rPr>
        <w:t>h</w:t>
      </w:r>
      <w:r w:rsidRPr="00B324FA">
        <w:rPr>
          <w:kern w:val="22"/>
          <w:szCs w:val="22"/>
        </w:rPr>
        <w:t xml:space="preserve">eadline indicators </w:t>
      </w:r>
      <w:r w:rsidR="000B4C65" w:rsidRPr="00B324FA">
        <w:rPr>
          <w:kern w:val="22"/>
          <w:szCs w:val="22"/>
        </w:rPr>
        <w:t xml:space="preserve">comprises </w:t>
      </w:r>
      <w:r w:rsidRPr="00B324FA">
        <w:rPr>
          <w:kern w:val="22"/>
          <w:szCs w:val="22"/>
        </w:rPr>
        <w:t>a small number of indicators</w:t>
      </w:r>
      <w:r w:rsidR="00AD064E" w:rsidRPr="00B324FA">
        <w:rPr>
          <w:kern w:val="22"/>
          <w:szCs w:val="22"/>
        </w:rPr>
        <w:t xml:space="preserve"> which are intended to capture the overall scope of </w:t>
      </w:r>
      <w:r w:rsidR="00B6128C" w:rsidRPr="00B324FA">
        <w:rPr>
          <w:kern w:val="22"/>
          <w:szCs w:val="22"/>
        </w:rPr>
        <w:t>a</w:t>
      </w:r>
      <w:r w:rsidR="00AD064E" w:rsidRPr="00B324FA">
        <w:rPr>
          <w:kern w:val="22"/>
          <w:szCs w:val="22"/>
        </w:rPr>
        <w:t xml:space="preserve"> </w:t>
      </w:r>
      <w:r w:rsidR="000808A2" w:rsidRPr="00B324FA">
        <w:rPr>
          <w:kern w:val="22"/>
          <w:szCs w:val="22"/>
        </w:rPr>
        <w:t>g</w:t>
      </w:r>
      <w:r w:rsidR="00507F1A" w:rsidRPr="00B324FA">
        <w:rPr>
          <w:kern w:val="22"/>
          <w:szCs w:val="22"/>
        </w:rPr>
        <w:t xml:space="preserve">oal or </w:t>
      </w:r>
      <w:r w:rsidR="000808A2" w:rsidRPr="00B324FA">
        <w:rPr>
          <w:kern w:val="22"/>
          <w:szCs w:val="22"/>
        </w:rPr>
        <w:t>t</w:t>
      </w:r>
      <w:r w:rsidR="00507F1A" w:rsidRPr="00B324FA">
        <w:rPr>
          <w:kern w:val="22"/>
          <w:szCs w:val="22"/>
        </w:rPr>
        <w:t>arget</w:t>
      </w:r>
      <w:r w:rsidR="000808A2" w:rsidRPr="00B324FA">
        <w:rPr>
          <w:kern w:val="22"/>
          <w:szCs w:val="22"/>
        </w:rPr>
        <w:t xml:space="preserve"> in the post-2020 global biodiversity </w:t>
      </w:r>
      <w:r w:rsidR="00FE181F" w:rsidRPr="00B324FA">
        <w:rPr>
          <w:kern w:val="22"/>
          <w:szCs w:val="22"/>
        </w:rPr>
        <w:t>framework</w:t>
      </w:r>
      <w:r w:rsidRPr="00B324FA">
        <w:rPr>
          <w:kern w:val="22"/>
          <w:szCs w:val="22"/>
        </w:rPr>
        <w:t xml:space="preserve">. </w:t>
      </w:r>
      <w:r w:rsidR="00FE181F" w:rsidRPr="00B324FA">
        <w:rPr>
          <w:kern w:val="22"/>
          <w:szCs w:val="22"/>
        </w:rPr>
        <w:t>T</w:t>
      </w:r>
      <w:r w:rsidRPr="00B324FA">
        <w:rPr>
          <w:kern w:val="22"/>
          <w:szCs w:val="22"/>
        </w:rPr>
        <w:t xml:space="preserve">he </w:t>
      </w:r>
      <w:r w:rsidR="000808A2" w:rsidRPr="00B324FA">
        <w:rPr>
          <w:kern w:val="22"/>
          <w:szCs w:val="22"/>
        </w:rPr>
        <w:t>h</w:t>
      </w:r>
      <w:r w:rsidRPr="00B324FA">
        <w:rPr>
          <w:kern w:val="22"/>
          <w:szCs w:val="22"/>
        </w:rPr>
        <w:t xml:space="preserve">eadline indicators may not capture all components of a </w:t>
      </w:r>
      <w:r w:rsidR="000808A2" w:rsidRPr="00B324FA">
        <w:rPr>
          <w:kern w:val="22"/>
          <w:szCs w:val="22"/>
        </w:rPr>
        <w:t>g</w:t>
      </w:r>
      <w:r w:rsidRPr="00B324FA">
        <w:rPr>
          <w:kern w:val="22"/>
          <w:szCs w:val="22"/>
        </w:rPr>
        <w:t xml:space="preserve">oal or a </w:t>
      </w:r>
      <w:r w:rsidR="000808A2" w:rsidRPr="00B324FA">
        <w:rPr>
          <w:kern w:val="22"/>
          <w:szCs w:val="22"/>
        </w:rPr>
        <w:t>t</w:t>
      </w:r>
      <w:r w:rsidRPr="00B324FA">
        <w:rPr>
          <w:kern w:val="22"/>
          <w:szCs w:val="22"/>
        </w:rPr>
        <w:t xml:space="preserve">arget </w:t>
      </w:r>
      <w:r w:rsidR="00FE181F" w:rsidRPr="00B324FA">
        <w:rPr>
          <w:kern w:val="22"/>
          <w:szCs w:val="22"/>
        </w:rPr>
        <w:t xml:space="preserve">but </w:t>
      </w:r>
      <w:r w:rsidR="000B4C65" w:rsidRPr="00B324FA">
        <w:rPr>
          <w:kern w:val="22"/>
          <w:szCs w:val="22"/>
        </w:rPr>
        <w:t xml:space="preserve">for analytical purposes </w:t>
      </w:r>
      <w:r w:rsidR="002A2029" w:rsidRPr="00B324FA">
        <w:rPr>
          <w:kern w:val="22"/>
          <w:szCs w:val="22"/>
        </w:rPr>
        <w:t>can be compl</w:t>
      </w:r>
      <w:r w:rsidR="003A5952" w:rsidRPr="00B324FA">
        <w:rPr>
          <w:kern w:val="22"/>
          <w:szCs w:val="22"/>
        </w:rPr>
        <w:t>e</w:t>
      </w:r>
      <w:r w:rsidR="002A2029" w:rsidRPr="00B324FA">
        <w:rPr>
          <w:kern w:val="22"/>
          <w:szCs w:val="22"/>
        </w:rPr>
        <w:t xml:space="preserve">mented, as appropriate, with </w:t>
      </w:r>
      <w:r w:rsidR="000B4C65" w:rsidRPr="00B324FA">
        <w:rPr>
          <w:kern w:val="22"/>
          <w:szCs w:val="22"/>
        </w:rPr>
        <w:t xml:space="preserve">the component and </w:t>
      </w:r>
      <w:r w:rsidR="00851D82" w:rsidRPr="00866F16">
        <w:rPr>
          <w:kern w:val="22"/>
          <w:szCs w:val="22"/>
        </w:rPr>
        <w:t>complementary</w:t>
      </w:r>
      <w:r w:rsidR="00851D82" w:rsidRPr="00B324FA">
        <w:rPr>
          <w:kern w:val="22"/>
          <w:szCs w:val="22"/>
        </w:rPr>
        <w:t xml:space="preserve"> </w:t>
      </w:r>
      <w:r w:rsidR="000B4C65" w:rsidRPr="00B324FA">
        <w:rPr>
          <w:kern w:val="22"/>
          <w:szCs w:val="22"/>
        </w:rPr>
        <w:t>indicators</w:t>
      </w:r>
      <w:r w:rsidRPr="00B324FA">
        <w:rPr>
          <w:kern w:val="22"/>
          <w:szCs w:val="22"/>
        </w:rPr>
        <w:t>.</w:t>
      </w:r>
    </w:p>
    <w:p w14:paraId="24739CF5" w14:textId="4078D859" w:rsidR="003273A3" w:rsidRPr="00B324FA" w:rsidRDefault="00114FFF" w:rsidP="00866F16">
      <w:pPr>
        <w:pStyle w:val="Para1"/>
        <w:suppressLineNumbers/>
        <w:tabs>
          <w:tab w:val="clear" w:pos="360"/>
        </w:tabs>
        <w:suppressAutoHyphens/>
        <w:kinsoku w:val="0"/>
        <w:overflowPunct w:val="0"/>
        <w:autoSpaceDE w:val="0"/>
        <w:autoSpaceDN w:val="0"/>
        <w:adjustRightInd w:val="0"/>
        <w:snapToGrid w:val="0"/>
        <w:spacing w:line="235" w:lineRule="auto"/>
        <w:rPr>
          <w:kern w:val="22"/>
          <w:szCs w:val="22"/>
        </w:rPr>
      </w:pPr>
      <w:r w:rsidRPr="00B324FA">
        <w:rPr>
          <w:kern w:val="22"/>
          <w:szCs w:val="22"/>
        </w:rPr>
        <w:t>T</w:t>
      </w:r>
      <w:r w:rsidR="005D52E1" w:rsidRPr="00B324FA">
        <w:rPr>
          <w:kern w:val="22"/>
          <w:szCs w:val="22"/>
        </w:rPr>
        <w:t xml:space="preserve">he </w:t>
      </w:r>
      <w:r w:rsidR="005D52E1" w:rsidRPr="00B324FA">
        <w:rPr>
          <w:rFonts w:eastAsia="Malgun Gothic"/>
          <w:kern w:val="22"/>
          <w:szCs w:val="22"/>
          <w:lang w:eastAsia="x-none"/>
        </w:rPr>
        <w:t xml:space="preserve">proposed headline indicators were identified </w:t>
      </w:r>
      <w:proofErr w:type="gramStart"/>
      <w:r w:rsidR="005D52E1" w:rsidRPr="00B324FA">
        <w:rPr>
          <w:rFonts w:eastAsia="Malgun Gothic"/>
          <w:kern w:val="22"/>
          <w:szCs w:val="22"/>
          <w:lang w:eastAsia="x-none"/>
        </w:rPr>
        <w:t>on the basis of</w:t>
      </w:r>
      <w:proofErr w:type="gramEnd"/>
      <w:r w:rsidR="005D52E1" w:rsidRPr="00B324FA">
        <w:rPr>
          <w:rFonts w:eastAsia="Malgun Gothic"/>
          <w:kern w:val="22"/>
          <w:szCs w:val="22"/>
          <w:lang w:eastAsia="x-none"/>
        </w:rPr>
        <w:t xml:space="preserve"> the minimum criteria set out in paragraph 8 and</w:t>
      </w:r>
      <w:r w:rsidR="00114BC5" w:rsidRPr="00B324FA">
        <w:rPr>
          <w:rFonts w:eastAsia="Malgun Gothic"/>
          <w:kern w:val="22"/>
          <w:szCs w:val="22"/>
          <w:lang w:eastAsia="x-none"/>
        </w:rPr>
        <w:t xml:space="preserve"> </w:t>
      </w:r>
      <w:r w:rsidR="003273A3" w:rsidRPr="00B324FA">
        <w:rPr>
          <w:rFonts w:eastAsia="Malgun Gothic"/>
          <w:kern w:val="22"/>
          <w:szCs w:val="22"/>
          <w:lang w:eastAsia="x-none"/>
        </w:rPr>
        <w:t>the following criteria:</w:t>
      </w:r>
    </w:p>
    <w:p w14:paraId="4B7D2404" w14:textId="01AEC226" w:rsidR="003273A3" w:rsidRPr="00B324FA" w:rsidRDefault="002A2029" w:rsidP="00866F16">
      <w:pPr>
        <w:pStyle w:val="Header"/>
        <w:numPr>
          <w:ilvl w:val="1"/>
          <w:numId w:val="27"/>
        </w:numPr>
        <w:suppressLineNumbers/>
        <w:tabs>
          <w:tab w:val="clear" w:pos="4320"/>
          <w:tab w:val="clear" w:pos="8640"/>
          <w:tab w:val="left" w:pos="709"/>
          <w:tab w:val="left" w:pos="1276"/>
          <w:tab w:val="right" w:pos="9360"/>
        </w:tabs>
        <w:suppressAutoHyphens/>
        <w:kinsoku w:val="0"/>
        <w:overflowPunct w:val="0"/>
        <w:autoSpaceDE w:val="0"/>
        <w:autoSpaceDN w:val="0"/>
        <w:adjustRightInd w:val="0"/>
        <w:snapToGrid w:val="0"/>
        <w:spacing w:before="120" w:after="120" w:line="235" w:lineRule="auto"/>
        <w:ind w:left="0" w:firstLine="720"/>
        <w:rPr>
          <w:bCs/>
          <w:kern w:val="22"/>
          <w:szCs w:val="22"/>
        </w:rPr>
      </w:pPr>
      <w:r w:rsidRPr="00B324FA">
        <w:rPr>
          <w:bCs/>
          <w:kern w:val="22"/>
          <w:szCs w:val="22"/>
        </w:rPr>
        <w:t xml:space="preserve">The indicators </w:t>
      </w:r>
      <w:r w:rsidR="003273A3" w:rsidRPr="00B324FA">
        <w:rPr>
          <w:bCs/>
          <w:kern w:val="22"/>
          <w:szCs w:val="22"/>
        </w:rPr>
        <w:t xml:space="preserve">currently </w:t>
      </w:r>
      <w:r w:rsidR="00B74957" w:rsidRPr="00B324FA">
        <w:rPr>
          <w:bCs/>
          <w:kern w:val="22"/>
          <w:szCs w:val="22"/>
        </w:rPr>
        <w:t>exist</w:t>
      </w:r>
      <w:r w:rsidR="003273A3" w:rsidRPr="00B324FA">
        <w:rPr>
          <w:bCs/>
          <w:kern w:val="22"/>
          <w:szCs w:val="22"/>
        </w:rPr>
        <w:t xml:space="preserve"> or </w:t>
      </w:r>
      <w:r w:rsidR="00B74957" w:rsidRPr="00B324FA">
        <w:rPr>
          <w:bCs/>
          <w:kern w:val="22"/>
          <w:szCs w:val="22"/>
        </w:rPr>
        <w:t>have</w:t>
      </w:r>
      <w:r w:rsidR="003273A3" w:rsidRPr="00B324FA">
        <w:rPr>
          <w:bCs/>
          <w:kern w:val="22"/>
          <w:szCs w:val="22"/>
        </w:rPr>
        <w:t xml:space="preserve"> a high likelihood of being available by the sixteenth meeting of the Conference of the Parties;</w:t>
      </w:r>
    </w:p>
    <w:p w14:paraId="4FB4FF09" w14:textId="3B1A1D31" w:rsidR="000B4C65" w:rsidRPr="00B324FA" w:rsidRDefault="000808A2" w:rsidP="00866F16">
      <w:pPr>
        <w:pStyle w:val="Header"/>
        <w:numPr>
          <w:ilvl w:val="1"/>
          <w:numId w:val="27"/>
        </w:numPr>
        <w:suppressLineNumbers/>
        <w:tabs>
          <w:tab w:val="clear" w:pos="4320"/>
          <w:tab w:val="clear" w:pos="8640"/>
          <w:tab w:val="left" w:pos="709"/>
          <w:tab w:val="left" w:pos="1276"/>
          <w:tab w:val="right" w:pos="9360"/>
        </w:tabs>
        <w:suppressAutoHyphens/>
        <w:kinsoku w:val="0"/>
        <w:overflowPunct w:val="0"/>
        <w:autoSpaceDE w:val="0"/>
        <w:autoSpaceDN w:val="0"/>
        <w:adjustRightInd w:val="0"/>
        <w:snapToGrid w:val="0"/>
        <w:spacing w:before="120" w:after="120" w:line="235" w:lineRule="auto"/>
        <w:ind w:left="0" w:firstLine="720"/>
        <w:rPr>
          <w:bCs/>
          <w:kern w:val="22"/>
          <w:szCs w:val="22"/>
        </w:rPr>
      </w:pPr>
      <w:r w:rsidRPr="00B324FA">
        <w:rPr>
          <w:bCs/>
          <w:kern w:val="22"/>
          <w:szCs w:val="22"/>
        </w:rPr>
        <w:t>The indicators h</w:t>
      </w:r>
      <w:r w:rsidR="000B4C65" w:rsidRPr="00B324FA">
        <w:rPr>
          <w:bCs/>
          <w:kern w:val="22"/>
          <w:szCs w:val="22"/>
        </w:rPr>
        <w:t xml:space="preserve">ave been or </w:t>
      </w:r>
      <w:r w:rsidR="00FE181F" w:rsidRPr="00B324FA">
        <w:rPr>
          <w:bCs/>
          <w:kern w:val="22"/>
          <w:szCs w:val="22"/>
        </w:rPr>
        <w:t xml:space="preserve">are likely to </w:t>
      </w:r>
      <w:r w:rsidR="000B4C65" w:rsidRPr="00B324FA">
        <w:rPr>
          <w:bCs/>
          <w:kern w:val="22"/>
          <w:szCs w:val="22"/>
        </w:rPr>
        <w:t>be agreed through a scientific or intergovernmental process and where there is an existing body that will continue to review and revise the methodology as needed, such as the indicators identified for monitoring implementation of the 2030 Agenda for Sustainable Development</w:t>
      </w:r>
      <w:r w:rsidR="00115D64" w:rsidRPr="00B324FA">
        <w:rPr>
          <w:bCs/>
          <w:kern w:val="22"/>
          <w:szCs w:val="22"/>
        </w:rPr>
        <w:t>;</w:t>
      </w:r>
    </w:p>
    <w:p w14:paraId="3A4DA4B8" w14:textId="07E2AB30" w:rsidR="000B4C65" w:rsidRPr="00B324FA" w:rsidRDefault="000808A2" w:rsidP="00866F16">
      <w:pPr>
        <w:pStyle w:val="Header"/>
        <w:numPr>
          <w:ilvl w:val="1"/>
          <w:numId w:val="27"/>
        </w:numPr>
        <w:suppressLineNumbers/>
        <w:tabs>
          <w:tab w:val="clear" w:pos="4320"/>
          <w:tab w:val="clear" w:pos="8640"/>
          <w:tab w:val="left" w:pos="709"/>
          <w:tab w:val="left" w:pos="1276"/>
          <w:tab w:val="right" w:pos="9360"/>
        </w:tabs>
        <w:suppressAutoHyphens/>
        <w:kinsoku w:val="0"/>
        <w:overflowPunct w:val="0"/>
        <w:autoSpaceDE w:val="0"/>
        <w:autoSpaceDN w:val="0"/>
        <w:adjustRightInd w:val="0"/>
        <w:snapToGrid w:val="0"/>
        <w:spacing w:before="120" w:after="120" w:line="235" w:lineRule="auto"/>
        <w:ind w:left="0" w:firstLine="720"/>
        <w:rPr>
          <w:bCs/>
          <w:kern w:val="22"/>
          <w:szCs w:val="22"/>
        </w:rPr>
      </w:pPr>
      <w:r w:rsidRPr="00B324FA">
        <w:rPr>
          <w:bCs/>
          <w:kern w:val="22"/>
          <w:szCs w:val="22"/>
        </w:rPr>
        <w:t>The indicators are n</w:t>
      </w:r>
      <w:r w:rsidR="000568AF" w:rsidRPr="00B324FA">
        <w:rPr>
          <w:bCs/>
          <w:kern w:val="22"/>
          <w:szCs w:val="22"/>
        </w:rPr>
        <w:t>ational</w:t>
      </w:r>
      <w:r w:rsidRPr="00B324FA">
        <w:rPr>
          <w:bCs/>
          <w:kern w:val="22"/>
          <w:szCs w:val="22"/>
        </w:rPr>
        <w:t>ly</w:t>
      </w:r>
      <w:r w:rsidR="000568AF" w:rsidRPr="00B324FA">
        <w:rPr>
          <w:bCs/>
          <w:kern w:val="22"/>
          <w:szCs w:val="22"/>
        </w:rPr>
        <w:t xml:space="preserve"> releva</w:t>
      </w:r>
      <w:r w:rsidRPr="00B324FA">
        <w:rPr>
          <w:bCs/>
          <w:kern w:val="22"/>
          <w:szCs w:val="22"/>
        </w:rPr>
        <w:t>nt</w:t>
      </w:r>
      <w:r w:rsidR="000568AF" w:rsidRPr="00B324FA">
        <w:rPr>
          <w:bCs/>
          <w:kern w:val="22"/>
          <w:szCs w:val="22"/>
        </w:rPr>
        <w:t xml:space="preserve">, including the ability of the indicator to be disaggregated and aggregated from global to national and national to global </w:t>
      </w:r>
      <w:r w:rsidR="00507F1A" w:rsidRPr="00B324FA">
        <w:rPr>
          <w:bCs/>
          <w:kern w:val="22"/>
          <w:szCs w:val="22"/>
        </w:rPr>
        <w:t xml:space="preserve">scales </w:t>
      </w:r>
      <w:r w:rsidR="000568AF" w:rsidRPr="00B324FA">
        <w:rPr>
          <w:bCs/>
          <w:kern w:val="22"/>
          <w:szCs w:val="22"/>
        </w:rPr>
        <w:t>without creating bias.</w:t>
      </w:r>
    </w:p>
    <w:p w14:paraId="5245CE13" w14:textId="09DC803B" w:rsidR="003273A3" w:rsidRPr="00B324FA" w:rsidRDefault="009E4BEA" w:rsidP="00866F16">
      <w:pPr>
        <w:pStyle w:val="Para1"/>
        <w:numPr>
          <w:ilvl w:val="0"/>
          <w:numId w:val="2"/>
        </w:numPr>
        <w:suppressLineNumbers/>
        <w:tabs>
          <w:tab w:val="clear" w:pos="360"/>
        </w:tabs>
        <w:suppressAutoHyphens/>
        <w:kinsoku w:val="0"/>
        <w:overflowPunct w:val="0"/>
        <w:autoSpaceDE w:val="0"/>
        <w:autoSpaceDN w:val="0"/>
        <w:adjustRightInd w:val="0"/>
        <w:snapToGrid w:val="0"/>
        <w:spacing w:line="235" w:lineRule="auto"/>
        <w:rPr>
          <w:rFonts w:eastAsia="Malgun Gothic"/>
          <w:kern w:val="22"/>
          <w:szCs w:val="22"/>
          <w:lang w:eastAsia="x-none"/>
        </w:rPr>
      </w:pPr>
      <w:r w:rsidRPr="00B324FA">
        <w:rPr>
          <w:rFonts w:eastAsia="Malgun Gothic"/>
          <w:kern w:val="22"/>
          <w:szCs w:val="22"/>
          <w:lang w:eastAsia="x-none"/>
        </w:rPr>
        <w:t>For indicators that met the criteria above, f</w:t>
      </w:r>
      <w:r w:rsidR="003273A3" w:rsidRPr="00B324FA">
        <w:rPr>
          <w:rFonts w:eastAsia="Malgun Gothic"/>
          <w:kern w:val="22"/>
          <w:szCs w:val="22"/>
          <w:lang w:eastAsia="x-none"/>
        </w:rPr>
        <w:t xml:space="preserve">urther preference </w:t>
      </w:r>
      <w:r w:rsidRPr="00B324FA">
        <w:rPr>
          <w:rFonts w:eastAsia="Malgun Gothic"/>
          <w:kern w:val="22"/>
          <w:szCs w:val="22"/>
          <w:lang w:eastAsia="x-none"/>
        </w:rPr>
        <w:t xml:space="preserve">was </w:t>
      </w:r>
      <w:r w:rsidR="003273A3" w:rsidRPr="00B324FA">
        <w:rPr>
          <w:rFonts w:eastAsia="Malgun Gothic"/>
          <w:kern w:val="22"/>
          <w:szCs w:val="22"/>
          <w:lang w:eastAsia="x-none"/>
        </w:rPr>
        <w:t>given to</w:t>
      </w:r>
      <w:r w:rsidRPr="00B324FA">
        <w:rPr>
          <w:rFonts w:eastAsia="Malgun Gothic"/>
          <w:kern w:val="22"/>
          <w:szCs w:val="22"/>
          <w:lang w:eastAsia="x-none"/>
        </w:rPr>
        <w:t>:</w:t>
      </w:r>
    </w:p>
    <w:p w14:paraId="0DF57091" w14:textId="72D3E2CC" w:rsidR="000B4C65" w:rsidRPr="00B324FA" w:rsidRDefault="000B4C65" w:rsidP="00866F16">
      <w:pPr>
        <w:pStyle w:val="Header"/>
        <w:numPr>
          <w:ilvl w:val="1"/>
          <w:numId w:val="2"/>
        </w:numPr>
        <w:suppressLineNumbers/>
        <w:tabs>
          <w:tab w:val="clear" w:pos="4320"/>
          <w:tab w:val="clear" w:pos="8640"/>
        </w:tabs>
        <w:suppressAutoHyphens/>
        <w:kinsoku w:val="0"/>
        <w:overflowPunct w:val="0"/>
        <w:autoSpaceDE w:val="0"/>
        <w:autoSpaceDN w:val="0"/>
        <w:adjustRightInd w:val="0"/>
        <w:snapToGrid w:val="0"/>
        <w:spacing w:before="120" w:after="120" w:line="235" w:lineRule="auto"/>
        <w:rPr>
          <w:bCs/>
          <w:kern w:val="22"/>
          <w:szCs w:val="22"/>
        </w:rPr>
      </w:pPr>
      <w:r w:rsidRPr="00B324FA">
        <w:rPr>
          <w:bCs/>
          <w:kern w:val="22"/>
          <w:szCs w:val="22"/>
        </w:rPr>
        <w:t xml:space="preserve">Indicators </w:t>
      </w:r>
      <w:r w:rsidR="000568AF" w:rsidRPr="00B324FA">
        <w:rPr>
          <w:bCs/>
          <w:kern w:val="22"/>
          <w:szCs w:val="22"/>
        </w:rPr>
        <w:t>for which regular compilation is feasible, with</w:t>
      </w:r>
      <w:r w:rsidRPr="00B324FA">
        <w:rPr>
          <w:bCs/>
          <w:kern w:val="22"/>
          <w:szCs w:val="22"/>
        </w:rPr>
        <w:t xml:space="preserve"> data and metadata for the data</w:t>
      </w:r>
      <w:r w:rsidR="00E1524A" w:rsidRPr="00B324FA">
        <w:rPr>
          <w:bCs/>
          <w:kern w:val="22"/>
          <w:szCs w:val="22"/>
        </w:rPr>
        <w:t> </w:t>
      </w:r>
      <w:proofErr w:type="gramStart"/>
      <w:r w:rsidRPr="00B324FA">
        <w:rPr>
          <w:bCs/>
          <w:kern w:val="22"/>
          <w:szCs w:val="22"/>
        </w:rPr>
        <w:t>set</w:t>
      </w:r>
      <w:proofErr w:type="gramEnd"/>
      <w:r w:rsidRPr="00B324FA">
        <w:rPr>
          <w:bCs/>
          <w:kern w:val="22"/>
          <w:szCs w:val="22"/>
        </w:rPr>
        <w:t xml:space="preserve"> </w:t>
      </w:r>
      <w:r w:rsidR="000568AF" w:rsidRPr="00B324FA">
        <w:rPr>
          <w:bCs/>
          <w:kern w:val="22"/>
          <w:szCs w:val="22"/>
        </w:rPr>
        <w:t xml:space="preserve">which </w:t>
      </w:r>
      <w:r w:rsidRPr="00B324FA">
        <w:rPr>
          <w:bCs/>
          <w:kern w:val="22"/>
          <w:szCs w:val="22"/>
        </w:rPr>
        <w:t>is publicly available</w:t>
      </w:r>
      <w:r w:rsidR="00331A8C" w:rsidRPr="00B324FA">
        <w:rPr>
          <w:bCs/>
          <w:kern w:val="22"/>
          <w:szCs w:val="22"/>
        </w:rPr>
        <w:t xml:space="preserve"> and</w:t>
      </w:r>
      <w:r w:rsidR="00CC1391" w:rsidRPr="00B324FA">
        <w:rPr>
          <w:bCs/>
          <w:kern w:val="22"/>
          <w:szCs w:val="22"/>
        </w:rPr>
        <w:t xml:space="preserve"> </w:t>
      </w:r>
      <w:r w:rsidR="00A336C1" w:rsidRPr="00B324FA">
        <w:rPr>
          <w:bCs/>
          <w:kern w:val="22"/>
          <w:szCs w:val="22"/>
        </w:rPr>
        <w:t>nationally validated</w:t>
      </w:r>
      <w:r w:rsidR="00676BC3" w:rsidRPr="00B324FA">
        <w:rPr>
          <w:bCs/>
          <w:kern w:val="22"/>
          <w:szCs w:val="22"/>
        </w:rPr>
        <w:t>,</w:t>
      </w:r>
      <w:r w:rsidRPr="00B324FA">
        <w:rPr>
          <w:bCs/>
          <w:kern w:val="22"/>
          <w:szCs w:val="22"/>
        </w:rPr>
        <w:t xml:space="preserve"> </w:t>
      </w:r>
      <w:r w:rsidR="00331A8C" w:rsidRPr="00B324FA">
        <w:rPr>
          <w:bCs/>
          <w:kern w:val="22"/>
          <w:szCs w:val="22"/>
        </w:rPr>
        <w:t xml:space="preserve">which </w:t>
      </w:r>
      <w:r w:rsidRPr="00B324FA">
        <w:rPr>
          <w:bCs/>
          <w:kern w:val="22"/>
          <w:szCs w:val="22"/>
        </w:rPr>
        <w:t>adheres to open data standards</w:t>
      </w:r>
      <w:r w:rsidR="00676BC3" w:rsidRPr="00B324FA">
        <w:rPr>
          <w:bCs/>
          <w:kern w:val="22"/>
          <w:szCs w:val="22"/>
        </w:rPr>
        <w:t>,</w:t>
      </w:r>
      <w:r w:rsidR="00A336C1" w:rsidRPr="00B324FA">
        <w:rPr>
          <w:bCs/>
          <w:kern w:val="22"/>
          <w:szCs w:val="22"/>
        </w:rPr>
        <w:t xml:space="preserve"> and for which a global programme exists for monitoring</w:t>
      </w:r>
      <w:r w:rsidR="00115D64" w:rsidRPr="00B324FA">
        <w:rPr>
          <w:bCs/>
          <w:kern w:val="22"/>
          <w:szCs w:val="22"/>
        </w:rPr>
        <w:t>;</w:t>
      </w:r>
    </w:p>
    <w:p w14:paraId="3FB03C9B" w14:textId="45B092FD" w:rsidR="009E4BEA" w:rsidRPr="00B324FA" w:rsidRDefault="009E4BEA" w:rsidP="00866F16">
      <w:pPr>
        <w:pStyle w:val="Header"/>
        <w:numPr>
          <w:ilvl w:val="1"/>
          <w:numId w:val="2"/>
        </w:numPr>
        <w:suppressLineNumbers/>
        <w:tabs>
          <w:tab w:val="clear" w:pos="4320"/>
          <w:tab w:val="clear" w:pos="8640"/>
          <w:tab w:val="right" w:pos="9360"/>
        </w:tabs>
        <w:suppressAutoHyphens/>
        <w:kinsoku w:val="0"/>
        <w:overflowPunct w:val="0"/>
        <w:autoSpaceDE w:val="0"/>
        <w:autoSpaceDN w:val="0"/>
        <w:adjustRightInd w:val="0"/>
        <w:snapToGrid w:val="0"/>
        <w:spacing w:before="120" w:after="120" w:line="235" w:lineRule="auto"/>
        <w:rPr>
          <w:bCs/>
          <w:kern w:val="22"/>
          <w:szCs w:val="22"/>
        </w:rPr>
      </w:pPr>
      <w:r w:rsidRPr="00B324FA">
        <w:rPr>
          <w:bCs/>
          <w:kern w:val="22"/>
          <w:szCs w:val="22"/>
        </w:rPr>
        <w:t xml:space="preserve">Indicators that are already being used by some national </w:t>
      </w:r>
      <w:r w:rsidR="00676BC3" w:rsidRPr="00B324FA">
        <w:rPr>
          <w:bCs/>
          <w:kern w:val="22"/>
          <w:szCs w:val="22"/>
        </w:rPr>
        <w:t>G</w:t>
      </w:r>
      <w:r w:rsidRPr="00B324FA">
        <w:rPr>
          <w:bCs/>
          <w:kern w:val="22"/>
          <w:szCs w:val="22"/>
        </w:rPr>
        <w:t>overnments, ideally where there is an opportunity to work with the U</w:t>
      </w:r>
      <w:r w:rsidR="00115D64" w:rsidRPr="00B324FA">
        <w:rPr>
          <w:bCs/>
          <w:kern w:val="22"/>
          <w:szCs w:val="22"/>
        </w:rPr>
        <w:t xml:space="preserve">nited </w:t>
      </w:r>
      <w:r w:rsidRPr="00B324FA">
        <w:rPr>
          <w:bCs/>
          <w:kern w:val="22"/>
          <w:szCs w:val="22"/>
        </w:rPr>
        <w:t>N</w:t>
      </w:r>
      <w:r w:rsidR="00115D64" w:rsidRPr="00B324FA">
        <w:rPr>
          <w:bCs/>
          <w:kern w:val="22"/>
          <w:szCs w:val="22"/>
        </w:rPr>
        <w:t>ations</w:t>
      </w:r>
      <w:r w:rsidRPr="00B324FA">
        <w:rPr>
          <w:bCs/>
          <w:kern w:val="22"/>
          <w:szCs w:val="22"/>
        </w:rPr>
        <w:t xml:space="preserve"> Statistical Commission to promote the use of the indicator (for example, indicators aligned with the U</w:t>
      </w:r>
      <w:r w:rsidR="00115D64" w:rsidRPr="00B324FA">
        <w:rPr>
          <w:bCs/>
          <w:kern w:val="22"/>
          <w:szCs w:val="22"/>
        </w:rPr>
        <w:t xml:space="preserve">nited </w:t>
      </w:r>
      <w:r w:rsidRPr="00B324FA">
        <w:rPr>
          <w:bCs/>
          <w:kern w:val="22"/>
          <w:szCs w:val="22"/>
        </w:rPr>
        <w:t>N</w:t>
      </w:r>
      <w:r w:rsidR="00115D64" w:rsidRPr="00B324FA">
        <w:rPr>
          <w:bCs/>
          <w:kern w:val="22"/>
          <w:szCs w:val="22"/>
        </w:rPr>
        <w:t>ations</w:t>
      </w:r>
      <w:r w:rsidRPr="00B324FA">
        <w:rPr>
          <w:bCs/>
          <w:kern w:val="22"/>
          <w:szCs w:val="22"/>
        </w:rPr>
        <w:t xml:space="preserve"> System of Environmental Economic Accounts</w:t>
      </w:r>
      <w:r w:rsidR="003E2693" w:rsidRPr="00B324FA">
        <w:rPr>
          <w:bCs/>
          <w:kern w:val="22"/>
          <w:szCs w:val="22"/>
        </w:rPr>
        <w:t xml:space="preserve"> or included in the Framework for the Development of Environment Statistics</w:t>
      </w:r>
      <w:r w:rsidRPr="00B324FA">
        <w:rPr>
          <w:bCs/>
          <w:kern w:val="22"/>
          <w:szCs w:val="22"/>
        </w:rPr>
        <w:t>)</w:t>
      </w:r>
      <w:r w:rsidR="00115D64" w:rsidRPr="00B324FA">
        <w:rPr>
          <w:bCs/>
          <w:kern w:val="22"/>
          <w:szCs w:val="22"/>
        </w:rPr>
        <w:t>;</w:t>
      </w:r>
    </w:p>
    <w:p w14:paraId="3CAA1C46" w14:textId="2203CD74" w:rsidR="009E4BEA" w:rsidRPr="00B324FA" w:rsidRDefault="009E4BEA" w:rsidP="00866F16">
      <w:pPr>
        <w:pStyle w:val="Header"/>
        <w:numPr>
          <w:ilvl w:val="1"/>
          <w:numId w:val="2"/>
        </w:numPr>
        <w:suppressLineNumbers/>
        <w:tabs>
          <w:tab w:val="clear" w:pos="4320"/>
          <w:tab w:val="clear" w:pos="8640"/>
          <w:tab w:val="right" w:pos="9360"/>
        </w:tabs>
        <w:suppressAutoHyphens/>
        <w:kinsoku w:val="0"/>
        <w:overflowPunct w:val="0"/>
        <w:autoSpaceDE w:val="0"/>
        <w:autoSpaceDN w:val="0"/>
        <w:adjustRightInd w:val="0"/>
        <w:snapToGrid w:val="0"/>
        <w:spacing w:before="120" w:after="120" w:line="235" w:lineRule="auto"/>
        <w:rPr>
          <w:bCs/>
          <w:kern w:val="22"/>
          <w:szCs w:val="22"/>
        </w:rPr>
      </w:pPr>
      <w:r w:rsidRPr="00B324FA">
        <w:rPr>
          <w:bCs/>
          <w:kern w:val="22"/>
          <w:szCs w:val="22"/>
        </w:rPr>
        <w:t>I</w:t>
      </w:r>
      <w:r w:rsidR="003273A3" w:rsidRPr="00B324FA">
        <w:rPr>
          <w:bCs/>
          <w:kern w:val="22"/>
          <w:szCs w:val="22"/>
        </w:rPr>
        <w:t>ndicators where subnational</w:t>
      </w:r>
      <w:r w:rsidR="00A336C1" w:rsidRPr="00B324FA">
        <w:rPr>
          <w:bCs/>
          <w:kern w:val="22"/>
          <w:szCs w:val="22"/>
        </w:rPr>
        <w:t xml:space="preserve"> or geospatial</w:t>
      </w:r>
      <w:r w:rsidR="003273A3" w:rsidRPr="00B324FA">
        <w:rPr>
          <w:bCs/>
          <w:kern w:val="22"/>
          <w:szCs w:val="22"/>
        </w:rPr>
        <w:t xml:space="preserve"> disaggregation is possible</w:t>
      </w:r>
      <w:r w:rsidR="00321002" w:rsidRPr="00B324FA">
        <w:rPr>
          <w:bCs/>
          <w:kern w:val="22"/>
          <w:szCs w:val="22"/>
        </w:rPr>
        <w:t>.</w:t>
      </w:r>
    </w:p>
    <w:p w14:paraId="553D5A9D" w14:textId="04A600E8" w:rsidR="00114FFF" w:rsidRPr="00B324FA" w:rsidRDefault="00114FFF" w:rsidP="00866F16">
      <w:pPr>
        <w:pStyle w:val="Para1"/>
        <w:numPr>
          <w:ilvl w:val="0"/>
          <w:numId w:val="2"/>
        </w:numPr>
        <w:suppressLineNumbers/>
        <w:tabs>
          <w:tab w:val="clear" w:pos="360"/>
        </w:tabs>
        <w:suppressAutoHyphens/>
        <w:kinsoku w:val="0"/>
        <w:overflowPunct w:val="0"/>
        <w:autoSpaceDE w:val="0"/>
        <w:autoSpaceDN w:val="0"/>
        <w:adjustRightInd w:val="0"/>
        <w:snapToGrid w:val="0"/>
        <w:spacing w:line="235" w:lineRule="auto"/>
        <w:rPr>
          <w:rFonts w:eastAsia="Malgun Gothic"/>
          <w:kern w:val="22"/>
          <w:szCs w:val="22"/>
          <w:lang w:eastAsia="x-none"/>
        </w:rPr>
      </w:pPr>
      <w:r w:rsidRPr="00B324FA">
        <w:rPr>
          <w:rFonts w:eastAsia="Malgun Gothic"/>
          <w:kern w:val="22"/>
          <w:szCs w:val="22"/>
          <w:lang w:eastAsia="x-none"/>
        </w:rPr>
        <w:t xml:space="preserve">For some of the proposed goals and targets in the updated zero draft of the post-2020 global biodiversity framework it was not possible to identify indicators which are currently operational, and which meet the above criteria. Where this was the case, an indicator formulation is presented in a way to capture the main scope of the goal or target; however, these indicators would require further development to become operational. These indicators have been denoted with an </w:t>
      </w:r>
      <w:r w:rsidR="00FB70A9" w:rsidRPr="00B324FA">
        <w:rPr>
          <w:rFonts w:eastAsia="Malgun Gothic"/>
          <w:kern w:val="22"/>
          <w:szCs w:val="22"/>
          <w:lang w:eastAsia="x-none"/>
        </w:rPr>
        <w:t>asterisk (</w:t>
      </w:r>
      <w:r w:rsidRPr="00B324FA">
        <w:rPr>
          <w:rFonts w:eastAsia="Malgun Gothic"/>
          <w:kern w:val="22"/>
          <w:szCs w:val="22"/>
          <w:lang w:eastAsia="x-none"/>
        </w:rPr>
        <w:t>*</w:t>
      </w:r>
      <w:r w:rsidR="00FB70A9" w:rsidRPr="00B324FA">
        <w:rPr>
          <w:rFonts w:eastAsia="Malgun Gothic"/>
          <w:kern w:val="22"/>
          <w:szCs w:val="22"/>
          <w:lang w:eastAsia="x-none"/>
        </w:rPr>
        <w:t>)</w:t>
      </w:r>
      <w:r w:rsidRPr="00B324FA">
        <w:rPr>
          <w:rFonts w:eastAsia="Malgun Gothic"/>
          <w:kern w:val="22"/>
          <w:szCs w:val="22"/>
          <w:lang w:eastAsia="x-none"/>
        </w:rPr>
        <w:t xml:space="preserve"> in the table in the annex </w:t>
      </w:r>
      <w:r w:rsidR="00FB70A9" w:rsidRPr="00B324FA">
        <w:rPr>
          <w:rFonts w:eastAsia="Malgun Gothic"/>
          <w:kern w:val="22"/>
          <w:szCs w:val="22"/>
          <w:lang w:eastAsia="x-none"/>
        </w:rPr>
        <w:t>below</w:t>
      </w:r>
      <w:r w:rsidRPr="00B324FA">
        <w:rPr>
          <w:rFonts w:eastAsia="Malgun Gothic"/>
          <w:kern w:val="22"/>
          <w:szCs w:val="22"/>
          <w:lang w:eastAsia="x-none"/>
        </w:rPr>
        <w:t>. Parties may wish to consider how these gaps could be filled, including b</w:t>
      </w:r>
      <w:r w:rsidR="00B0462A" w:rsidRPr="00B324FA">
        <w:rPr>
          <w:rFonts w:eastAsia="Malgun Gothic"/>
          <w:kern w:val="22"/>
          <w:szCs w:val="22"/>
          <w:lang w:eastAsia="x-none"/>
        </w:rPr>
        <w:t>y</w:t>
      </w:r>
      <w:r w:rsidRPr="00B324FA">
        <w:rPr>
          <w:rFonts w:eastAsia="Malgun Gothic"/>
          <w:kern w:val="22"/>
          <w:szCs w:val="22"/>
          <w:lang w:eastAsia="x-none"/>
        </w:rPr>
        <w:t xml:space="preserve"> selecting indicators from the lists of component and complementary indicators.</w:t>
      </w:r>
    </w:p>
    <w:p w14:paraId="17E90E5A" w14:textId="16505F7E" w:rsidR="000808A2" w:rsidRPr="00B324FA" w:rsidRDefault="00660937" w:rsidP="00866F16">
      <w:pPr>
        <w:pStyle w:val="Para1"/>
        <w:numPr>
          <w:ilvl w:val="0"/>
          <w:numId w:val="2"/>
        </w:numPr>
        <w:suppressLineNumbers/>
        <w:tabs>
          <w:tab w:val="clear" w:pos="360"/>
        </w:tabs>
        <w:suppressAutoHyphens/>
        <w:kinsoku w:val="0"/>
        <w:overflowPunct w:val="0"/>
        <w:autoSpaceDE w:val="0"/>
        <w:autoSpaceDN w:val="0"/>
        <w:adjustRightInd w:val="0"/>
        <w:snapToGrid w:val="0"/>
        <w:spacing w:line="235" w:lineRule="auto"/>
        <w:rPr>
          <w:rFonts w:eastAsia="Malgun Gothic"/>
          <w:kern w:val="22"/>
          <w:szCs w:val="22"/>
          <w:lang w:eastAsia="x-none"/>
        </w:rPr>
      </w:pPr>
      <w:r w:rsidRPr="00B324FA">
        <w:rPr>
          <w:rFonts w:eastAsia="Malgun Gothic"/>
          <w:kern w:val="22"/>
          <w:szCs w:val="22"/>
          <w:lang w:eastAsia="x-none"/>
        </w:rPr>
        <w:t>Based on the above criteria and preference</w:t>
      </w:r>
      <w:r w:rsidR="00B74957" w:rsidRPr="00B324FA">
        <w:rPr>
          <w:rFonts w:eastAsia="Malgun Gothic"/>
          <w:kern w:val="22"/>
          <w:szCs w:val="22"/>
          <w:lang w:eastAsia="x-none"/>
        </w:rPr>
        <w:t>s</w:t>
      </w:r>
      <w:r w:rsidRPr="00B324FA">
        <w:rPr>
          <w:rFonts w:eastAsia="Malgun Gothic"/>
          <w:kern w:val="22"/>
          <w:szCs w:val="22"/>
          <w:lang w:eastAsia="x-none"/>
        </w:rPr>
        <w:t xml:space="preserve"> and bearing in mind the need to keep the number of headline indicators small while also covering the breadth of issues addressed by the post-2020 global biodiversity framework</w:t>
      </w:r>
      <w:r w:rsidR="00CD3287" w:rsidRPr="00B324FA">
        <w:rPr>
          <w:rFonts w:eastAsia="Malgun Gothic"/>
          <w:kern w:val="22"/>
          <w:szCs w:val="22"/>
          <w:lang w:eastAsia="x-none"/>
        </w:rPr>
        <w:t>,</w:t>
      </w:r>
      <w:r w:rsidRPr="00B324FA">
        <w:rPr>
          <w:rFonts w:eastAsia="Malgun Gothic"/>
          <w:kern w:val="22"/>
          <w:szCs w:val="22"/>
          <w:lang w:eastAsia="x-none"/>
        </w:rPr>
        <w:t xml:space="preserve"> a set of </w:t>
      </w:r>
      <w:r w:rsidR="00FE181F" w:rsidRPr="00B324FA">
        <w:rPr>
          <w:rFonts w:eastAsia="Malgun Gothic"/>
          <w:kern w:val="22"/>
          <w:szCs w:val="22"/>
          <w:lang w:eastAsia="x-none"/>
        </w:rPr>
        <w:t>4</w:t>
      </w:r>
      <w:r w:rsidR="00D22A07" w:rsidRPr="00B324FA">
        <w:rPr>
          <w:rFonts w:eastAsia="Malgun Gothic"/>
          <w:kern w:val="22"/>
          <w:szCs w:val="22"/>
          <w:lang w:eastAsia="x-none"/>
        </w:rPr>
        <w:t>7</w:t>
      </w:r>
      <w:r w:rsidR="00FE181F" w:rsidRPr="00B324FA">
        <w:rPr>
          <w:rFonts w:eastAsia="Malgun Gothic"/>
          <w:kern w:val="22"/>
          <w:szCs w:val="22"/>
          <w:lang w:eastAsia="x-none"/>
        </w:rPr>
        <w:t xml:space="preserve"> headline indicators have been identified. </w:t>
      </w:r>
      <w:r w:rsidR="00B0462A" w:rsidRPr="00B324FA">
        <w:rPr>
          <w:rFonts w:eastAsia="Malgun Gothic"/>
          <w:kern w:val="22"/>
          <w:szCs w:val="22"/>
          <w:lang w:eastAsia="x-none"/>
        </w:rPr>
        <w:t xml:space="preserve">A total of </w:t>
      </w:r>
      <w:r w:rsidR="008543CD" w:rsidRPr="00B324FA">
        <w:rPr>
          <w:rFonts w:eastAsia="Malgun Gothic"/>
          <w:kern w:val="22"/>
          <w:szCs w:val="22"/>
          <w:lang w:eastAsia="x-none"/>
        </w:rPr>
        <w:t>11</w:t>
      </w:r>
      <w:r w:rsidR="00767BF3" w:rsidRPr="00B324FA">
        <w:rPr>
          <w:rFonts w:eastAsia="Malgun Gothic"/>
          <w:kern w:val="22"/>
          <w:szCs w:val="22"/>
          <w:lang w:eastAsia="x-none"/>
        </w:rPr>
        <w:t xml:space="preserve"> </w:t>
      </w:r>
      <w:r w:rsidR="00FE181F" w:rsidRPr="00B324FA">
        <w:rPr>
          <w:rFonts w:eastAsia="Malgun Gothic"/>
          <w:kern w:val="22"/>
          <w:szCs w:val="22"/>
          <w:lang w:eastAsia="x-none"/>
        </w:rPr>
        <w:t xml:space="preserve">of these indicators </w:t>
      </w:r>
      <w:r w:rsidR="008543CD" w:rsidRPr="00B324FA">
        <w:rPr>
          <w:rFonts w:eastAsia="Malgun Gothic"/>
          <w:kern w:val="22"/>
          <w:szCs w:val="22"/>
          <w:lang w:eastAsia="x-none"/>
        </w:rPr>
        <w:t xml:space="preserve">are </w:t>
      </w:r>
      <w:r w:rsidR="00FE181F" w:rsidRPr="00B324FA">
        <w:rPr>
          <w:rFonts w:eastAsia="Malgun Gothic"/>
          <w:kern w:val="22"/>
          <w:szCs w:val="22"/>
          <w:lang w:eastAsia="x-none"/>
        </w:rPr>
        <w:t xml:space="preserve">related to the goals of the post-2020 global biodiversity framework </w:t>
      </w:r>
      <w:r w:rsidR="009E7B09" w:rsidRPr="00B324FA">
        <w:rPr>
          <w:rFonts w:eastAsia="Malgun Gothic"/>
          <w:kern w:val="22"/>
          <w:szCs w:val="22"/>
          <w:lang w:eastAsia="x-none"/>
        </w:rPr>
        <w:t xml:space="preserve">and 36 </w:t>
      </w:r>
      <w:r w:rsidR="00E90F30" w:rsidRPr="00B324FA">
        <w:rPr>
          <w:rFonts w:eastAsia="Malgun Gothic"/>
          <w:kern w:val="22"/>
          <w:szCs w:val="22"/>
          <w:lang w:eastAsia="x-none"/>
        </w:rPr>
        <w:t xml:space="preserve">are </w:t>
      </w:r>
      <w:r w:rsidR="00FE181F" w:rsidRPr="00B324FA">
        <w:rPr>
          <w:rFonts w:eastAsia="Malgun Gothic"/>
          <w:kern w:val="22"/>
          <w:szCs w:val="22"/>
          <w:lang w:eastAsia="x-none"/>
        </w:rPr>
        <w:t>related to targets.</w:t>
      </w:r>
      <w:r w:rsidR="00670F09" w:rsidRPr="00B324FA">
        <w:rPr>
          <w:rFonts w:eastAsia="Malgun Gothic"/>
          <w:kern w:val="22"/>
          <w:szCs w:val="22"/>
          <w:lang w:eastAsia="x-none"/>
        </w:rPr>
        <w:t xml:space="preserve"> </w:t>
      </w:r>
      <w:r w:rsidR="00FE181F" w:rsidRPr="00B324FA">
        <w:rPr>
          <w:rFonts w:eastAsia="Malgun Gothic"/>
          <w:kern w:val="22"/>
          <w:szCs w:val="22"/>
          <w:lang w:eastAsia="x-none"/>
        </w:rPr>
        <w:t xml:space="preserve">The proposed headline indicators </w:t>
      </w:r>
      <w:r w:rsidR="00E1137C" w:rsidRPr="00B324FA">
        <w:rPr>
          <w:rFonts w:eastAsia="Malgun Gothic"/>
          <w:kern w:val="22"/>
          <w:szCs w:val="22"/>
          <w:lang w:eastAsia="x-none"/>
        </w:rPr>
        <w:t xml:space="preserve">are </w:t>
      </w:r>
      <w:r w:rsidR="00FE181F" w:rsidRPr="00B324FA">
        <w:rPr>
          <w:rFonts w:eastAsia="Malgun Gothic"/>
          <w:kern w:val="22"/>
          <w:szCs w:val="22"/>
          <w:lang w:eastAsia="x-none"/>
        </w:rPr>
        <w:t>presented in CBD/</w:t>
      </w:r>
      <w:proofErr w:type="spellStart"/>
      <w:r w:rsidR="00FE181F" w:rsidRPr="00B324FA">
        <w:rPr>
          <w:rFonts w:eastAsia="Malgun Gothic"/>
          <w:kern w:val="22"/>
          <w:szCs w:val="22"/>
          <w:lang w:eastAsia="x-none"/>
        </w:rPr>
        <w:t>SBSTTA</w:t>
      </w:r>
      <w:proofErr w:type="spellEnd"/>
      <w:r w:rsidR="00FE181F" w:rsidRPr="00B324FA">
        <w:rPr>
          <w:rFonts w:eastAsia="Malgun Gothic"/>
          <w:kern w:val="22"/>
          <w:szCs w:val="22"/>
          <w:lang w:eastAsia="x-none"/>
        </w:rPr>
        <w:t>/24/3</w:t>
      </w:r>
      <w:r w:rsidR="002916C6" w:rsidRPr="00B324FA">
        <w:rPr>
          <w:rFonts w:eastAsia="Malgun Gothic"/>
          <w:kern w:val="22"/>
          <w:szCs w:val="22"/>
          <w:lang w:eastAsia="x-none"/>
        </w:rPr>
        <w:t>, annex I</w:t>
      </w:r>
      <w:r w:rsidR="00E90F30" w:rsidRPr="00B324FA">
        <w:rPr>
          <w:rFonts w:eastAsia="Malgun Gothic"/>
          <w:kern w:val="22"/>
          <w:szCs w:val="22"/>
          <w:lang w:eastAsia="x-none"/>
        </w:rPr>
        <w:t xml:space="preserve">. They are also included in the annex </w:t>
      </w:r>
      <w:r w:rsidR="002916C6" w:rsidRPr="00B324FA">
        <w:rPr>
          <w:rFonts w:eastAsia="Malgun Gothic"/>
          <w:kern w:val="22"/>
          <w:szCs w:val="22"/>
          <w:lang w:eastAsia="x-none"/>
        </w:rPr>
        <w:t>below</w:t>
      </w:r>
      <w:r w:rsidR="00E90F30" w:rsidRPr="00B324FA">
        <w:rPr>
          <w:rFonts w:eastAsia="Malgun Gothic"/>
          <w:kern w:val="22"/>
          <w:szCs w:val="22"/>
          <w:lang w:eastAsia="x-none"/>
        </w:rPr>
        <w:t xml:space="preserve"> along with the component and complementary indicators</w:t>
      </w:r>
      <w:r w:rsidR="0037499F" w:rsidRPr="00B324FA">
        <w:rPr>
          <w:rFonts w:eastAsia="Malgun Gothic"/>
          <w:kern w:val="22"/>
          <w:szCs w:val="22"/>
          <w:lang w:eastAsia="x-none"/>
        </w:rPr>
        <w:t xml:space="preserve">. A subset of </w:t>
      </w:r>
      <w:r w:rsidR="00E90F30" w:rsidRPr="00B324FA">
        <w:rPr>
          <w:rFonts w:eastAsia="Malgun Gothic"/>
          <w:kern w:val="22"/>
          <w:szCs w:val="22"/>
          <w:lang w:eastAsia="x-none"/>
        </w:rPr>
        <w:t xml:space="preserve">the </w:t>
      </w:r>
      <w:r w:rsidR="0037499F" w:rsidRPr="00B324FA">
        <w:rPr>
          <w:rFonts w:eastAsia="Malgun Gothic"/>
          <w:kern w:val="22"/>
          <w:szCs w:val="22"/>
          <w:lang w:eastAsia="x-none"/>
        </w:rPr>
        <w:t>headline indicators could be used for communication purposes</w:t>
      </w:r>
      <w:r w:rsidR="00B91567" w:rsidRPr="00B324FA">
        <w:rPr>
          <w:rFonts w:eastAsia="Malgun Gothic"/>
          <w:kern w:val="22"/>
          <w:szCs w:val="22"/>
          <w:lang w:eastAsia="x-none"/>
        </w:rPr>
        <w:t>. For example, the headline indicators related to the goals could be used to raise awareness of the progress towards the post-2020 global biodiversity framework. In addition</w:t>
      </w:r>
      <w:r w:rsidR="008C1D63" w:rsidRPr="00B324FA">
        <w:rPr>
          <w:rFonts w:eastAsia="Malgun Gothic"/>
          <w:kern w:val="22"/>
          <w:szCs w:val="22"/>
          <w:lang w:eastAsia="x-none"/>
        </w:rPr>
        <w:t>,</w:t>
      </w:r>
      <w:r w:rsidR="00B91567" w:rsidRPr="00B324FA">
        <w:rPr>
          <w:rFonts w:eastAsia="Malgun Gothic"/>
          <w:kern w:val="22"/>
          <w:szCs w:val="22"/>
          <w:lang w:eastAsia="x-none"/>
        </w:rPr>
        <w:t xml:space="preserve"> headline indicators could be used nationally to communicate progress on national priorities, </w:t>
      </w:r>
      <w:proofErr w:type="gramStart"/>
      <w:r w:rsidR="00B91567" w:rsidRPr="00B324FA">
        <w:rPr>
          <w:rFonts w:eastAsia="Malgun Gothic"/>
          <w:kern w:val="22"/>
          <w:szCs w:val="22"/>
          <w:lang w:eastAsia="x-none"/>
        </w:rPr>
        <w:t>successes</w:t>
      </w:r>
      <w:proofErr w:type="gramEnd"/>
      <w:r w:rsidR="00B91567" w:rsidRPr="00B324FA">
        <w:rPr>
          <w:rFonts w:eastAsia="Malgun Gothic"/>
          <w:kern w:val="22"/>
          <w:szCs w:val="22"/>
          <w:lang w:eastAsia="x-none"/>
        </w:rPr>
        <w:t xml:space="preserve"> and challenges.</w:t>
      </w:r>
    </w:p>
    <w:p w14:paraId="7A1D32E1" w14:textId="7573B00B" w:rsidR="00536EA2" w:rsidRPr="00B324FA" w:rsidRDefault="00B91567" w:rsidP="00866F16">
      <w:pPr>
        <w:pStyle w:val="Para1"/>
        <w:numPr>
          <w:ilvl w:val="0"/>
          <w:numId w:val="2"/>
        </w:numPr>
        <w:suppressLineNumbers/>
        <w:tabs>
          <w:tab w:val="clear" w:pos="360"/>
        </w:tabs>
        <w:suppressAutoHyphens/>
        <w:kinsoku w:val="0"/>
        <w:overflowPunct w:val="0"/>
        <w:autoSpaceDE w:val="0"/>
        <w:autoSpaceDN w:val="0"/>
        <w:adjustRightInd w:val="0"/>
        <w:snapToGrid w:val="0"/>
        <w:spacing w:line="235" w:lineRule="auto"/>
        <w:rPr>
          <w:rFonts w:eastAsia="Malgun Gothic"/>
          <w:kern w:val="22"/>
          <w:szCs w:val="22"/>
          <w:lang w:eastAsia="x-none"/>
        </w:rPr>
      </w:pPr>
      <w:r w:rsidRPr="00B324FA">
        <w:rPr>
          <w:rFonts w:eastAsia="Malgun Gothic"/>
          <w:kern w:val="22"/>
          <w:szCs w:val="22"/>
          <w:lang w:eastAsia="x-none"/>
        </w:rPr>
        <w:t>To help with the operationali</w:t>
      </w:r>
      <w:r w:rsidR="0057158B" w:rsidRPr="00B324FA">
        <w:rPr>
          <w:rFonts w:eastAsia="Malgun Gothic"/>
          <w:kern w:val="22"/>
          <w:szCs w:val="22"/>
          <w:lang w:eastAsia="x-none"/>
        </w:rPr>
        <w:t>z</w:t>
      </w:r>
      <w:r w:rsidRPr="00B324FA">
        <w:rPr>
          <w:rFonts w:eastAsia="Malgun Gothic"/>
          <w:kern w:val="22"/>
          <w:szCs w:val="22"/>
          <w:lang w:eastAsia="x-none"/>
        </w:rPr>
        <w:t>ation of the propose</w:t>
      </w:r>
      <w:r w:rsidR="00DC3C00" w:rsidRPr="00B324FA">
        <w:rPr>
          <w:rFonts w:eastAsia="Malgun Gothic"/>
          <w:kern w:val="22"/>
          <w:szCs w:val="22"/>
          <w:lang w:eastAsia="x-none"/>
        </w:rPr>
        <w:t>d</w:t>
      </w:r>
      <w:r w:rsidRPr="00B324FA">
        <w:rPr>
          <w:rFonts w:eastAsia="Malgun Gothic"/>
          <w:kern w:val="22"/>
          <w:szCs w:val="22"/>
          <w:lang w:eastAsia="x-none"/>
        </w:rPr>
        <w:t xml:space="preserve"> headline indicators, the Subsidiary Body may wish to consider recommending that the Conference of the Parties establish an </w:t>
      </w:r>
      <w:r w:rsidR="00273EF7" w:rsidRPr="00B324FA">
        <w:rPr>
          <w:rFonts w:eastAsia="Malgun Gothic"/>
          <w:kern w:val="22"/>
          <w:szCs w:val="22"/>
          <w:lang w:eastAsia="x-none"/>
        </w:rPr>
        <w:t>i</w:t>
      </w:r>
      <w:r w:rsidR="003E2693" w:rsidRPr="00B324FA">
        <w:rPr>
          <w:rFonts w:eastAsia="Malgun Gothic"/>
          <w:kern w:val="22"/>
          <w:szCs w:val="22"/>
          <w:lang w:eastAsia="x-none"/>
        </w:rPr>
        <w:t>nformal</w:t>
      </w:r>
      <w:r w:rsidR="00536EA2" w:rsidRPr="00B324FA">
        <w:rPr>
          <w:rFonts w:eastAsia="Malgun Gothic"/>
          <w:kern w:val="22"/>
          <w:szCs w:val="22"/>
          <w:lang w:eastAsia="x-none"/>
        </w:rPr>
        <w:t xml:space="preserve"> </w:t>
      </w:r>
      <w:r w:rsidR="00273EF7" w:rsidRPr="00B324FA">
        <w:rPr>
          <w:rFonts w:eastAsia="Malgun Gothic"/>
          <w:kern w:val="22"/>
          <w:szCs w:val="22"/>
          <w:lang w:eastAsia="x-none"/>
        </w:rPr>
        <w:t>a</w:t>
      </w:r>
      <w:r w:rsidR="00536EA2" w:rsidRPr="00B324FA">
        <w:rPr>
          <w:rFonts w:eastAsia="Malgun Gothic"/>
          <w:kern w:val="22"/>
          <w:szCs w:val="22"/>
          <w:lang w:eastAsia="x-none"/>
        </w:rPr>
        <w:t xml:space="preserve">dvisory </w:t>
      </w:r>
      <w:r w:rsidR="00273EF7" w:rsidRPr="00B324FA">
        <w:rPr>
          <w:rFonts w:eastAsia="Malgun Gothic"/>
          <w:kern w:val="22"/>
          <w:szCs w:val="22"/>
          <w:lang w:eastAsia="x-none"/>
        </w:rPr>
        <w:t>g</w:t>
      </w:r>
      <w:r w:rsidR="00536EA2" w:rsidRPr="00B324FA">
        <w:rPr>
          <w:rFonts w:eastAsia="Malgun Gothic"/>
          <w:kern w:val="22"/>
          <w:szCs w:val="22"/>
          <w:lang w:eastAsia="x-none"/>
        </w:rPr>
        <w:t xml:space="preserve">roup to provide advice on indicator methodologies, </w:t>
      </w:r>
      <w:r w:rsidR="00536EA2" w:rsidRPr="00B324FA">
        <w:rPr>
          <w:kern w:val="22"/>
          <w:szCs w:val="22"/>
        </w:rPr>
        <w:t>identify metadata, technical issues related to the use of the indicators, filling indicator gaps, needed capacity</w:t>
      </w:r>
      <w:r w:rsidR="0057158B" w:rsidRPr="00B324FA">
        <w:rPr>
          <w:kern w:val="22"/>
          <w:szCs w:val="22"/>
        </w:rPr>
        <w:t>-</w:t>
      </w:r>
      <w:r w:rsidR="00536EA2" w:rsidRPr="00B324FA">
        <w:rPr>
          <w:kern w:val="22"/>
          <w:szCs w:val="22"/>
        </w:rPr>
        <w:t xml:space="preserve">building activities, and on the development of tools to </w:t>
      </w:r>
      <w:r w:rsidR="00536EA2" w:rsidRPr="00B324FA">
        <w:rPr>
          <w:kern w:val="22"/>
          <w:szCs w:val="22"/>
        </w:rPr>
        <w:lastRenderedPageBreak/>
        <w:t xml:space="preserve">support the visualization of indicators among other things. Draft terms of reference for such a group </w:t>
      </w:r>
      <w:r w:rsidR="00FB7B5C" w:rsidRPr="00B324FA">
        <w:rPr>
          <w:kern w:val="22"/>
          <w:szCs w:val="22"/>
        </w:rPr>
        <w:t xml:space="preserve">are </w:t>
      </w:r>
      <w:r w:rsidR="00536EA2" w:rsidRPr="00B324FA">
        <w:rPr>
          <w:kern w:val="22"/>
          <w:szCs w:val="22"/>
        </w:rPr>
        <w:t xml:space="preserve">presented in </w:t>
      </w:r>
      <w:r w:rsidR="00E90F30" w:rsidRPr="00B324FA">
        <w:rPr>
          <w:rFonts w:eastAsia="Malgun Gothic"/>
          <w:kern w:val="22"/>
          <w:szCs w:val="22"/>
          <w:lang w:eastAsia="x-none"/>
        </w:rPr>
        <w:t>CBD/</w:t>
      </w:r>
      <w:proofErr w:type="spellStart"/>
      <w:r w:rsidR="00E90F30" w:rsidRPr="00B324FA">
        <w:rPr>
          <w:rFonts w:eastAsia="Malgun Gothic"/>
          <w:kern w:val="22"/>
          <w:szCs w:val="22"/>
          <w:lang w:eastAsia="x-none"/>
        </w:rPr>
        <w:t>SBSTTA</w:t>
      </w:r>
      <w:proofErr w:type="spellEnd"/>
      <w:r w:rsidR="00E90F30" w:rsidRPr="00B324FA">
        <w:rPr>
          <w:rFonts w:eastAsia="Malgun Gothic"/>
          <w:kern w:val="22"/>
          <w:szCs w:val="22"/>
          <w:lang w:eastAsia="x-none"/>
        </w:rPr>
        <w:t>/24/3</w:t>
      </w:r>
      <w:r w:rsidR="00E909B5" w:rsidRPr="00B324FA">
        <w:rPr>
          <w:rFonts w:eastAsia="Malgun Gothic"/>
          <w:kern w:val="22"/>
          <w:szCs w:val="22"/>
          <w:lang w:eastAsia="x-none"/>
        </w:rPr>
        <w:t>,</w:t>
      </w:r>
      <w:r w:rsidR="00E909B5" w:rsidRPr="00B324FA">
        <w:rPr>
          <w:kern w:val="22"/>
          <w:szCs w:val="22"/>
        </w:rPr>
        <w:t xml:space="preserve"> annex II</w:t>
      </w:r>
      <w:r w:rsidR="00536EA2" w:rsidRPr="00B324FA">
        <w:rPr>
          <w:kern w:val="22"/>
          <w:szCs w:val="22"/>
        </w:rPr>
        <w:t>.</w:t>
      </w:r>
    </w:p>
    <w:p w14:paraId="2B9B8D82" w14:textId="6655C928" w:rsidR="00BF7422" w:rsidRPr="00B324FA" w:rsidRDefault="00670F09" w:rsidP="00866F16">
      <w:pPr>
        <w:pStyle w:val="Heading2"/>
        <w:numPr>
          <w:ilvl w:val="0"/>
          <w:numId w:val="6"/>
        </w:numPr>
        <w:suppressLineNumbers/>
        <w:tabs>
          <w:tab w:val="clear" w:pos="720"/>
        </w:tabs>
        <w:suppressAutoHyphens/>
        <w:kinsoku w:val="0"/>
        <w:overflowPunct w:val="0"/>
        <w:autoSpaceDE w:val="0"/>
        <w:autoSpaceDN w:val="0"/>
        <w:adjustRightInd w:val="0"/>
        <w:snapToGrid w:val="0"/>
        <w:spacing w:line="235" w:lineRule="auto"/>
        <w:ind w:left="714" w:hanging="357"/>
        <w:rPr>
          <w:kern w:val="22"/>
          <w:szCs w:val="22"/>
        </w:rPr>
      </w:pPr>
      <w:r w:rsidRPr="00B324FA">
        <w:rPr>
          <w:kern w:val="22"/>
          <w:szCs w:val="22"/>
        </w:rPr>
        <w:t xml:space="preserve">Group </w:t>
      </w:r>
      <w:r w:rsidR="00BF7422" w:rsidRPr="00B324FA">
        <w:rPr>
          <w:kern w:val="22"/>
          <w:szCs w:val="22"/>
        </w:rPr>
        <w:t xml:space="preserve">2 - </w:t>
      </w:r>
      <w:r w:rsidR="003F3299" w:rsidRPr="00B324FA">
        <w:rPr>
          <w:kern w:val="22"/>
          <w:szCs w:val="22"/>
        </w:rPr>
        <w:t>Component indicators</w:t>
      </w:r>
    </w:p>
    <w:p w14:paraId="3D51EAD9" w14:textId="419DFE02" w:rsidR="00536EA2" w:rsidRPr="00B324FA" w:rsidRDefault="00536EA2" w:rsidP="00866F16">
      <w:pPr>
        <w:pStyle w:val="Para1"/>
        <w:numPr>
          <w:ilvl w:val="0"/>
          <w:numId w:val="2"/>
        </w:numPr>
        <w:suppressLineNumbers/>
        <w:tabs>
          <w:tab w:val="clear" w:pos="360"/>
        </w:tabs>
        <w:suppressAutoHyphens/>
        <w:kinsoku w:val="0"/>
        <w:overflowPunct w:val="0"/>
        <w:autoSpaceDE w:val="0"/>
        <w:autoSpaceDN w:val="0"/>
        <w:adjustRightInd w:val="0"/>
        <w:snapToGrid w:val="0"/>
        <w:spacing w:line="235" w:lineRule="auto"/>
        <w:rPr>
          <w:rFonts w:eastAsia="Malgun Gothic"/>
          <w:kern w:val="22"/>
          <w:szCs w:val="22"/>
          <w:lang w:eastAsia="x-none"/>
        </w:rPr>
      </w:pPr>
      <w:r w:rsidRPr="00B324FA">
        <w:rPr>
          <w:rFonts w:eastAsia="Malgun Gothic"/>
          <w:kern w:val="22"/>
          <w:szCs w:val="22"/>
          <w:lang w:eastAsia="x-none"/>
        </w:rPr>
        <w:t xml:space="preserve">Component indicators represent a set of indicators for monitoring each component of each of the goals and targets of the post-2020 global biodiversity framework at the national, </w:t>
      </w:r>
      <w:proofErr w:type="gramStart"/>
      <w:r w:rsidRPr="00B324FA">
        <w:rPr>
          <w:rFonts w:eastAsia="Malgun Gothic"/>
          <w:kern w:val="22"/>
          <w:szCs w:val="22"/>
          <w:lang w:eastAsia="x-none"/>
        </w:rPr>
        <w:t>regional</w:t>
      </w:r>
      <w:proofErr w:type="gramEnd"/>
      <w:r w:rsidRPr="00B324FA">
        <w:rPr>
          <w:rFonts w:eastAsia="Malgun Gothic"/>
          <w:kern w:val="22"/>
          <w:szCs w:val="22"/>
          <w:lang w:eastAsia="x-none"/>
        </w:rPr>
        <w:t xml:space="preserve"> and global level. Parties should be encouraged to use these indicators, including in their national reports and relevant planning processes, where nationally relevant and appropriate.</w:t>
      </w:r>
    </w:p>
    <w:p w14:paraId="3AAE67D1" w14:textId="70ACC4A5" w:rsidR="003F3299" w:rsidRPr="00B324FA" w:rsidRDefault="003F3299" w:rsidP="00866F16">
      <w:pPr>
        <w:pStyle w:val="Para1"/>
        <w:numPr>
          <w:ilvl w:val="0"/>
          <w:numId w:val="2"/>
        </w:numPr>
        <w:suppressLineNumbers/>
        <w:tabs>
          <w:tab w:val="clear" w:pos="360"/>
        </w:tabs>
        <w:suppressAutoHyphens/>
        <w:kinsoku w:val="0"/>
        <w:overflowPunct w:val="0"/>
        <w:autoSpaceDE w:val="0"/>
        <w:autoSpaceDN w:val="0"/>
        <w:adjustRightInd w:val="0"/>
        <w:snapToGrid w:val="0"/>
        <w:spacing w:line="235" w:lineRule="auto"/>
        <w:rPr>
          <w:rFonts w:eastAsia="Malgun Gothic"/>
          <w:kern w:val="22"/>
          <w:szCs w:val="22"/>
          <w:lang w:eastAsia="x-none"/>
        </w:rPr>
      </w:pPr>
      <w:r w:rsidRPr="00B324FA">
        <w:rPr>
          <w:rFonts w:eastAsia="Malgun Gothic"/>
          <w:kern w:val="22"/>
          <w:szCs w:val="22"/>
          <w:lang w:eastAsia="x-none"/>
        </w:rPr>
        <w:t xml:space="preserve">The proposed list of component indicators is contained in </w:t>
      </w:r>
      <w:r w:rsidR="00114BC5" w:rsidRPr="00B324FA">
        <w:rPr>
          <w:rFonts w:eastAsia="Malgun Gothic"/>
          <w:kern w:val="22"/>
          <w:szCs w:val="22"/>
          <w:lang w:eastAsia="x-none"/>
        </w:rPr>
        <w:t>the annex to this document</w:t>
      </w:r>
      <w:r w:rsidRPr="00B324FA">
        <w:rPr>
          <w:rFonts w:eastAsia="Malgun Gothic"/>
          <w:kern w:val="22"/>
          <w:szCs w:val="22"/>
          <w:lang w:eastAsia="x-none"/>
        </w:rPr>
        <w:t xml:space="preserve">. They were identified </w:t>
      </w:r>
      <w:r w:rsidR="002F1AB6" w:rsidRPr="00B324FA">
        <w:rPr>
          <w:rFonts w:eastAsia="Malgun Gothic"/>
          <w:kern w:val="22"/>
          <w:szCs w:val="22"/>
          <w:lang w:eastAsia="x-none"/>
        </w:rPr>
        <w:t>using the same criteria as the</w:t>
      </w:r>
      <w:r w:rsidRPr="00B324FA">
        <w:rPr>
          <w:rFonts w:eastAsia="Malgun Gothic"/>
          <w:kern w:val="22"/>
          <w:szCs w:val="22"/>
          <w:lang w:eastAsia="x-none"/>
        </w:rPr>
        <w:t xml:space="preserve"> headline indicators</w:t>
      </w:r>
      <w:r w:rsidR="005F7243" w:rsidRPr="00B324FA">
        <w:rPr>
          <w:rFonts w:eastAsia="Malgun Gothic"/>
          <w:kern w:val="22"/>
          <w:szCs w:val="22"/>
          <w:lang w:eastAsia="x-none"/>
        </w:rPr>
        <w:t>. H</w:t>
      </w:r>
      <w:r w:rsidR="002F1AB6" w:rsidRPr="00B324FA">
        <w:rPr>
          <w:rFonts w:eastAsia="Malgun Gothic"/>
          <w:kern w:val="22"/>
          <w:szCs w:val="22"/>
          <w:lang w:eastAsia="x-none"/>
        </w:rPr>
        <w:t>owever</w:t>
      </w:r>
      <w:r w:rsidR="00D47887" w:rsidRPr="00B324FA">
        <w:rPr>
          <w:rFonts w:eastAsia="Malgun Gothic"/>
          <w:kern w:val="22"/>
          <w:szCs w:val="22"/>
          <w:lang w:eastAsia="x-none"/>
        </w:rPr>
        <w:t>,</w:t>
      </w:r>
      <w:r w:rsidR="002F1AB6" w:rsidRPr="00B324FA">
        <w:rPr>
          <w:rFonts w:eastAsia="Malgun Gothic"/>
          <w:kern w:val="22"/>
          <w:szCs w:val="22"/>
          <w:lang w:eastAsia="x-none"/>
        </w:rPr>
        <w:t xml:space="preserve"> they </w:t>
      </w:r>
      <w:r w:rsidR="005F7243" w:rsidRPr="00B324FA">
        <w:rPr>
          <w:rFonts w:eastAsia="Malgun Gothic"/>
          <w:kern w:val="22"/>
          <w:szCs w:val="22"/>
          <w:lang w:eastAsia="x-none"/>
        </w:rPr>
        <w:t>relate to the components of the goals and targets of the post-2020 global biodiversity framework rather than directly to goals and targets</w:t>
      </w:r>
      <w:r w:rsidR="002F1AB6" w:rsidRPr="00B324FA">
        <w:rPr>
          <w:rFonts w:eastAsia="Malgun Gothic"/>
          <w:kern w:val="22"/>
          <w:szCs w:val="22"/>
          <w:lang w:eastAsia="x-none"/>
        </w:rPr>
        <w:t xml:space="preserve">. </w:t>
      </w:r>
      <w:r w:rsidR="005F7243" w:rsidRPr="00B324FA">
        <w:rPr>
          <w:rFonts w:eastAsia="Malgun Gothic"/>
          <w:kern w:val="22"/>
          <w:szCs w:val="22"/>
          <w:lang w:eastAsia="x-none"/>
        </w:rPr>
        <w:t xml:space="preserve">Many of the component indicators are </w:t>
      </w:r>
      <w:proofErr w:type="spellStart"/>
      <w:r w:rsidR="005F7243" w:rsidRPr="00B324FA">
        <w:rPr>
          <w:rFonts w:eastAsia="Malgun Gothic"/>
          <w:kern w:val="22"/>
          <w:szCs w:val="22"/>
          <w:lang w:eastAsia="x-none"/>
        </w:rPr>
        <w:t>disaggregations</w:t>
      </w:r>
      <w:proofErr w:type="spellEnd"/>
      <w:r w:rsidR="005F7243" w:rsidRPr="00B324FA">
        <w:rPr>
          <w:rFonts w:eastAsia="Malgun Gothic"/>
          <w:kern w:val="22"/>
          <w:szCs w:val="22"/>
          <w:lang w:eastAsia="x-none"/>
        </w:rPr>
        <w:t xml:space="preserve"> of the headline indicators. </w:t>
      </w:r>
      <w:r w:rsidR="002F1AB6" w:rsidRPr="00B324FA">
        <w:rPr>
          <w:rFonts w:eastAsia="Malgun Gothic"/>
          <w:kern w:val="22"/>
          <w:szCs w:val="22"/>
          <w:lang w:eastAsia="x-none"/>
        </w:rPr>
        <w:t xml:space="preserve">This level of indicator also includes disaggregated information which is not included at the </w:t>
      </w:r>
      <w:r w:rsidR="00FB7B5C" w:rsidRPr="00B324FA">
        <w:rPr>
          <w:rFonts w:eastAsia="Malgun Gothic"/>
          <w:kern w:val="22"/>
          <w:szCs w:val="22"/>
          <w:lang w:eastAsia="x-none"/>
        </w:rPr>
        <w:t>h</w:t>
      </w:r>
      <w:r w:rsidR="002F1AB6" w:rsidRPr="00B324FA">
        <w:rPr>
          <w:rFonts w:eastAsia="Malgun Gothic"/>
          <w:kern w:val="22"/>
          <w:szCs w:val="22"/>
          <w:lang w:eastAsia="x-none"/>
        </w:rPr>
        <w:t>eadline level</w:t>
      </w:r>
      <w:r w:rsidRPr="00B324FA">
        <w:rPr>
          <w:rFonts w:eastAsia="Malgun Gothic"/>
          <w:kern w:val="22"/>
          <w:szCs w:val="22"/>
          <w:lang w:eastAsia="x-none"/>
        </w:rPr>
        <w:t>.</w:t>
      </w:r>
    </w:p>
    <w:p w14:paraId="558CC41B" w14:textId="38B46F36" w:rsidR="00BF7422" w:rsidRPr="00B324FA" w:rsidRDefault="00670F09" w:rsidP="00866F16">
      <w:pPr>
        <w:pStyle w:val="Heading2"/>
        <w:numPr>
          <w:ilvl w:val="0"/>
          <w:numId w:val="6"/>
        </w:numPr>
        <w:suppressLineNumbers/>
        <w:tabs>
          <w:tab w:val="clear" w:pos="720"/>
        </w:tabs>
        <w:suppressAutoHyphens/>
        <w:kinsoku w:val="0"/>
        <w:overflowPunct w:val="0"/>
        <w:autoSpaceDE w:val="0"/>
        <w:autoSpaceDN w:val="0"/>
        <w:adjustRightInd w:val="0"/>
        <w:snapToGrid w:val="0"/>
        <w:spacing w:line="235" w:lineRule="auto"/>
        <w:ind w:left="714" w:hanging="357"/>
        <w:rPr>
          <w:kern w:val="22"/>
          <w:szCs w:val="22"/>
        </w:rPr>
      </w:pPr>
      <w:r w:rsidRPr="00B324FA">
        <w:rPr>
          <w:kern w:val="22"/>
          <w:szCs w:val="22"/>
        </w:rPr>
        <w:t xml:space="preserve">Group </w:t>
      </w:r>
      <w:r w:rsidR="00BF7422" w:rsidRPr="00B324FA">
        <w:rPr>
          <w:kern w:val="22"/>
          <w:szCs w:val="22"/>
        </w:rPr>
        <w:t xml:space="preserve">3 </w:t>
      </w:r>
      <w:r w:rsidR="00D51313">
        <w:rPr>
          <w:kern w:val="22"/>
          <w:szCs w:val="22"/>
        </w:rPr>
        <w:t>-</w:t>
      </w:r>
      <w:r w:rsidR="00653B41" w:rsidRPr="00B324FA">
        <w:rPr>
          <w:kern w:val="22"/>
          <w:szCs w:val="22"/>
        </w:rPr>
        <w:t xml:space="preserve"> </w:t>
      </w:r>
      <w:r w:rsidR="00851D82" w:rsidRPr="00866F16">
        <w:rPr>
          <w:kern w:val="22"/>
          <w:szCs w:val="22"/>
        </w:rPr>
        <w:t>Complementary</w:t>
      </w:r>
      <w:r w:rsidR="00851D82" w:rsidRPr="00B324FA">
        <w:rPr>
          <w:kern w:val="22"/>
          <w:szCs w:val="22"/>
        </w:rPr>
        <w:t xml:space="preserve"> </w:t>
      </w:r>
      <w:r w:rsidR="005132C5" w:rsidRPr="00B324FA">
        <w:rPr>
          <w:kern w:val="22"/>
          <w:szCs w:val="22"/>
        </w:rPr>
        <w:t>indicators</w:t>
      </w:r>
    </w:p>
    <w:p w14:paraId="4A8ABBBB" w14:textId="1F0D4C08" w:rsidR="003F3299" w:rsidRPr="00B324FA" w:rsidRDefault="00851D82" w:rsidP="00866F16">
      <w:pPr>
        <w:pStyle w:val="Para1"/>
        <w:numPr>
          <w:ilvl w:val="0"/>
          <w:numId w:val="2"/>
        </w:numPr>
        <w:suppressLineNumbers/>
        <w:tabs>
          <w:tab w:val="clear" w:pos="360"/>
        </w:tabs>
        <w:suppressAutoHyphens/>
        <w:kinsoku w:val="0"/>
        <w:overflowPunct w:val="0"/>
        <w:autoSpaceDE w:val="0"/>
        <w:autoSpaceDN w:val="0"/>
        <w:adjustRightInd w:val="0"/>
        <w:snapToGrid w:val="0"/>
        <w:spacing w:line="235" w:lineRule="auto"/>
        <w:rPr>
          <w:rFonts w:eastAsia="Malgun Gothic"/>
          <w:kern w:val="22"/>
          <w:szCs w:val="22"/>
          <w:lang w:eastAsia="x-none"/>
        </w:rPr>
      </w:pPr>
      <w:r w:rsidRPr="00866F16">
        <w:rPr>
          <w:bCs/>
          <w:kern w:val="22"/>
          <w:szCs w:val="22"/>
        </w:rPr>
        <w:t>Complementary</w:t>
      </w:r>
      <w:r w:rsidRPr="00B324FA">
        <w:rPr>
          <w:bCs/>
          <w:kern w:val="22"/>
          <w:szCs w:val="22"/>
        </w:rPr>
        <w:t xml:space="preserve"> </w:t>
      </w:r>
      <w:r w:rsidR="006704D2" w:rsidRPr="00B324FA">
        <w:rPr>
          <w:bCs/>
          <w:kern w:val="22"/>
          <w:szCs w:val="22"/>
        </w:rPr>
        <w:t>indicators are a set of indicators for thematic or in-depth analysis of each goal and target</w:t>
      </w:r>
      <w:r w:rsidR="00E7337D" w:rsidRPr="00B324FA">
        <w:rPr>
          <w:bCs/>
          <w:kern w:val="22"/>
          <w:szCs w:val="22"/>
        </w:rPr>
        <w:t>. These are indicators</w:t>
      </w:r>
      <w:r w:rsidR="006704D2" w:rsidRPr="00B324FA">
        <w:rPr>
          <w:bCs/>
          <w:kern w:val="22"/>
          <w:szCs w:val="22"/>
        </w:rPr>
        <w:t xml:space="preserve"> which </w:t>
      </w:r>
      <w:r w:rsidR="00E7337D" w:rsidRPr="00B324FA">
        <w:rPr>
          <w:bCs/>
          <w:kern w:val="22"/>
          <w:szCs w:val="22"/>
        </w:rPr>
        <w:t>are primarily</w:t>
      </w:r>
      <w:r w:rsidR="006704D2" w:rsidRPr="00B324FA">
        <w:rPr>
          <w:bCs/>
          <w:kern w:val="22"/>
          <w:szCs w:val="22"/>
        </w:rPr>
        <w:t xml:space="preserve"> </w:t>
      </w:r>
      <w:r w:rsidR="00E7337D" w:rsidRPr="00B324FA">
        <w:rPr>
          <w:bCs/>
          <w:kern w:val="22"/>
          <w:szCs w:val="22"/>
        </w:rPr>
        <w:t xml:space="preserve">applicable at the </w:t>
      </w:r>
      <w:r w:rsidR="006704D2" w:rsidRPr="00B324FA">
        <w:rPr>
          <w:bCs/>
          <w:kern w:val="22"/>
          <w:szCs w:val="22"/>
        </w:rPr>
        <w:t>global and regional level</w:t>
      </w:r>
      <w:r w:rsidR="00101016" w:rsidRPr="00B324FA">
        <w:rPr>
          <w:bCs/>
          <w:kern w:val="22"/>
          <w:szCs w:val="22"/>
        </w:rPr>
        <w:t>s</w:t>
      </w:r>
      <w:r w:rsidR="00E7337D" w:rsidRPr="00B324FA">
        <w:rPr>
          <w:bCs/>
          <w:kern w:val="22"/>
          <w:szCs w:val="22"/>
        </w:rPr>
        <w:t xml:space="preserve">. </w:t>
      </w:r>
      <w:r w:rsidR="00114BC5" w:rsidRPr="00B324FA">
        <w:rPr>
          <w:bCs/>
          <w:kern w:val="22"/>
          <w:szCs w:val="22"/>
        </w:rPr>
        <w:t>They should meet the criteria listed in paragraph</w:t>
      </w:r>
      <w:r w:rsidR="00DC3770" w:rsidRPr="00B324FA">
        <w:rPr>
          <w:bCs/>
          <w:kern w:val="22"/>
          <w:szCs w:val="22"/>
        </w:rPr>
        <w:t> </w:t>
      </w:r>
      <w:r w:rsidR="00DC3770" w:rsidRPr="00D45BE8">
        <w:rPr>
          <w:bCs/>
          <w:kern w:val="22"/>
          <w:szCs w:val="22"/>
        </w:rPr>
        <w:fldChar w:fldCharType="begin"/>
      </w:r>
      <w:r w:rsidR="00DC3770" w:rsidRPr="00B324FA">
        <w:rPr>
          <w:bCs/>
          <w:kern w:val="22"/>
          <w:szCs w:val="22"/>
        </w:rPr>
        <w:instrText xml:space="preserve"> REF _Ref57908260 \r \h </w:instrText>
      </w:r>
      <w:r w:rsidR="000E2389" w:rsidRPr="00B324FA">
        <w:rPr>
          <w:bCs/>
          <w:kern w:val="22"/>
          <w:szCs w:val="22"/>
        </w:rPr>
        <w:instrText xml:space="preserve"> \* MERGEFORMAT </w:instrText>
      </w:r>
      <w:r w:rsidR="00DC3770" w:rsidRPr="00D45BE8">
        <w:rPr>
          <w:bCs/>
          <w:kern w:val="22"/>
          <w:szCs w:val="22"/>
        </w:rPr>
      </w:r>
      <w:r w:rsidR="00DC3770" w:rsidRPr="00D45BE8">
        <w:rPr>
          <w:bCs/>
          <w:kern w:val="22"/>
          <w:szCs w:val="22"/>
        </w:rPr>
        <w:fldChar w:fldCharType="separate"/>
      </w:r>
      <w:r w:rsidR="00DC3770" w:rsidRPr="00B324FA">
        <w:rPr>
          <w:bCs/>
          <w:kern w:val="22"/>
          <w:szCs w:val="22"/>
          <w:cs/>
        </w:rPr>
        <w:t>‎</w:t>
      </w:r>
      <w:r w:rsidR="00DC3770" w:rsidRPr="00B324FA">
        <w:rPr>
          <w:bCs/>
          <w:kern w:val="22"/>
          <w:szCs w:val="22"/>
        </w:rPr>
        <w:t>9</w:t>
      </w:r>
      <w:r w:rsidR="00DC3770" w:rsidRPr="00D45BE8">
        <w:rPr>
          <w:bCs/>
          <w:kern w:val="22"/>
          <w:szCs w:val="22"/>
        </w:rPr>
        <w:fldChar w:fldCharType="end"/>
      </w:r>
      <w:r w:rsidR="00DC3770" w:rsidRPr="00B324FA">
        <w:rPr>
          <w:bCs/>
          <w:kern w:val="22"/>
          <w:szCs w:val="22"/>
        </w:rPr>
        <w:t> above</w:t>
      </w:r>
      <w:r w:rsidR="00114BC5" w:rsidRPr="00B324FA">
        <w:rPr>
          <w:bCs/>
          <w:kern w:val="22"/>
          <w:szCs w:val="22"/>
        </w:rPr>
        <w:t>.</w:t>
      </w:r>
    </w:p>
    <w:p w14:paraId="4107DF71" w14:textId="2F44CC5A" w:rsidR="00BF7422" w:rsidRPr="00B324FA" w:rsidRDefault="00A36A4E" w:rsidP="00866F16">
      <w:pPr>
        <w:pStyle w:val="Heading1"/>
        <w:numPr>
          <w:ilvl w:val="0"/>
          <w:numId w:val="9"/>
        </w:numPr>
        <w:suppressLineNumbers/>
        <w:tabs>
          <w:tab w:val="clear" w:pos="720"/>
        </w:tabs>
        <w:suppressAutoHyphens/>
        <w:kinsoku w:val="0"/>
        <w:overflowPunct w:val="0"/>
        <w:autoSpaceDE w:val="0"/>
        <w:autoSpaceDN w:val="0"/>
        <w:adjustRightInd w:val="0"/>
        <w:snapToGrid w:val="0"/>
        <w:spacing w:before="120" w:line="235" w:lineRule="auto"/>
        <w:ind w:left="1276" w:hanging="567"/>
        <w:jc w:val="left"/>
        <w:rPr>
          <w:kern w:val="22"/>
          <w:szCs w:val="22"/>
        </w:rPr>
      </w:pPr>
      <w:r w:rsidRPr="00B324FA">
        <w:rPr>
          <w:kern w:val="22"/>
          <w:szCs w:val="22"/>
        </w:rPr>
        <w:t>Options for b</w:t>
      </w:r>
      <w:r w:rsidR="00BF7422" w:rsidRPr="00B324FA">
        <w:rPr>
          <w:kern w:val="22"/>
          <w:szCs w:val="22"/>
        </w:rPr>
        <w:t>aselines</w:t>
      </w:r>
      <w:r w:rsidRPr="00B324FA">
        <w:rPr>
          <w:kern w:val="22"/>
          <w:szCs w:val="22"/>
        </w:rPr>
        <w:t xml:space="preserve"> </w:t>
      </w:r>
      <w:r w:rsidR="00114BC5" w:rsidRPr="00B324FA">
        <w:rPr>
          <w:kern w:val="22"/>
          <w:szCs w:val="22"/>
        </w:rPr>
        <w:t xml:space="preserve">and reference periods </w:t>
      </w:r>
      <w:r w:rsidRPr="00B324FA">
        <w:rPr>
          <w:kern w:val="22"/>
          <w:szCs w:val="22"/>
        </w:rPr>
        <w:t>for the post-2020 global biodiversity framewo</w:t>
      </w:r>
      <w:r w:rsidR="003A2F6C" w:rsidRPr="00B324FA">
        <w:rPr>
          <w:kern w:val="22"/>
          <w:szCs w:val="22"/>
        </w:rPr>
        <w:t>r</w:t>
      </w:r>
      <w:r w:rsidRPr="00B324FA">
        <w:rPr>
          <w:kern w:val="22"/>
          <w:szCs w:val="22"/>
        </w:rPr>
        <w:t>k</w:t>
      </w:r>
    </w:p>
    <w:p w14:paraId="6AF091AE" w14:textId="38E0B80D" w:rsidR="000A2DA8" w:rsidRPr="00B324FA" w:rsidRDefault="00D91379" w:rsidP="00866F16">
      <w:pPr>
        <w:pStyle w:val="Para1"/>
        <w:numPr>
          <w:ilvl w:val="0"/>
          <w:numId w:val="2"/>
        </w:numPr>
        <w:suppressLineNumbers/>
        <w:tabs>
          <w:tab w:val="clear" w:pos="360"/>
        </w:tabs>
        <w:suppressAutoHyphens/>
        <w:kinsoku w:val="0"/>
        <w:overflowPunct w:val="0"/>
        <w:autoSpaceDE w:val="0"/>
        <w:autoSpaceDN w:val="0"/>
        <w:adjustRightInd w:val="0"/>
        <w:snapToGrid w:val="0"/>
        <w:spacing w:line="235" w:lineRule="auto"/>
        <w:rPr>
          <w:rFonts w:eastAsia="Malgun Gothic"/>
          <w:kern w:val="22"/>
          <w:szCs w:val="22"/>
        </w:rPr>
      </w:pPr>
      <w:r w:rsidRPr="00B324FA">
        <w:rPr>
          <w:rFonts w:eastAsia="Malgun Gothic"/>
          <w:kern w:val="22"/>
          <w:szCs w:val="22"/>
        </w:rPr>
        <w:t>In recommendation 23/1, the Subsidiary Body on Scientific, Technical and Technological Advice requested the Executive Secretary to invite written submissions from Parties and others on</w:t>
      </w:r>
      <w:r w:rsidR="00321002" w:rsidRPr="00B324FA">
        <w:rPr>
          <w:rFonts w:eastAsia="Malgun Gothic"/>
          <w:kern w:val="22"/>
          <w:szCs w:val="22"/>
        </w:rPr>
        <w:t>, among other things,</w:t>
      </w:r>
      <w:r w:rsidRPr="00B324FA">
        <w:rPr>
          <w:rFonts w:eastAsia="Malgun Gothic"/>
          <w:kern w:val="22"/>
          <w:szCs w:val="22"/>
        </w:rPr>
        <w:t xml:space="preserve"> views on possible baselines </w:t>
      </w:r>
      <w:r w:rsidR="00321002" w:rsidRPr="00B324FA">
        <w:rPr>
          <w:rFonts w:eastAsia="Malgun Gothic"/>
          <w:kern w:val="22"/>
          <w:szCs w:val="22"/>
        </w:rPr>
        <w:t xml:space="preserve">for </w:t>
      </w:r>
      <w:r w:rsidRPr="00B324FA">
        <w:rPr>
          <w:rFonts w:eastAsia="Malgun Gothic"/>
          <w:kern w:val="22"/>
          <w:szCs w:val="22"/>
        </w:rPr>
        <w:t xml:space="preserve">the post-2020 global biodiversity framework. </w:t>
      </w:r>
      <w:r w:rsidR="000764C2" w:rsidRPr="00B324FA">
        <w:rPr>
          <w:rFonts w:eastAsia="Malgun Gothic"/>
          <w:kern w:val="22"/>
          <w:szCs w:val="22"/>
        </w:rPr>
        <w:t>Pursuant</w:t>
      </w:r>
      <w:r w:rsidR="00295C50" w:rsidRPr="00B324FA">
        <w:rPr>
          <w:rFonts w:eastAsia="Malgun Gothic"/>
          <w:kern w:val="22"/>
          <w:szCs w:val="22"/>
        </w:rPr>
        <w:t xml:space="preserve"> to this request</w:t>
      </w:r>
      <w:r w:rsidR="00D40330" w:rsidRPr="00B324FA">
        <w:rPr>
          <w:rFonts w:eastAsia="Malgun Gothic"/>
          <w:kern w:val="22"/>
          <w:szCs w:val="22"/>
        </w:rPr>
        <w:t>,</w:t>
      </w:r>
      <w:r w:rsidR="00295C50" w:rsidRPr="00B324FA">
        <w:rPr>
          <w:rFonts w:eastAsia="Malgun Gothic"/>
          <w:kern w:val="22"/>
          <w:szCs w:val="22"/>
        </w:rPr>
        <w:t xml:space="preserve"> submissions were invited between 3 December 2019 and 3 February 2020</w:t>
      </w:r>
      <w:r w:rsidR="00204252" w:rsidRPr="00B324FA">
        <w:rPr>
          <w:rFonts w:eastAsia="Malgun Gothic"/>
          <w:kern w:val="22"/>
          <w:szCs w:val="22"/>
        </w:rPr>
        <w:t>.</w:t>
      </w:r>
      <w:r w:rsidR="00295C50" w:rsidRPr="00B324FA">
        <w:rPr>
          <w:rFonts w:eastAsia="Malgun Gothic"/>
          <w:kern w:val="22"/>
          <w:szCs w:val="22"/>
          <w:vertAlign w:val="superscript"/>
        </w:rPr>
        <w:footnoteReference w:id="7"/>
      </w:r>
      <w:r w:rsidR="00DD492F" w:rsidRPr="00B324FA">
        <w:rPr>
          <w:rFonts w:eastAsia="Malgun Gothic"/>
          <w:kern w:val="22"/>
          <w:szCs w:val="22"/>
        </w:rPr>
        <w:t xml:space="preserve"> Views on baselines and reference periods were also shared during the second meeting of the Working Group on the </w:t>
      </w:r>
      <w:r w:rsidR="00F42972" w:rsidRPr="00B324FA">
        <w:rPr>
          <w:rFonts w:eastAsia="Malgun Gothic"/>
          <w:kern w:val="22"/>
          <w:szCs w:val="22"/>
        </w:rPr>
        <w:t>P</w:t>
      </w:r>
      <w:r w:rsidR="00DD492F" w:rsidRPr="00B324FA">
        <w:rPr>
          <w:rFonts w:eastAsia="Malgun Gothic"/>
          <w:kern w:val="22"/>
          <w:szCs w:val="22"/>
        </w:rPr>
        <w:t xml:space="preserve">ost-2020 </w:t>
      </w:r>
      <w:r w:rsidR="00F42972" w:rsidRPr="00B324FA">
        <w:rPr>
          <w:rFonts w:eastAsia="Malgun Gothic"/>
          <w:kern w:val="22"/>
          <w:szCs w:val="22"/>
        </w:rPr>
        <w:t>G</w:t>
      </w:r>
      <w:r w:rsidR="00DD492F" w:rsidRPr="00B324FA">
        <w:rPr>
          <w:rFonts w:eastAsia="Malgun Gothic"/>
          <w:kern w:val="22"/>
          <w:szCs w:val="22"/>
        </w:rPr>
        <w:t xml:space="preserve">lobal </w:t>
      </w:r>
      <w:r w:rsidR="00F42972" w:rsidRPr="00B324FA">
        <w:rPr>
          <w:rFonts w:eastAsia="Malgun Gothic"/>
          <w:kern w:val="22"/>
          <w:szCs w:val="22"/>
        </w:rPr>
        <w:t>B</w:t>
      </w:r>
      <w:r w:rsidR="00DD492F" w:rsidRPr="00B324FA">
        <w:rPr>
          <w:rFonts w:eastAsia="Malgun Gothic"/>
          <w:kern w:val="22"/>
          <w:szCs w:val="22"/>
        </w:rPr>
        <w:t xml:space="preserve">iodiversity </w:t>
      </w:r>
      <w:r w:rsidR="00F42972" w:rsidRPr="00B324FA">
        <w:rPr>
          <w:rFonts w:eastAsia="Malgun Gothic"/>
          <w:kern w:val="22"/>
          <w:szCs w:val="22"/>
        </w:rPr>
        <w:t>F</w:t>
      </w:r>
      <w:r w:rsidR="00DD492F" w:rsidRPr="00B324FA">
        <w:rPr>
          <w:rFonts w:eastAsia="Malgun Gothic"/>
          <w:kern w:val="22"/>
          <w:szCs w:val="22"/>
        </w:rPr>
        <w:t>ramework</w:t>
      </w:r>
      <w:r w:rsidR="00DA1AB1" w:rsidRPr="00B324FA">
        <w:rPr>
          <w:rFonts w:eastAsia="Malgun Gothic"/>
          <w:kern w:val="22"/>
          <w:szCs w:val="22"/>
        </w:rPr>
        <w:t>.</w:t>
      </w:r>
      <w:r w:rsidR="007330D7" w:rsidRPr="00B324FA">
        <w:rPr>
          <w:rStyle w:val="FootnoteReference"/>
          <w:rFonts w:eastAsia="Malgun Gothic"/>
          <w:kern w:val="22"/>
          <w:szCs w:val="22"/>
        </w:rPr>
        <w:footnoteReference w:id="8"/>
      </w:r>
    </w:p>
    <w:p w14:paraId="78EAAC41" w14:textId="4B34ED19" w:rsidR="000A2DA8" w:rsidRPr="00B324FA" w:rsidRDefault="0032770E" w:rsidP="00866F16">
      <w:pPr>
        <w:pStyle w:val="Para1"/>
        <w:numPr>
          <w:ilvl w:val="0"/>
          <w:numId w:val="2"/>
        </w:numPr>
        <w:suppressLineNumbers/>
        <w:tabs>
          <w:tab w:val="clear" w:pos="360"/>
        </w:tabs>
        <w:suppressAutoHyphens/>
        <w:kinsoku w:val="0"/>
        <w:overflowPunct w:val="0"/>
        <w:autoSpaceDE w:val="0"/>
        <w:autoSpaceDN w:val="0"/>
        <w:adjustRightInd w:val="0"/>
        <w:snapToGrid w:val="0"/>
        <w:spacing w:line="235" w:lineRule="auto"/>
        <w:rPr>
          <w:rFonts w:eastAsia="Malgun Gothic"/>
          <w:kern w:val="22"/>
          <w:szCs w:val="22"/>
        </w:rPr>
      </w:pPr>
      <w:r w:rsidRPr="00B324FA">
        <w:rPr>
          <w:rFonts w:eastAsia="Malgun Gothic"/>
          <w:kern w:val="22"/>
          <w:szCs w:val="22"/>
        </w:rPr>
        <w:t xml:space="preserve">Baselines </w:t>
      </w:r>
      <w:r w:rsidR="005E2728" w:rsidRPr="00B324FA">
        <w:rPr>
          <w:rFonts w:eastAsia="Malgun Gothic"/>
          <w:kern w:val="22"/>
          <w:szCs w:val="22"/>
        </w:rPr>
        <w:t xml:space="preserve">provide </w:t>
      </w:r>
      <w:r w:rsidRPr="00B324FA">
        <w:rPr>
          <w:rFonts w:eastAsia="Malgun Gothic"/>
          <w:kern w:val="22"/>
          <w:szCs w:val="22"/>
        </w:rPr>
        <w:t xml:space="preserve">context </w:t>
      </w:r>
      <w:r w:rsidR="005E2728" w:rsidRPr="00B324FA">
        <w:rPr>
          <w:rFonts w:eastAsia="Malgun Gothic"/>
          <w:kern w:val="22"/>
          <w:szCs w:val="22"/>
        </w:rPr>
        <w:t xml:space="preserve">for evaluating progress at </w:t>
      </w:r>
      <w:r w:rsidR="003763E2" w:rsidRPr="00B324FA">
        <w:rPr>
          <w:rFonts w:eastAsia="Malgun Gothic"/>
          <w:kern w:val="22"/>
          <w:szCs w:val="22"/>
        </w:rPr>
        <w:t xml:space="preserve">the </w:t>
      </w:r>
      <w:r w:rsidR="005E2728" w:rsidRPr="00B324FA">
        <w:rPr>
          <w:rFonts w:eastAsia="Malgun Gothic"/>
          <w:kern w:val="22"/>
          <w:szCs w:val="22"/>
        </w:rPr>
        <w:t xml:space="preserve">national, </w:t>
      </w:r>
      <w:proofErr w:type="gramStart"/>
      <w:r w:rsidR="005E2728" w:rsidRPr="00B324FA">
        <w:rPr>
          <w:rFonts w:eastAsia="Malgun Gothic"/>
          <w:kern w:val="22"/>
          <w:szCs w:val="22"/>
        </w:rPr>
        <w:t>regional</w:t>
      </w:r>
      <w:proofErr w:type="gramEnd"/>
      <w:r w:rsidR="005E2728" w:rsidRPr="00B324FA">
        <w:rPr>
          <w:rFonts w:eastAsia="Malgun Gothic"/>
          <w:kern w:val="22"/>
          <w:szCs w:val="22"/>
        </w:rPr>
        <w:t xml:space="preserve"> or global scales.</w:t>
      </w:r>
      <w:r w:rsidRPr="00B324FA">
        <w:rPr>
          <w:rFonts w:eastAsia="Malgun Gothic"/>
          <w:kern w:val="22"/>
          <w:szCs w:val="22"/>
        </w:rPr>
        <w:t xml:space="preserve"> </w:t>
      </w:r>
      <w:r w:rsidR="005E2728" w:rsidRPr="00B324FA">
        <w:rPr>
          <w:rFonts w:eastAsia="Malgun Gothic"/>
          <w:kern w:val="22"/>
          <w:szCs w:val="22"/>
        </w:rPr>
        <w:t xml:space="preserve">They </w:t>
      </w:r>
      <w:r w:rsidRPr="00B324FA">
        <w:rPr>
          <w:rFonts w:eastAsia="Malgun Gothic"/>
          <w:kern w:val="22"/>
          <w:szCs w:val="22"/>
        </w:rPr>
        <w:t>can be set with reference to a directly observable record/state or can be inferred using models or proxies if direct observations are not possible.</w:t>
      </w:r>
      <w:r w:rsidR="005E2728" w:rsidRPr="00B324FA">
        <w:rPr>
          <w:rFonts w:eastAsia="Malgun Gothic"/>
          <w:kern w:val="22"/>
          <w:szCs w:val="22"/>
        </w:rPr>
        <w:t xml:space="preserve"> In the context of the post-2020 global biodiversity framework</w:t>
      </w:r>
      <w:r w:rsidR="00147B3F" w:rsidRPr="00B324FA">
        <w:rPr>
          <w:rFonts w:eastAsia="Malgun Gothic"/>
          <w:kern w:val="22"/>
          <w:szCs w:val="22"/>
        </w:rPr>
        <w:t>,</w:t>
      </w:r>
      <w:r w:rsidR="005E2728" w:rsidRPr="00B324FA">
        <w:rPr>
          <w:rFonts w:eastAsia="Malgun Gothic"/>
          <w:kern w:val="22"/>
          <w:szCs w:val="22"/>
        </w:rPr>
        <w:t xml:space="preserve"> baselines could be set for specific indicators or for the </w:t>
      </w:r>
      <w:proofErr w:type="gramStart"/>
      <w:r w:rsidR="005E2728" w:rsidRPr="00B324FA">
        <w:rPr>
          <w:rFonts w:eastAsia="Malgun Gothic"/>
          <w:kern w:val="22"/>
          <w:szCs w:val="22"/>
        </w:rPr>
        <w:t>framework as a whole</w:t>
      </w:r>
      <w:proofErr w:type="gramEnd"/>
      <w:r w:rsidR="00295C50" w:rsidRPr="00B324FA">
        <w:rPr>
          <w:rFonts w:eastAsia="Malgun Gothic"/>
          <w:kern w:val="22"/>
          <w:szCs w:val="22"/>
        </w:rPr>
        <w:t xml:space="preserve">. </w:t>
      </w:r>
      <w:r w:rsidR="005E2728" w:rsidRPr="00B324FA">
        <w:rPr>
          <w:rFonts w:eastAsia="Malgun Gothic"/>
          <w:kern w:val="22"/>
          <w:szCs w:val="22"/>
        </w:rPr>
        <w:t xml:space="preserve">In </w:t>
      </w:r>
      <w:r w:rsidR="00C63478" w:rsidRPr="00B324FA">
        <w:rPr>
          <w:rFonts w:eastAsia="Malgun Gothic"/>
          <w:kern w:val="22"/>
          <w:szCs w:val="22"/>
        </w:rPr>
        <w:t>addition,</w:t>
      </w:r>
      <w:r w:rsidR="005E2728" w:rsidRPr="00B324FA">
        <w:rPr>
          <w:rFonts w:eastAsia="Malgun Gothic"/>
          <w:kern w:val="22"/>
          <w:szCs w:val="22"/>
        </w:rPr>
        <w:t xml:space="preserve"> they could be linked to a specific date</w:t>
      </w:r>
      <w:r w:rsidR="00C63478" w:rsidRPr="00B324FA">
        <w:rPr>
          <w:rFonts w:eastAsia="Malgun Gothic"/>
          <w:kern w:val="22"/>
          <w:szCs w:val="22"/>
        </w:rPr>
        <w:t>,</w:t>
      </w:r>
      <w:r w:rsidR="005E2728" w:rsidRPr="00B324FA">
        <w:rPr>
          <w:rFonts w:eastAsia="Malgun Gothic"/>
          <w:kern w:val="22"/>
          <w:szCs w:val="22"/>
        </w:rPr>
        <w:t xml:space="preserve"> for an average of several dates</w:t>
      </w:r>
      <w:r w:rsidR="00C63478" w:rsidRPr="00B324FA">
        <w:rPr>
          <w:rFonts w:eastAsia="Malgun Gothic"/>
          <w:kern w:val="22"/>
          <w:szCs w:val="22"/>
        </w:rPr>
        <w:t xml:space="preserve"> or </w:t>
      </w:r>
      <w:r w:rsidR="00EF7CEA" w:rsidRPr="00B324FA">
        <w:rPr>
          <w:rFonts w:eastAsia="Malgun Gothic"/>
          <w:kern w:val="22"/>
          <w:szCs w:val="22"/>
        </w:rPr>
        <w:t xml:space="preserve">a </w:t>
      </w:r>
      <w:r w:rsidR="00C63478" w:rsidRPr="00B324FA">
        <w:rPr>
          <w:rFonts w:eastAsia="Malgun Gothic"/>
          <w:kern w:val="22"/>
          <w:szCs w:val="22"/>
        </w:rPr>
        <w:t>more general period of history</w:t>
      </w:r>
      <w:r w:rsidR="00FB1843" w:rsidRPr="00B324FA">
        <w:rPr>
          <w:rFonts w:eastAsia="Malgun Gothic"/>
          <w:kern w:val="22"/>
          <w:szCs w:val="22"/>
        </w:rPr>
        <w:t xml:space="preserve"> depending on the variability of the indicator and the context of the issue </w:t>
      </w:r>
      <w:r w:rsidR="00757636" w:rsidRPr="00B324FA">
        <w:rPr>
          <w:rFonts w:eastAsia="Malgun Gothic"/>
          <w:kern w:val="22"/>
          <w:szCs w:val="22"/>
        </w:rPr>
        <w:t>o</w:t>
      </w:r>
      <w:r w:rsidR="00FB1843" w:rsidRPr="00B324FA">
        <w:rPr>
          <w:rFonts w:eastAsia="Malgun Gothic"/>
          <w:kern w:val="22"/>
          <w:szCs w:val="22"/>
        </w:rPr>
        <w:t>n which it informs</w:t>
      </w:r>
      <w:r w:rsidR="005E2728" w:rsidRPr="00B324FA">
        <w:rPr>
          <w:rFonts w:eastAsia="Malgun Gothic"/>
          <w:kern w:val="22"/>
          <w:szCs w:val="22"/>
        </w:rPr>
        <w:t>. Through the process for developing the post-2020 global biodiversity framework</w:t>
      </w:r>
      <w:r w:rsidR="00331FAB" w:rsidRPr="00B324FA">
        <w:rPr>
          <w:rFonts w:eastAsia="Malgun Gothic"/>
          <w:kern w:val="22"/>
          <w:szCs w:val="22"/>
        </w:rPr>
        <w:t>,</w:t>
      </w:r>
      <w:r w:rsidR="005E2728" w:rsidRPr="00B324FA">
        <w:rPr>
          <w:rFonts w:eastAsia="Malgun Gothic"/>
          <w:kern w:val="22"/>
          <w:szCs w:val="22"/>
        </w:rPr>
        <w:t xml:space="preserve"> different perspectives on </w:t>
      </w:r>
      <w:r w:rsidR="00C63478" w:rsidRPr="00B324FA">
        <w:rPr>
          <w:rFonts w:eastAsia="Malgun Gothic"/>
          <w:kern w:val="22"/>
          <w:szCs w:val="22"/>
        </w:rPr>
        <w:t>possible baselines for the post-2020 global biodiversity framework have been suggested. These include</w:t>
      </w:r>
      <w:r w:rsidR="000A2DA8" w:rsidRPr="00B324FA">
        <w:rPr>
          <w:rFonts w:eastAsia="Malgun Gothic"/>
          <w:kern w:val="22"/>
          <w:szCs w:val="22"/>
        </w:rPr>
        <w:t>, p</w:t>
      </w:r>
      <w:r w:rsidRPr="00B324FA">
        <w:rPr>
          <w:rFonts w:eastAsia="Malgun Gothic"/>
          <w:kern w:val="22"/>
          <w:szCs w:val="22"/>
        </w:rPr>
        <w:t>re-human disturbance</w:t>
      </w:r>
      <w:r w:rsidR="000A2DA8" w:rsidRPr="00B324FA">
        <w:rPr>
          <w:rFonts w:eastAsia="Malgun Gothic"/>
          <w:kern w:val="22"/>
          <w:szCs w:val="22"/>
        </w:rPr>
        <w:t>, p</w:t>
      </w:r>
      <w:r w:rsidRPr="00B324FA">
        <w:rPr>
          <w:rFonts w:eastAsia="Malgun Gothic"/>
          <w:kern w:val="22"/>
          <w:szCs w:val="22"/>
        </w:rPr>
        <w:t>re-industrial</w:t>
      </w:r>
      <w:r w:rsidR="000A2DA8" w:rsidRPr="00B324FA">
        <w:rPr>
          <w:rFonts w:eastAsia="Malgun Gothic"/>
          <w:kern w:val="22"/>
          <w:szCs w:val="22"/>
        </w:rPr>
        <w:t xml:space="preserve">, </w:t>
      </w:r>
      <w:r w:rsidRPr="00B324FA">
        <w:rPr>
          <w:rFonts w:eastAsia="Malgun Gothic"/>
          <w:kern w:val="22"/>
          <w:szCs w:val="22"/>
        </w:rPr>
        <w:t>1970</w:t>
      </w:r>
      <w:r w:rsidR="000A2DA8" w:rsidRPr="00B324FA">
        <w:rPr>
          <w:rFonts w:eastAsia="Malgun Gothic"/>
          <w:kern w:val="22"/>
          <w:szCs w:val="22"/>
        </w:rPr>
        <w:t xml:space="preserve">, 1992, </w:t>
      </w:r>
      <w:r w:rsidRPr="00B324FA">
        <w:rPr>
          <w:rFonts w:eastAsia="Malgun Gothic"/>
          <w:kern w:val="22"/>
          <w:szCs w:val="22"/>
        </w:rPr>
        <w:t>2000</w:t>
      </w:r>
      <w:r w:rsidR="000A2DA8" w:rsidRPr="00B324FA">
        <w:rPr>
          <w:rFonts w:eastAsia="Malgun Gothic"/>
          <w:kern w:val="22"/>
          <w:szCs w:val="22"/>
        </w:rPr>
        <w:t>, 2010, and 2020.</w:t>
      </w:r>
    </w:p>
    <w:p w14:paraId="35C26886" w14:textId="65257DE1" w:rsidR="00672D4A" w:rsidRPr="00B324FA" w:rsidRDefault="000A2DA8" w:rsidP="00866F16">
      <w:pPr>
        <w:pStyle w:val="Para1"/>
        <w:numPr>
          <w:ilvl w:val="0"/>
          <w:numId w:val="2"/>
        </w:numPr>
        <w:suppressLineNumbers/>
        <w:tabs>
          <w:tab w:val="clear" w:pos="360"/>
        </w:tabs>
        <w:suppressAutoHyphens/>
        <w:kinsoku w:val="0"/>
        <w:overflowPunct w:val="0"/>
        <w:autoSpaceDE w:val="0"/>
        <w:autoSpaceDN w:val="0"/>
        <w:adjustRightInd w:val="0"/>
        <w:snapToGrid w:val="0"/>
        <w:spacing w:line="235" w:lineRule="auto"/>
        <w:rPr>
          <w:rFonts w:eastAsia="Malgun Gothic"/>
          <w:kern w:val="22"/>
          <w:szCs w:val="22"/>
        </w:rPr>
      </w:pPr>
      <w:bookmarkStart w:id="2" w:name="_Hlk52264373"/>
      <w:r w:rsidRPr="00B324FA">
        <w:rPr>
          <w:rFonts w:eastAsia="Malgun Gothic"/>
          <w:kern w:val="22"/>
          <w:szCs w:val="22"/>
        </w:rPr>
        <w:t xml:space="preserve">In </w:t>
      </w:r>
      <w:r w:rsidR="00536DBD" w:rsidRPr="00B324FA">
        <w:rPr>
          <w:rFonts w:eastAsia="Malgun Gothic"/>
          <w:kern w:val="22"/>
          <w:szCs w:val="22"/>
        </w:rPr>
        <w:t xml:space="preserve">the </w:t>
      </w:r>
      <w:r w:rsidRPr="00B324FA">
        <w:rPr>
          <w:rFonts w:eastAsia="Malgun Gothic"/>
          <w:kern w:val="22"/>
          <w:szCs w:val="22"/>
        </w:rPr>
        <w:t xml:space="preserve">light </w:t>
      </w:r>
      <w:r w:rsidR="00147B3F" w:rsidRPr="00B324FA">
        <w:rPr>
          <w:rFonts w:eastAsia="Malgun Gothic"/>
          <w:kern w:val="22"/>
          <w:szCs w:val="22"/>
        </w:rPr>
        <w:t xml:space="preserve">of the </w:t>
      </w:r>
      <w:r w:rsidRPr="00B324FA">
        <w:rPr>
          <w:rFonts w:eastAsia="Malgun Gothic"/>
          <w:kern w:val="22"/>
          <w:szCs w:val="22"/>
        </w:rPr>
        <w:t xml:space="preserve">above, the Subsidiary Body may wish to </w:t>
      </w:r>
      <w:r w:rsidR="00A25FDA" w:rsidRPr="00B324FA">
        <w:rPr>
          <w:rFonts w:eastAsia="Malgun Gothic"/>
          <w:kern w:val="22"/>
          <w:szCs w:val="22"/>
        </w:rPr>
        <w:t xml:space="preserve">note that different baselines may be appropriate for different purposes, while </w:t>
      </w:r>
      <w:r w:rsidRPr="00B324FA">
        <w:rPr>
          <w:rFonts w:eastAsia="Malgun Gothic"/>
          <w:kern w:val="22"/>
          <w:szCs w:val="22"/>
        </w:rPr>
        <w:t>using 2020</w:t>
      </w:r>
      <w:r w:rsidR="00A25FDA" w:rsidRPr="00B324FA">
        <w:rPr>
          <w:rFonts w:eastAsia="Malgun Gothic"/>
          <w:kern w:val="22"/>
          <w:szCs w:val="22"/>
        </w:rPr>
        <w:t xml:space="preserve">, </w:t>
      </w:r>
      <w:r w:rsidR="00A25FDA" w:rsidRPr="00B324FA">
        <w:rPr>
          <w:iCs/>
          <w:kern w:val="22"/>
          <w:szCs w:val="22"/>
        </w:rPr>
        <w:t xml:space="preserve">or the period 2016-2020, as appropriate, </w:t>
      </w:r>
      <w:r w:rsidR="00A25FDA" w:rsidRPr="00B324FA">
        <w:rPr>
          <w:rFonts w:eastAsia="Malgun Gothic"/>
          <w:kern w:val="22"/>
          <w:szCs w:val="22"/>
        </w:rPr>
        <w:t xml:space="preserve">as the global </w:t>
      </w:r>
      <w:r w:rsidR="00A25FDA" w:rsidRPr="00B324FA">
        <w:rPr>
          <w:iCs/>
          <w:kern w:val="22"/>
          <w:szCs w:val="22"/>
        </w:rPr>
        <w:t>reference year or reference period</w:t>
      </w:r>
      <w:r w:rsidRPr="00B324FA">
        <w:rPr>
          <w:rFonts w:eastAsia="Malgun Gothic"/>
          <w:kern w:val="22"/>
          <w:szCs w:val="22"/>
        </w:rPr>
        <w:t xml:space="preserve"> for monitoring progress towards the implementation of the post-2020 global biodiversity framework and its associated goals and targets.</w:t>
      </w:r>
      <w:r w:rsidR="00AA1F50" w:rsidRPr="00B324FA">
        <w:rPr>
          <w:rFonts w:eastAsia="Malgun Gothic"/>
          <w:kern w:val="22"/>
          <w:szCs w:val="22"/>
        </w:rPr>
        <w:t xml:space="preserve"> This</w:t>
      </w:r>
      <w:r w:rsidR="00FB1843" w:rsidRPr="00B324FA">
        <w:rPr>
          <w:rFonts w:eastAsia="Malgun Gothic"/>
          <w:kern w:val="22"/>
          <w:szCs w:val="22"/>
        </w:rPr>
        <w:t xml:space="preserve"> could</w:t>
      </w:r>
      <w:r w:rsidR="00AA1F50" w:rsidRPr="00B324FA">
        <w:rPr>
          <w:rFonts w:eastAsia="Malgun Gothic"/>
          <w:kern w:val="22"/>
          <w:szCs w:val="22"/>
        </w:rPr>
        <w:t xml:space="preserve"> provide the </w:t>
      </w:r>
      <w:r w:rsidR="002C365C" w:rsidRPr="00B324FA">
        <w:rPr>
          <w:rFonts w:eastAsia="Malgun Gothic"/>
          <w:kern w:val="22"/>
          <w:szCs w:val="22"/>
        </w:rPr>
        <w:t>most feasible</w:t>
      </w:r>
      <w:r w:rsidR="00AA1F50" w:rsidRPr="00B324FA">
        <w:rPr>
          <w:rFonts w:eastAsia="Malgun Gothic"/>
          <w:kern w:val="22"/>
          <w:szCs w:val="22"/>
        </w:rPr>
        <w:t xml:space="preserve"> </w:t>
      </w:r>
      <w:r w:rsidR="00165778" w:rsidRPr="00B324FA">
        <w:rPr>
          <w:rFonts w:eastAsia="Malgun Gothic"/>
          <w:kern w:val="22"/>
          <w:szCs w:val="22"/>
        </w:rPr>
        <w:t xml:space="preserve">starting point </w:t>
      </w:r>
      <w:r w:rsidR="00AA1F50" w:rsidRPr="00B324FA">
        <w:rPr>
          <w:rFonts w:eastAsia="Malgun Gothic"/>
          <w:kern w:val="22"/>
          <w:szCs w:val="22"/>
        </w:rPr>
        <w:t>for tracking the implementation of the global biodiversity framework as the aim would be to track actions and interventions taken after 2020 (as opposed to prior to 2020).</w:t>
      </w:r>
      <w:r w:rsidR="002C365C" w:rsidRPr="00B324FA">
        <w:rPr>
          <w:rFonts w:eastAsia="Malgun Gothic"/>
          <w:kern w:val="22"/>
          <w:szCs w:val="22"/>
        </w:rPr>
        <w:t xml:space="preserve"> However, longer</w:t>
      </w:r>
      <w:r w:rsidR="00263484" w:rsidRPr="00B324FA">
        <w:rPr>
          <w:rFonts w:eastAsia="Malgun Gothic"/>
          <w:kern w:val="22"/>
          <w:szCs w:val="22"/>
        </w:rPr>
        <w:t>-</w:t>
      </w:r>
      <w:r w:rsidR="002C365C" w:rsidRPr="00B324FA">
        <w:rPr>
          <w:rFonts w:eastAsia="Malgun Gothic"/>
          <w:kern w:val="22"/>
          <w:szCs w:val="22"/>
        </w:rPr>
        <w:t>term time series for the indicators should still be made available when possible.</w:t>
      </w:r>
      <w:r w:rsidR="006D6590" w:rsidRPr="00B324FA">
        <w:rPr>
          <w:rFonts w:eastAsia="Malgun Gothic"/>
          <w:kern w:val="22"/>
          <w:szCs w:val="22"/>
        </w:rPr>
        <w:t xml:space="preserve"> In cases where data for 2020 is not available</w:t>
      </w:r>
      <w:r w:rsidR="006B6F3A" w:rsidRPr="00B324FA">
        <w:rPr>
          <w:rFonts w:eastAsia="Malgun Gothic"/>
          <w:kern w:val="22"/>
          <w:szCs w:val="22"/>
        </w:rPr>
        <w:t>,</w:t>
      </w:r>
      <w:r w:rsidR="006D6590" w:rsidRPr="00B324FA">
        <w:rPr>
          <w:rFonts w:eastAsia="Malgun Gothic"/>
          <w:kern w:val="22"/>
          <w:szCs w:val="22"/>
        </w:rPr>
        <w:t xml:space="preserve"> data from the next closest available year could be used (for example 2019 or 202</w:t>
      </w:r>
      <w:r w:rsidR="006B6F3A" w:rsidRPr="00B324FA">
        <w:rPr>
          <w:rFonts w:eastAsia="Malgun Gothic"/>
          <w:kern w:val="22"/>
          <w:szCs w:val="22"/>
        </w:rPr>
        <w:t>1</w:t>
      </w:r>
      <w:r w:rsidR="006D6590" w:rsidRPr="00B324FA">
        <w:rPr>
          <w:rFonts w:eastAsia="Malgun Gothic"/>
          <w:kern w:val="22"/>
          <w:szCs w:val="22"/>
        </w:rPr>
        <w:t>). Further</w:t>
      </w:r>
      <w:r w:rsidR="0065542C" w:rsidRPr="00B324FA">
        <w:rPr>
          <w:rFonts w:eastAsia="Malgun Gothic"/>
          <w:kern w:val="22"/>
          <w:szCs w:val="22"/>
        </w:rPr>
        <w:t>,</w:t>
      </w:r>
      <w:r w:rsidR="006D6590" w:rsidRPr="00B324FA">
        <w:rPr>
          <w:rFonts w:eastAsia="Malgun Gothic"/>
          <w:kern w:val="22"/>
          <w:szCs w:val="22"/>
        </w:rPr>
        <w:t xml:space="preserve"> in cases where an indicator has high annual variability</w:t>
      </w:r>
      <w:r w:rsidR="0065542C" w:rsidRPr="00B324FA">
        <w:rPr>
          <w:rFonts w:eastAsia="Malgun Gothic"/>
          <w:kern w:val="22"/>
          <w:szCs w:val="22"/>
        </w:rPr>
        <w:t>,</w:t>
      </w:r>
      <w:r w:rsidR="006D6590" w:rsidRPr="00B324FA">
        <w:rPr>
          <w:rFonts w:eastAsia="Malgun Gothic"/>
          <w:kern w:val="22"/>
          <w:szCs w:val="22"/>
        </w:rPr>
        <w:t xml:space="preserve"> an average of </w:t>
      </w:r>
      <w:r w:rsidR="00AA1F50" w:rsidRPr="00B324FA">
        <w:rPr>
          <w:rFonts w:eastAsia="Malgun Gothic"/>
          <w:kern w:val="22"/>
          <w:szCs w:val="22"/>
        </w:rPr>
        <w:t>five</w:t>
      </w:r>
      <w:r w:rsidR="006D6590" w:rsidRPr="00B324FA">
        <w:rPr>
          <w:rFonts w:eastAsia="Malgun Gothic"/>
          <w:kern w:val="22"/>
          <w:szCs w:val="22"/>
        </w:rPr>
        <w:t xml:space="preserve"> years </w:t>
      </w:r>
      <w:r w:rsidR="00AA1F50" w:rsidRPr="00B324FA">
        <w:rPr>
          <w:rFonts w:eastAsia="Malgun Gothic"/>
          <w:kern w:val="22"/>
          <w:szCs w:val="22"/>
        </w:rPr>
        <w:t>is proposed</w:t>
      </w:r>
      <w:r w:rsidR="006D6590" w:rsidRPr="00B324FA">
        <w:rPr>
          <w:rFonts w:eastAsia="Malgun Gothic"/>
          <w:kern w:val="22"/>
          <w:szCs w:val="22"/>
        </w:rPr>
        <w:t xml:space="preserve"> (from 201</w:t>
      </w:r>
      <w:r w:rsidR="00AA1F50" w:rsidRPr="00B324FA">
        <w:rPr>
          <w:rFonts w:eastAsia="Malgun Gothic"/>
          <w:kern w:val="22"/>
          <w:szCs w:val="22"/>
        </w:rPr>
        <w:t>6</w:t>
      </w:r>
      <w:r w:rsidR="006D6590" w:rsidRPr="00B324FA">
        <w:rPr>
          <w:rFonts w:eastAsia="Malgun Gothic"/>
          <w:kern w:val="22"/>
          <w:szCs w:val="22"/>
        </w:rPr>
        <w:t xml:space="preserve"> to 2020</w:t>
      </w:r>
      <w:r w:rsidR="00AA1F50" w:rsidRPr="00B324FA">
        <w:rPr>
          <w:rFonts w:eastAsia="Malgun Gothic"/>
          <w:kern w:val="22"/>
          <w:szCs w:val="22"/>
        </w:rPr>
        <w:t>)</w:t>
      </w:r>
      <w:r w:rsidR="00FB1843" w:rsidRPr="00B324FA">
        <w:rPr>
          <w:rFonts w:eastAsia="Malgun Gothic"/>
          <w:kern w:val="22"/>
          <w:szCs w:val="22"/>
        </w:rPr>
        <w:t xml:space="preserve"> to indicate recent rates of change</w:t>
      </w:r>
      <w:r w:rsidR="006D6590" w:rsidRPr="00B324FA">
        <w:rPr>
          <w:rFonts w:eastAsia="Malgun Gothic"/>
          <w:kern w:val="22"/>
          <w:szCs w:val="22"/>
        </w:rPr>
        <w:t xml:space="preserve">. </w:t>
      </w:r>
      <w:r w:rsidR="006B6F3A" w:rsidRPr="00B324FA">
        <w:rPr>
          <w:rFonts w:eastAsia="Malgun Gothic"/>
          <w:kern w:val="22"/>
          <w:szCs w:val="22"/>
        </w:rPr>
        <w:t xml:space="preserve">This </w:t>
      </w:r>
      <w:r w:rsidR="00A25FDA" w:rsidRPr="00B324FA">
        <w:rPr>
          <w:rFonts w:eastAsia="Malgun Gothic"/>
          <w:kern w:val="22"/>
          <w:szCs w:val="22"/>
        </w:rPr>
        <w:t xml:space="preserve">reference year </w:t>
      </w:r>
      <w:r w:rsidR="006B6F3A" w:rsidRPr="00B324FA">
        <w:rPr>
          <w:rFonts w:eastAsia="Malgun Gothic"/>
          <w:kern w:val="22"/>
          <w:szCs w:val="22"/>
        </w:rPr>
        <w:t xml:space="preserve">would allow more indicators to be used in monitoring progress in implementation by allowing more recently developed indicators to be used. It would also provide a continuation from the Strategic Plan for Biodiversity 2011-2020. </w:t>
      </w:r>
      <w:r w:rsidR="00AA1F50" w:rsidRPr="00B324FA">
        <w:rPr>
          <w:rFonts w:eastAsia="Malgun Gothic"/>
          <w:kern w:val="22"/>
          <w:szCs w:val="22"/>
        </w:rPr>
        <w:t>Additionally, u</w:t>
      </w:r>
      <w:r w:rsidR="00575B9B" w:rsidRPr="00B324FA">
        <w:rPr>
          <w:rFonts w:eastAsia="Malgun Gothic"/>
          <w:kern w:val="22"/>
          <w:szCs w:val="22"/>
        </w:rPr>
        <w:t xml:space="preserve">sing a 2020 </w:t>
      </w:r>
      <w:r w:rsidR="00A25FDA" w:rsidRPr="00B324FA">
        <w:rPr>
          <w:rFonts w:eastAsia="Malgun Gothic"/>
          <w:kern w:val="22"/>
          <w:szCs w:val="22"/>
        </w:rPr>
        <w:t xml:space="preserve">reference year, </w:t>
      </w:r>
      <w:r w:rsidR="00A25FDA" w:rsidRPr="00B324FA">
        <w:rPr>
          <w:rFonts w:eastAsia="Malgun Gothic"/>
          <w:kern w:val="22"/>
          <w:szCs w:val="22"/>
        </w:rPr>
        <w:lastRenderedPageBreak/>
        <w:t xml:space="preserve">or 2016-2020 reference period </w:t>
      </w:r>
      <w:r w:rsidR="00575B9B" w:rsidRPr="00B324FA">
        <w:rPr>
          <w:rFonts w:eastAsia="Malgun Gothic"/>
          <w:kern w:val="22"/>
          <w:szCs w:val="22"/>
        </w:rPr>
        <w:t>would reduce the reporting burden on Parties as they would not need to identify and draw on historic records.</w:t>
      </w:r>
    </w:p>
    <w:p w14:paraId="4F6D6C00" w14:textId="77777777" w:rsidR="00C8289E" w:rsidRDefault="00C8289E" w:rsidP="00866F16">
      <w:pPr>
        <w:pStyle w:val="Para1"/>
        <w:numPr>
          <w:ilvl w:val="0"/>
          <w:numId w:val="0"/>
        </w:numPr>
        <w:suppressLineNumbers/>
        <w:tabs>
          <w:tab w:val="left" w:pos="720"/>
        </w:tabs>
        <w:suppressAutoHyphens/>
        <w:kinsoku w:val="0"/>
        <w:overflowPunct w:val="0"/>
        <w:autoSpaceDE w:val="0"/>
        <w:autoSpaceDN w:val="0"/>
        <w:adjustRightInd w:val="0"/>
        <w:snapToGrid w:val="0"/>
        <w:spacing w:line="235" w:lineRule="auto"/>
        <w:jc w:val="center"/>
        <w:rPr>
          <w:rFonts w:eastAsia="MS Mincho"/>
          <w:i/>
          <w:iCs/>
          <w:kern w:val="22"/>
          <w:szCs w:val="22"/>
        </w:rPr>
        <w:sectPr w:rsidR="00C8289E" w:rsidSect="00BC5354">
          <w:type w:val="continuous"/>
          <w:pgSz w:w="12240" w:h="15840"/>
          <w:pgMar w:top="1134" w:right="1389" w:bottom="1134" w:left="1389" w:header="709" w:footer="709" w:gutter="0"/>
          <w:cols w:space="708"/>
          <w:docGrid w:linePitch="360"/>
        </w:sectPr>
      </w:pPr>
    </w:p>
    <w:p w14:paraId="45863AD7" w14:textId="66C5DAF2" w:rsidR="00794BCD" w:rsidRPr="00B324FA" w:rsidRDefault="00794BCD" w:rsidP="00D45BE8">
      <w:pPr>
        <w:pStyle w:val="Para1"/>
        <w:numPr>
          <w:ilvl w:val="0"/>
          <w:numId w:val="0"/>
        </w:numPr>
        <w:suppressLineNumbers/>
        <w:suppressAutoHyphens/>
        <w:kinsoku w:val="0"/>
        <w:overflowPunct w:val="0"/>
        <w:autoSpaceDE w:val="0"/>
        <w:autoSpaceDN w:val="0"/>
        <w:adjustRightInd w:val="0"/>
        <w:snapToGrid w:val="0"/>
        <w:jc w:val="center"/>
        <w:rPr>
          <w:rFonts w:eastAsia="MS Mincho"/>
          <w:i/>
          <w:iCs/>
          <w:kern w:val="22"/>
          <w:szCs w:val="22"/>
        </w:rPr>
      </w:pPr>
      <w:r w:rsidRPr="00B324FA">
        <w:rPr>
          <w:rFonts w:eastAsia="MS Mincho"/>
          <w:i/>
          <w:iCs/>
          <w:kern w:val="22"/>
          <w:szCs w:val="22"/>
        </w:rPr>
        <w:lastRenderedPageBreak/>
        <w:t>Annex</w:t>
      </w:r>
    </w:p>
    <w:p w14:paraId="53016BF4" w14:textId="63233C44" w:rsidR="00794BCD" w:rsidRPr="00866F16" w:rsidRDefault="00794BCD" w:rsidP="00D45BE8">
      <w:pPr>
        <w:pStyle w:val="Para1"/>
        <w:numPr>
          <w:ilvl w:val="0"/>
          <w:numId w:val="0"/>
        </w:numPr>
        <w:suppressLineNumbers/>
        <w:suppressAutoHyphens/>
        <w:kinsoku w:val="0"/>
        <w:overflowPunct w:val="0"/>
        <w:autoSpaceDE w:val="0"/>
        <w:autoSpaceDN w:val="0"/>
        <w:adjustRightInd w:val="0"/>
        <w:snapToGrid w:val="0"/>
        <w:jc w:val="center"/>
        <w:rPr>
          <w:rFonts w:eastAsia="MS Mincho"/>
          <w:b/>
          <w:caps/>
          <w:kern w:val="22"/>
          <w:szCs w:val="22"/>
        </w:rPr>
      </w:pPr>
      <w:r w:rsidRPr="00866F16">
        <w:rPr>
          <w:rFonts w:eastAsia="MS Mincho"/>
          <w:b/>
          <w:caps/>
          <w:kern w:val="22"/>
          <w:szCs w:val="22"/>
        </w:rPr>
        <w:t>Proposed headline, component and complementary indicators to monitor implementation of the post-2020 global biodiversity framework</w:t>
      </w:r>
    </w:p>
    <w:tbl>
      <w:tblPr>
        <w:tblStyle w:val="TableGrid"/>
        <w:tblW w:w="14170" w:type="dxa"/>
        <w:jc w:val="center"/>
        <w:tblLook w:val="04A0" w:firstRow="1" w:lastRow="0" w:firstColumn="1" w:lastColumn="0" w:noHBand="0" w:noVBand="1"/>
      </w:tblPr>
      <w:tblGrid>
        <w:gridCol w:w="2447"/>
        <w:gridCol w:w="1959"/>
        <w:gridCol w:w="2369"/>
        <w:gridCol w:w="3568"/>
        <w:gridCol w:w="3827"/>
      </w:tblGrid>
      <w:tr w:rsidR="00366AA7" w:rsidRPr="00B324FA" w14:paraId="6813557D" w14:textId="77777777" w:rsidTr="00D45BE8">
        <w:trPr>
          <w:tblHeader/>
          <w:jc w:val="center"/>
        </w:trPr>
        <w:tc>
          <w:tcPr>
            <w:tcW w:w="2447" w:type="dxa"/>
            <w:vAlign w:val="center"/>
          </w:tcPr>
          <w:p w14:paraId="2AB2FFDB" w14:textId="7CF7F865" w:rsidR="00366AA7" w:rsidRPr="0099764F" w:rsidRDefault="00366AA7" w:rsidP="00D45BE8">
            <w:pPr>
              <w:suppressLineNumbers/>
              <w:suppressAutoHyphens/>
              <w:kinsoku w:val="0"/>
              <w:overflowPunct w:val="0"/>
              <w:autoSpaceDE w:val="0"/>
              <w:autoSpaceDN w:val="0"/>
              <w:adjustRightInd w:val="0"/>
              <w:snapToGrid w:val="0"/>
              <w:jc w:val="center"/>
              <w:rPr>
                <w:b/>
                <w:bCs/>
                <w:kern w:val="22"/>
                <w:szCs w:val="22"/>
              </w:rPr>
            </w:pPr>
            <w:r w:rsidRPr="00D45BE8">
              <w:rPr>
                <w:b/>
                <w:bCs/>
                <w:kern w:val="22"/>
                <w:szCs w:val="22"/>
              </w:rPr>
              <w:t xml:space="preserve">2050 Goals, </w:t>
            </w:r>
            <w:proofErr w:type="gramStart"/>
            <w:r w:rsidRPr="00D45BE8">
              <w:rPr>
                <w:b/>
                <w:bCs/>
                <w:kern w:val="22"/>
                <w:szCs w:val="22"/>
              </w:rPr>
              <w:t>milestones</w:t>
            </w:r>
            <w:proofErr w:type="gramEnd"/>
            <w:r w:rsidRPr="00D45BE8">
              <w:rPr>
                <w:b/>
                <w:bCs/>
                <w:kern w:val="22"/>
                <w:szCs w:val="22"/>
              </w:rPr>
              <w:t xml:space="preserve"> and Targets</w:t>
            </w:r>
            <w:r w:rsidRPr="00D45BE8">
              <w:rPr>
                <w:rStyle w:val="FootnoteReference"/>
                <w:b/>
                <w:bCs/>
                <w:kern w:val="22"/>
                <w:szCs w:val="22"/>
              </w:rPr>
              <w:footnoteReference w:id="9"/>
            </w:r>
          </w:p>
        </w:tc>
        <w:tc>
          <w:tcPr>
            <w:tcW w:w="1959" w:type="dxa"/>
            <w:vAlign w:val="center"/>
          </w:tcPr>
          <w:p w14:paraId="300E4662" w14:textId="77777777" w:rsidR="00366AA7" w:rsidRPr="0099764F" w:rsidRDefault="00366AA7" w:rsidP="00D45BE8">
            <w:pPr>
              <w:suppressLineNumbers/>
              <w:suppressAutoHyphens/>
              <w:kinsoku w:val="0"/>
              <w:overflowPunct w:val="0"/>
              <w:autoSpaceDE w:val="0"/>
              <w:autoSpaceDN w:val="0"/>
              <w:adjustRightInd w:val="0"/>
              <w:snapToGrid w:val="0"/>
              <w:jc w:val="center"/>
              <w:rPr>
                <w:b/>
                <w:bCs/>
                <w:kern w:val="22"/>
                <w:szCs w:val="22"/>
              </w:rPr>
            </w:pPr>
            <w:r w:rsidRPr="0099764F">
              <w:rPr>
                <w:b/>
                <w:bCs/>
                <w:kern w:val="22"/>
                <w:szCs w:val="22"/>
              </w:rPr>
              <w:t>Headline indicators</w:t>
            </w:r>
            <w:r w:rsidRPr="0099764F">
              <w:rPr>
                <w:rStyle w:val="FootnoteReference"/>
                <w:b/>
                <w:bCs/>
                <w:kern w:val="22"/>
                <w:szCs w:val="22"/>
              </w:rPr>
              <w:footnoteReference w:id="10"/>
            </w:r>
          </w:p>
        </w:tc>
        <w:tc>
          <w:tcPr>
            <w:tcW w:w="2369" w:type="dxa"/>
            <w:vAlign w:val="center"/>
          </w:tcPr>
          <w:p w14:paraId="2EAEDE91" w14:textId="78BA0980" w:rsidR="00366AA7" w:rsidRPr="0099764F" w:rsidRDefault="00366AA7" w:rsidP="00D45BE8">
            <w:pPr>
              <w:suppressLineNumbers/>
              <w:suppressAutoHyphens/>
              <w:kinsoku w:val="0"/>
              <w:overflowPunct w:val="0"/>
              <w:autoSpaceDE w:val="0"/>
              <w:autoSpaceDN w:val="0"/>
              <w:adjustRightInd w:val="0"/>
              <w:snapToGrid w:val="0"/>
              <w:jc w:val="center"/>
              <w:rPr>
                <w:b/>
                <w:bCs/>
                <w:kern w:val="22"/>
                <w:szCs w:val="22"/>
              </w:rPr>
            </w:pPr>
            <w:r w:rsidRPr="0099764F">
              <w:rPr>
                <w:b/>
                <w:bCs/>
                <w:kern w:val="22"/>
                <w:szCs w:val="22"/>
              </w:rPr>
              <w:t>Components of the Goals and Target</w:t>
            </w:r>
            <w:r w:rsidR="00DA1AB1" w:rsidRPr="0099764F">
              <w:rPr>
                <w:b/>
                <w:bCs/>
                <w:kern w:val="22"/>
                <w:szCs w:val="22"/>
              </w:rPr>
              <w:t>s</w:t>
            </w:r>
            <w:r w:rsidRPr="0099764F">
              <w:rPr>
                <w:rStyle w:val="FootnoteReference"/>
                <w:b/>
                <w:bCs/>
                <w:kern w:val="22"/>
                <w:szCs w:val="22"/>
              </w:rPr>
              <w:footnoteReference w:id="11"/>
            </w:r>
          </w:p>
        </w:tc>
        <w:tc>
          <w:tcPr>
            <w:tcW w:w="3568" w:type="dxa"/>
            <w:vAlign w:val="center"/>
          </w:tcPr>
          <w:p w14:paraId="059D26AA" w14:textId="74FC01CF" w:rsidR="00366AA7" w:rsidRPr="0099764F" w:rsidRDefault="00366AA7" w:rsidP="00D45BE8">
            <w:pPr>
              <w:suppressLineNumbers/>
              <w:suppressAutoHyphens/>
              <w:kinsoku w:val="0"/>
              <w:overflowPunct w:val="0"/>
              <w:autoSpaceDE w:val="0"/>
              <w:autoSpaceDN w:val="0"/>
              <w:adjustRightInd w:val="0"/>
              <w:snapToGrid w:val="0"/>
              <w:jc w:val="center"/>
              <w:rPr>
                <w:b/>
                <w:bCs/>
                <w:kern w:val="22"/>
                <w:szCs w:val="22"/>
              </w:rPr>
            </w:pPr>
            <w:r w:rsidRPr="0099764F">
              <w:rPr>
                <w:b/>
                <w:bCs/>
                <w:kern w:val="22"/>
                <w:szCs w:val="22"/>
              </w:rPr>
              <w:t>Component indic</w:t>
            </w:r>
            <w:r w:rsidR="00A13632" w:rsidRPr="0099764F">
              <w:rPr>
                <w:b/>
                <w:bCs/>
                <w:kern w:val="22"/>
                <w:szCs w:val="22"/>
              </w:rPr>
              <w:t>a</w:t>
            </w:r>
            <w:r w:rsidRPr="0099764F">
              <w:rPr>
                <w:b/>
                <w:bCs/>
                <w:kern w:val="22"/>
                <w:szCs w:val="22"/>
              </w:rPr>
              <w:t>tors</w:t>
            </w:r>
            <w:r w:rsidRPr="0099764F">
              <w:rPr>
                <w:rStyle w:val="FootnoteReference"/>
                <w:b/>
                <w:bCs/>
                <w:kern w:val="22"/>
                <w:szCs w:val="22"/>
              </w:rPr>
              <w:footnoteReference w:id="12"/>
            </w:r>
          </w:p>
        </w:tc>
        <w:tc>
          <w:tcPr>
            <w:tcW w:w="3827" w:type="dxa"/>
            <w:vAlign w:val="center"/>
          </w:tcPr>
          <w:p w14:paraId="78E0EDE5" w14:textId="77777777" w:rsidR="00366AA7" w:rsidRPr="0099764F" w:rsidRDefault="00366AA7" w:rsidP="00D45BE8">
            <w:pPr>
              <w:suppressLineNumbers/>
              <w:suppressAutoHyphens/>
              <w:kinsoku w:val="0"/>
              <w:overflowPunct w:val="0"/>
              <w:autoSpaceDE w:val="0"/>
              <w:autoSpaceDN w:val="0"/>
              <w:adjustRightInd w:val="0"/>
              <w:snapToGrid w:val="0"/>
              <w:jc w:val="center"/>
              <w:rPr>
                <w:b/>
                <w:bCs/>
                <w:kern w:val="22"/>
                <w:szCs w:val="22"/>
              </w:rPr>
            </w:pPr>
            <w:r w:rsidRPr="0099764F">
              <w:rPr>
                <w:b/>
                <w:bCs/>
                <w:kern w:val="22"/>
                <w:szCs w:val="22"/>
              </w:rPr>
              <w:t>Complementary indicators</w:t>
            </w:r>
            <w:r w:rsidRPr="0099764F">
              <w:rPr>
                <w:rStyle w:val="FootnoteReference"/>
                <w:b/>
                <w:bCs/>
                <w:kern w:val="22"/>
                <w:szCs w:val="22"/>
              </w:rPr>
              <w:footnoteReference w:id="13"/>
            </w:r>
          </w:p>
        </w:tc>
      </w:tr>
      <w:tr w:rsidR="00366AA7" w:rsidRPr="00B324FA" w14:paraId="56CB2FA3" w14:textId="77777777" w:rsidTr="0099764F">
        <w:trPr>
          <w:jc w:val="center"/>
        </w:trPr>
        <w:tc>
          <w:tcPr>
            <w:tcW w:w="2447" w:type="dxa"/>
          </w:tcPr>
          <w:p w14:paraId="48C37A72" w14:textId="77777777" w:rsidR="00366AA7" w:rsidRPr="00866F16" w:rsidRDefault="00366AA7" w:rsidP="00866F16">
            <w:pPr>
              <w:pStyle w:val="ListParagraph"/>
              <w:suppressLineNumbers/>
              <w:suppressAutoHyphens/>
              <w:kinsoku w:val="0"/>
              <w:overflowPunct w:val="0"/>
              <w:autoSpaceDE w:val="0"/>
              <w:autoSpaceDN w:val="0"/>
              <w:adjustRightInd w:val="0"/>
              <w:snapToGrid w:val="0"/>
              <w:spacing w:before="60" w:after="60"/>
              <w:ind w:left="32"/>
              <w:jc w:val="left"/>
              <w:rPr>
                <w:b/>
                <w:bCs/>
                <w:kern w:val="22"/>
                <w:szCs w:val="22"/>
              </w:rPr>
            </w:pPr>
            <w:r w:rsidRPr="00866F16">
              <w:rPr>
                <w:b/>
                <w:bCs/>
                <w:kern w:val="22"/>
                <w:szCs w:val="22"/>
              </w:rPr>
              <w:t>Goal A:</w:t>
            </w:r>
          </w:p>
          <w:p w14:paraId="0E3D3FAF" w14:textId="77777777" w:rsidR="00366AA7" w:rsidRPr="00866F16" w:rsidRDefault="00366AA7" w:rsidP="00866F16">
            <w:pPr>
              <w:pStyle w:val="ListParagraph"/>
              <w:suppressLineNumbers/>
              <w:suppressAutoHyphens/>
              <w:kinsoku w:val="0"/>
              <w:overflowPunct w:val="0"/>
              <w:autoSpaceDE w:val="0"/>
              <w:autoSpaceDN w:val="0"/>
              <w:adjustRightInd w:val="0"/>
              <w:snapToGrid w:val="0"/>
              <w:spacing w:before="60" w:after="60"/>
              <w:ind w:left="32"/>
              <w:jc w:val="left"/>
              <w:rPr>
                <w:kern w:val="22"/>
                <w:szCs w:val="22"/>
              </w:rPr>
            </w:pPr>
            <w:r w:rsidRPr="00866F16">
              <w:rPr>
                <w:kern w:val="22"/>
                <w:szCs w:val="22"/>
              </w:rPr>
              <w:t>The area, connectivity and integrity of natural ecosystems increased by at least [X%] supporting healthy and resilient populations of all species while reducing the number of species that are threatened by [X%] and maintaining genetic diversity;</w:t>
            </w:r>
          </w:p>
          <w:p w14:paraId="5EC0CF00" w14:textId="77777777" w:rsidR="00366AA7" w:rsidRPr="00866F16"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p>
          <w:p w14:paraId="25D21635" w14:textId="77777777" w:rsidR="00366AA7" w:rsidRPr="00866F16" w:rsidRDefault="00366AA7" w:rsidP="00866F16">
            <w:pPr>
              <w:suppressLineNumbers/>
              <w:suppressAutoHyphens/>
              <w:kinsoku w:val="0"/>
              <w:overflowPunct w:val="0"/>
              <w:autoSpaceDE w:val="0"/>
              <w:autoSpaceDN w:val="0"/>
              <w:adjustRightInd w:val="0"/>
              <w:snapToGrid w:val="0"/>
              <w:spacing w:before="60" w:after="60"/>
              <w:jc w:val="left"/>
              <w:rPr>
                <w:b/>
                <w:bCs/>
                <w:kern w:val="22"/>
                <w:szCs w:val="22"/>
              </w:rPr>
            </w:pPr>
            <w:r w:rsidRPr="00866F16">
              <w:rPr>
                <w:b/>
                <w:bCs/>
                <w:kern w:val="22"/>
                <w:szCs w:val="22"/>
              </w:rPr>
              <w:t>2030 Milestones:</w:t>
            </w:r>
          </w:p>
          <w:p w14:paraId="07AAB59E" w14:textId="24DCBDF0" w:rsidR="00366AA7" w:rsidRPr="00866F16" w:rsidRDefault="00DA1AB1" w:rsidP="00866F16">
            <w:pPr>
              <w:pStyle w:val="ListParagraph"/>
              <w:suppressLineNumbers/>
              <w:suppressAutoHyphens/>
              <w:kinsoku w:val="0"/>
              <w:overflowPunct w:val="0"/>
              <w:autoSpaceDE w:val="0"/>
              <w:autoSpaceDN w:val="0"/>
              <w:adjustRightInd w:val="0"/>
              <w:snapToGrid w:val="0"/>
              <w:spacing w:before="60" w:after="60"/>
              <w:ind w:left="32"/>
              <w:jc w:val="left"/>
              <w:rPr>
                <w:kern w:val="22"/>
                <w:szCs w:val="22"/>
              </w:rPr>
            </w:pPr>
            <w:r w:rsidRPr="00866F16">
              <w:rPr>
                <w:kern w:val="22"/>
                <w:szCs w:val="22"/>
              </w:rPr>
              <w:t>(</w:t>
            </w:r>
            <w:proofErr w:type="spellStart"/>
            <w:r w:rsidR="00366AA7" w:rsidRPr="00866F16">
              <w:rPr>
                <w:kern w:val="22"/>
                <w:szCs w:val="22"/>
              </w:rPr>
              <w:t>i</w:t>
            </w:r>
            <w:proofErr w:type="spellEnd"/>
            <w:r w:rsidR="00366AA7" w:rsidRPr="00866F16">
              <w:rPr>
                <w:kern w:val="22"/>
                <w:szCs w:val="22"/>
              </w:rPr>
              <w:t>) The area, connectivity and integrity of natural systems increased by at least [5%].</w:t>
            </w:r>
          </w:p>
          <w:p w14:paraId="72C79D24" w14:textId="6D76BA0A" w:rsidR="00366AA7" w:rsidRPr="00866F16" w:rsidRDefault="00DA1AB1" w:rsidP="00C521A8">
            <w:pPr>
              <w:pStyle w:val="ListParagraph"/>
              <w:suppressLineNumbers/>
              <w:suppressAutoHyphens/>
              <w:kinsoku w:val="0"/>
              <w:overflowPunct w:val="0"/>
              <w:autoSpaceDE w:val="0"/>
              <w:autoSpaceDN w:val="0"/>
              <w:adjustRightInd w:val="0"/>
              <w:snapToGrid w:val="0"/>
              <w:spacing w:before="60" w:after="60"/>
              <w:ind w:left="32"/>
              <w:jc w:val="left"/>
              <w:rPr>
                <w:kern w:val="22"/>
                <w:szCs w:val="22"/>
              </w:rPr>
            </w:pPr>
            <w:r w:rsidRPr="00866F16">
              <w:rPr>
                <w:kern w:val="22"/>
                <w:szCs w:val="22"/>
              </w:rPr>
              <w:t>(</w:t>
            </w:r>
            <w:r w:rsidR="00366AA7" w:rsidRPr="00866F16">
              <w:rPr>
                <w:kern w:val="22"/>
                <w:szCs w:val="22"/>
              </w:rPr>
              <w:t xml:space="preserve">ii) The number of species that are threatened is reduced by [X%] and the abundance </w:t>
            </w:r>
            <w:r w:rsidR="00366AA7" w:rsidRPr="00866F16">
              <w:rPr>
                <w:kern w:val="22"/>
                <w:szCs w:val="22"/>
              </w:rPr>
              <w:lastRenderedPageBreak/>
              <w:t>of species has increased on average by [X%].</w:t>
            </w:r>
          </w:p>
        </w:tc>
        <w:tc>
          <w:tcPr>
            <w:tcW w:w="1959" w:type="dxa"/>
          </w:tcPr>
          <w:p w14:paraId="6EE47459" w14:textId="77777777" w:rsidR="00366AA7" w:rsidRPr="00866F16"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866F16">
              <w:rPr>
                <w:kern w:val="22"/>
                <w:szCs w:val="22"/>
              </w:rPr>
              <w:lastRenderedPageBreak/>
              <w:t>A.0.1 Extent of selected natural ecosystems (forest, savannahs and grasslands, wetlands, mangroves, saltmarshes, coral reef, seagrass, macroalgae and intertidal habitats)</w:t>
            </w:r>
          </w:p>
          <w:p w14:paraId="4D50675A" w14:textId="77777777" w:rsidR="00366AA7" w:rsidRPr="00866F16"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866F16">
              <w:rPr>
                <w:kern w:val="22"/>
                <w:szCs w:val="22"/>
              </w:rPr>
              <w:t>A.0.2 Living Planet Index</w:t>
            </w:r>
          </w:p>
          <w:p w14:paraId="2099CCA0" w14:textId="77777777" w:rsidR="00366AA7" w:rsidRPr="00866F16"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866F16">
              <w:rPr>
                <w:kern w:val="22"/>
                <w:szCs w:val="22"/>
              </w:rPr>
              <w:t xml:space="preserve">A.0.3 Red list index </w:t>
            </w:r>
          </w:p>
          <w:p w14:paraId="474BE34D" w14:textId="77777777" w:rsidR="00366AA7" w:rsidRPr="00866F16"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866F16">
              <w:rPr>
                <w:kern w:val="22"/>
                <w:szCs w:val="22"/>
              </w:rPr>
              <w:t>A.0.4 Species habitat index</w:t>
            </w:r>
          </w:p>
          <w:p w14:paraId="706A6948" w14:textId="140B6F0F" w:rsidR="00366AA7" w:rsidRPr="00866F16"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866F16">
              <w:rPr>
                <w:kern w:val="22"/>
                <w:szCs w:val="22"/>
              </w:rPr>
              <w:t>A.0.5 The proportion of populations maintained within species*</w:t>
            </w:r>
          </w:p>
        </w:tc>
        <w:tc>
          <w:tcPr>
            <w:tcW w:w="2369" w:type="dxa"/>
          </w:tcPr>
          <w:p w14:paraId="3D55F128" w14:textId="77777777" w:rsidR="00366AA7" w:rsidRPr="00866F16" w:rsidRDefault="00366AA7" w:rsidP="00866F16">
            <w:pPr>
              <w:suppressLineNumbers/>
              <w:tabs>
                <w:tab w:val="left" w:pos="270"/>
              </w:tabs>
              <w:suppressAutoHyphens/>
              <w:kinsoku w:val="0"/>
              <w:overflowPunct w:val="0"/>
              <w:autoSpaceDE w:val="0"/>
              <w:autoSpaceDN w:val="0"/>
              <w:adjustRightInd w:val="0"/>
              <w:snapToGrid w:val="0"/>
              <w:spacing w:before="60" w:after="60"/>
              <w:ind w:left="-14"/>
              <w:jc w:val="left"/>
              <w:rPr>
                <w:kern w:val="22"/>
                <w:szCs w:val="22"/>
              </w:rPr>
            </w:pPr>
            <w:r w:rsidRPr="00866F16">
              <w:rPr>
                <w:kern w:val="22"/>
                <w:szCs w:val="22"/>
              </w:rPr>
              <w:t xml:space="preserve">A.1. Increased extent of natural ecosystems (terrestrial, </w:t>
            </w:r>
            <w:proofErr w:type="gramStart"/>
            <w:r w:rsidRPr="00866F16">
              <w:rPr>
                <w:kern w:val="22"/>
                <w:szCs w:val="22"/>
              </w:rPr>
              <w:t>freshwater</w:t>
            </w:r>
            <w:proofErr w:type="gramEnd"/>
            <w:r w:rsidRPr="00866F16">
              <w:rPr>
                <w:kern w:val="22"/>
                <w:szCs w:val="22"/>
              </w:rPr>
              <w:t xml:space="preserve"> and marine ecosystems)</w:t>
            </w:r>
          </w:p>
          <w:p w14:paraId="25116B11" w14:textId="77777777" w:rsidR="00366AA7" w:rsidRPr="00866F16" w:rsidRDefault="00366AA7" w:rsidP="00866F16">
            <w:pPr>
              <w:pStyle w:val="ListParagraph"/>
              <w:suppressLineNumbers/>
              <w:tabs>
                <w:tab w:val="left" w:pos="270"/>
              </w:tabs>
              <w:suppressAutoHyphens/>
              <w:kinsoku w:val="0"/>
              <w:overflowPunct w:val="0"/>
              <w:autoSpaceDE w:val="0"/>
              <w:autoSpaceDN w:val="0"/>
              <w:adjustRightInd w:val="0"/>
              <w:snapToGrid w:val="0"/>
              <w:spacing w:before="60" w:after="60"/>
              <w:ind w:left="-14"/>
              <w:jc w:val="left"/>
              <w:rPr>
                <w:kern w:val="22"/>
                <w:szCs w:val="22"/>
              </w:rPr>
            </w:pPr>
            <w:r w:rsidRPr="00866F16">
              <w:rPr>
                <w:kern w:val="22"/>
                <w:szCs w:val="22"/>
              </w:rPr>
              <w:t xml:space="preserve">A.2. Ecosystem integrity and connectivity (terrestrial, </w:t>
            </w:r>
            <w:proofErr w:type="gramStart"/>
            <w:r w:rsidRPr="00866F16">
              <w:rPr>
                <w:kern w:val="22"/>
                <w:szCs w:val="22"/>
              </w:rPr>
              <w:t>freshwater</w:t>
            </w:r>
            <w:proofErr w:type="gramEnd"/>
            <w:r w:rsidRPr="00866F16">
              <w:rPr>
                <w:kern w:val="22"/>
                <w:szCs w:val="22"/>
              </w:rPr>
              <w:t xml:space="preserve"> and marine ecosystems)</w:t>
            </w:r>
          </w:p>
          <w:p w14:paraId="2845355B" w14:textId="7D1B3DA2" w:rsidR="00366AA7" w:rsidRPr="00866F16" w:rsidRDefault="00366AA7" w:rsidP="00866F16">
            <w:pPr>
              <w:pStyle w:val="ListParagraph"/>
              <w:suppressLineNumbers/>
              <w:tabs>
                <w:tab w:val="left" w:pos="270"/>
              </w:tabs>
              <w:suppressAutoHyphens/>
              <w:kinsoku w:val="0"/>
              <w:overflowPunct w:val="0"/>
              <w:autoSpaceDE w:val="0"/>
              <w:autoSpaceDN w:val="0"/>
              <w:adjustRightInd w:val="0"/>
              <w:snapToGrid w:val="0"/>
              <w:spacing w:before="60" w:after="60"/>
              <w:ind w:left="-14"/>
              <w:jc w:val="left"/>
              <w:rPr>
                <w:kern w:val="22"/>
                <w:szCs w:val="22"/>
              </w:rPr>
            </w:pPr>
            <w:r w:rsidRPr="00866F16">
              <w:rPr>
                <w:kern w:val="22"/>
                <w:szCs w:val="22"/>
              </w:rPr>
              <w:t>A.3. Prevent extinction and improve the conservation status of species</w:t>
            </w:r>
          </w:p>
          <w:p w14:paraId="021CB728" w14:textId="77777777" w:rsidR="00366AA7" w:rsidRPr="00866F16" w:rsidRDefault="00366AA7" w:rsidP="00866F16">
            <w:pPr>
              <w:pStyle w:val="ListParagraph"/>
              <w:suppressLineNumbers/>
              <w:tabs>
                <w:tab w:val="left" w:pos="270"/>
              </w:tabs>
              <w:suppressAutoHyphens/>
              <w:kinsoku w:val="0"/>
              <w:overflowPunct w:val="0"/>
              <w:autoSpaceDE w:val="0"/>
              <w:autoSpaceDN w:val="0"/>
              <w:adjustRightInd w:val="0"/>
              <w:snapToGrid w:val="0"/>
              <w:spacing w:before="60" w:after="60"/>
              <w:ind w:left="-14"/>
              <w:jc w:val="left"/>
              <w:rPr>
                <w:kern w:val="22"/>
                <w:szCs w:val="22"/>
              </w:rPr>
            </w:pPr>
            <w:r w:rsidRPr="00866F16">
              <w:rPr>
                <w:kern w:val="22"/>
                <w:szCs w:val="22"/>
              </w:rPr>
              <w:t>A.4. Increase the population and health of species</w:t>
            </w:r>
          </w:p>
          <w:p w14:paraId="22AB3DDE" w14:textId="15B05A29" w:rsidR="00366AA7" w:rsidRPr="00866F16" w:rsidRDefault="00366AA7" w:rsidP="00866F16">
            <w:pPr>
              <w:pStyle w:val="ListParagraph"/>
              <w:suppressLineNumbers/>
              <w:tabs>
                <w:tab w:val="left" w:pos="270"/>
              </w:tabs>
              <w:suppressAutoHyphens/>
              <w:kinsoku w:val="0"/>
              <w:overflowPunct w:val="0"/>
              <w:autoSpaceDE w:val="0"/>
              <w:autoSpaceDN w:val="0"/>
              <w:adjustRightInd w:val="0"/>
              <w:snapToGrid w:val="0"/>
              <w:spacing w:before="60" w:after="60"/>
              <w:ind w:left="-14"/>
              <w:jc w:val="left"/>
              <w:rPr>
                <w:kern w:val="22"/>
                <w:szCs w:val="22"/>
              </w:rPr>
            </w:pPr>
            <w:r w:rsidRPr="00866F16">
              <w:rPr>
                <w:kern w:val="22"/>
                <w:szCs w:val="22"/>
              </w:rPr>
              <w:t xml:space="preserve">A.5. Maintain </w:t>
            </w:r>
            <w:r w:rsidR="00DA1AB1" w:rsidRPr="00866F16">
              <w:rPr>
                <w:kern w:val="22"/>
                <w:szCs w:val="22"/>
              </w:rPr>
              <w:t>g</w:t>
            </w:r>
            <w:r w:rsidRPr="00866F16">
              <w:rPr>
                <w:kern w:val="22"/>
                <w:szCs w:val="22"/>
              </w:rPr>
              <w:t>enetic diversity</w:t>
            </w:r>
          </w:p>
          <w:p w14:paraId="1E713A4E" w14:textId="77777777" w:rsidR="00366AA7" w:rsidRPr="00866F16" w:rsidRDefault="00366AA7" w:rsidP="00866F16">
            <w:pPr>
              <w:pStyle w:val="ListParagraph"/>
              <w:suppressLineNumbers/>
              <w:tabs>
                <w:tab w:val="left" w:pos="270"/>
              </w:tabs>
              <w:suppressAutoHyphens/>
              <w:kinsoku w:val="0"/>
              <w:overflowPunct w:val="0"/>
              <w:autoSpaceDE w:val="0"/>
              <w:autoSpaceDN w:val="0"/>
              <w:adjustRightInd w:val="0"/>
              <w:snapToGrid w:val="0"/>
              <w:spacing w:before="60" w:after="60"/>
              <w:ind w:left="-14"/>
              <w:jc w:val="left"/>
              <w:rPr>
                <w:kern w:val="22"/>
                <w:szCs w:val="22"/>
              </w:rPr>
            </w:pPr>
            <w:r w:rsidRPr="00866F16">
              <w:rPr>
                <w:kern w:val="22"/>
                <w:szCs w:val="22"/>
              </w:rPr>
              <w:t>A.6. Protection of critical ecosystems</w:t>
            </w:r>
          </w:p>
        </w:tc>
        <w:tc>
          <w:tcPr>
            <w:tcW w:w="3568" w:type="dxa"/>
          </w:tcPr>
          <w:p w14:paraId="78D685D8" w14:textId="77777777" w:rsidR="00366AA7" w:rsidRPr="00866F16" w:rsidRDefault="00366AA7" w:rsidP="00866F16">
            <w:pPr>
              <w:pStyle w:val="ListParagraph"/>
              <w:suppressLineNumbers/>
              <w:tabs>
                <w:tab w:val="left" w:pos="270"/>
              </w:tabs>
              <w:suppressAutoHyphens/>
              <w:kinsoku w:val="0"/>
              <w:overflowPunct w:val="0"/>
              <w:autoSpaceDE w:val="0"/>
              <w:autoSpaceDN w:val="0"/>
              <w:adjustRightInd w:val="0"/>
              <w:snapToGrid w:val="0"/>
              <w:spacing w:before="60" w:after="60"/>
              <w:ind w:left="0"/>
              <w:jc w:val="left"/>
              <w:rPr>
                <w:kern w:val="22"/>
                <w:szCs w:val="22"/>
              </w:rPr>
            </w:pPr>
            <w:r w:rsidRPr="00866F16">
              <w:rPr>
                <w:kern w:val="22"/>
                <w:szCs w:val="22"/>
              </w:rPr>
              <w:t xml:space="preserve">A.1.1. Extent of natural ecosystem (A.0.1) by type </w:t>
            </w:r>
          </w:p>
          <w:p w14:paraId="58D9A28F" w14:textId="77777777" w:rsidR="00366AA7" w:rsidRPr="00866F16" w:rsidRDefault="00366AA7" w:rsidP="00866F16">
            <w:pPr>
              <w:pStyle w:val="ListParagraph"/>
              <w:suppressLineNumbers/>
              <w:tabs>
                <w:tab w:val="left" w:pos="270"/>
              </w:tabs>
              <w:suppressAutoHyphens/>
              <w:kinsoku w:val="0"/>
              <w:overflowPunct w:val="0"/>
              <w:autoSpaceDE w:val="0"/>
              <w:autoSpaceDN w:val="0"/>
              <w:adjustRightInd w:val="0"/>
              <w:snapToGrid w:val="0"/>
              <w:spacing w:before="60" w:after="60"/>
              <w:ind w:left="0"/>
              <w:jc w:val="left"/>
              <w:rPr>
                <w:kern w:val="22"/>
                <w:szCs w:val="22"/>
              </w:rPr>
            </w:pPr>
            <w:r w:rsidRPr="00866F16">
              <w:rPr>
                <w:kern w:val="22"/>
                <w:szCs w:val="22"/>
              </w:rPr>
              <w:t>A.1.2. Ecosystem Integrity Index</w:t>
            </w:r>
          </w:p>
          <w:p w14:paraId="303E21CA" w14:textId="77777777" w:rsidR="00366AA7" w:rsidRPr="00866F16" w:rsidRDefault="00366AA7" w:rsidP="00866F16">
            <w:pPr>
              <w:pStyle w:val="ListParagraph"/>
              <w:suppressLineNumbers/>
              <w:tabs>
                <w:tab w:val="left" w:pos="270"/>
              </w:tabs>
              <w:suppressAutoHyphens/>
              <w:kinsoku w:val="0"/>
              <w:overflowPunct w:val="0"/>
              <w:autoSpaceDE w:val="0"/>
              <w:autoSpaceDN w:val="0"/>
              <w:adjustRightInd w:val="0"/>
              <w:snapToGrid w:val="0"/>
              <w:spacing w:before="60" w:after="60"/>
              <w:ind w:left="0"/>
              <w:jc w:val="left"/>
              <w:rPr>
                <w:kern w:val="22"/>
                <w:szCs w:val="22"/>
              </w:rPr>
            </w:pPr>
            <w:r w:rsidRPr="00866F16">
              <w:rPr>
                <w:kern w:val="22"/>
                <w:szCs w:val="22"/>
              </w:rPr>
              <w:t>A.1.3. Proportion of land that is degraded over total land area (SDG indicator for SDG 15.3.1)</w:t>
            </w:r>
          </w:p>
          <w:p w14:paraId="5AA3140E" w14:textId="77777777" w:rsidR="00366AA7" w:rsidRPr="00866F16" w:rsidRDefault="00366AA7" w:rsidP="00866F16">
            <w:pPr>
              <w:pStyle w:val="ListParagraph"/>
              <w:suppressLineNumbers/>
              <w:tabs>
                <w:tab w:val="left" w:pos="270"/>
              </w:tabs>
              <w:suppressAutoHyphens/>
              <w:kinsoku w:val="0"/>
              <w:overflowPunct w:val="0"/>
              <w:autoSpaceDE w:val="0"/>
              <w:autoSpaceDN w:val="0"/>
              <w:adjustRightInd w:val="0"/>
              <w:snapToGrid w:val="0"/>
              <w:spacing w:before="60" w:after="60"/>
              <w:ind w:left="0"/>
              <w:jc w:val="left"/>
              <w:rPr>
                <w:kern w:val="22"/>
                <w:szCs w:val="22"/>
              </w:rPr>
            </w:pPr>
            <w:r w:rsidRPr="00866F16">
              <w:rPr>
                <w:kern w:val="22"/>
                <w:szCs w:val="22"/>
              </w:rPr>
              <w:t xml:space="preserve">A.1.4. Red list index by species group (including for terrestrial, </w:t>
            </w:r>
            <w:proofErr w:type="gramStart"/>
            <w:r w:rsidRPr="00866F16">
              <w:rPr>
                <w:kern w:val="22"/>
                <w:szCs w:val="22"/>
              </w:rPr>
              <w:t>freshwater</w:t>
            </w:r>
            <w:proofErr w:type="gramEnd"/>
            <w:r w:rsidRPr="00866F16">
              <w:rPr>
                <w:kern w:val="22"/>
                <w:szCs w:val="22"/>
              </w:rPr>
              <w:t xml:space="preserve"> and marine species)</w:t>
            </w:r>
          </w:p>
          <w:p w14:paraId="3D45367A" w14:textId="77777777" w:rsidR="00366AA7" w:rsidRPr="00866F16" w:rsidRDefault="00366AA7" w:rsidP="00866F16">
            <w:pPr>
              <w:pStyle w:val="ListParagraph"/>
              <w:suppressLineNumbers/>
              <w:tabs>
                <w:tab w:val="left" w:pos="270"/>
              </w:tabs>
              <w:suppressAutoHyphens/>
              <w:kinsoku w:val="0"/>
              <w:overflowPunct w:val="0"/>
              <w:autoSpaceDE w:val="0"/>
              <w:autoSpaceDN w:val="0"/>
              <w:adjustRightInd w:val="0"/>
              <w:snapToGrid w:val="0"/>
              <w:spacing w:before="60" w:after="60"/>
              <w:ind w:left="0"/>
              <w:jc w:val="left"/>
              <w:rPr>
                <w:kern w:val="22"/>
                <w:szCs w:val="22"/>
              </w:rPr>
            </w:pPr>
            <w:r w:rsidRPr="00866F16">
              <w:rPr>
                <w:kern w:val="22"/>
                <w:szCs w:val="22"/>
              </w:rPr>
              <w:t xml:space="preserve">A.1.5. Number of species extinctions by species group (including for terrestrial, </w:t>
            </w:r>
            <w:proofErr w:type="gramStart"/>
            <w:r w:rsidRPr="00866F16">
              <w:rPr>
                <w:kern w:val="22"/>
                <w:szCs w:val="22"/>
              </w:rPr>
              <w:t>freshwater</w:t>
            </w:r>
            <w:proofErr w:type="gramEnd"/>
            <w:r w:rsidRPr="00866F16">
              <w:rPr>
                <w:kern w:val="22"/>
                <w:szCs w:val="22"/>
              </w:rPr>
              <w:t xml:space="preserve"> and marine species)</w:t>
            </w:r>
          </w:p>
          <w:p w14:paraId="2347B48C" w14:textId="77777777" w:rsidR="00366AA7" w:rsidRPr="00866F16" w:rsidRDefault="00366AA7" w:rsidP="00866F16">
            <w:pPr>
              <w:pStyle w:val="ListParagraph"/>
              <w:suppressLineNumbers/>
              <w:tabs>
                <w:tab w:val="left" w:pos="270"/>
              </w:tabs>
              <w:suppressAutoHyphens/>
              <w:kinsoku w:val="0"/>
              <w:overflowPunct w:val="0"/>
              <w:autoSpaceDE w:val="0"/>
              <w:autoSpaceDN w:val="0"/>
              <w:adjustRightInd w:val="0"/>
              <w:snapToGrid w:val="0"/>
              <w:spacing w:before="60" w:after="60"/>
              <w:ind w:left="0"/>
              <w:jc w:val="left"/>
              <w:rPr>
                <w:kern w:val="22"/>
                <w:szCs w:val="22"/>
              </w:rPr>
            </w:pPr>
            <w:r w:rsidRPr="00866F16">
              <w:rPr>
                <w:kern w:val="22"/>
                <w:szCs w:val="22"/>
              </w:rPr>
              <w:t>A.1.6. Species habitat index by species group</w:t>
            </w:r>
          </w:p>
          <w:p w14:paraId="10E62A9D" w14:textId="77777777" w:rsidR="00366AA7" w:rsidRPr="00866F16" w:rsidRDefault="00366AA7" w:rsidP="00866F16">
            <w:pPr>
              <w:pStyle w:val="ListParagraph"/>
              <w:suppressLineNumbers/>
              <w:tabs>
                <w:tab w:val="left" w:pos="270"/>
              </w:tabs>
              <w:suppressAutoHyphens/>
              <w:kinsoku w:val="0"/>
              <w:overflowPunct w:val="0"/>
              <w:autoSpaceDE w:val="0"/>
              <w:autoSpaceDN w:val="0"/>
              <w:adjustRightInd w:val="0"/>
              <w:snapToGrid w:val="0"/>
              <w:spacing w:before="60" w:after="60"/>
              <w:ind w:left="0"/>
              <w:jc w:val="left"/>
              <w:rPr>
                <w:kern w:val="22"/>
                <w:szCs w:val="22"/>
              </w:rPr>
            </w:pPr>
            <w:r w:rsidRPr="00866F16">
              <w:rPr>
                <w:kern w:val="22"/>
                <w:szCs w:val="22"/>
              </w:rPr>
              <w:t>A.1.7. The proportion of populations maintained within species (A.0.5) by species group</w:t>
            </w:r>
          </w:p>
          <w:p w14:paraId="634A74F8" w14:textId="0C7A6E2A" w:rsidR="00366AA7" w:rsidRPr="00BC5354" w:rsidRDefault="00366AA7" w:rsidP="00BC5354">
            <w:pPr>
              <w:pStyle w:val="ListParagraph"/>
              <w:suppressLineNumbers/>
              <w:tabs>
                <w:tab w:val="left" w:pos="270"/>
              </w:tabs>
              <w:suppressAutoHyphens/>
              <w:kinsoku w:val="0"/>
              <w:overflowPunct w:val="0"/>
              <w:autoSpaceDE w:val="0"/>
              <w:autoSpaceDN w:val="0"/>
              <w:adjustRightInd w:val="0"/>
              <w:snapToGrid w:val="0"/>
              <w:spacing w:before="60" w:after="60"/>
              <w:ind w:left="0"/>
              <w:jc w:val="left"/>
              <w:rPr>
                <w:i/>
                <w:iCs/>
                <w:kern w:val="22"/>
                <w:szCs w:val="22"/>
              </w:rPr>
            </w:pPr>
            <w:r w:rsidRPr="00866F16">
              <w:rPr>
                <w:i/>
                <w:iCs/>
                <w:kern w:val="22"/>
                <w:szCs w:val="22"/>
              </w:rPr>
              <w:t>Protection indicators are captured in the Targets</w:t>
            </w:r>
          </w:p>
        </w:tc>
        <w:tc>
          <w:tcPr>
            <w:tcW w:w="3827" w:type="dxa"/>
          </w:tcPr>
          <w:p w14:paraId="3A7648FA" w14:textId="77777777" w:rsidR="00366AA7" w:rsidRPr="00866F16" w:rsidRDefault="00366AA7"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866F16">
              <w:rPr>
                <w:kern w:val="22"/>
                <w:szCs w:val="22"/>
              </w:rPr>
              <w:t>A.1.1.1. Forest area as a proportion of total land area (SDG indicator 15.1.1)</w:t>
            </w:r>
          </w:p>
          <w:p w14:paraId="66DA7476" w14:textId="77777777" w:rsidR="00366AA7" w:rsidRPr="00866F16" w:rsidRDefault="00366AA7"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866F16">
              <w:rPr>
                <w:kern w:val="22"/>
                <w:szCs w:val="22"/>
              </w:rPr>
              <w:t>A.1.1.2. Forest distribution</w:t>
            </w:r>
          </w:p>
          <w:p w14:paraId="65B2C44F" w14:textId="77777777" w:rsidR="00366AA7" w:rsidRPr="00866F16" w:rsidRDefault="00366AA7"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866F16">
              <w:rPr>
                <w:kern w:val="22"/>
                <w:szCs w:val="22"/>
              </w:rPr>
              <w:t>A.1.1.3. Tree cover loss</w:t>
            </w:r>
          </w:p>
          <w:p w14:paraId="1621E4B1" w14:textId="77777777" w:rsidR="00366AA7" w:rsidRPr="00866F16" w:rsidRDefault="00366AA7"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866F16">
              <w:rPr>
                <w:kern w:val="22"/>
                <w:szCs w:val="22"/>
              </w:rPr>
              <w:t xml:space="preserve">A.1.1.4.  Grassland and savannah extent </w:t>
            </w:r>
          </w:p>
          <w:p w14:paraId="2D4F138C" w14:textId="77777777" w:rsidR="00366AA7" w:rsidRPr="00866F16" w:rsidRDefault="00366AA7"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866F16">
              <w:rPr>
                <w:kern w:val="22"/>
                <w:szCs w:val="22"/>
              </w:rPr>
              <w:t>A.1.1.5. Mountain Green Cover Index</w:t>
            </w:r>
          </w:p>
          <w:p w14:paraId="4DADB302" w14:textId="77777777" w:rsidR="00366AA7" w:rsidRPr="00866F16" w:rsidRDefault="00366AA7"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866F16">
              <w:rPr>
                <w:kern w:val="22"/>
                <w:szCs w:val="22"/>
              </w:rPr>
              <w:t>A.1.1.6. Peatland extent and condition</w:t>
            </w:r>
          </w:p>
          <w:p w14:paraId="1BB922B4" w14:textId="77777777" w:rsidR="00366AA7" w:rsidRPr="00866F16" w:rsidRDefault="00366AA7"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866F16">
              <w:rPr>
                <w:kern w:val="22"/>
                <w:szCs w:val="22"/>
              </w:rPr>
              <w:t xml:space="preserve">A.1.1.7. Permafrost thickness, </w:t>
            </w:r>
            <w:proofErr w:type="gramStart"/>
            <w:r w:rsidRPr="00866F16">
              <w:rPr>
                <w:kern w:val="22"/>
                <w:szCs w:val="22"/>
              </w:rPr>
              <w:t>depth</w:t>
            </w:r>
            <w:proofErr w:type="gramEnd"/>
            <w:r w:rsidRPr="00866F16">
              <w:rPr>
                <w:kern w:val="22"/>
                <w:szCs w:val="22"/>
              </w:rPr>
              <w:t xml:space="preserve"> and extent</w:t>
            </w:r>
          </w:p>
          <w:p w14:paraId="2875181A" w14:textId="77777777" w:rsidR="00366AA7" w:rsidRPr="00866F16" w:rsidRDefault="00366AA7"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866F16">
              <w:rPr>
                <w:kern w:val="22"/>
                <w:szCs w:val="22"/>
              </w:rPr>
              <w:t>A.1.1.8. Red List of Ecosystems</w:t>
            </w:r>
          </w:p>
          <w:p w14:paraId="2F2A6694" w14:textId="77777777" w:rsidR="00366AA7" w:rsidRPr="00866F16" w:rsidRDefault="00366AA7"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866F16">
              <w:rPr>
                <w:kern w:val="22"/>
                <w:szCs w:val="22"/>
              </w:rPr>
              <w:t>A.1.1.9. Continuous Global Mangrove Forest Cover</w:t>
            </w:r>
          </w:p>
          <w:p w14:paraId="08ADFA09" w14:textId="77777777" w:rsidR="00366AA7" w:rsidRPr="00866F16" w:rsidRDefault="00366AA7"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866F16">
              <w:rPr>
                <w:kern w:val="22"/>
                <w:szCs w:val="22"/>
              </w:rPr>
              <w:t>A.1.1.10. Trends in mangrove forest fragmentation</w:t>
            </w:r>
          </w:p>
          <w:p w14:paraId="155DDC93" w14:textId="77777777" w:rsidR="00366AA7" w:rsidRPr="00866F16" w:rsidRDefault="00366AA7"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866F16">
              <w:rPr>
                <w:kern w:val="22"/>
                <w:szCs w:val="22"/>
              </w:rPr>
              <w:t>A.1.1.11. Change in the extent of water-related ecosystems over time (SDG indicator 6.6.1)</w:t>
            </w:r>
          </w:p>
          <w:p w14:paraId="4CE3BACF" w14:textId="77777777" w:rsidR="00366AA7" w:rsidRPr="00866F16" w:rsidRDefault="00366AA7"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866F16">
              <w:rPr>
                <w:kern w:val="22"/>
                <w:szCs w:val="22"/>
              </w:rPr>
              <w:t xml:space="preserve">A.1.1.12. Trends in mangrove extent </w:t>
            </w:r>
          </w:p>
          <w:p w14:paraId="57827502" w14:textId="77777777" w:rsidR="00366AA7" w:rsidRPr="00866F16" w:rsidRDefault="00366AA7"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866F16">
              <w:rPr>
                <w:kern w:val="22"/>
                <w:szCs w:val="22"/>
              </w:rPr>
              <w:t>A.1.1.13. Live coral cover</w:t>
            </w:r>
          </w:p>
          <w:p w14:paraId="42CFB773" w14:textId="77777777" w:rsidR="00366AA7" w:rsidRPr="00866F16" w:rsidRDefault="00366AA7"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866F16">
              <w:rPr>
                <w:kern w:val="22"/>
                <w:szCs w:val="22"/>
              </w:rPr>
              <w:t>A.1.1.14. Hard Coral cover and composition</w:t>
            </w:r>
          </w:p>
          <w:p w14:paraId="35BD9BEE" w14:textId="77777777" w:rsidR="00366AA7" w:rsidRPr="00866F16" w:rsidRDefault="00366AA7"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866F16">
              <w:rPr>
                <w:kern w:val="22"/>
                <w:szCs w:val="22"/>
              </w:rPr>
              <w:lastRenderedPageBreak/>
              <w:t>A.1.1.15. Global coral reef extent</w:t>
            </w:r>
          </w:p>
          <w:p w14:paraId="4613DB8B" w14:textId="77777777" w:rsidR="00366AA7" w:rsidRPr="00866F16" w:rsidRDefault="00366AA7"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866F16">
              <w:rPr>
                <w:kern w:val="22"/>
                <w:szCs w:val="22"/>
              </w:rPr>
              <w:t>A.1.1.16. Global Seagrass Extent (Seagrass Cover and composition)</w:t>
            </w:r>
          </w:p>
          <w:p w14:paraId="02DA346C" w14:textId="77777777" w:rsidR="00366AA7" w:rsidRPr="00866F16" w:rsidRDefault="00366AA7"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866F16">
              <w:rPr>
                <w:kern w:val="22"/>
                <w:szCs w:val="22"/>
              </w:rPr>
              <w:t>A.1.1.17. Global saltmarsh extent</w:t>
            </w:r>
          </w:p>
          <w:p w14:paraId="0819CD4F" w14:textId="77777777" w:rsidR="00366AA7" w:rsidRPr="00866F16" w:rsidRDefault="00366AA7"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866F16">
              <w:rPr>
                <w:kern w:val="22"/>
                <w:szCs w:val="22"/>
              </w:rPr>
              <w:t>A.1.1.18. Kelp canopy extent</w:t>
            </w:r>
          </w:p>
          <w:p w14:paraId="60E5FA69" w14:textId="77777777" w:rsidR="00366AA7" w:rsidRPr="00866F16" w:rsidRDefault="00366AA7"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866F16">
              <w:rPr>
                <w:kern w:val="22"/>
                <w:szCs w:val="22"/>
              </w:rPr>
              <w:t>A.1.1.19. Macroalgal Canopy Cover and Composition</w:t>
            </w:r>
          </w:p>
          <w:p w14:paraId="71C46D24" w14:textId="77777777" w:rsidR="00366AA7" w:rsidRPr="00866F16" w:rsidRDefault="00366AA7"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866F16">
              <w:rPr>
                <w:kern w:val="22"/>
                <w:szCs w:val="22"/>
              </w:rPr>
              <w:t>A.1.1.20. Cover of key benthic groups</w:t>
            </w:r>
          </w:p>
          <w:p w14:paraId="179BFB49" w14:textId="77777777" w:rsidR="00366AA7" w:rsidRPr="00866F16" w:rsidRDefault="00366AA7"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866F16">
              <w:rPr>
                <w:kern w:val="22"/>
                <w:szCs w:val="22"/>
              </w:rPr>
              <w:t>A.1.1.21. Fleshy algae cover</w:t>
            </w:r>
          </w:p>
          <w:p w14:paraId="5603E713" w14:textId="77777777" w:rsidR="00366AA7" w:rsidRPr="00866F16" w:rsidRDefault="00366AA7"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866F16">
              <w:rPr>
                <w:kern w:val="22"/>
                <w:szCs w:val="22"/>
              </w:rPr>
              <w:t>A.1.1.22. Wetland Extent Trends Index</w:t>
            </w:r>
          </w:p>
          <w:p w14:paraId="6EC4AFA6" w14:textId="77777777" w:rsidR="00366AA7" w:rsidRPr="00866F16" w:rsidRDefault="00366AA7"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866F16">
              <w:rPr>
                <w:kern w:val="22"/>
                <w:szCs w:val="22"/>
              </w:rPr>
              <w:t>A.1.1.23. Change in the extent of inland water ecosystems over time</w:t>
            </w:r>
          </w:p>
          <w:p w14:paraId="0A9354CA" w14:textId="77777777" w:rsidR="00366AA7" w:rsidRPr="00866F16" w:rsidRDefault="00366AA7"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866F16">
              <w:rPr>
                <w:kern w:val="22"/>
                <w:szCs w:val="22"/>
              </w:rPr>
              <w:t>A.1.1.24. Change in the extent of water related ecosystems (SDG Indicator 6.6.1)</w:t>
            </w:r>
          </w:p>
          <w:p w14:paraId="512888FF" w14:textId="77777777" w:rsidR="00366AA7" w:rsidRPr="00866F16" w:rsidRDefault="00366AA7"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866F16">
              <w:rPr>
                <w:kern w:val="22"/>
                <w:szCs w:val="22"/>
              </w:rPr>
              <w:t xml:space="preserve">A.1.1.25. Forest Fragmentation Index </w:t>
            </w:r>
          </w:p>
          <w:p w14:paraId="1B1C80A5" w14:textId="77777777" w:rsidR="00366AA7" w:rsidRPr="00866F16" w:rsidRDefault="00366AA7"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866F16">
              <w:rPr>
                <w:kern w:val="22"/>
                <w:szCs w:val="22"/>
              </w:rPr>
              <w:t>A.1.1.26. Forest Landscape Integrity Index</w:t>
            </w:r>
          </w:p>
          <w:p w14:paraId="2F8003E6" w14:textId="77777777" w:rsidR="00366AA7" w:rsidRPr="00866F16" w:rsidRDefault="00366AA7"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866F16">
              <w:rPr>
                <w:kern w:val="22"/>
                <w:szCs w:val="22"/>
              </w:rPr>
              <w:t xml:space="preserve">A.1.1.27. Biomass of selected natural ecosystems (A.0.2) </w:t>
            </w:r>
          </w:p>
          <w:p w14:paraId="5D224CBE" w14:textId="77777777" w:rsidR="00366AA7" w:rsidRPr="00866F16" w:rsidRDefault="00366AA7"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866F16">
              <w:rPr>
                <w:kern w:val="22"/>
                <w:szCs w:val="22"/>
              </w:rPr>
              <w:t>A.1.1.28. Biodiversity Habitat Index</w:t>
            </w:r>
          </w:p>
          <w:p w14:paraId="07E70C17" w14:textId="77777777" w:rsidR="00366AA7" w:rsidRPr="00866F16" w:rsidRDefault="00366AA7"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866F16">
              <w:rPr>
                <w:kern w:val="22"/>
                <w:szCs w:val="22"/>
              </w:rPr>
              <w:t>A.1.1.29. Global Vegetation Health Products</w:t>
            </w:r>
          </w:p>
          <w:p w14:paraId="45C77385" w14:textId="77777777" w:rsidR="00366AA7" w:rsidRPr="00866F16" w:rsidRDefault="00366AA7"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866F16">
              <w:rPr>
                <w:kern w:val="22"/>
                <w:szCs w:val="22"/>
              </w:rPr>
              <w:t>A.1.1.30. Bioclimatic Ecosystem Resilience Index (BERI)</w:t>
            </w:r>
          </w:p>
          <w:p w14:paraId="0FA792C1" w14:textId="77777777" w:rsidR="00366AA7" w:rsidRPr="00866F16" w:rsidRDefault="00366AA7"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866F16">
              <w:rPr>
                <w:kern w:val="22"/>
                <w:szCs w:val="22"/>
              </w:rPr>
              <w:t>A.1.1.31. Relative Magnitude of Fragmentation (RMF)</w:t>
            </w:r>
          </w:p>
          <w:p w14:paraId="19205609" w14:textId="191879F2" w:rsidR="00366AA7" w:rsidRPr="00866F16" w:rsidRDefault="00366AA7"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866F16">
              <w:rPr>
                <w:kern w:val="22"/>
                <w:szCs w:val="22"/>
              </w:rPr>
              <w:t>A.1.1.3</w:t>
            </w:r>
            <w:r w:rsidR="008950F5">
              <w:rPr>
                <w:kern w:val="22"/>
                <w:szCs w:val="22"/>
              </w:rPr>
              <w:t>2</w:t>
            </w:r>
            <w:r w:rsidRPr="00866F16">
              <w:rPr>
                <w:kern w:val="22"/>
                <w:szCs w:val="22"/>
              </w:rPr>
              <w:t>. Ecoregion Intactness Index</w:t>
            </w:r>
          </w:p>
          <w:p w14:paraId="0891511E" w14:textId="5B0B09C3" w:rsidR="00366AA7" w:rsidRPr="00866F16" w:rsidRDefault="00366AA7"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866F16">
              <w:rPr>
                <w:kern w:val="22"/>
                <w:szCs w:val="22"/>
              </w:rPr>
              <w:t>A.1.1.3</w:t>
            </w:r>
            <w:r w:rsidR="008950F5">
              <w:rPr>
                <w:kern w:val="22"/>
                <w:szCs w:val="22"/>
              </w:rPr>
              <w:t>3</w:t>
            </w:r>
            <w:r w:rsidRPr="00866F16">
              <w:rPr>
                <w:kern w:val="22"/>
                <w:szCs w:val="22"/>
              </w:rPr>
              <w:t>. Biodiversity Intactness Index</w:t>
            </w:r>
          </w:p>
          <w:p w14:paraId="49E1A811" w14:textId="5182574E" w:rsidR="00366AA7" w:rsidRPr="00866F16" w:rsidRDefault="00366AA7"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866F16">
              <w:rPr>
                <w:kern w:val="22"/>
                <w:szCs w:val="22"/>
              </w:rPr>
              <w:t>A.1.1.3</w:t>
            </w:r>
            <w:r w:rsidR="008950F5">
              <w:rPr>
                <w:kern w:val="22"/>
                <w:szCs w:val="22"/>
              </w:rPr>
              <w:t>4</w:t>
            </w:r>
            <w:r w:rsidRPr="00866F16">
              <w:rPr>
                <w:kern w:val="22"/>
                <w:szCs w:val="22"/>
              </w:rPr>
              <w:t xml:space="preserve">. Ocean Health Index </w:t>
            </w:r>
          </w:p>
          <w:p w14:paraId="70F9688B" w14:textId="105C2088" w:rsidR="00366AA7" w:rsidRPr="00866F16" w:rsidRDefault="00366AA7"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866F16">
              <w:rPr>
                <w:kern w:val="22"/>
                <w:szCs w:val="22"/>
              </w:rPr>
              <w:lastRenderedPageBreak/>
              <w:t>A.1.1.3</w:t>
            </w:r>
            <w:r w:rsidR="008950F5">
              <w:rPr>
                <w:kern w:val="22"/>
                <w:szCs w:val="22"/>
              </w:rPr>
              <w:t>5</w:t>
            </w:r>
            <w:r w:rsidRPr="00866F16">
              <w:rPr>
                <w:kern w:val="22"/>
                <w:szCs w:val="22"/>
              </w:rPr>
              <w:t xml:space="preserve">. Extent of </w:t>
            </w:r>
            <w:r w:rsidR="00147962" w:rsidRPr="00866F16">
              <w:rPr>
                <w:kern w:val="22"/>
                <w:szCs w:val="22"/>
              </w:rPr>
              <w:t>p</w:t>
            </w:r>
            <w:r w:rsidRPr="00866F16">
              <w:rPr>
                <w:kern w:val="22"/>
                <w:szCs w:val="22"/>
              </w:rPr>
              <w:t>hysical damage indicator to predominant seafloor habitats physical damage</w:t>
            </w:r>
          </w:p>
          <w:p w14:paraId="2B2C8A91" w14:textId="3958C90A" w:rsidR="00366AA7" w:rsidRPr="00866F16" w:rsidRDefault="00366AA7"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866F16">
              <w:rPr>
                <w:kern w:val="22"/>
                <w:szCs w:val="22"/>
              </w:rPr>
              <w:t>A.1.1.3</w:t>
            </w:r>
            <w:r w:rsidR="008950F5">
              <w:rPr>
                <w:kern w:val="22"/>
                <w:szCs w:val="22"/>
              </w:rPr>
              <w:t>6</w:t>
            </w:r>
            <w:r w:rsidRPr="00866F16">
              <w:rPr>
                <w:kern w:val="22"/>
                <w:szCs w:val="22"/>
              </w:rPr>
              <w:t>. Wetland Extent Trends Index</w:t>
            </w:r>
          </w:p>
          <w:p w14:paraId="66CCB012" w14:textId="1E2550FD" w:rsidR="00366AA7" w:rsidRPr="00866F16" w:rsidRDefault="00366AA7"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866F16">
              <w:rPr>
                <w:kern w:val="22"/>
                <w:szCs w:val="22"/>
              </w:rPr>
              <w:t>A.1.1.3</w:t>
            </w:r>
            <w:r w:rsidR="008950F5">
              <w:rPr>
                <w:kern w:val="22"/>
                <w:szCs w:val="22"/>
              </w:rPr>
              <w:t>7</w:t>
            </w:r>
            <w:r w:rsidRPr="00866F16">
              <w:rPr>
                <w:kern w:val="22"/>
                <w:szCs w:val="22"/>
              </w:rPr>
              <w:t>. River Fragmentation Index</w:t>
            </w:r>
          </w:p>
          <w:p w14:paraId="558B82BF" w14:textId="18A0B0E9" w:rsidR="00366AA7" w:rsidRPr="00866F16" w:rsidRDefault="00366AA7"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866F16">
              <w:rPr>
                <w:kern w:val="22"/>
                <w:szCs w:val="22"/>
              </w:rPr>
              <w:t>A.1.1.3</w:t>
            </w:r>
            <w:r w:rsidR="008950F5">
              <w:rPr>
                <w:kern w:val="22"/>
                <w:szCs w:val="22"/>
              </w:rPr>
              <w:t>8</w:t>
            </w:r>
            <w:r w:rsidRPr="00866F16">
              <w:rPr>
                <w:kern w:val="22"/>
                <w:szCs w:val="22"/>
              </w:rPr>
              <w:t>. Dendritic Connectivity Index</w:t>
            </w:r>
          </w:p>
          <w:p w14:paraId="6423BBEA" w14:textId="67AF9A8E" w:rsidR="00366AA7" w:rsidRPr="00866F16" w:rsidRDefault="00366AA7"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866F16">
              <w:rPr>
                <w:kern w:val="22"/>
                <w:szCs w:val="22"/>
              </w:rPr>
              <w:t>A.1.1.</w:t>
            </w:r>
            <w:r w:rsidR="00733F3E">
              <w:rPr>
                <w:kern w:val="22"/>
                <w:szCs w:val="22"/>
              </w:rPr>
              <w:t>39</w:t>
            </w:r>
            <w:r w:rsidRPr="00866F16">
              <w:rPr>
                <w:kern w:val="22"/>
                <w:szCs w:val="22"/>
              </w:rPr>
              <w:t xml:space="preserve"> Percentage of threatened species that are improving in status according to the Red List</w:t>
            </w:r>
          </w:p>
          <w:p w14:paraId="49ECFABD" w14:textId="56C93777" w:rsidR="00366AA7" w:rsidRPr="00866F16" w:rsidRDefault="00366AA7"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866F16">
              <w:rPr>
                <w:kern w:val="22"/>
                <w:szCs w:val="22"/>
              </w:rPr>
              <w:t>A.1.1.4</w:t>
            </w:r>
            <w:r w:rsidR="00733F3E">
              <w:rPr>
                <w:kern w:val="22"/>
                <w:szCs w:val="22"/>
              </w:rPr>
              <w:t>0</w:t>
            </w:r>
            <w:r w:rsidRPr="00866F16">
              <w:rPr>
                <w:kern w:val="22"/>
                <w:szCs w:val="22"/>
              </w:rPr>
              <w:t>. EDGE Index</w:t>
            </w:r>
          </w:p>
          <w:p w14:paraId="235C12BB" w14:textId="0061B011" w:rsidR="00366AA7" w:rsidRPr="00866F16" w:rsidRDefault="00366AA7"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866F16">
              <w:rPr>
                <w:kern w:val="22"/>
                <w:szCs w:val="22"/>
              </w:rPr>
              <w:t>A.1.1.4</w:t>
            </w:r>
            <w:r w:rsidR="00733F3E">
              <w:rPr>
                <w:kern w:val="22"/>
                <w:szCs w:val="22"/>
              </w:rPr>
              <w:t>1</w:t>
            </w:r>
            <w:r w:rsidRPr="00866F16">
              <w:rPr>
                <w:kern w:val="22"/>
                <w:szCs w:val="22"/>
              </w:rPr>
              <w:t>. Number of threatened species by species group</w:t>
            </w:r>
          </w:p>
          <w:p w14:paraId="1E476342" w14:textId="3EAC3BDE" w:rsidR="00366AA7" w:rsidRPr="00866F16" w:rsidRDefault="00366AA7"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866F16">
              <w:rPr>
                <w:kern w:val="22"/>
                <w:szCs w:val="22"/>
              </w:rPr>
              <w:t>A.1.1.4</w:t>
            </w:r>
            <w:r w:rsidR="00733F3E">
              <w:rPr>
                <w:kern w:val="22"/>
                <w:szCs w:val="22"/>
              </w:rPr>
              <w:t>2</w:t>
            </w:r>
            <w:r w:rsidRPr="00866F16">
              <w:rPr>
                <w:kern w:val="22"/>
                <w:szCs w:val="22"/>
              </w:rPr>
              <w:t>. Wild bird index</w:t>
            </w:r>
          </w:p>
          <w:p w14:paraId="33B78DDB" w14:textId="70817642" w:rsidR="00366AA7" w:rsidRPr="00866F16" w:rsidRDefault="00366AA7"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866F16">
              <w:rPr>
                <w:kern w:val="22"/>
                <w:szCs w:val="22"/>
              </w:rPr>
              <w:t>A.1.1.4</w:t>
            </w:r>
            <w:r w:rsidR="00733F3E">
              <w:rPr>
                <w:kern w:val="22"/>
                <w:szCs w:val="22"/>
              </w:rPr>
              <w:t>3</w:t>
            </w:r>
            <w:r w:rsidRPr="00866F16">
              <w:rPr>
                <w:kern w:val="22"/>
                <w:szCs w:val="22"/>
              </w:rPr>
              <w:t>. Mean Species Abundance (MSA)</w:t>
            </w:r>
          </w:p>
          <w:p w14:paraId="23C9CAD9" w14:textId="31A2BC8F" w:rsidR="00366AA7" w:rsidRPr="00866F16" w:rsidRDefault="00366AA7"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866F16">
              <w:rPr>
                <w:kern w:val="22"/>
                <w:szCs w:val="22"/>
              </w:rPr>
              <w:t>A.1.1.4</w:t>
            </w:r>
            <w:r w:rsidR="00733F3E">
              <w:rPr>
                <w:kern w:val="22"/>
                <w:szCs w:val="22"/>
              </w:rPr>
              <w:t>4</w:t>
            </w:r>
            <w:r w:rsidRPr="00866F16">
              <w:rPr>
                <w:kern w:val="22"/>
                <w:szCs w:val="22"/>
              </w:rPr>
              <w:t>. Species Protection Index</w:t>
            </w:r>
          </w:p>
          <w:p w14:paraId="0F77BAD4" w14:textId="4B289A15" w:rsidR="00366AA7" w:rsidRPr="00866F16" w:rsidRDefault="00366AA7"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866F16">
              <w:rPr>
                <w:kern w:val="22"/>
                <w:szCs w:val="22"/>
              </w:rPr>
              <w:t>A.1.1.4</w:t>
            </w:r>
            <w:r w:rsidR="00733F3E">
              <w:rPr>
                <w:kern w:val="22"/>
                <w:szCs w:val="22"/>
              </w:rPr>
              <w:t>5</w:t>
            </w:r>
            <w:r w:rsidRPr="00866F16">
              <w:rPr>
                <w:kern w:val="22"/>
                <w:szCs w:val="22"/>
              </w:rPr>
              <w:t>. Changes in plankton biomass and abundance</w:t>
            </w:r>
          </w:p>
          <w:p w14:paraId="7F47223D" w14:textId="6FABF330" w:rsidR="00366AA7" w:rsidRPr="00866F16" w:rsidRDefault="00366AA7"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866F16">
              <w:rPr>
                <w:kern w:val="22"/>
                <w:szCs w:val="22"/>
              </w:rPr>
              <w:t>A.1.1.4</w:t>
            </w:r>
            <w:r w:rsidR="00733F3E">
              <w:rPr>
                <w:kern w:val="22"/>
                <w:szCs w:val="22"/>
              </w:rPr>
              <w:t>6</w:t>
            </w:r>
            <w:r w:rsidRPr="00866F16">
              <w:rPr>
                <w:kern w:val="22"/>
                <w:szCs w:val="22"/>
              </w:rPr>
              <w:t>. Fish abundance and biomass</w:t>
            </w:r>
          </w:p>
          <w:p w14:paraId="66F98C72" w14:textId="329D774B" w:rsidR="00366AA7" w:rsidRPr="00866F16" w:rsidRDefault="00366AA7"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866F16">
              <w:rPr>
                <w:kern w:val="22"/>
                <w:szCs w:val="22"/>
              </w:rPr>
              <w:t>A.1.1.4</w:t>
            </w:r>
            <w:r w:rsidR="00733F3E">
              <w:rPr>
                <w:kern w:val="22"/>
                <w:szCs w:val="22"/>
              </w:rPr>
              <w:t>7</w:t>
            </w:r>
            <w:r w:rsidRPr="00866F16">
              <w:rPr>
                <w:kern w:val="22"/>
                <w:szCs w:val="22"/>
              </w:rPr>
              <w:t>. The number of populations (or breeds) within species with an eﬀective population size &gt; 500 compared to the number &lt; 500</w:t>
            </w:r>
          </w:p>
          <w:p w14:paraId="0E8DEF39" w14:textId="5DF63FA7" w:rsidR="00366AA7" w:rsidRPr="00866F16" w:rsidRDefault="00366AA7"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866F16">
              <w:rPr>
                <w:kern w:val="22"/>
                <w:szCs w:val="22"/>
              </w:rPr>
              <w:t>A.1.1.4</w:t>
            </w:r>
            <w:r w:rsidR="00733F3E">
              <w:rPr>
                <w:kern w:val="22"/>
                <w:szCs w:val="22"/>
              </w:rPr>
              <w:t>8</w:t>
            </w:r>
            <w:r w:rsidRPr="00866F16">
              <w:rPr>
                <w:kern w:val="22"/>
                <w:szCs w:val="22"/>
              </w:rPr>
              <w:t>. Genetic scorecard for wild species</w:t>
            </w:r>
          </w:p>
          <w:p w14:paraId="761F1035" w14:textId="4AF4C77A" w:rsidR="00366AA7" w:rsidRPr="00866F16" w:rsidRDefault="00366AA7"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866F16">
              <w:rPr>
                <w:kern w:val="22"/>
                <w:szCs w:val="22"/>
              </w:rPr>
              <w:t>A.1.1.</w:t>
            </w:r>
            <w:r w:rsidR="00733F3E">
              <w:rPr>
                <w:kern w:val="22"/>
                <w:szCs w:val="22"/>
              </w:rPr>
              <w:t>49</w:t>
            </w:r>
            <w:r w:rsidRPr="00866F16">
              <w:rPr>
                <w:kern w:val="22"/>
                <w:szCs w:val="22"/>
              </w:rPr>
              <w:t>. Species richness/Changes in local terrestrial diversity (PREDICTS)</w:t>
            </w:r>
          </w:p>
          <w:p w14:paraId="20BDAB6E" w14:textId="2B957D0C" w:rsidR="00366AA7" w:rsidRPr="00866F16" w:rsidRDefault="00366AA7"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866F16">
              <w:rPr>
                <w:kern w:val="22"/>
                <w:szCs w:val="22"/>
              </w:rPr>
              <w:t>A.1.1.5</w:t>
            </w:r>
            <w:r w:rsidR="00733F3E">
              <w:rPr>
                <w:kern w:val="22"/>
                <w:szCs w:val="22"/>
              </w:rPr>
              <w:t>0</w:t>
            </w:r>
            <w:r w:rsidRPr="00866F16">
              <w:rPr>
                <w:kern w:val="22"/>
                <w:szCs w:val="22"/>
              </w:rPr>
              <w:t>. Marine species richness</w:t>
            </w:r>
          </w:p>
          <w:p w14:paraId="27665D46" w14:textId="20EAF427" w:rsidR="00366AA7" w:rsidRPr="00866F16" w:rsidRDefault="00366AA7"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866F16">
              <w:rPr>
                <w:kern w:val="22"/>
                <w:szCs w:val="22"/>
              </w:rPr>
              <w:lastRenderedPageBreak/>
              <w:t>A.1.1.5</w:t>
            </w:r>
            <w:r w:rsidR="00733F3E">
              <w:rPr>
                <w:kern w:val="22"/>
                <w:szCs w:val="22"/>
              </w:rPr>
              <w:t>1</w:t>
            </w:r>
            <w:r w:rsidRPr="00866F16">
              <w:rPr>
                <w:kern w:val="22"/>
                <w:szCs w:val="22"/>
              </w:rPr>
              <w:t>. Comprehensiveness of conservation of socioeconomically as well as culturally valuable species.</w:t>
            </w:r>
          </w:p>
          <w:p w14:paraId="1D1516C1" w14:textId="70A537E2" w:rsidR="00366AA7" w:rsidRPr="00866F16" w:rsidRDefault="00366AA7"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866F16">
              <w:rPr>
                <w:kern w:val="22"/>
                <w:szCs w:val="22"/>
              </w:rPr>
              <w:t>A.1.1.5</w:t>
            </w:r>
            <w:r w:rsidR="00733F3E">
              <w:rPr>
                <w:kern w:val="22"/>
                <w:szCs w:val="22"/>
              </w:rPr>
              <w:t>2</w:t>
            </w:r>
            <w:r w:rsidRPr="00866F16">
              <w:rPr>
                <w:kern w:val="22"/>
                <w:szCs w:val="22"/>
              </w:rPr>
              <w:t>. Number of plant and animal genetic resources for food and agriculture secured in either medium- or long</w:t>
            </w:r>
            <w:r w:rsidR="00015BEF" w:rsidRPr="00866F16">
              <w:rPr>
                <w:kern w:val="22"/>
                <w:szCs w:val="22"/>
              </w:rPr>
              <w:t>-</w:t>
            </w:r>
            <w:r w:rsidRPr="00866F16">
              <w:rPr>
                <w:kern w:val="22"/>
                <w:szCs w:val="22"/>
              </w:rPr>
              <w:t>term conservation facilities (SDG 2.5.1)</w:t>
            </w:r>
          </w:p>
          <w:p w14:paraId="4D16B92A" w14:textId="0D5DD064" w:rsidR="00366AA7" w:rsidRPr="00866F16" w:rsidRDefault="00366AA7"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866F16">
              <w:rPr>
                <w:kern w:val="22"/>
                <w:szCs w:val="22"/>
              </w:rPr>
              <w:t>A.1.1.5</w:t>
            </w:r>
            <w:r w:rsidR="00733F3E">
              <w:rPr>
                <w:kern w:val="22"/>
                <w:szCs w:val="22"/>
              </w:rPr>
              <w:t>3</w:t>
            </w:r>
            <w:r w:rsidRPr="00866F16">
              <w:rPr>
                <w:kern w:val="22"/>
                <w:szCs w:val="22"/>
              </w:rPr>
              <w:t>. Proportion of local breeds classified as being at risk, extinction</w:t>
            </w:r>
          </w:p>
          <w:p w14:paraId="7BCA4BEF" w14:textId="63104665" w:rsidR="00366AA7" w:rsidRPr="00866F16" w:rsidRDefault="00366AA7"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866F16">
              <w:rPr>
                <w:kern w:val="22"/>
                <w:szCs w:val="22"/>
              </w:rPr>
              <w:t>A.1.1.5</w:t>
            </w:r>
            <w:r w:rsidR="00733F3E">
              <w:rPr>
                <w:kern w:val="22"/>
                <w:szCs w:val="22"/>
              </w:rPr>
              <w:t>4</w:t>
            </w:r>
            <w:r w:rsidRPr="00866F16">
              <w:rPr>
                <w:kern w:val="22"/>
                <w:szCs w:val="22"/>
              </w:rPr>
              <w:t>. Red List Index (wild relatives of domesticated animals)</w:t>
            </w:r>
          </w:p>
          <w:p w14:paraId="37E4923E" w14:textId="02698822" w:rsidR="00366AA7" w:rsidRPr="00866F16" w:rsidRDefault="00366AA7"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866F16">
              <w:rPr>
                <w:kern w:val="22"/>
                <w:szCs w:val="22"/>
              </w:rPr>
              <w:t>A.1.1.5</w:t>
            </w:r>
            <w:r w:rsidR="00733F3E">
              <w:rPr>
                <w:kern w:val="22"/>
                <w:szCs w:val="22"/>
              </w:rPr>
              <w:t>5</w:t>
            </w:r>
            <w:r w:rsidRPr="00866F16">
              <w:rPr>
                <w:kern w:val="22"/>
                <w:szCs w:val="22"/>
              </w:rPr>
              <w:t>. Protection indicators are captured in the Targets</w:t>
            </w:r>
          </w:p>
        </w:tc>
      </w:tr>
      <w:tr w:rsidR="00366AA7" w:rsidRPr="00B324FA" w14:paraId="05E000EA" w14:textId="77777777" w:rsidTr="0099764F">
        <w:trPr>
          <w:jc w:val="center"/>
        </w:trPr>
        <w:tc>
          <w:tcPr>
            <w:tcW w:w="2447" w:type="dxa"/>
            <w:shd w:val="clear" w:color="auto" w:fill="BFBFBF" w:themeFill="background1" w:themeFillShade="BF"/>
          </w:tcPr>
          <w:p w14:paraId="4BEF5542" w14:textId="77777777" w:rsidR="00366AA7" w:rsidRPr="0099764F" w:rsidRDefault="00366AA7" w:rsidP="00866F16">
            <w:pPr>
              <w:suppressLineNumbers/>
              <w:suppressAutoHyphens/>
              <w:kinsoku w:val="0"/>
              <w:overflowPunct w:val="0"/>
              <w:autoSpaceDE w:val="0"/>
              <w:autoSpaceDN w:val="0"/>
              <w:adjustRightInd w:val="0"/>
              <w:snapToGrid w:val="0"/>
              <w:spacing w:before="60" w:after="60"/>
              <w:jc w:val="left"/>
              <w:rPr>
                <w:b/>
                <w:bCs/>
                <w:kern w:val="22"/>
                <w:szCs w:val="22"/>
              </w:rPr>
            </w:pPr>
            <w:r w:rsidRPr="0099764F">
              <w:rPr>
                <w:b/>
                <w:bCs/>
                <w:kern w:val="22"/>
                <w:szCs w:val="22"/>
              </w:rPr>
              <w:lastRenderedPageBreak/>
              <w:t>Goal B:</w:t>
            </w:r>
          </w:p>
          <w:p w14:paraId="37A6A509" w14:textId="77777777" w:rsidR="00366AA7" w:rsidRPr="0099764F"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99764F">
              <w:rPr>
                <w:kern w:val="22"/>
                <w:szCs w:val="22"/>
              </w:rPr>
              <w:t xml:space="preserve">Nature’s contributions to people have been valued, </w:t>
            </w:r>
            <w:proofErr w:type="gramStart"/>
            <w:r w:rsidRPr="0099764F">
              <w:rPr>
                <w:kern w:val="22"/>
                <w:szCs w:val="22"/>
              </w:rPr>
              <w:t>maintained</w:t>
            </w:r>
            <w:proofErr w:type="gramEnd"/>
            <w:r w:rsidRPr="0099764F">
              <w:rPr>
                <w:kern w:val="22"/>
                <w:szCs w:val="22"/>
              </w:rPr>
              <w:t xml:space="preserve"> or enhanced through conservation and sustainable use supporting global development agenda for the benefit of all people;</w:t>
            </w:r>
          </w:p>
          <w:p w14:paraId="0F161EDE" w14:textId="77777777" w:rsidR="00366AA7" w:rsidRPr="0099764F"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p>
          <w:p w14:paraId="5EAAE0E5" w14:textId="77777777" w:rsidR="00366AA7" w:rsidRPr="0099764F" w:rsidRDefault="00366AA7" w:rsidP="00866F16">
            <w:pPr>
              <w:suppressLineNumbers/>
              <w:suppressAutoHyphens/>
              <w:kinsoku w:val="0"/>
              <w:overflowPunct w:val="0"/>
              <w:autoSpaceDE w:val="0"/>
              <w:autoSpaceDN w:val="0"/>
              <w:adjustRightInd w:val="0"/>
              <w:snapToGrid w:val="0"/>
              <w:spacing w:before="60" w:after="60"/>
              <w:jc w:val="left"/>
              <w:rPr>
                <w:b/>
                <w:bCs/>
                <w:kern w:val="22"/>
                <w:szCs w:val="22"/>
              </w:rPr>
            </w:pPr>
            <w:r w:rsidRPr="0099764F">
              <w:rPr>
                <w:b/>
                <w:bCs/>
                <w:kern w:val="22"/>
                <w:szCs w:val="22"/>
              </w:rPr>
              <w:t>2030 Milestones:</w:t>
            </w:r>
          </w:p>
          <w:p w14:paraId="5C829E83" w14:textId="765CB5DE" w:rsidR="00366AA7" w:rsidRPr="0099764F" w:rsidRDefault="00147962" w:rsidP="00866F16">
            <w:pPr>
              <w:suppressLineNumbers/>
              <w:suppressAutoHyphens/>
              <w:kinsoku w:val="0"/>
              <w:overflowPunct w:val="0"/>
              <w:autoSpaceDE w:val="0"/>
              <w:autoSpaceDN w:val="0"/>
              <w:adjustRightInd w:val="0"/>
              <w:snapToGrid w:val="0"/>
              <w:spacing w:before="60" w:after="60"/>
              <w:jc w:val="left"/>
              <w:rPr>
                <w:kern w:val="22"/>
                <w:szCs w:val="22"/>
              </w:rPr>
            </w:pPr>
            <w:r w:rsidRPr="0099764F">
              <w:rPr>
                <w:kern w:val="22"/>
                <w:szCs w:val="22"/>
              </w:rPr>
              <w:t>(</w:t>
            </w:r>
            <w:proofErr w:type="spellStart"/>
            <w:r w:rsidR="00366AA7" w:rsidRPr="0099764F">
              <w:rPr>
                <w:kern w:val="22"/>
                <w:szCs w:val="22"/>
              </w:rPr>
              <w:t>i</w:t>
            </w:r>
            <w:proofErr w:type="spellEnd"/>
            <w:r w:rsidR="00366AA7" w:rsidRPr="0099764F">
              <w:rPr>
                <w:kern w:val="22"/>
                <w:szCs w:val="22"/>
              </w:rPr>
              <w:t xml:space="preserve">) Nature contributes to the sustainable diets and food security, access to safe drinking water and resilience to natural disasters for at least [X%] million people. </w:t>
            </w:r>
          </w:p>
          <w:p w14:paraId="1A07E1F5" w14:textId="5DB9F8E3" w:rsidR="00366AA7" w:rsidRPr="0099764F" w:rsidRDefault="00147962" w:rsidP="00866F16">
            <w:pPr>
              <w:suppressLineNumbers/>
              <w:suppressAutoHyphens/>
              <w:kinsoku w:val="0"/>
              <w:overflowPunct w:val="0"/>
              <w:autoSpaceDE w:val="0"/>
              <w:autoSpaceDN w:val="0"/>
              <w:adjustRightInd w:val="0"/>
              <w:snapToGrid w:val="0"/>
              <w:spacing w:before="60" w:after="60"/>
              <w:jc w:val="left"/>
              <w:rPr>
                <w:kern w:val="22"/>
                <w:szCs w:val="22"/>
              </w:rPr>
            </w:pPr>
            <w:r w:rsidRPr="0099764F">
              <w:rPr>
                <w:kern w:val="22"/>
                <w:szCs w:val="22"/>
              </w:rPr>
              <w:lastRenderedPageBreak/>
              <w:t>(</w:t>
            </w:r>
            <w:r w:rsidR="00366AA7" w:rsidRPr="0099764F">
              <w:rPr>
                <w:kern w:val="22"/>
                <w:szCs w:val="22"/>
              </w:rPr>
              <w:t>ii) Nature is valued through green investments, ecosystem service valuation in national accounts, and public and private sector financial disclosures.</w:t>
            </w:r>
          </w:p>
          <w:p w14:paraId="3B7429BA" w14:textId="77777777" w:rsidR="00366AA7" w:rsidRPr="0099764F"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p>
        </w:tc>
        <w:tc>
          <w:tcPr>
            <w:tcW w:w="1959" w:type="dxa"/>
            <w:shd w:val="clear" w:color="auto" w:fill="BFBFBF" w:themeFill="background1" w:themeFillShade="BF"/>
          </w:tcPr>
          <w:p w14:paraId="7271A779" w14:textId="77777777" w:rsidR="00366AA7" w:rsidRPr="0099764F"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99764F">
              <w:rPr>
                <w:kern w:val="22"/>
                <w:szCs w:val="22"/>
              </w:rPr>
              <w:lastRenderedPageBreak/>
              <w:t>B.0.1 Population benefiting from ecosystem services*</w:t>
            </w:r>
          </w:p>
          <w:p w14:paraId="6F9C7F28" w14:textId="259821FF" w:rsidR="00366AA7" w:rsidRPr="0099764F" w:rsidRDefault="00366AA7" w:rsidP="00D1264A">
            <w:pPr>
              <w:suppressLineNumbers/>
              <w:suppressAutoHyphens/>
              <w:kinsoku w:val="0"/>
              <w:overflowPunct w:val="0"/>
              <w:autoSpaceDE w:val="0"/>
              <w:autoSpaceDN w:val="0"/>
              <w:adjustRightInd w:val="0"/>
              <w:snapToGrid w:val="0"/>
              <w:spacing w:before="60" w:after="60"/>
              <w:jc w:val="left"/>
              <w:rPr>
                <w:kern w:val="22"/>
                <w:szCs w:val="22"/>
              </w:rPr>
            </w:pPr>
            <w:r w:rsidRPr="0099764F">
              <w:rPr>
                <w:kern w:val="22"/>
                <w:szCs w:val="22"/>
              </w:rPr>
              <w:t xml:space="preserve">B.0.2 Value of all final ecosystem services (Gross Ecosystem </w:t>
            </w:r>
            <w:proofErr w:type="gramStart"/>
            <w:r w:rsidRPr="0099764F">
              <w:rPr>
                <w:kern w:val="22"/>
                <w:szCs w:val="22"/>
              </w:rPr>
              <w:t>Product)*</w:t>
            </w:r>
            <w:proofErr w:type="gramEnd"/>
          </w:p>
        </w:tc>
        <w:tc>
          <w:tcPr>
            <w:tcW w:w="2369" w:type="dxa"/>
            <w:shd w:val="clear" w:color="auto" w:fill="BFBFBF" w:themeFill="background1" w:themeFillShade="BF"/>
          </w:tcPr>
          <w:p w14:paraId="61C7240E" w14:textId="585CFC78" w:rsidR="00366AA7" w:rsidRPr="0099764F" w:rsidRDefault="00366AA7" w:rsidP="00866F16">
            <w:pPr>
              <w:pStyle w:val="ListParagraph"/>
              <w:suppressLineNumbers/>
              <w:tabs>
                <w:tab w:val="left" w:pos="270"/>
              </w:tabs>
              <w:suppressAutoHyphens/>
              <w:kinsoku w:val="0"/>
              <w:overflowPunct w:val="0"/>
              <w:autoSpaceDE w:val="0"/>
              <w:autoSpaceDN w:val="0"/>
              <w:adjustRightInd w:val="0"/>
              <w:snapToGrid w:val="0"/>
              <w:spacing w:before="60" w:after="60"/>
              <w:ind w:left="-14"/>
              <w:jc w:val="left"/>
              <w:rPr>
                <w:kern w:val="22"/>
                <w:szCs w:val="22"/>
              </w:rPr>
            </w:pPr>
            <w:r w:rsidRPr="0099764F">
              <w:rPr>
                <w:kern w:val="22"/>
                <w:szCs w:val="22"/>
              </w:rPr>
              <w:t>B.1.Nature’s regulating contributions including climate regulation, disaster prevention and other</w:t>
            </w:r>
            <w:r w:rsidR="00D1264A">
              <w:rPr>
                <w:kern w:val="22"/>
                <w:szCs w:val="22"/>
              </w:rPr>
              <w:t>s</w:t>
            </w:r>
          </w:p>
          <w:p w14:paraId="2FBF171C" w14:textId="77777777" w:rsidR="00366AA7" w:rsidRPr="0099764F" w:rsidRDefault="00366AA7" w:rsidP="00866F16">
            <w:pPr>
              <w:pStyle w:val="ListParagraph"/>
              <w:suppressLineNumbers/>
              <w:tabs>
                <w:tab w:val="left" w:pos="270"/>
              </w:tabs>
              <w:suppressAutoHyphens/>
              <w:kinsoku w:val="0"/>
              <w:overflowPunct w:val="0"/>
              <w:autoSpaceDE w:val="0"/>
              <w:autoSpaceDN w:val="0"/>
              <w:adjustRightInd w:val="0"/>
              <w:snapToGrid w:val="0"/>
              <w:spacing w:before="60" w:after="60"/>
              <w:ind w:left="-14"/>
              <w:jc w:val="left"/>
              <w:rPr>
                <w:kern w:val="22"/>
                <w:szCs w:val="22"/>
              </w:rPr>
            </w:pPr>
            <w:r w:rsidRPr="0099764F">
              <w:rPr>
                <w:kern w:val="22"/>
                <w:szCs w:val="22"/>
              </w:rPr>
              <w:t xml:space="preserve">B.2. Nature’s material contributions, including food, </w:t>
            </w:r>
            <w:proofErr w:type="gramStart"/>
            <w:r w:rsidRPr="0099764F">
              <w:rPr>
                <w:kern w:val="22"/>
                <w:szCs w:val="22"/>
              </w:rPr>
              <w:t>water</w:t>
            </w:r>
            <w:proofErr w:type="gramEnd"/>
            <w:r w:rsidRPr="0099764F">
              <w:rPr>
                <w:kern w:val="22"/>
                <w:szCs w:val="22"/>
              </w:rPr>
              <w:t xml:space="preserve"> and others</w:t>
            </w:r>
          </w:p>
          <w:p w14:paraId="50E667D6" w14:textId="77777777" w:rsidR="00366AA7" w:rsidRPr="0099764F" w:rsidRDefault="00366AA7" w:rsidP="00866F16">
            <w:pPr>
              <w:pStyle w:val="ListParagraph"/>
              <w:suppressLineNumbers/>
              <w:tabs>
                <w:tab w:val="left" w:pos="270"/>
              </w:tabs>
              <w:suppressAutoHyphens/>
              <w:kinsoku w:val="0"/>
              <w:overflowPunct w:val="0"/>
              <w:autoSpaceDE w:val="0"/>
              <w:autoSpaceDN w:val="0"/>
              <w:adjustRightInd w:val="0"/>
              <w:snapToGrid w:val="0"/>
              <w:spacing w:before="60" w:after="60"/>
              <w:ind w:left="-14"/>
              <w:jc w:val="left"/>
              <w:rPr>
                <w:kern w:val="22"/>
                <w:szCs w:val="22"/>
              </w:rPr>
            </w:pPr>
            <w:r w:rsidRPr="0099764F">
              <w:rPr>
                <w:kern w:val="22"/>
                <w:szCs w:val="22"/>
              </w:rPr>
              <w:t>B.3. Nature’s non-material contributions including cultural</w:t>
            </w:r>
          </w:p>
        </w:tc>
        <w:tc>
          <w:tcPr>
            <w:tcW w:w="3568" w:type="dxa"/>
            <w:shd w:val="clear" w:color="auto" w:fill="BFBFBF" w:themeFill="background1" w:themeFillShade="BF"/>
          </w:tcPr>
          <w:p w14:paraId="322A4E57" w14:textId="3CECCAD9" w:rsidR="00366AA7" w:rsidRPr="0099764F" w:rsidRDefault="00366AA7" w:rsidP="00866F16">
            <w:pPr>
              <w:pStyle w:val="ListParagraph"/>
              <w:suppressLineNumbers/>
              <w:tabs>
                <w:tab w:val="left" w:pos="270"/>
              </w:tabs>
              <w:suppressAutoHyphens/>
              <w:kinsoku w:val="0"/>
              <w:overflowPunct w:val="0"/>
              <w:autoSpaceDE w:val="0"/>
              <w:autoSpaceDN w:val="0"/>
              <w:adjustRightInd w:val="0"/>
              <w:snapToGrid w:val="0"/>
              <w:spacing w:before="60" w:after="60"/>
              <w:ind w:left="0"/>
              <w:jc w:val="left"/>
              <w:rPr>
                <w:kern w:val="22"/>
                <w:szCs w:val="22"/>
              </w:rPr>
            </w:pPr>
            <w:r w:rsidRPr="0099764F">
              <w:rPr>
                <w:kern w:val="22"/>
                <w:szCs w:val="22"/>
              </w:rPr>
              <w:t>B.1.1. Population benefiting from ecosystem services (B.0.</w:t>
            </w:r>
            <w:r w:rsidR="001859FF">
              <w:rPr>
                <w:kern w:val="22"/>
                <w:szCs w:val="22"/>
              </w:rPr>
              <w:t>1</w:t>
            </w:r>
            <w:r w:rsidRPr="0099764F">
              <w:rPr>
                <w:kern w:val="22"/>
                <w:szCs w:val="22"/>
              </w:rPr>
              <w:t>) by type of ecosystem service</w:t>
            </w:r>
          </w:p>
          <w:p w14:paraId="1C0C3207" w14:textId="77777777" w:rsidR="00366AA7" w:rsidRPr="0099764F" w:rsidRDefault="00366AA7" w:rsidP="00866F16">
            <w:pPr>
              <w:pStyle w:val="ListParagraph"/>
              <w:suppressLineNumbers/>
              <w:tabs>
                <w:tab w:val="left" w:pos="310"/>
              </w:tabs>
              <w:suppressAutoHyphens/>
              <w:kinsoku w:val="0"/>
              <w:overflowPunct w:val="0"/>
              <w:autoSpaceDE w:val="0"/>
              <w:autoSpaceDN w:val="0"/>
              <w:adjustRightInd w:val="0"/>
              <w:snapToGrid w:val="0"/>
              <w:spacing w:before="60" w:after="60"/>
              <w:ind w:left="0"/>
              <w:jc w:val="left"/>
              <w:rPr>
                <w:kern w:val="22"/>
                <w:szCs w:val="22"/>
              </w:rPr>
            </w:pPr>
            <w:r w:rsidRPr="0099764F">
              <w:rPr>
                <w:kern w:val="22"/>
                <w:szCs w:val="22"/>
              </w:rPr>
              <w:t>B.1.2. Additional indicators are captured in Targets 6-11 Headline indicators and across the framework</w:t>
            </w:r>
          </w:p>
          <w:p w14:paraId="1AE808E4" w14:textId="632EC0F8" w:rsidR="00366AA7" w:rsidRPr="0099764F" w:rsidRDefault="00366AA7" w:rsidP="00866F16">
            <w:pPr>
              <w:pStyle w:val="ListParagraph"/>
              <w:suppressLineNumbers/>
              <w:tabs>
                <w:tab w:val="left" w:pos="270"/>
                <w:tab w:val="left" w:pos="451"/>
              </w:tabs>
              <w:suppressAutoHyphens/>
              <w:kinsoku w:val="0"/>
              <w:overflowPunct w:val="0"/>
              <w:autoSpaceDE w:val="0"/>
              <w:autoSpaceDN w:val="0"/>
              <w:adjustRightInd w:val="0"/>
              <w:snapToGrid w:val="0"/>
              <w:spacing w:before="60" w:after="60"/>
              <w:ind w:left="0"/>
              <w:jc w:val="left"/>
              <w:rPr>
                <w:kern w:val="22"/>
                <w:szCs w:val="22"/>
              </w:rPr>
            </w:pPr>
            <w:r w:rsidRPr="0099764F">
              <w:rPr>
                <w:kern w:val="22"/>
                <w:szCs w:val="22"/>
              </w:rPr>
              <w:t>B.1.3. Value of all final ecosystem services (Gross Ecosystem Product) (B.0.</w:t>
            </w:r>
            <w:r w:rsidR="00CE08B1">
              <w:rPr>
                <w:kern w:val="22"/>
                <w:szCs w:val="22"/>
              </w:rPr>
              <w:t>2</w:t>
            </w:r>
            <w:r w:rsidRPr="0099764F">
              <w:rPr>
                <w:kern w:val="22"/>
                <w:szCs w:val="22"/>
              </w:rPr>
              <w:t>) for material service-related ecosystem services</w:t>
            </w:r>
          </w:p>
          <w:p w14:paraId="52A9DE35" w14:textId="77777777" w:rsidR="00366AA7" w:rsidRPr="0099764F" w:rsidRDefault="00366AA7" w:rsidP="00866F16">
            <w:pPr>
              <w:pStyle w:val="ListParagraph"/>
              <w:suppressLineNumbers/>
              <w:tabs>
                <w:tab w:val="left" w:pos="270"/>
                <w:tab w:val="left" w:pos="451"/>
              </w:tabs>
              <w:suppressAutoHyphens/>
              <w:kinsoku w:val="0"/>
              <w:overflowPunct w:val="0"/>
              <w:autoSpaceDE w:val="0"/>
              <w:autoSpaceDN w:val="0"/>
              <w:adjustRightInd w:val="0"/>
              <w:snapToGrid w:val="0"/>
              <w:spacing w:before="60" w:after="60"/>
              <w:ind w:left="0"/>
              <w:jc w:val="left"/>
              <w:rPr>
                <w:kern w:val="22"/>
                <w:szCs w:val="22"/>
              </w:rPr>
            </w:pPr>
            <w:r w:rsidRPr="0099764F">
              <w:rPr>
                <w:kern w:val="22"/>
                <w:szCs w:val="22"/>
              </w:rPr>
              <w:t>B.1.4. Natural capital component of inclusive wealth</w:t>
            </w:r>
          </w:p>
          <w:p w14:paraId="59BE66C0" w14:textId="13ADD7A4" w:rsidR="00366AA7" w:rsidRPr="0099764F" w:rsidRDefault="00366AA7" w:rsidP="00866F16">
            <w:pPr>
              <w:pStyle w:val="ListParagraph"/>
              <w:suppressLineNumbers/>
              <w:tabs>
                <w:tab w:val="left" w:pos="270"/>
                <w:tab w:val="left" w:pos="451"/>
              </w:tabs>
              <w:suppressAutoHyphens/>
              <w:kinsoku w:val="0"/>
              <w:overflowPunct w:val="0"/>
              <w:autoSpaceDE w:val="0"/>
              <w:autoSpaceDN w:val="0"/>
              <w:adjustRightInd w:val="0"/>
              <w:snapToGrid w:val="0"/>
              <w:spacing w:before="60" w:after="60"/>
              <w:ind w:left="0"/>
              <w:jc w:val="left"/>
              <w:rPr>
                <w:kern w:val="22"/>
                <w:szCs w:val="22"/>
              </w:rPr>
            </w:pPr>
            <w:r w:rsidRPr="0099764F">
              <w:rPr>
                <w:kern w:val="22"/>
                <w:szCs w:val="22"/>
              </w:rPr>
              <w:t>B.1.5. Value of all final ecosystem services (Gross Ecosystem Product) (B.0.</w:t>
            </w:r>
            <w:r w:rsidR="003B6F58">
              <w:rPr>
                <w:kern w:val="22"/>
                <w:szCs w:val="22"/>
              </w:rPr>
              <w:t>2</w:t>
            </w:r>
            <w:r w:rsidRPr="0099764F">
              <w:rPr>
                <w:kern w:val="22"/>
                <w:szCs w:val="22"/>
              </w:rPr>
              <w:t>) for non-material service-related ecosystem services</w:t>
            </w:r>
          </w:p>
        </w:tc>
        <w:tc>
          <w:tcPr>
            <w:tcW w:w="3827" w:type="dxa"/>
            <w:shd w:val="clear" w:color="auto" w:fill="BFBFBF" w:themeFill="background1" w:themeFillShade="BF"/>
          </w:tcPr>
          <w:p w14:paraId="7878C93C" w14:textId="77777777" w:rsidR="00366AA7" w:rsidRPr="0099764F" w:rsidRDefault="00366AA7"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99764F">
              <w:rPr>
                <w:kern w:val="22"/>
                <w:szCs w:val="22"/>
              </w:rPr>
              <w:t>B.1.1.1. Expected loss of Phylogenetic Diversity (IPBES phylogenetic diversity indicator)</w:t>
            </w:r>
          </w:p>
          <w:p w14:paraId="4CCCFBCE" w14:textId="77777777" w:rsidR="00366AA7" w:rsidRPr="0099764F" w:rsidRDefault="00366AA7"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99764F">
              <w:rPr>
                <w:kern w:val="22"/>
                <w:szCs w:val="22"/>
              </w:rPr>
              <w:t>B.1.1.2. Red List Index (pollinating species)</w:t>
            </w:r>
          </w:p>
          <w:p w14:paraId="6EE4F529" w14:textId="77777777" w:rsidR="00366AA7" w:rsidRPr="0099764F" w:rsidRDefault="00366AA7"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99764F">
              <w:rPr>
                <w:kern w:val="22"/>
                <w:szCs w:val="22"/>
              </w:rPr>
              <w:t>B.1.1.3. Green status index (pollinators)</w:t>
            </w:r>
          </w:p>
          <w:p w14:paraId="609E123D" w14:textId="77777777" w:rsidR="00366AA7" w:rsidRPr="0099764F" w:rsidRDefault="00366AA7"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99764F">
              <w:rPr>
                <w:kern w:val="22"/>
                <w:szCs w:val="22"/>
              </w:rPr>
              <w:t>B.1.1.4. Air quality index</w:t>
            </w:r>
          </w:p>
          <w:p w14:paraId="2B2EA12D" w14:textId="77777777" w:rsidR="00366AA7" w:rsidRPr="0099764F" w:rsidRDefault="00366AA7"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99764F">
              <w:rPr>
                <w:kern w:val="22"/>
                <w:szCs w:val="22"/>
              </w:rPr>
              <w:t>B.1.1.5. Air pollution emissions account</w:t>
            </w:r>
          </w:p>
          <w:p w14:paraId="36EA0E38" w14:textId="77777777" w:rsidR="00366AA7" w:rsidRPr="0099764F" w:rsidRDefault="00366AA7"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99764F">
              <w:rPr>
                <w:kern w:val="22"/>
                <w:szCs w:val="22"/>
              </w:rPr>
              <w:t>B.1.1.6. Zoonotic disease in wildlife</w:t>
            </w:r>
          </w:p>
          <w:p w14:paraId="4C305023" w14:textId="77777777" w:rsidR="00366AA7" w:rsidRPr="0099764F" w:rsidRDefault="00366AA7"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99764F">
              <w:rPr>
                <w:kern w:val="22"/>
                <w:szCs w:val="22"/>
              </w:rPr>
              <w:t>B.1.1.7. Climatic impact index</w:t>
            </w:r>
          </w:p>
          <w:p w14:paraId="747F27BA" w14:textId="77777777" w:rsidR="00366AA7" w:rsidRPr="0099764F" w:rsidRDefault="00366AA7"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99764F">
              <w:rPr>
                <w:kern w:val="22"/>
                <w:szCs w:val="22"/>
              </w:rPr>
              <w:t>B.1.1.8. Ocean acidification (SDG 14.3.1)</w:t>
            </w:r>
          </w:p>
          <w:p w14:paraId="4D2402AE" w14:textId="77777777" w:rsidR="00366AA7" w:rsidRPr="0099764F" w:rsidRDefault="00366AA7"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99764F">
              <w:rPr>
                <w:kern w:val="22"/>
                <w:szCs w:val="22"/>
              </w:rPr>
              <w:t>B.1.1.9. Level of water stress: freshwater withdrawal as a proportion of available freshwater resources</w:t>
            </w:r>
          </w:p>
          <w:p w14:paraId="7987ADA4" w14:textId="77777777" w:rsidR="00366AA7" w:rsidRPr="0099764F" w:rsidRDefault="00366AA7"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99764F">
              <w:rPr>
                <w:kern w:val="22"/>
                <w:szCs w:val="22"/>
              </w:rPr>
              <w:t>B.1.1.10. Proportion of bodies of water with good ambient water quality (SDG indicator 6.3.2)</w:t>
            </w:r>
          </w:p>
          <w:p w14:paraId="651D6403" w14:textId="77777777" w:rsidR="00366AA7" w:rsidRPr="0099764F" w:rsidRDefault="00366AA7"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99764F">
              <w:rPr>
                <w:kern w:val="22"/>
                <w:szCs w:val="22"/>
              </w:rPr>
              <w:lastRenderedPageBreak/>
              <w:t xml:space="preserve">B.1.1.11. </w:t>
            </w:r>
            <w:proofErr w:type="spellStart"/>
            <w:r w:rsidRPr="0099764F">
              <w:rPr>
                <w:kern w:val="22"/>
                <w:szCs w:val="22"/>
              </w:rPr>
              <w:t>Eflow</w:t>
            </w:r>
            <w:proofErr w:type="spellEnd"/>
            <w:r w:rsidRPr="0099764F">
              <w:rPr>
                <w:kern w:val="22"/>
                <w:szCs w:val="22"/>
              </w:rPr>
              <w:t xml:space="preserve"> index</w:t>
            </w:r>
          </w:p>
          <w:p w14:paraId="3392B59C" w14:textId="77777777" w:rsidR="00366AA7" w:rsidRPr="0099764F" w:rsidRDefault="00366AA7"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99764F">
              <w:rPr>
                <w:kern w:val="22"/>
                <w:szCs w:val="22"/>
              </w:rPr>
              <w:t>B.1.1.12. Change in the quality of inland water ecosystems over time</w:t>
            </w:r>
          </w:p>
          <w:p w14:paraId="1E4DF871" w14:textId="77777777" w:rsidR="00366AA7" w:rsidRPr="0099764F" w:rsidRDefault="00366AA7"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99764F">
              <w:rPr>
                <w:kern w:val="22"/>
                <w:szCs w:val="22"/>
              </w:rPr>
              <w:t>B.1.1.13. Change in the quality of coastal water ecosystems over time</w:t>
            </w:r>
          </w:p>
          <w:p w14:paraId="3040C791" w14:textId="77777777" w:rsidR="00366AA7" w:rsidRPr="0099764F" w:rsidRDefault="00366AA7"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99764F">
              <w:rPr>
                <w:kern w:val="22"/>
                <w:szCs w:val="22"/>
              </w:rPr>
              <w:t>B.1.1.14. Level of erosion</w:t>
            </w:r>
          </w:p>
          <w:p w14:paraId="4034C836" w14:textId="77777777" w:rsidR="00366AA7" w:rsidRPr="0099764F" w:rsidRDefault="00366AA7"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99764F">
              <w:rPr>
                <w:kern w:val="22"/>
                <w:szCs w:val="22"/>
              </w:rPr>
              <w:t xml:space="preserve">B.1.1.15. Number of deaths, missing persons and directly affected persons attributed to disasters per 100,000 population (SDG indicator 11.5.1) </w:t>
            </w:r>
          </w:p>
          <w:p w14:paraId="43F1A4D8" w14:textId="0F36777D" w:rsidR="00366AA7" w:rsidRPr="0099764F" w:rsidRDefault="00366AA7"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99764F">
              <w:rPr>
                <w:kern w:val="22"/>
                <w:szCs w:val="22"/>
              </w:rPr>
              <w:t xml:space="preserve">B.1.1.16. Intact </w:t>
            </w:r>
            <w:r w:rsidR="00147962" w:rsidRPr="0099764F">
              <w:rPr>
                <w:kern w:val="22"/>
                <w:szCs w:val="22"/>
              </w:rPr>
              <w:t>w</w:t>
            </w:r>
            <w:r w:rsidRPr="0099764F">
              <w:rPr>
                <w:kern w:val="22"/>
                <w:szCs w:val="22"/>
              </w:rPr>
              <w:t xml:space="preserve">ilderness </w:t>
            </w:r>
          </w:p>
          <w:p w14:paraId="284DDB85" w14:textId="77777777" w:rsidR="00366AA7" w:rsidRPr="0099764F" w:rsidRDefault="00366AA7"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99764F">
              <w:rPr>
                <w:kern w:val="22"/>
                <w:szCs w:val="22"/>
              </w:rPr>
              <w:t>B.1.1.17. Biofuel production</w:t>
            </w:r>
          </w:p>
          <w:p w14:paraId="4DEB4A1E" w14:textId="77777777" w:rsidR="00366AA7" w:rsidRPr="0099764F" w:rsidRDefault="00366AA7"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99764F">
              <w:rPr>
                <w:kern w:val="22"/>
                <w:szCs w:val="22"/>
              </w:rPr>
              <w:t>B.1.1.18. Maximum fish catch potential</w:t>
            </w:r>
          </w:p>
          <w:p w14:paraId="568741B4" w14:textId="77777777" w:rsidR="00366AA7" w:rsidRPr="0099764F" w:rsidRDefault="00366AA7"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99764F">
              <w:rPr>
                <w:kern w:val="22"/>
                <w:szCs w:val="22"/>
              </w:rPr>
              <w:t>B.1.1.19. Population involved in hunting and gathering</w:t>
            </w:r>
          </w:p>
          <w:p w14:paraId="1DF08A4F" w14:textId="77777777" w:rsidR="00366AA7" w:rsidRPr="0099764F" w:rsidRDefault="00366AA7"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99764F">
              <w:rPr>
                <w:kern w:val="22"/>
                <w:szCs w:val="22"/>
              </w:rPr>
              <w:t>B.1.1.20. Prevalence of moderate or severe food insecurity in the population, based on the Food Insecurity Experience Scale</w:t>
            </w:r>
          </w:p>
          <w:p w14:paraId="2FF6AC1A" w14:textId="77777777" w:rsidR="00366AA7" w:rsidRPr="0099764F" w:rsidRDefault="00366AA7"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99764F">
              <w:rPr>
                <w:kern w:val="22"/>
                <w:szCs w:val="22"/>
              </w:rPr>
              <w:t>B.1.1.21. Forestry Production &amp; Trade (Wood Fuel)</w:t>
            </w:r>
          </w:p>
          <w:p w14:paraId="25352C27" w14:textId="77777777" w:rsidR="00366AA7" w:rsidRPr="0099764F" w:rsidRDefault="00366AA7"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99764F">
              <w:rPr>
                <w:kern w:val="22"/>
                <w:szCs w:val="22"/>
              </w:rPr>
              <w:t>B.1.1.22. Trends in the legal trade of medicinal plants</w:t>
            </w:r>
          </w:p>
          <w:p w14:paraId="03EB8B52" w14:textId="77777777" w:rsidR="00366AA7" w:rsidRPr="0099764F" w:rsidRDefault="00366AA7"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99764F">
              <w:rPr>
                <w:kern w:val="22"/>
                <w:szCs w:val="22"/>
              </w:rPr>
              <w:t>B.1.1.23. Visitor management assessment</w:t>
            </w:r>
          </w:p>
          <w:p w14:paraId="7E4C7046" w14:textId="77777777" w:rsidR="00366AA7" w:rsidRPr="0099764F" w:rsidRDefault="00366AA7"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99764F">
              <w:rPr>
                <w:kern w:val="22"/>
                <w:szCs w:val="22"/>
              </w:rPr>
              <w:t>B.1.1.24. Number of formal and non-formal education programmes transmitting spiritual and cultural values in the UNESCO World Network of Biosphere Reserves</w:t>
            </w:r>
          </w:p>
          <w:p w14:paraId="557C2311" w14:textId="77777777" w:rsidR="00366AA7" w:rsidRPr="0099764F" w:rsidRDefault="00366AA7"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99764F">
              <w:rPr>
                <w:kern w:val="22"/>
                <w:szCs w:val="22"/>
              </w:rPr>
              <w:t xml:space="preserve">B.1.1.25. Number of mixed sites (having both natural and cultural Outstanding </w:t>
            </w:r>
            <w:r w:rsidRPr="0099764F">
              <w:rPr>
                <w:kern w:val="22"/>
                <w:szCs w:val="22"/>
              </w:rPr>
              <w:lastRenderedPageBreak/>
              <w:t>Universal Values), cultural landscapes (recognized as combined works of nature and people) and natural sites with cultural values including those supporting local and indigenous knowledge and practices inscribed on the UNESCO World Heritage List and UNESCO World Network of Biosphere Reserves</w:t>
            </w:r>
          </w:p>
          <w:p w14:paraId="165A23E9" w14:textId="77777777" w:rsidR="00366AA7" w:rsidRPr="0099764F" w:rsidRDefault="00366AA7"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99764F">
              <w:rPr>
                <w:kern w:val="22"/>
                <w:szCs w:val="22"/>
              </w:rPr>
              <w:t>B.1.1.26. Index of Linguistic Diversity - Trends of linguistic diversity and numbers of speakers of indigenous languages</w:t>
            </w:r>
          </w:p>
          <w:p w14:paraId="1B20683B" w14:textId="77777777" w:rsidR="00366AA7" w:rsidRPr="0099764F" w:rsidRDefault="00366AA7"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99764F">
              <w:rPr>
                <w:kern w:val="22"/>
                <w:szCs w:val="22"/>
              </w:rPr>
              <w:t xml:space="preserve">B.1.1.27. Index of development of the standard- setting framework for the protection and promotion of culture, cultural </w:t>
            </w:r>
            <w:proofErr w:type="gramStart"/>
            <w:r w:rsidRPr="0099764F">
              <w:rPr>
                <w:kern w:val="22"/>
                <w:szCs w:val="22"/>
              </w:rPr>
              <w:t>rights</w:t>
            </w:r>
            <w:proofErr w:type="gramEnd"/>
            <w:r w:rsidRPr="0099764F">
              <w:rPr>
                <w:kern w:val="22"/>
                <w:szCs w:val="22"/>
              </w:rPr>
              <w:t xml:space="preserve"> and cultural diversity</w:t>
            </w:r>
          </w:p>
          <w:p w14:paraId="454B56F5" w14:textId="77777777" w:rsidR="00366AA7" w:rsidRPr="0099764F" w:rsidRDefault="00366AA7"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99764F">
              <w:rPr>
                <w:kern w:val="22"/>
                <w:szCs w:val="22"/>
              </w:rPr>
              <w:t>B.1.1.28. Cultural vitality index</w:t>
            </w:r>
          </w:p>
          <w:p w14:paraId="7653BF54" w14:textId="77777777" w:rsidR="00366AA7" w:rsidRPr="0099764F" w:rsidRDefault="00366AA7"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99764F">
              <w:rPr>
                <w:kern w:val="22"/>
                <w:szCs w:val="22"/>
              </w:rPr>
              <w:t>B.1.1.29. UNESCO Culture 2030 (multiple indicators)</w:t>
            </w:r>
          </w:p>
        </w:tc>
      </w:tr>
      <w:tr w:rsidR="00366AA7" w:rsidRPr="00B324FA" w14:paraId="086D241F" w14:textId="77777777" w:rsidTr="0099764F">
        <w:trPr>
          <w:jc w:val="center"/>
        </w:trPr>
        <w:tc>
          <w:tcPr>
            <w:tcW w:w="2447" w:type="dxa"/>
          </w:tcPr>
          <w:p w14:paraId="7D8FCD2C" w14:textId="77777777" w:rsidR="00366AA7" w:rsidRPr="00866F16" w:rsidRDefault="00366AA7" w:rsidP="00866F16">
            <w:pPr>
              <w:suppressLineNumbers/>
              <w:suppressAutoHyphens/>
              <w:kinsoku w:val="0"/>
              <w:overflowPunct w:val="0"/>
              <w:autoSpaceDE w:val="0"/>
              <w:autoSpaceDN w:val="0"/>
              <w:adjustRightInd w:val="0"/>
              <w:snapToGrid w:val="0"/>
              <w:spacing w:before="60" w:after="60"/>
              <w:jc w:val="left"/>
              <w:rPr>
                <w:b/>
                <w:bCs/>
                <w:kern w:val="22"/>
                <w:szCs w:val="22"/>
              </w:rPr>
            </w:pPr>
            <w:r w:rsidRPr="00866F16">
              <w:rPr>
                <w:b/>
                <w:bCs/>
                <w:kern w:val="22"/>
                <w:szCs w:val="22"/>
              </w:rPr>
              <w:lastRenderedPageBreak/>
              <w:t>Goal C:</w:t>
            </w:r>
          </w:p>
          <w:p w14:paraId="10BF0BB8" w14:textId="77777777" w:rsidR="00366AA7" w:rsidRPr="00866F16"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866F16">
              <w:rPr>
                <w:kern w:val="22"/>
                <w:szCs w:val="22"/>
              </w:rPr>
              <w:t>The benefits, from the utilization of genetic resources are shared fairly and equitably;</w:t>
            </w:r>
          </w:p>
          <w:p w14:paraId="0C3159B4" w14:textId="77777777" w:rsidR="00366AA7" w:rsidRPr="00866F16"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p>
          <w:p w14:paraId="5C4B0948" w14:textId="38FFF472" w:rsidR="00366AA7" w:rsidRPr="00866F16" w:rsidRDefault="00221240" w:rsidP="00866F16">
            <w:pPr>
              <w:suppressLineNumbers/>
              <w:suppressAutoHyphens/>
              <w:kinsoku w:val="0"/>
              <w:overflowPunct w:val="0"/>
              <w:autoSpaceDE w:val="0"/>
              <w:autoSpaceDN w:val="0"/>
              <w:adjustRightInd w:val="0"/>
              <w:snapToGrid w:val="0"/>
              <w:spacing w:before="60" w:after="60"/>
              <w:jc w:val="left"/>
              <w:rPr>
                <w:b/>
                <w:bCs/>
                <w:kern w:val="22"/>
                <w:szCs w:val="22"/>
              </w:rPr>
            </w:pPr>
            <w:r>
              <w:rPr>
                <w:b/>
                <w:bCs/>
                <w:kern w:val="22"/>
                <w:szCs w:val="22"/>
              </w:rPr>
              <w:t xml:space="preserve">2030 </w:t>
            </w:r>
            <w:r w:rsidR="00366AA7" w:rsidRPr="00866F16">
              <w:rPr>
                <w:b/>
                <w:bCs/>
                <w:kern w:val="22"/>
                <w:szCs w:val="22"/>
              </w:rPr>
              <w:t>Milestones:</w:t>
            </w:r>
          </w:p>
          <w:p w14:paraId="45B00684" w14:textId="024E675B" w:rsidR="00366AA7" w:rsidRPr="00866F16" w:rsidRDefault="0060509D" w:rsidP="00866F16">
            <w:pPr>
              <w:suppressLineNumbers/>
              <w:suppressAutoHyphens/>
              <w:kinsoku w:val="0"/>
              <w:overflowPunct w:val="0"/>
              <w:autoSpaceDE w:val="0"/>
              <w:autoSpaceDN w:val="0"/>
              <w:adjustRightInd w:val="0"/>
              <w:snapToGrid w:val="0"/>
              <w:spacing w:before="60" w:after="60"/>
              <w:jc w:val="left"/>
              <w:rPr>
                <w:kern w:val="22"/>
                <w:szCs w:val="22"/>
              </w:rPr>
            </w:pPr>
            <w:r w:rsidRPr="00866F16">
              <w:rPr>
                <w:kern w:val="22"/>
                <w:szCs w:val="22"/>
              </w:rPr>
              <w:t>(</w:t>
            </w:r>
            <w:proofErr w:type="spellStart"/>
            <w:r w:rsidR="00366AA7" w:rsidRPr="00866F16">
              <w:rPr>
                <w:kern w:val="22"/>
                <w:szCs w:val="22"/>
              </w:rPr>
              <w:t>i</w:t>
            </w:r>
            <w:proofErr w:type="spellEnd"/>
            <w:r w:rsidR="00366AA7" w:rsidRPr="00866F16">
              <w:rPr>
                <w:kern w:val="22"/>
                <w:szCs w:val="22"/>
              </w:rPr>
              <w:t>) Access and benefit-sharing mechanisms are established in all countries.</w:t>
            </w:r>
          </w:p>
          <w:p w14:paraId="7596B902" w14:textId="14DFC6C8" w:rsidR="00366AA7" w:rsidRPr="00866F16" w:rsidRDefault="0060509D" w:rsidP="0064533A">
            <w:pPr>
              <w:suppressLineNumbers/>
              <w:suppressAutoHyphens/>
              <w:kinsoku w:val="0"/>
              <w:overflowPunct w:val="0"/>
              <w:autoSpaceDE w:val="0"/>
              <w:autoSpaceDN w:val="0"/>
              <w:adjustRightInd w:val="0"/>
              <w:snapToGrid w:val="0"/>
              <w:spacing w:before="60" w:after="60"/>
              <w:jc w:val="left"/>
              <w:rPr>
                <w:kern w:val="22"/>
                <w:szCs w:val="22"/>
              </w:rPr>
            </w:pPr>
            <w:r w:rsidRPr="00866F16">
              <w:rPr>
                <w:kern w:val="22"/>
                <w:szCs w:val="22"/>
              </w:rPr>
              <w:lastRenderedPageBreak/>
              <w:t>(</w:t>
            </w:r>
            <w:r w:rsidR="00366AA7" w:rsidRPr="00866F16">
              <w:rPr>
                <w:kern w:val="22"/>
                <w:szCs w:val="22"/>
              </w:rPr>
              <w:t>ii) Benefits shared increased by [X%].</w:t>
            </w:r>
          </w:p>
        </w:tc>
        <w:tc>
          <w:tcPr>
            <w:tcW w:w="1959" w:type="dxa"/>
          </w:tcPr>
          <w:p w14:paraId="32447079" w14:textId="67D9AD64" w:rsidR="00366AA7" w:rsidRPr="00866F16"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866F16">
              <w:rPr>
                <w:kern w:val="22"/>
                <w:szCs w:val="22"/>
              </w:rPr>
              <w:lastRenderedPageBreak/>
              <w:t>C.0.1 Amount of monetary benefits (in United States dollars) received by countries from utilization of genetic resources as a result of an ABS agreement, including traditional knowledge</w:t>
            </w:r>
          </w:p>
          <w:p w14:paraId="069B976B" w14:textId="77777777" w:rsidR="00366AA7" w:rsidRPr="00866F16"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866F16">
              <w:rPr>
                <w:kern w:val="22"/>
                <w:szCs w:val="22"/>
              </w:rPr>
              <w:lastRenderedPageBreak/>
              <w:t>C.0.2 Number of research and development results or publications shared as a result of an ABS agreement</w:t>
            </w:r>
          </w:p>
        </w:tc>
        <w:tc>
          <w:tcPr>
            <w:tcW w:w="2369" w:type="dxa"/>
          </w:tcPr>
          <w:p w14:paraId="1A0CA5F6" w14:textId="77777777" w:rsidR="00366AA7" w:rsidRPr="00866F16" w:rsidRDefault="00366AA7" w:rsidP="00866F16">
            <w:pPr>
              <w:pStyle w:val="ListParagraph"/>
              <w:suppressLineNumbers/>
              <w:tabs>
                <w:tab w:val="left" w:pos="270"/>
              </w:tabs>
              <w:suppressAutoHyphens/>
              <w:kinsoku w:val="0"/>
              <w:overflowPunct w:val="0"/>
              <w:autoSpaceDE w:val="0"/>
              <w:autoSpaceDN w:val="0"/>
              <w:adjustRightInd w:val="0"/>
              <w:snapToGrid w:val="0"/>
              <w:spacing w:before="60" w:after="60"/>
              <w:ind w:left="-14"/>
              <w:jc w:val="left"/>
              <w:rPr>
                <w:kern w:val="22"/>
                <w:szCs w:val="22"/>
              </w:rPr>
            </w:pPr>
            <w:r w:rsidRPr="00866F16">
              <w:rPr>
                <w:kern w:val="22"/>
                <w:szCs w:val="22"/>
              </w:rPr>
              <w:lastRenderedPageBreak/>
              <w:t xml:space="preserve">C.1. Access to Genetic resources </w:t>
            </w:r>
          </w:p>
          <w:p w14:paraId="724789C8" w14:textId="77777777" w:rsidR="00366AA7" w:rsidRPr="00866F16" w:rsidRDefault="00366AA7" w:rsidP="00866F16">
            <w:pPr>
              <w:pStyle w:val="ListParagraph"/>
              <w:suppressLineNumbers/>
              <w:tabs>
                <w:tab w:val="left" w:pos="270"/>
              </w:tabs>
              <w:suppressAutoHyphens/>
              <w:kinsoku w:val="0"/>
              <w:overflowPunct w:val="0"/>
              <w:autoSpaceDE w:val="0"/>
              <w:autoSpaceDN w:val="0"/>
              <w:adjustRightInd w:val="0"/>
              <w:snapToGrid w:val="0"/>
              <w:spacing w:before="60" w:after="60"/>
              <w:ind w:left="-14"/>
              <w:jc w:val="left"/>
              <w:rPr>
                <w:kern w:val="22"/>
                <w:szCs w:val="22"/>
              </w:rPr>
            </w:pPr>
            <w:r w:rsidRPr="00866F16">
              <w:rPr>
                <w:kern w:val="22"/>
                <w:szCs w:val="22"/>
              </w:rPr>
              <w:t>C.2. Sharing of the benefits</w:t>
            </w:r>
          </w:p>
        </w:tc>
        <w:tc>
          <w:tcPr>
            <w:tcW w:w="3568" w:type="dxa"/>
          </w:tcPr>
          <w:p w14:paraId="3D7DBF6F" w14:textId="77777777" w:rsidR="00366AA7" w:rsidRPr="00866F16" w:rsidRDefault="00366AA7" w:rsidP="00866F16">
            <w:pPr>
              <w:suppressLineNumbers/>
              <w:tabs>
                <w:tab w:val="left" w:pos="270"/>
                <w:tab w:val="left" w:pos="451"/>
              </w:tabs>
              <w:suppressAutoHyphens/>
              <w:kinsoku w:val="0"/>
              <w:overflowPunct w:val="0"/>
              <w:autoSpaceDE w:val="0"/>
              <w:autoSpaceDN w:val="0"/>
              <w:adjustRightInd w:val="0"/>
              <w:snapToGrid w:val="0"/>
              <w:spacing w:before="60" w:after="60"/>
              <w:jc w:val="left"/>
              <w:rPr>
                <w:kern w:val="22"/>
                <w:szCs w:val="22"/>
              </w:rPr>
            </w:pPr>
            <w:r w:rsidRPr="00866F16">
              <w:rPr>
                <w:kern w:val="22"/>
                <w:szCs w:val="22"/>
              </w:rPr>
              <w:t>C.1.1. Amount of monetary benefits received by countries from utilization of genetic resources as a result of an ABS agreement, including traditional knowledge (C.0.1) by beneficiary type</w:t>
            </w:r>
          </w:p>
          <w:p w14:paraId="71A4BA4F" w14:textId="24DDB1CB" w:rsidR="00366AA7" w:rsidRPr="00866F16" w:rsidRDefault="00366AA7" w:rsidP="00800629">
            <w:pPr>
              <w:pStyle w:val="ListParagraph"/>
              <w:suppressLineNumbers/>
              <w:tabs>
                <w:tab w:val="left" w:pos="270"/>
                <w:tab w:val="left" w:pos="451"/>
              </w:tabs>
              <w:suppressAutoHyphens/>
              <w:kinsoku w:val="0"/>
              <w:overflowPunct w:val="0"/>
              <w:autoSpaceDE w:val="0"/>
              <w:autoSpaceDN w:val="0"/>
              <w:adjustRightInd w:val="0"/>
              <w:snapToGrid w:val="0"/>
              <w:spacing w:before="60" w:after="60"/>
              <w:ind w:left="0"/>
              <w:jc w:val="left"/>
            </w:pPr>
            <w:r w:rsidRPr="00866F16">
              <w:rPr>
                <w:kern w:val="22"/>
                <w:szCs w:val="22"/>
              </w:rPr>
              <w:t>C.1.2. Number of research and development results or publications shared as a result of an ABS agreement (C.0.2) by beneficiary type</w:t>
            </w:r>
          </w:p>
        </w:tc>
        <w:tc>
          <w:tcPr>
            <w:tcW w:w="3827" w:type="dxa"/>
          </w:tcPr>
          <w:p w14:paraId="578C6527" w14:textId="77777777" w:rsidR="00366AA7" w:rsidRPr="00866F16" w:rsidRDefault="00366AA7"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866F16">
              <w:rPr>
                <w:kern w:val="22"/>
                <w:szCs w:val="22"/>
              </w:rPr>
              <w:t xml:space="preserve">C.1.1.1. Number of users that have provided information relevant to the utilization of genetic resources to designated checkpoints </w:t>
            </w:r>
          </w:p>
          <w:p w14:paraId="40117E22" w14:textId="47A3AFDD" w:rsidR="00366AA7" w:rsidRPr="00866F16" w:rsidRDefault="00366AA7"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866F16">
              <w:rPr>
                <w:kern w:val="22"/>
                <w:szCs w:val="22"/>
              </w:rPr>
              <w:t xml:space="preserve">C.1.1.2. Total number of internationally recognized certificates published in the </w:t>
            </w:r>
            <w:r w:rsidR="008F6BE9">
              <w:rPr>
                <w:kern w:val="22"/>
                <w:szCs w:val="22"/>
              </w:rPr>
              <w:t>APB</w:t>
            </w:r>
            <w:r w:rsidRPr="00866F16">
              <w:rPr>
                <w:kern w:val="22"/>
                <w:szCs w:val="22"/>
              </w:rPr>
              <w:t xml:space="preserve"> Clearing-House</w:t>
            </w:r>
          </w:p>
          <w:p w14:paraId="7A20A694" w14:textId="77777777" w:rsidR="00366AA7" w:rsidRPr="00866F16" w:rsidRDefault="00366AA7"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866F16">
              <w:rPr>
                <w:kern w:val="22"/>
                <w:szCs w:val="22"/>
              </w:rPr>
              <w:t>C.1.1.3. Number of checkpoint communiqués published in the ABS Clearing-House</w:t>
            </w:r>
          </w:p>
          <w:p w14:paraId="51A37FDD" w14:textId="77777777" w:rsidR="00366AA7" w:rsidRPr="00866F16" w:rsidRDefault="00366AA7"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866F16">
              <w:rPr>
                <w:kern w:val="22"/>
                <w:szCs w:val="22"/>
              </w:rPr>
              <w:lastRenderedPageBreak/>
              <w:t>C.1.1.4. Number of internationally recognized certificates of compliance for non-commercial purposes</w:t>
            </w:r>
          </w:p>
        </w:tc>
      </w:tr>
      <w:tr w:rsidR="00366AA7" w:rsidRPr="00B324FA" w14:paraId="68FB1EE3" w14:textId="77777777" w:rsidTr="0099764F">
        <w:trPr>
          <w:jc w:val="center"/>
        </w:trPr>
        <w:tc>
          <w:tcPr>
            <w:tcW w:w="2447" w:type="dxa"/>
            <w:shd w:val="clear" w:color="auto" w:fill="BFBFBF" w:themeFill="background1" w:themeFillShade="BF"/>
          </w:tcPr>
          <w:p w14:paraId="5E0F5CC7" w14:textId="77777777" w:rsidR="00366AA7" w:rsidRPr="00866F16" w:rsidRDefault="00366AA7" w:rsidP="00866F16">
            <w:pPr>
              <w:suppressLineNumbers/>
              <w:suppressAutoHyphens/>
              <w:kinsoku w:val="0"/>
              <w:overflowPunct w:val="0"/>
              <w:autoSpaceDE w:val="0"/>
              <w:autoSpaceDN w:val="0"/>
              <w:adjustRightInd w:val="0"/>
              <w:snapToGrid w:val="0"/>
              <w:spacing w:before="60" w:after="60"/>
              <w:jc w:val="left"/>
              <w:rPr>
                <w:b/>
                <w:bCs/>
                <w:kern w:val="22"/>
                <w:szCs w:val="22"/>
              </w:rPr>
            </w:pPr>
            <w:r w:rsidRPr="00866F16">
              <w:rPr>
                <w:b/>
                <w:bCs/>
                <w:kern w:val="22"/>
                <w:szCs w:val="22"/>
              </w:rPr>
              <w:lastRenderedPageBreak/>
              <w:t>Goal D:</w:t>
            </w:r>
          </w:p>
          <w:p w14:paraId="0E671BE2" w14:textId="77777777" w:rsidR="00366AA7" w:rsidRPr="00866F16"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866F16">
              <w:rPr>
                <w:kern w:val="22"/>
                <w:szCs w:val="22"/>
              </w:rPr>
              <w:t>Means of implementation are available to achieve all goals and targets in the framework.</w:t>
            </w:r>
          </w:p>
          <w:p w14:paraId="76B64819" w14:textId="77777777" w:rsidR="00366AA7" w:rsidRPr="00866F16" w:rsidRDefault="00366AA7" w:rsidP="00866F16">
            <w:pPr>
              <w:suppressLineNumbers/>
              <w:suppressAutoHyphens/>
              <w:kinsoku w:val="0"/>
              <w:overflowPunct w:val="0"/>
              <w:autoSpaceDE w:val="0"/>
              <w:autoSpaceDN w:val="0"/>
              <w:adjustRightInd w:val="0"/>
              <w:snapToGrid w:val="0"/>
              <w:spacing w:before="60" w:after="60"/>
              <w:jc w:val="left"/>
              <w:rPr>
                <w:b/>
                <w:bCs/>
                <w:kern w:val="22"/>
                <w:szCs w:val="22"/>
              </w:rPr>
            </w:pPr>
            <w:r w:rsidRPr="00866F16">
              <w:rPr>
                <w:b/>
                <w:bCs/>
                <w:kern w:val="22"/>
                <w:szCs w:val="22"/>
              </w:rPr>
              <w:t>2030 Milestones:</w:t>
            </w:r>
          </w:p>
          <w:p w14:paraId="49F8EE67" w14:textId="4D7AAF14" w:rsidR="00366AA7" w:rsidRPr="00866F16" w:rsidRDefault="00173F68" w:rsidP="00866F16">
            <w:pPr>
              <w:suppressLineNumbers/>
              <w:suppressAutoHyphens/>
              <w:kinsoku w:val="0"/>
              <w:overflowPunct w:val="0"/>
              <w:autoSpaceDE w:val="0"/>
              <w:autoSpaceDN w:val="0"/>
              <w:adjustRightInd w:val="0"/>
              <w:snapToGrid w:val="0"/>
              <w:spacing w:before="60" w:after="60"/>
              <w:jc w:val="left"/>
              <w:rPr>
                <w:b/>
                <w:bCs/>
                <w:kern w:val="22"/>
                <w:szCs w:val="22"/>
              </w:rPr>
            </w:pPr>
            <w:r w:rsidRPr="00866F16">
              <w:rPr>
                <w:kern w:val="22"/>
                <w:szCs w:val="22"/>
              </w:rPr>
              <w:t>(</w:t>
            </w:r>
            <w:proofErr w:type="spellStart"/>
            <w:r w:rsidR="00366AA7" w:rsidRPr="00866F16">
              <w:rPr>
                <w:kern w:val="22"/>
                <w:szCs w:val="22"/>
              </w:rPr>
              <w:t>i</w:t>
            </w:r>
            <w:proofErr w:type="spellEnd"/>
            <w:r w:rsidR="00366AA7" w:rsidRPr="00866F16">
              <w:rPr>
                <w:kern w:val="22"/>
                <w:szCs w:val="22"/>
              </w:rPr>
              <w:t xml:space="preserve">) By 2022, means to implement the framework for the period 2020 to 2030 are identified and committed. </w:t>
            </w:r>
          </w:p>
          <w:p w14:paraId="6DDEC10E" w14:textId="769B698E" w:rsidR="00366AA7" w:rsidRPr="00866F16" w:rsidRDefault="00173F68" w:rsidP="00866F16">
            <w:pPr>
              <w:suppressLineNumbers/>
              <w:suppressAutoHyphens/>
              <w:kinsoku w:val="0"/>
              <w:overflowPunct w:val="0"/>
              <w:autoSpaceDE w:val="0"/>
              <w:autoSpaceDN w:val="0"/>
              <w:adjustRightInd w:val="0"/>
              <w:snapToGrid w:val="0"/>
              <w:spacing w:before="60" w:after="60"/>
              <w:jc w:val="left"/>
              <w:rPr>
                <w:kern w:val="22"/>
                <w:szCs w:val="22"/>
              </w:rPr>
            </w:pPr>
            <w:r w:rsidRPr="00866F16">
              <w:rPr>
                <w:kern w:val="22"/>
                <w:szCs w:val="22"/>
              </w:rPr>
              <w:t>(</w:t>
            </w:r>
            <w:r w:rsidR="00366AA7" w:rsidRPr="00866F16">
              <w:rPr>
                <w:kern w:val="22"/>
                <w:szCs w:val="22"/>
              </w:rPr>
              <w:t>ii) By 2030, means to implement the framework for the period 2030 to 2040 are identified or committed.</w:t>
            </w:r>
          </w:p>
        </w:tc>
        <w:tc>
          <w:tcPr>
            <w:tcW w:w="1959" w:type="dxa"/>
            <w:shd w:val="clear" w:color="auto" w:fill="BFBFBF" w:themeFill="background1" w:themeFillShade="BF"/>
          </w:tcPr>
          <w:p w14:paraId="15A1158C" w14:textId="598BBB30" w:rsidR="00366AA7" w:rsidRPr="00866F16"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866F16">
              <w:rPr>
                <w:kern w:val="22"/>
                <w:szCs w:val="22"/>
              </w:rPr>
              <w:t xml:space="preserve">D.0.1. Index of coverage of national biodiversity strategies and action plans with formal processes for ensuring that women, indigenous </w:t>
            </w:r>
            <w:r w:rsidR="00451547">
              <w:rPr>
                <w:kern w:val="22"/>
                <w:szCs w:val="22"/>
              </w:rPr>
              <w:t xml:space="preserve">peoples </w:t>
            </w:r>
            <w:r w:rsidRPr="00866F16">
              <w:rPr>
                <w:kern w:val="22"/>
                <w:szCs w:val="22"/>
              </w:rPr>
              <w:t xml:space="preserve">and local communities and youth are </w:t>
            </w:r>
            <w:proofErr w:type="gramStart"/>
            <w:r w:rsidRPr="00866F16">
              <w:rPr>
                <w:kern w:val="22"/>
                <w:szCs w:val="22"/>
              </w:rPr>
              <w:t>engaged</w:t>
            </w:r>
            <w:proofErr w:type="gramEnd"/>
            <w:r w:rsidRPr="00866F16">
              <w:rPr>
                <w:kern w:val="22"/>
                <w:szCs w:val="22"/>
              </w:rPr>
              <w:t xml:space="preserve"> and which capture means of implementation*</w:t>
            </w:r>
          </w:p>
          <w:p w14:paraId="0B85CC80" w14:textId="7879C334" w:rsidR="00366AA7" w:rsidRPr="00866F16"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866F16">
              <w:rPr>
                <w:kern w:val="22"/>
                <w:szCs w:val="22"/>
              </w:rPr>
              <w:t xml:space="preserve">D.0.2. National funding for implementation of the </w:t>
            </w:r>
            <w:r w:rsidR="007B7AF1" w:rsidRPr="00866F16">
              <w:rPr>
                <w:kern w:val="22"/>
                <w:szCs w:val="22"/>
              </w:rPr>
              <w:t>g</w:t>
            </w:r>
            <w:r w:rsidRPr="00866F16">
              <w:rPr>
                <w:kern w:val="22"/>
                <w:szCs w:val="22"/>
              </w:rPr>
              <w:t xml:space="preserve">lobal </w:t>
            </w:r>
            <w:r w:rsidR="007B7AF1" w:rsidRPr="00866F16">
              <w:rPr>
                <w:kern w:val="22"/>
                <w:szCs w:val="22"/>
              </w:rPr>
              <w:t>b</w:t>
            </w:r>
            <w:r w:rsidRPr="00866F16">
              <w:rPr>
                <w:kern w:val="22"/>
                <w:szCs w:val="22"/>
              </w:rPr>
              <w:t xml:space="preserve">iodiversity </w:t>
            </w:r>
            <w:r w:rsidR="007B7AF1" w:rsidRPr="00866F16">
              <w:rPr>
                <w:kern w:val="22"/>
                <w:szCs w:val="22"/>
              </w:rPr>
              <w:t>f</w:t>
            </w:r>
            <w:r w:rsidRPr="00866F16">
              <w:rPr>
                <w:kern w:val="22"/>
                <w:szCs w:val="22"/>
              </w:rPr>
              <w:t>ramework*</w:t>
            </w:r>
          </w:p>
        </w:tc>
        <w:tc>
          <w:tcPr>
            <w:tcW w:w="2369" w:type="dxa"/>
            <w:shd w:val="clear" w:color="auto" w:fill="BFBFBF" w:themeFill="background1" w:themeFillShade="BF"/>
          </w:tcPr>
          <w:p w14:paraId="27030638" w14:textId="77777777" w:rsidR="00366AA7" w:rsidRPr="00866F16" w:rsidRDefault="00366AA7" w:rsidP="00866F16">
            <w:pPr>
              <w:pStyle w:val="ListParagraph"/>
              <w:suppressLineNumbers/>
              <w:tabs>
                <w:tab w:val="left" w:pos="270"/>
              </w:tabs>
              <w:suppressAutoHyphens/>
              <w:kinsoku w:val="0"/>
              <w:overflowPunct w:val="0"/>
              <w:autoSpaceDE w:val="0"/>
              <w:autoSpaceDN w:val="0"/>
              <w:adjustRightInd w:val="0"/>
              <w:snapToGrid w:val="0"/>
              <w:spacing w:before="60" w:after="60"/>
              <w:ind w:left="-14"/>
              <w:jc w:val="left"/>
              <w:rPr>
                <w:kern w:val="22"/>
                <w:szCs w:val="22"/>
              </w:rPr>
            </w:pPr>
            <w:r w:rsidRPr="00866F16">
              <w:rPr>
                <w:kern w:val="22"/>
                <w:szCs w:val="22"/>
              </w:rPr>
              <w:t xml:space="preserve">D.1. Availability of </w:t>
            </w:r>
            <w:proofErr w:type="gramStart"/>
            <w:r w:rsidRPr="00866F16">
              <w:rPr>
                <w:kern w:val="22"/>
                <w:szCs w:val="22"/>
              </w:rPr>
              <w:t>sufficient</w:t>
            </w:r>
            <w:proofErr w:type="gramEnd"/>
            <w:r w:rsidRPr="00866F16">
              <w:rPr>
                <w:kern w:val="22"/>
                <w:szCs w:val="22"/>
              </w:rPr>
              <w:t xml:space="preserve"> financial resources </w:t>
            </w:r>
          </w:p>
          <w:p w14:paraId="3A126344" w14:textId="7242A7C9" w:rsidR="00366AA7" w:rsidRPr="00866F16" w:rsidRDefault="00366AA7" w:rsidP="00866F16">
            <w:pPr>
              <w:pStyle w:val="ListParagraph"/>
              <w:suppressLineNumbers/>
              <w:tabs>
                <w:tab w:val="left" w:pos="270"/>
              </w:tabs>
              <w:suppressAutoHyphens/>
              <w:kinsoku w:val="0"/>
              <w:overflowPunct w:val="0"/>
              <w:autoSpaceDE w:val="0"/>
              <w:autoSpaceDN w:val="0"/>
              <w:adjustRightInd w:val="0"/>
              <w:snapToGrid w:val="0"/>
              <w:spacing w:before="60" w:after="60"/>
              <w:ind w:left="-14"/>
              <w:jc w:val="left"/>
              <w:rPr>
                <w:kern w:val="22"/>
                <w:szCs w:val="22"/>
              </w:rPr>
            </w:pPr>
            <w:r w:rsidRPr="00866F16">
              <w:rPr>
                <w:kern w:val="22"/>
                <w:szCs w:val="22"/>
              </w:rPr>
              <w:t xml:space="preserve">D.2. </w:t>
            </w:r>
            <w:proofErr w:type="gramStart"/>
            <w:r w:rsidRPr="00866F16">
              <w:rPr>
                <w:kern w:val="22"/>
                <w:szCs w:val="22"/>
              </w:rPr>
              <w:t>Sufficient</w:t>
            </w:r>
            <w:proofErr w:type="gramEnd"/>
            <w:r w:rsidRPr="00866F16">
              <w:rPr>
                <w:kern w:val="22"/>
                <w:szCs w:val="22"/>
              </w:rPr>
              <w:t xml:space="preserve"> capacity</w:t>
            </w:r>
            <w:r w:rsidR="007B7AF1" w:rsidRPr="00866F16">
              <w:rPr>
                <w:kern w:val="22"/>
                <w:szCs w:val="22"/>
              </w:rPr>
              <w:noBreakHyphen/>
            </w:r>
            <w:r w:rsidRPr="00866F16">
              <w:rPr>
                <w:kern w:val="22"/>
                <w:szCs w:val="22"/>
              </w:rPr>
              <w:t>building, technology transfer and scientific cooperation</w:t>
            </w:r>
          </w:p>
          <w:p w14:paraId="677FF7C9" w14:textId="022BBAA4" w:rsidR="00366AA7" w:rsidRPr="00D45BE8" w:rsidRDefault="00366AA7" w:rsidP="00866F16">
            <w:pPr>
              <w:pStyle w:val="ListParagraph"/>
              <w:suppressLineNumbers/>
              <w:tabs>
                <w:tab w:val="left" w:pos="270"/>
              </w:tabs>
              <w:suppressAutoHyphens/>
              <w:kinsoku w:val="0"/>
              <w:overflowPunct w:val="0"/>
              <w:autoSpaceDE w:val="0"/>
              <w:autoSpaceDN w:val="0"/>
              <w:adjustRightInd w:val="0"/>
              <w:snapToGrid w:val="0"/>
              <w:spacing w:before="60" w:after="60"/>
              <w:ind w:left="-14"/>
              <w:jc w:val="left"/>
            </w:pPr>
            <w:r w:rsidRPr="00866F16">
              <w:rPr>
                <w:kern w:val="22"/>
                <w:szCs w:val="22"/>
              </w:rPr>
              <w:t>D.3. Access to technology</w:t>
            </w:r>
          </w:p>
        </w:tc>
        <w:tc>
          <w:tcPr>
            <w:tcW w:w="3568" w:type="dxa"/>
            <w:shd w:val="clear" w:color="auto" w:fill="BFBFBF" w:themeFill="background1" w:themeFillShade="BF"/>
          </w:tcPr>
          <w:p w14:paraId="3351C88A" w14:textId="77777777" w:rsidR="00366AA7" w:rsidRPr="00866F16" w:rsidRDefault="00366AA7" w:rsidP="00866F16">
            <w:pPr>
              <w:pStyle w:val="ListParagraph"/>
              <w:suppressLineNumbers/>
              <w:tabs>
                <w:tab w:val="left" w:pos="270"/>
                <w:tab w:val="left" w:pos="451"/>
              </w:tabs>
              <w:suppressAutoHyphens/>
              <w:kinsoku w:val="0"/>
              <w:overflowPunct w:val="0"/>
              <w:autoSpaceDE w:val="0"/>
              <w:autoSpaceDN w:val="0"/>
              <w:adjustRightInd w:val="0"/>
              <w:snapToGrid w:val="0"/>
              <w:spacing w:before="60" w:after="60"/>
              <w:ind w:left="0"/>
              <w:jc w:val="left"/>
              <w:rPr>
                <w:kern w:val="22"/>
                <w:szCs w:val="22"/>
              </w:rPr>
            </w:pPr>
            <w:r w:rsidRPr="00866F16">
              <w:rPr>
                <w:kern w:val="22"/>
                <w:szCs w:val="22"/>
              </w:rPr>
              <w:t>D.1.1. Financial resources captured in the headline indicators for Target 18</w:t>
            </w:r>
          </w:p>
          <w:p w14:paraId="63872CE6" w14:textId="42D63F3E" w:rsidR="00366AA7" w:rsidRPr="00866F16" w:rsidRDefault="00366AA7" w:rsidP="00866F16">
            <w:pPr>
              <w:pStyle w:val="ListParagraph"/>
              <w:suppressLineNumbers/>
              <w:tabs>
                <w:tab w:val="left" w:pos="270"/>
                <w:tab w:val="left" w:pos="451"/>
              </w:tabs>
              <w:suppressAutoHyphens/>
              <w:kinsoku w:val="0"/>
              <w:overflowPunct w:val="0"/>
              <w:autoSpaceDE w:val="0"/>
              <w:autoSpaceDN w:val="0"/>
              <w:adjustRightInd w:val="0"/>
              <w:snapToGrid w:val="0"/>
              <w:spacing w:before="60" w:after="60"/>
              <w:ind w:left="0"/>
              <w:jc w:val="left"/>
              <w:rPr>
                <w:kern w:val="22"/>
                <w:szCs w:val="22"/>
              </w:rPr>
            </w:pPr>
            <w:r w:rsidRPr="00866F16">
              <w:rPr>
                <w:kern w:val="22"/>
                <w:szCs w:val="22"/>
              </w:rPr>
              <w:t>D.1.2. Financial resources mobili</w:t>
            </w:r>
            <w:r w:rsidR="007B7AF1" w:rsidRPr="00866F16">
              <w:rPr>
                <w:kern w:val="22"/>
                <w:szCs w:val="22"/>
              </w:rPr>
              <w:t>z</w:t>
            </w:r>
            <w:r w:rsidRPr="00866F16">
              <w:rPr>
                <w:kern w:val="22"/>
                <w:szCs w:val="22"/>
              </w:rPr>
              <w:t>ed for capacity</w:t>
            </w:r>
            <w:r w:rsidR="00654CCD" w:rsidRPr="00866F16">
              <w:rPr>
                <w:kern w:val="22"/>
                <w:szCs w:val="22"/>
              </w:rPr>
              <w:noBreakHyphen/>
            </w:r>
            <w:r w:rsidRPr="00866F16">
              <w:rPr>
                <w:kern w:val="22"/>
                <w:szCs w:val="22"/>
              </w:rPr>
              <w:t>building, technology transfer and scientific cooperation</w:t>
            </w:r>
          </w:p>
          <w:p w14:paraId="47E416DC" w14:textId="30450D6F" w:rsidR="00366AA7" w:rsidRPr="00D45BE8" w:rsidRDefault="00366AA7" w:rsidP="00866F16">
            <w:pPr>
              <w:pStyle w:val="ListParagraph"/>
              <w:suppressLineNumbers/>
              <w:tabs>
                <w:tab w:val="left" w:pos="270"/>
                <w:tab w:val="left" w:pos="451"/>
              </w:tabs>
              <w:suppressAutoHyphens/>
              <w:kinsoku w:val="0"/>
              <w:overflowPunct w:val="0"/>
              <w:autoSpaceDE w:val="0"/>
              <w:autoSpaceDN w:val="0"/>
              <w:adjustRightInd w:val="0"/>
              <w:snapToGrid w:val="0"/>
              <w:spacing w:before="60" w:after="60"/>
              <w:ind w:left="0"/>
              <w:jc w:val="left"/>
            </w:pPr>
            <w:r w:rsidRPr="00866F16">
              <w:rPr>
                <w:i/>
                <w:iCs/>
                <w:kern w:val="22"/>
                <w:szCs w:val="22"/>
              </w:rPr>
              <w:t>Headline indicator 19.0.1</w:t>
            </w:r>
          </w:p>
        </w:tc>
        <w:tc>
          <w:tcPr>
            <w:tcW w:w="3827" w:type="dxa"/>
            <w:shd w:val="clear" w:color="auto" w:fill="BFBFBF" w:themeFill="background1" w:themeFillShade="BF"/>
          </w:tcPr>
          <w:p w14:paraId="144DDB27" w14:textId="77777777" w:rsidR="00366AA7" w:rsidRPr="00866F16" w:rsidRDefault="00366AA7"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866F16">
              <w:rPr>
                <w:kern w:val="22"/>
                <w:szCs w:val="22"/>
              </w:rPr>
              <w:t>D.1.1.1. Financial resources captured in the headline indicators for Target 18</w:t>
            </w:r>
          </w:p>
          <w:p w14:paraId="09DD29DC" w14:textId="642121FB" w:rsidR="00366AA7" w:rsidRPr="00866F16" w:rsidRDefault="00366AA7"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866F16">
              <w:rPr>
                <w:kern w:val="22"/>
                <w:szCs w:val="22"/>
              </w:rPr>
              <w:t>D.1.1.2. Finance mobilized for capacity</w:t>
            </w:r>
            <w:r w:rsidR="00654CCD" w:rsidRPr="00866F16">
              <w:rPr>
                <w:kern w:val="22"/>
                <w:szCs w:val="22"/>
              </w:rPr>
              <w:noBreakHyphen/>
            </w:r>
            <w:r w:rsidRPr="00866F16">
              <w:rPr>
                <w:kern w:val="22"/>
                <w:szCs w:val="22"/>
              </w:rPr>
              <w:t>building</w:t>
            </w:r>
          </w:p>
          <w:p w14:paraId="049B835D" w14:textId="77777777" w:rsidR="00366AA7" w:rsidRPr="00866F16" w:rsidRDefault="00366AA7"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866F16">
              <w:rPr>
                <w:kern w:val="22"/>
                <w:szCs w:val="22"/>
              </w:rPr>
              <w:t>D.1.1.3. Financial and technical assistance provided in dollars (including through South-South, North-South and triangular cooperation)</w:t>
            </w:r>
          </w:p>
          <w:p w14:paraId="5D0B413A" w14:textId="77777777" w:rsidR="00366AA7" w:rsidRPr="00866F16" w:rsidRDefault="00366AA7"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866F16">
              <w:rPr>
                <w:kern w:val="22"/>
                <w:szCs w:val="22"/>
              </w:rPr>
              <w:t xml:space="preserve">D.1.1.4. Finance mobilized for promoting the development, transfer, </w:t>
            </w:r>
            <w:proofErr w:type="gramStart"/>
            <w:r w:rsidRPr="00866F16">
              <w:rPr>
                <w:kern w:val="22"/>
                <w:szCs w:val="22"/>
              </w:rPr>
              <w:t>dissemination</w:t>
            </w:r>
            <w:proofErr w:type="gramEnd"/>
            <w:r w:rsidRPr="00866F16">
              <w:rPr>
                <w:kern w:val="22"/>
                <w:szCs w:val="22"/>
              </w:rPr>
              <w:t xml:space="preserve"> and diffusion of technology</w:t>
            </w:r>
          </w:p>
          <w:p w14:paraId="13D241FD" w14:textId="77777777" w:rsidR="00366AA7" w:rsidRPr="00866F16" w:rsidRDefault="00366AA7"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866F16">
              <w:rPr>
                <w:kern w:val="22"/>
                <w:szCs w:val="22"/>
              </w:rPr>
              <w:t>D.1.1.5. Number of scientists per population</w:t>
            </w:r>
          </w:p>
          <w:p w14:paraId="043A3A51" w14:textId="5A3947C3" w:rsidR="00366AA7" w:rsidRPr="00866F16" w:rsidRDefault="00366AA7"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866F16">
              <w:rPr>
                <w:kern w:val="22"/>
                <w:szCs w:val="22"/>
              </w:rPr>
              <w:t xml:space="preserve">D.1.1.6. Joint scientific papers published (in </w:t>
            </w:r>
            <w:r w:rsidR="002732B8" w:rsidRPr="002732B8">
              <w:rPr>
                <w:kern w:val="22"/>
                <w:szCs w:val="22"/>
              </w:rPr>
              <w:t xml:space="preserve">Ocean Biodiversity Information System </w:t>
            </w:r>
            <w:r w:rsidR="002732B8">
              <w:rPr>
                <w:kern w:val="22"/>
                <w:szCs w:val="22"/>
              </w:rPr>
              <w:t>(</w:t>
            </w:r>
            <w:r w:rsidRPr="00866F16">
              <w:rPr>
                <w:kern w:val="22"/>
                <w:szCs w:val="22"/>
              </w:rPr>
              <w:t>OBIS</w:t>
            </w:r>
            <w:r w:rsidR="002732B8">
              <w:rPr>
                <w:kern w:val="22"/>
                <w:szCs w:val="22"/>
              </w:rPr>
              <w:t>)</w:t>
            </w:r>
            <w:r w:rsidRPr="00866F16">
              <w:rPr>
                <w:kern w:val="22"/>
                <w:szCs w:val="22"/>
              </w:rPr>
              <w:t>) by sector</w:t>
            </w:r>
          </w:p>
          <w:p w14:paraId="48DBD9C4" w14:textId="77777777" w:rsidR="00366AA7" w:rsidRPr="00866F16" w:rsidRDefault="00366AA7"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866F16">
              <w:rPr>
                <w:kern w:val="22"/>
                <w:szCs w:val="22"/>
              </w:rPr>
              <w:t>D.1.1.7. Number of marine monitoring stations</w:t>
            </w:r>
          </w:p>
          <w:p w14:paraId="353E11B7" w14:textId="66217F09" w:rsidR="00366AA7" w:rsidRPr="00866F16" w:rsidRDefault="00366AA7" w:rsidP="00866F16">
            <w:pPr>
              <w:pStyle w:val="ListParagraph"/>
              <w:suppressLineNumbers/>
              <w:tabs>
                <w:tab w:val="left" w:pos="218"/>
                <w:tab w:val="left" w:pos="359"/>
              </w:tabs>
              <w:suppressAutoHyphens/>
              <w:kinsoku w:val="0"/>
              <w:overflowPunct w:val="0"/>
              <w:autoSpaceDE w:val="0"/>
              <w:autoSpaceDN w:val="0"/>
              <w:adjustRightInd w:val="0"/>
              <w:snapToGrid w:val="0"/>
              <w:spacing w:before="60" w:after="60"/>
              <w:ind w:left="-66"/>
              <w:jc w:val="left"/>
              <w:rPr>
                <w:kern w:val="22"/>
                <w:szCs w:val="22"/>
              </w:rPr>
            </w:pPr>
            <w:r w:rsidRPr="00866F16">
              <w:rPr>
                <w:kern w:val="22"/>
                <w:szCs w:val="22"/>
              </w:rPr>
              <w:t>D.1.1.8 Number of water quality monitoring stations</w:t>
            </w:r>
          </w:p>
          <w:p w14:paraId="293A6755" w14:textId="2E1368D8" w:rsidR="00366AA7" w:rsidRPr="00866F16" w:rsidRDefault="00366AA7" w:rsidP="00866F16">
            <w:pPr>
              <w:pStyle w:val="ListParagraph"/>
              <w:suppressLineNumbers/>
              <w:tabs>
                <w:tab w:val="left" w:pos="218"/>
                <w:tab w:val="left" w:pos="359"/>
              </w:tabs>
              <w:suppressAutoHyphens/>
              <w:kinsoku w:val="0"/>
              <w:overflowPunct w:val="0"/>
              <w:autoSpaceDE w:val="0"/>
              <w:autoSpaceDN w:val="0"/>
              <w:adjustRightInd w:val="0"/>
              <w:snapToGrid w:val="0"/>
              <w:spacing w:before="60" w:after="60"/>
              <w:ind w:left="-66"/>
              <w:jc w:val="left"/>
              <w:rPr>
                <w:kern w:val="22"/>
                <w:szCs w:val="22"/>
              </w:rPr>
            </w:pPr>
            <w:r w:rsidRPr="00866F16">
              <w:rPr>
                <w:kern w:val="22"/>
                <w:szCs w:val="22"/>
              </w:rPr>
              <w:t>D.1.1.9. Nationally maintained research vessels</w:t>
            </w:r>
          </w:p>
          <w:p w14:paraId="409AF727" w14:textId="77777777" w:rsidR="00366AA7" w:rsidRPr="00866F16" w:rsidRDefault="00366AA7" w:rsidP="00866F16">
            <w:pPr>
              <w:pStyle w:val="ListParagraph"/>
              <w:suppressLineNumbers/>
              <w:tabs>
                <w:tab w:val="left" w:pos="218"/>
                <w:tab w:val="left" w:pos="359"/>
              </w:tabs>
              <w:suppressAutoHyphens/>
              <w:kinsoku w:val="0"/>
              <w:overflowPunct w:val="0"/>
              <w:autoSpaceDE w:val="0"/>
              <w:autoSpaceDN w:val="0"/>
              <w:adjustRightInd w:val="0"/>
              <w:snapToGrid w:val="0"/>
              <w:spacing w:before="60" w:after="60"/>
              <w:ind w:left="-66"/>
              <w:jc w:val="left"/>
              <w:rPr>
                <w:kern w:val="22"/>
                <w:szCs w:val="22"/>
              </w:rPr>
            </w:pPr>
            <w:r w:rsidRPr="00866F16">
              <w:rPr>
                <w:kern w:val="22"/>
                <w:szCs w:val="22"/>
              </w:rPr>
              <w:lastRenderedPageBreak/>
              <w:t xml:space="preserve">D.1.1.10. Proportion of total research budget allocated to research in the field of marine technology </w:t>
            </w:r>
          </w:p>
          <w:p w14:paraId="140873C1" w14:textId="77777777" w:rsidR="00366AA7" w:rsidRPr="00866F16" w:rsidRDefault="00366AA7" w:rsidP="00866F16">
            <w:pPr>
              <w:pStyle w:val="ListParagraph"/>
              <w:suppressLineNumbers/>
              <w:tabs>
                <w:tab w:val="left" w:pos="218"/>
                <w:tab w:val="left" w:pos="359"/>
              </w:tabs>
              <w:suppressAutoHyphens/>
              <w:kinsoku w:val="0"/>
              <w:overflowPunct w:val="0"/>
              <w:autoSpaceDE w:val="0"/>
              <w:autoSpaceDN w:val="0"/>
              <w:adjustRightInd w:val="0"/>
              <w:snapToGrid w:val="0"/>
              <w:spacing w:before="60" w:after="60"/>
              <w:ind w:left="-66"/>
              <w:jc w:val="left"/>
              <w:rPr>
                <w:kern w:val="22"/>
                <w:szCs w:val="22"/>
              </w:rPr>
            </w:pPr>
            <w:r w:rsidRPr="00866F16">
              <w:rPr>
                <w:kern w:val="22"/>
                <w:szCs w:val="22"/>
              </w:rPr>
              <w:t xml:space="preserve">D.1.1.11. Volume of official development assistance flows for scholarships by sector and type of study </w:t>
            </w:r>
          </w:p>
          <w:p w14:paraId="6C2BD79A" w14:textId="39A9E183" w:rsidR="00366AA7" w:rsidRPr="00866F16" w:rsidRDefault="00366AA7" w:rsidP="00866F16">
            <w:pPr>
              <w:pStyle w:val="ListParagraph"/>
              <w:suppressLineNumbers/>
              <w:tabs>
                <w:tab w:val="left" w:pos="218"/>
                <w:tab w:val="left" w:pos="359"/>
              </w:tabs>
              <w:suppressAutoHyphens/>
              <w:kinsoku w:val="0"/>
              <w:overflowPunct w:val="0"/>
              <w:autoSpaceDE w:val="0"/>
              <w:autoSpaceDN w:val="0"/>
              <w:adjustRightInd w:val="0"/>
              <w:snapToGrid w:val="0"/>
              <w:spacing w:before="60" w:after="60"/>
              <w:ind w:left="-66"/>
              <w:jc w:val="left"/>
              <w:rPr>
                <w:kern w:val="22"/>
              </w:rPr>
            </w:pPr>
            <w:r w:rsidRPr="00866F16">
              <w:rPr>
                <w:kern w:val="22"/>
                <w:szCs w:val="22"/>
              </w:rPr>
              <w:t xml:space="preserve">D.1.1.12. Global imports of </w:t>
            </w:r>
            <w:r w:rsidRPr="00866F16">
              <w:rPr>
                <w:kern w:val="22"/>
              </w:rPr>
              <w:t>information and communication technology (ICT) goods as presented by bilateral trade flows by ICT goods categories</w:t>
            </w:r>
          </w:p>
        </w:tc>
      </w:tr>
      <w:tr w:rsidR="00366AA7" w:rsidRPr="00B324FA" w14:paraId="268B9D2E" w14:textId="77777777" w:rsidTr="0099764F">
        <w:trPr>
          <w:jc w:val="center"/>
        </w:trPr>
        <w:tc>
          <w:tcPr>
            <w:tcW w:w="14170" w:type="dxa"/>
            <w:gridSpan w:val="5"/>
            <w:shd w:val="clear" w:color="auto" w:fill="FFFFFF" w:themeFill="background1"/>
          </w:tcPr>
          <w:p w14:paraId="04DCD2B2" w14:textId="77777777" w:rsidR="00366AA7" w:rsidRPr="00866F16" w:rsidRDefault="00366AA7" w:rsidP="00866F16">
            <w:pPr>
              <w:keepNext/>
              <w:suppressLineNumbers/>
              <w:suppressAutoHyphens/>
              <w:kinsoku w:val="0"/>
              <w:overflowPunct w:val="0"/>
              <w:autoSpaceDE w:val="0"/>
              <w:autoSpaceDN w:val="0"/>
              <w:adjustRightInd w:val="0"/>
              <w:snapToGrid w:val="0"/>
              <w:spacing w:before="120" w:after="120"/>
              <w:jc w:val="center"/>
              <w:rPr>
                <w:kern w:val="22"/>
                <w:szCs w:val="22"/>
              </w:rPr>
            </w:pPr>
            <w:r w:rsidRPr="00866F16">
              <w:rPr>
                <w:b/>
                <w:bCs/>
                <w:kern w:val="22"/>
                <w:szCs w:val="22"/>
              </w:rPr>
              <w:lastRenderedPageBreak/>
              <w:t>Reducing threats on biodiversity</w:t>
            </w:r>
          </w:p>
        </w:tc>
      </w:tr>
      <w:tr w:rsidR="00366AA7" w:rsidRPr="00B324FA" w14:paraId="47DC59D1" w14:textId="77777777" w:rsidTr="0099764F">
        <w:trPr>
          <w:jc w:val="center"/>
        </w:trPr>
        <w:tc>
          <w:tcPr>
            <w:tcW w:w="2447" w:type="dxa"/>
            <w:shd w:val="clear" w:color="auto" w:fill="FFFFFF" w:themeFill="background1"/>
          </w:tcPr>
          <w:p w14:paraId="64ED7B39" w14:textId="596E1CD6" w:rsidR="00366AA7" w:rsidRPr="00866F16" w:rsidRDefault="00366AA7" w:rsidP="00866F16">
            <w:pPr>
              <w:suppressLineNumbers/>
              <w:suppressAutoHyphens/>
              <w:kinsoku w:val="0"/>
              <w:overflowPunct w:val="0"/>
              <w:autoSpaceDE w:val="0"/>
              <w:autoSpaceDN w:val="0"/>
              <w:adjustRightInd w:val="0"/>
              <w:snapToGrid w:val="0"/>
              <w:spacing w:before="60" w:after="60"/>
              <w:jc w:val="left"/>
              <w:rPr>
                <w:b/>
                <w:bCs/>
                <w:kern w:val="22"/>
                <w:szCs w:val="22"/>
              </w:rPr>
            </w:pPr>
            <w:r w:rsidRPr="00866F16">
              <w:rPr>
                <w:b/>
                <w:bCs/>
                <w:kern w:val="22"/>
                <w:szCs w:val="22"/>
              </w:rPr>
              <w:t>Target 1.</w:t>
            </w:r>
            <w:r w:rsidRPr="00866F16">
              <w:rPr>
                <w:kern w:val="22"/>
                <w:szCs w:val="22"/>
              </w:rPr>
              <w:t xml:space="preserve"> By 2030, [50%] of land and sea areas globally are under spatial planning addressing land/sea use</w:t>
            </w:r>
            <w:r w:rsidR="00421C36" w:rsidRPr="00866F16">
              <w:rPr>
                <w:kern w:val="22"/>
                <w:szCs w:val="22"/>
              </w:rPr>
              <w:t xml:space="preserve"> </w:t>
            </w:r>
            <w:r w:rsidRPr="00866F16">
              <w:rPr>
                <w:kern w:val="22"/>
                <w:szCs w:val="22"/>
              </w:rPr>
              <w:t>change, retaining most of the existing intact and wilderness areas, and allow to restore [X%] of degraded</w:t>
            </w:r>
            <w:r w:rsidR="00421C36" w:rsidRPr="00866F16">
              <w:rPr>
                <w:kern w:val="22"/>
                <w:szCs w:val="22"/>
              </w:rPr>
              <w:t xml:space="preserve"> </w:t>
            </w:r>
            <w:r w:rsidRPr="00866F16">
              <w:rPr>
                <w:kern w:val="22"/>
                <w:szCs w:val="22"/>
              </w:rPr>
              <w:t>freshwater, marine and terrestrial natural ecosystems and connectivity among them.</w:t>
            </w:r>
          </w:p>
        </w:tc>
        <w:tc>
          <w:tcPr>
            <w:tcW w:w="1959" w:type="dxa"/>
            <w:shd w:val="clear" w:color="auto" w:fill="FFFFFF" w:themeFill="background1"/>
          </w:tcPr>
          <w:p w14:paraId="059D2742" w14:textId="77777777" w:rsidR="00366AA7" w:rsidRPr="00866F16"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866F16">
              <w:rPr>
                <w:kern w:val="22"/>
                <w:szCs w:val="22"/>
              </w:rPr>
              <w:t xml:space="preserve">1.0.1 Percentage of land covered by landscape scale land-use plans for terrestrial, </w:t>
            </w:r>
            <w:proofErr w:type="gramStart"/>
            <w:r w:rsidRPr="00866F16">
              <w:rPr>
                <w:kern w:val="22"/>
                <w:szCs w:val="22"/>
              </w:rPr>
              <w:t>freshwater</w:t>
            </w:r>
            <w:proofErr w:type="gramEnd"/>
            <w:r w:rsidRPr="00866F16">
              <w:rPr>
                <w:kern w:val="22"/>
                <w:szCs w:val="22"/>
              </w:rPr>
              <w:t xml:space="preserve"> and marine ecosystems*</w:t>
            </w:r>
          </w:p>
        </w:tc>
        <w:tc>
          <w:tcPr>
            <w:tcW w:w="2369" w:type="dxa"/>
            <w:shd w:val="clear" w:color="auto" w:fill="FFFFFF" w:themeFill="background1"/>
          </w:tcPr>
          <w:p w14:paraId="78F7B184" w14:textId="77777777" w:rsidR="00366AA7" w:rsidRPr="00866F16" w:rsidRDefault="00366AA7" w:rsidP="00866F16">
            <w:pPr>
              <w:pStyle w:val="ListParagraph"/>
              <w:numPr>
                <w:ilvl w:val="1"/>
                <w:numId w:val="37"/>
              </w:numPr>
              <w:suppressLineNumbers/>
              <w:tabs>
                <w:tab w:val="left" w:pos="412"/>
              </w:tabs>
              <w:suppressAutoHyphens/>
              <w:kinsoku w:val="0"/>
              <w:overflowPunct w:val="0"/>
              <w:autoSpaceDE w:val="0"/>
              <w:autoSpaceDN w:val="0"/>
              <w:adjustRightInd w:val="0"/>
              <w:snapToGrid w:val="0"/>
              <w:spacing w:before="60" w:after="60"/>
              <w:ind w:left="0" w:firstLine="0"/>
              <w:jc w:val="left"/>
              <w:rPr>
                <w:kern w:val="22"/>
                <w:szCs w:val="22"/>
              </w:rPr>
            </w:pPr>
            <w:r w:rsidRPr="00866F16">
              <w:rPr>
                <w:kern w:val="22"/>
                <w:szCs w:val="22"/>
              </w:rPr>
              <w:t xml:space="preserve">Increase in area of terrestrial, </w:t>
            </w:r>
            <w:proofErr w:type="gramStart"/>
            <w:r w:rsidRPr="00866F16">
              <w:rPr>
                <w:kern w:val="22"/>
                <w:szCs w:val="22"/>
              </w:rPr>
              <w:t>freshwater</w:t>
            </w:r>
            <w:proofErr w:type="gramEnd"/>
            <w:r w:rsidRPr="00866F16">
              <w:rPr>
                <w:kern w:val="22"/>
                <w:szCs w:val="22"/>
              </w:rPr>
              <w:t xml:space="preserve"> and marine ecosystems under spatial planning</w:t>
            </w:r>
          </w:p>
          <w:p w14:paraId="51620B0A" w14:textId="77777777" w:rsidR="00366AA7" w:rsidRPr="00866F16" w:rsidRDefault="00366AA7" w:rsidP="00866F16">
            <w:pPr>
              <w:pStyle w:val="ListParagraph"/>
              <w:numPr>
                <w:ilvl w:val="1"/>
                <w:numId w:val="37"/>
              </w:numPr>
              <w:suppressLineNumbers/>
              <w:tabs>
                <w:tab w:val="left" w:pos="412"/>
              </w:tabs>
              <w:suppressAutoHyphens/>
              <w:kinsoku w:val="0"/>
              <w:overflowPunct w:val="0"/>
              <w:autoSpaceDE w:val="0"/>
              <w:autoSpaceDN w:val="0"/>
              <w:adjustRightInd w:val="0"/>
              <w:snapToGrid w:val="0"/>
              <w:spacing w:before="60" w:after="60"/>
              <w:ind w:left="0" w:firstLine="0"/>
              <w:jc w:val="left"/>
              <w:rPr>
                <w:kern w:val="22"/>
                <w:szCs w:val="22"/>
              </w:rPr>
            </w:pPr>
            <w:r w:rsidRPr="00866F16">
              <w:rPr>
                <w:kern w:val="22"/>
                <w:szCs w:val="22"/>
              </w:rPr>
              <w:t>Prevention of reduction and fragmentation of natural habitats due to land/sea use change</w:t>
            </w:r>
          </w:p>
          <w:p w14:paraId="394E62AA" w14:textId="77777777" w:rsidR="00366AA7" w:rsidRPr="00866F16" w:rsidRDefault="00366AA7" w:rsidP="00866F16">
            <w:pPr>
              <w:pStyle w:val="ListParagraph"/>
              <w:numPr>
                <w:ilvl w:val="1"/>
                <w:numId w:val="37"/>
              </w:numPr>
              <w:suppressLineNumbers/>
              <w:tabs>
                <w:tab w:val="left" w:pos="412"/>
              </w:tabs>
              <w:suppressAutoHyphens/>
              <w:kinsoku w:val="0"/>
              <w:overflowPunct w:val="0"/>
              <w:autoSpaceDE w:val="0"/>
              <w:autoSpaceDN w:val="0"/>
              <w:adjustRightInd w:val="0"/>
              <w:snapToGrid w:val="0"/>
              <w:spacing w:before="60" w:after="60"/>
              <w:ind w:left="0" w:firstLine="0"/>
              <w:jc w:val="left"/>
              <w:rPr>
                <w:kern w:val="22"/>
                <w:szCs w:val="22"/>
              </w:rPr>
            </w:pPr>
            <w:r w:rsidRPr="00866F16">
              <w:rPr>
                <w:kern w:val="22"/>
                <w:szCs w:val="22"/>
              </w:rPr>
              <w:t>Priority retention of intact/wilderness areas</w:t>
            </w:r>
          </w:p>
          <w:p w14:paraId="0F2BDA0B" w14:textId="77777777" w:rsidR="00366AA7" w:rsidRPr="00866F16" w:rsidRDefault="00366AA7" w:rsidP="00866F16">
            <w:pPr>
              <w:pStyle w:val="ListParagraph"/>
              <w:numPr>
                <w:ilvl w:val="1"/>
                <w:numId w:val="37"/>
              </w:numPr>
              <w:suppressLineNumbers/>
              <w:tabs>
                <w:tab w:val="left" w:pos="412"/>
              </w:tabs>
              <w:suppressAutoHyphens/>
              <w:kinsoku w:val="0"/>
              <w:overflowPunct w:val="0"/>
              <w:autoSpaceDE w:val="0"/>
              <w:autoSpaceDN w:val="0"/>
              <w:adjustRightInd w:val="0"/>
              <w:snapToGrid w:val="0"/>
              <w:spacing w:before="60" w:after="60"/>
              <w:ind w:left="0" w:firstLine="0"/>
              <w:jc w:val="left"/>
              <w:rPr>
                <w:kern w:val="22"/>
                <w:szCs w:val="22"/>
              </w:rPr>
            </w:pPr>
            <w:r w:rsidRPr="00866F16">
              <w:rPr>
                <w:kern w:val="22"/>
                <w:szCs w:val="22"/>
              </w:rPr>
              <w:t>Restoration of degraded ecosystems</w:t>
            </w:r>
          </w:p>
          <w:p w14:paraId="20589A03" w14:textId="77777777" w:rsidR="00366AA7" w:rsidRPr="00866F16" w:rsidRDefault="00366AA7" w:rsidP="00866F16">
            <w:pPr>
              <w:pStyle w:val="ListParagraph"/>
              <w:numPr>
                <w:ilvl w:val="1"/>
                <w:numId w:val="37"/>
              </w:numPr>
              <w:suppressLineNumbers/>
              <w:tabs>
                <w:tab w:val="left" w:pos="412"/>
              </w:tabs>
              <w:suppressAutoHyphens/>
              <w:kinsoku w:val="0"/>
              <w:overflowPunct w:val="0"/>
              <w:autoSpaceDE w:val="0"/>
              <w:autoSpaceDN w:val="0"/>
              <w:adjustRightInd w:val="0"/>
              <w:snapToGrid w:val="0"/>
              <w:spacing w:before="60" w:after="60"/>
              <w:ind w:left="0" w:firstLine="0"/>
              <w:jc w:val="left"/>
              <w:rPr>
                <w:kern w:val="22"/>
                <w:szCs w:val="22"/>
              </w:rPr>
            </w:pPr>
            <w:r w:rsidRPr="00866F16">
              <w:rPr>
                <w:kern w:val="22"/>
                <w:szCs w:val="22"/>
              </w:rPr>
              <w:t>Maintenance and restoration of connectivity of natural ecosystems</w:t>
            </w:r>
          </w:p>
        </w:tc>
        <w:tc>
          <w:tcPr>
            <w:tcW w:w="3568" w:type="dxa"/>
            <w:shd w:val="clear" w:color="auto" w:fill="FFFFFF" w:themeFill="background1"/>
          </w:tcPr>
          <w:p w14:paraId="0219198B" w14:textId="77777777" w:rsidR="00366AA7" w:rsidRPr="00866F16" w:rsidRDefault="00366AA7" w:rsidP="00866F16">
            <w:pPr>
              <w:pStyle w:val="ListParagraph"/>
              <w:numPr>
                <w:ilvl w:val="2"/>
                <w:numId w:val="35"/>
              </w:numPr>
              <w:suppressLineNumbers/>
              <w:tabs>
                <w:tab w:val="left" w:pos="593"/>
              </w:tabs>
              <w:suppressAutoHyphens/>
              <w:kinsoku w:val="0"/>
              <w:overflowPunct w:val="0"/>
              <w:autoSpaceDE w:val="0"/>
              <w:autoSpaceDN w:val="0"/>
              <w:adjustRightInd w:val="0"/>
              <w:snapToGrid w:val="0"/>
              <w:spacing w:before="60" w:after="60"/>
              <w:ind w:left="0" w:firstLine="0"/>
              <w:jc w:val="left"/>
              <w:rPr>
                <w:kern w:val="22"/>
                <w:szCs w:val="22"/>
              </w:rPr>
            </w:pPr>
            <w:r w:rsidRPr="00866F16">
              <w:rPr>
                <w:kern w:val="22"/>
                <w:szCs w:val="22"/>
              </w:rPr>
              <w:t>Sustainable forest management (SDG indicator 15.2.1)</w:t>
            </w:r>
          </w:p>
          <w:p w14:paraId="17F5A2AB" w14:textId="77777777" w:rsidR="00366AA7" w:rsidRPr="00866F16" w:rsidRDefault="00366AA7" w:rsidP="00866F16">
            <w:pPr>
              <w:pStyle w:val="ListParagraph"/>
              <w:numPr>
                <w:ilvl w:val="2"/>
                <w:numId w:val="35"/>
              </w:numPr>
              <w:suppressLineNumbers/>
              <w:tabs>
                <w:tab w:val="left" w:pos="593"/>
                <w:tab w:val="left" w:pos="703"/>
              </w:tabs>
              <w:suppressAutoHyphens/>
              <w:kinsoku w:val="0"/>
              <w:overflowPunct w:val="0"/>
              <w:autoSpaceDE w:val="0"/>
              <w:autoSpaceDN w:val="0"/>
              <w:adjustRightInd w:val="0"/>
              <w:snapToGrid w:val="0"/>
              <w:spacing w:before="60" w:after="60"/>
              <w:ind w:left="0" w:firstLine="0"/>
              <w:jc w:val="left"/>
              <w:rPr>
                <w:kern w:val="22"/>
                <w:szCs w:val="22"/>
              </w:rPr>
            </w:pPr>
            <w:r w:rsidRPr="00866F16">
              <w:rPr>
                <w:kern w:val="22"/>
                <w:szCs w:val="22"/>
              </w:rPr>
              <w:t xml:space="preserve">Number of countries using ecosystem-based approaches to </w:t>
            </w:r>
            <w:proofErr w:type="gramStart"/>
            <w:r w:rsidRPr="00866F16">
              <w:rPr>
                <w:kern w:val="22"/>
                <w:szCs w:val="22"/>
              </w:rPr>
              <w:t>managing</w:t>
            </w:r>
            <w:proofErr w:type="gramEnd"/>
            <w:r w:rsidRPr="00866F16">
              <w:rPr>
                <w:kern w:val="22"/>
                <w:szCs w:val="22"/>
              </w:rPr>
              <w:t xml:space="preserve"> marine areas (SDG indicator 14.2.1)</w:t>
            </w:r>
          </w:p>
          <w:p w14:paraId="456E444D" w14:textId="77777777" w:rsidR="00366AA7" w:rsidRPr="00866F16" w:rsidRDefault="00366AA7" w:rsidP="00866F16">
            <w:pPr>
              <w:pStyle w:val="ListParagraph"/>
              <w:numPr>
                <w:ilvl w:val="2"/>
                <w:numId w:val="35"/>
              </w:numPr>
              <w:suppressLineNumbers/>
              <w:tabs>
                <w:tab w:val="left" w:pos="593"/>
                <w:tab w:val="left" w:pos="703"/>
              </w:tabs>
              <w:suppressAutoHyphens/>
              <w:kinsoku w:val="0"/>
              <w:overflowPunct w:val="0"/>
              <w:autoSpaceDE w:val="0"/>
              <w:autoSpaceDN w:val="0"/>
              <w:adjustRightInd w:val="0"/>
              <w:snapToGrid w:val="0"/>
              <w:spacing w:before="60" w:after="60"/>
              <w:ind w:left="0" w:firstLine="0"/>
              <w:jc w:val="left"/>
              <w:rPr>
                <w:kern w:val="22"/>
                <w:szCs w:val="22"/>
              </w:rPr>
            </w:pPr>
            <w:r w:rsidRPr="00866F16">
              <w:rPr>
                <w:kern w:val="22"/>
                <w:szCs w:val="22"/>
              </w:rPr>
              <w:t>Degree of integrated water resources management (SDG indicator 6.5.1)</w:t>
            </w:r>
          </w:p>
          <w:p w14:paraId="323F2813" w14:textId="705531CE" w:rsidR="00366AA7" w:rsidRPr="00866F16" w:rsidRDefault="00366AA7" w:rsidP="00866F16">
            <w:pPr>
              <w:pStyle w:val="ListParagraph"/>
              <w:suppressLineNumbers/>
              <w:tabs>
                <w:tab w:val="left" w:pos="593"/>
                <w:tab w:val="left" w:pos="703"/>
              </w:tabs>
              <w:suppressAutoHyphens/>
              <w:kinsoku w:val="0"/>
              <w:overflowPunct w:val="0"/>
              <w:autoSpaceDE w:val="0"/>
              <w:autoSpaceDN w:val="0"/>
              <w:adjustRightInd w:val="0"/>
              <w:snapToGrid w:val="0"/>
              <w:spacing w:before="60" w:after="60"/>
              <w:ind w:left="0"/>
              <w:jc w:val="left"/>
              <w:rPr>
                <w:i/>
                <w:iCs/>
                <w:kern w:val="22"/>
                <w:szCs w:val="22"/>
              </w:rPr>
            </w:pPr>
            <w:r w:rsidRPr="00866F16">
              <w:rPr>
                <w:i/>
                <w:iCs/>
                <w:kern w:val="22"/>
                <w:szCs w:val="22"/>
              </w:rPr>
              <w:t>Habitat extent, fragmentation and connectivity are captured in Goal</w:t>
            </w:r>
            <w:r w:rsidR="004D76D8" w:rsidRPr="00866F16">
              <w:rPr>
                <w:i/>
                <w:iCs/>
                <w:kern w:val="22"/>
                <w:szCs w:val="22"/>
              </w:rPr>
              <w:t> </w:t>
            </w:r>
            <w:r w:rsidRPr="00866F16">
              <w:rPr>
                <w:i/>
                <w:iCs/>
                <w:kern w:val="22"/>
                <w:szCs w:val="22"/>
              </w:rPr>
              <w:t>A.</w:t>
            </w:r>
          </w:p>
          <w:p w14:paraId="3BF11C2C" w14:textId="77777777" w:rsidR="00366AA7" w:rsidRPr="00866F16" w:rsidRDefault="00366AA7" w:rsidP="00866F16">
            <w:pPr>
              <w:pStyle w:val="ListParagraph"/>
              <w:suppressLineNumbers/>
              <w:tabs>
                <w:tab w:val="left" w:pos="593"/>
                <w:tab w:val="left" w:pos="703"/>
              </w:tabs>
              <w:suppressAutoHyphens/>
              <w:kinsoku w:val="0"/>
              <w:overflowPunct w:val="0"/>
              <w:autoSpaceDE w:val="0"/>
              <w:autoSpaceDN w:val="0"/>
              <w:adjustRightInd w:val="0"/>
              <w:snapToGrid w:val="0"/>
              <w:spacing w:before="60" w:after="60"/>
              <w:ind w:left="0"/>
              <w:jc w:val="left"/>
              <w:rPr>
                <w:kern w:val="22"/>
                <w:szCs w:val="22"/>
              </w:rPr>
            </w:pPr>
          </w:p>
        </w:tc>
        <w:tc>
          <w:tcPr>
            <w:tcW w:w="3827" w:type="dxa"/>
            <w:shd w:val="clear" w:color="auto" w:fill="FFFFFF" w:themeFill="background1"/>
          </w:tcPr>
          <w:p w14:paraId="2BD29176" w14:textId="77777777" w:rsidR="00366AA7" w:rsidRPr="00866F16" w:rsidRDefault="00366AA7" w:rsidP="00866F16">
            <w:pPr>
              <w:pStyle w:val="ListParagraph"/>
              <w:numPr>
                <w:ilvl w:val="3"/>
                <w:numId w:val="36"/>
              </w:numPr>
              <w:suppressLineNumbers/>
              <w:tabs>
                <w:tab w:val="left" w:pos="805"/>
              </w:tabs>
              <w:suppressAutoHyphens/>
              <w:kinsoku w:val="0"/>
              <w:overflowPunct w:val="0"/>
              <w:autoSpaceDE w:val="0"/>
              <w:autoSpaceDN w:val="0"/>
              <w:adjustRightInd w:val="0"/>
              <w:snapToGrid w:val="0"/>
              <w:spacing w:before="60" w:after="60"/>
              <w:ind w:left="0" w:firstLine="0"/>
              <w:jc w:val="left"/>
              <w:rPr>
                <w:kern w:val="22"/>
                <w:szCs w:val="22"/>
              </w:rPr>
            </w:pPr>
            <w:r w:rsidRPr="00866F16">
              <w:rPr>
                <w:kern w:val="22"/>
                <w:szCs w:val="22"/>
              </w:rPr>
              <w:t>Number of countries using natural capital accounts in planning processes</w:t>
            </w:r>
          </w:p>
          <w:p w14:paraId="48232EAA" w14:textId="77777777" w:rsidR="00366AA7" w:rsidRPr="00866F16" w:rsidRDefault="00366AA7" w:rsidP="00866F16">
            <w:pPr>
              <w:pStyle w:val="ListParagraph"/>
              <w:numPr>
                <w:ilvl w:val="3"/>
                <w:numId w:val="36"/>
              </w:numPr>
              <w:suppressLineNumbers/>
              <w:tabs>
                <w:tab w:val="left" w:pos="805"/>
              </w:tabs>
              <w:suppressAutoHyphens/>
              <w:kinsoku w:val="0"/>
              <w:overflowPunct w:val="0"/>
              <w:autoSpaceDE w:val="0"/>
              <w:autoSpaceDN w:val="0"/>
              <w:adjustRightInd w:val="0"/>
              <w:snapToGrid w:val="0"/>
              <w:spacing w:before="60" w:after="60"/>
              <w:ind w:left="0" w:firstLine="0"/>
              <w:jc w:val="left"/>
              <w:rPr>
                <w:kern w:val="22"/>
                <w:szCs w:val="22"/>
              </w:rPr>
            </w:pPr>
            <w:r w:rsidRPr="00866F16">
              <w:rPr>
                <w:kern w:val="22"/>
                <w:szCs w:val="22"/>
              </w:rPr>
              <w:t>Percentage of spatial plans utilising information on key biodiversity areas</w:t>
            </w:r>
          </w:p>
          <w:p w14:paraId="08C1FE96" w14:textId="207CD799" w:rsidR="00366AA7" w:rsidRPr="00866F16" w:rsidRDefault="00366AA7" w:rsidP="00866F16">
            <w:pPr>
              <w:pStyle w:val="ListParagraph"/>
              <w:numPr>
                <w:ilvl w:val="3"/>
                <w:numId w:val="36"/>
              </w:numPr>
              <w:suppressLineNumbers/>
              <w:tabs>
                <w:tab w:val="left" w:pos="805"/>
              </w:tabs>
              <w:suppressAutoHyphens/>
              <w:kinsoku w:val="0"/>
              <w:overflowPunct w:val="0"/>
              <w:autoSpaceDE w:val="0"/>
              <w:autoSpaceDN w:val="0"/>
              <w:adjustRightInd w:val="0"/>
              <w:snapToGrid w:val="0"/>
              <w:spacing w:before="60" w:after="60"/>
              <w:ind w:left="0" w:firstLine="0"/>
              <w:jc w:val="left"/>
              <w:rPr>
                <w:kern w:val="22"/>
                <w:szCs w:val="22"/>
              </w:rPr>
            </w:pPr>
            <w:r w:rsidRPr="00866F16">
              <w:rPr>
                <w:kern w:val="22"/>
                <w:szCs w:val="22"/>
              </w:rPr>
              <w:t xml:space="preserve">Habitat patches located within </w:t>
            </w:r>
            <w:r w:rsidR="008E32E9" w:rsidRPr="00866F16">
              <w:rPr>
                <w:kern w:val="22"/>
                <w:szCs w:val="22"/>
              </w:rPr>
              <w:t xml:space="preserve">marine protected areas </w:t>
            </w:r>
            <w:r w:rsidRPr="00866F16">
              <w:rPr>
                <w:kern w:val="22"/>
                <w:szCs w:val="22"/>
              </w:rPr>
              <w:t xml:space="preserve">or </w:t>
            </w:r>
            <w:r w:rsidR="00EC3CEF" w:rsidRPr="00866F16">
              <w:rPr>
                <w:kern w:val="22"/>
                <w:szCs w:val="22"/>
              </w:rPr>
              <w:t>integrated coastal zone management</w:t>
            </w:r>
            <w:r w:rsidR="00665076" w:rsidRPr="00866F16">
              <w:rPr>
                <w:kern w:val="22"/>
                <w:szCs w:val="22"/>
              </w:rPr>
              <w:t xml:space="preserve"> (ICZM)</w:t>
            </w:r>
          </w:p>
          <w:p w14:paraId="15507745" w14:textId="7067C07A" w:rsidR="00366AA7" w:rsidRPr="00866F16" w:rsidRDefault="00366AA7" w:rsidP="00866F16">
            <w:pPr>
              <w:pStyle w:val="ListParagraph"/>
              <w:numPr>
                <w:ilvl w:val="3"/>
                <w:numId w:val="36"/>
              </w:numPr>
              <w:suppressLineNumbers/>
              <w:tabs>
                <w:tab w:val="left" w:pos="805"/>
              </w:tabs>
              <w:suppressAutoHyphens/>
              <w:kinsoku w:val="0"/>
              <w:overflowPunct w:val="0"/>
              <w:autoSpaceDE w:val="0"/>
              <w:autoSpaceDN w:val="0"/>
              <w:adjustRightInd w:val="0"/>
              <w:snapToGrid w:val="0"/>
              <w:spacing w:before="60" w:after="60"/>
              <w:ind w:left="0" w:firstLine="0"/>
              <w:jc w:val="left"/>
              <w:rPr>
                <w:kern w:val="22"/>
                <w:szCs w:val="22"/>
              </w:rPr>
            </w:pPr>
            <w:r w:rsidRPr="00866F16">
              <w:rPr>
                <w:kern w:val="22"/>
                <w:szCs w:val="22"/>
              </w:rPr>
              <w:t xml:space="preserve">Other spatial management plans (not captured as </w:t>
            </w:r>
            <w:proofErr w:type="spellStart"/>
            <w:r w:rsidRPr="00866F16">
              <w:rPr>
                <w:kern w:val="22"/>
                <w:szCs w:val="22"/>
              </w:rPr>
              <w:t>ICZM</w:t>
            </w:r>
            <w:proofErr w:type="spellEnd"/>
            <w:r w:rsidRPr="00866F16">
              <w:rPr>
                <w:kern w:val="22"/>
                <w:szCs w:val="22"/>
              </w:rPr>
              <w:t xml:space="preserve"> or </w:t>
            </w:r>
            <w:r w:rsidR="00AB131D" w:rsidRPr="00866F16">
              <w:rPr>
                <w:kern w:val="22"/>
                <w:szCs w:val="22"/>
              </w:rPr>
              <w:t xml:space="preserve">marine spatial planning </w:t>
            </w:r>
            <w:r w:rsidRPr="00866F16">
              <w:rPr>
                <w:kern w:val="22"/>
                <w:szCs w:val="22"/>
              </w:rPr>
              <w:t>in 14.2.1)</w:t>
            </w:r>
          </w:p>
          <w:p w14:paraId="4AFC3D13" w14:textId="77777777" w:rsidR="00366AA7" w:rsidRPr="00866F16" w:rsidRDefault="00366AA7" w:rsidP="00866F16">
            <w:pPr>
              <w:pStyle w:val="ListParagraph"/>
              <w:numPr>
                <w:ilvl w:val="3"/>
                <w:numId w:val="36"/>
              </w:numPr>
              <w:suppressLineNumbers/>
              <w:tabs>
                <w:tab w:val="left" w:pos="805"/>
              </w:tabs>
              <w:suppressAutoHyphens/>
              <w:kinsoku w:val="0"/>
              <w:overflowPunct w:val="0"/>
              <w:autoSpaceDE w:val="0"/>
              <w:autoSpaceDN w:val="0"/>
              <w:adjustRightInd w:val="0"/>
              <w:snapToGrid w:val="0"/>
              <w:spacing w:before="60" w:after="60"/>
              <w:ind w:left="0" w:firstLine="0"/>
              <w:jc w:val="left"/>
              <w:rPr>
                <w:kern w:val="22"/>
                <w:szCs w:val="22"/>
              </w:rPr>
            </w:pPr>
            <w:r w:rsidRPr="00866F16">
              <w:rPr>
                <w:kern w:val="22"/>
                <w:szCs w:val="22"/>
              </w:rPr>
              <w:t>Number of countries using ocean accounts in planning processes</w:t>
            </w:r>
          </w:p>
          <w:p w14:paraId="49BFE5C8" w14:textId="77777777" w:rsidR="00366AA7" w:rsidRPr="00866F16" w:rsidRDefault="00366AA7" w:rsidP="00866F16">
            <w:pPr>
              <w:pStyle w:val="ListParagraph"/>
              <w:numPr>
                <w:ilvl w:val="3"/>
                <w:numId w:val="36"/>
              </w:numPr>
              <w:suppressLineNumbers/>
              <w:tabs>
                <w:tab w:val="left" w:pos="805"/>
              </w:tabs>
              <w:suppressAutoHyphens/>
              <w:kinsoku w:val="0"/>
              <w:overflowPunct w:val="0"/>
              <w:autoSpaceDE w:val="0"/>
              <w:autoSpaceDN w:val="0"/>
              <w:adjustRightInd w:val="0"/>
              <w:snapToGrid w:val="0"/>
              <w:spacing w:before="60" w:after="60"/>
              <w:ind w:left="0" w:firstLine="0"/>
              <w:jc w:val="left"/>
              <w:rPr>
                <w:kern w:val="22"/>
                <w:szCs w:val="22"/>
              </w:rPr>
            </w:pPr>
            <w:r w:rsidRPr="00866F16">
              <w:rPr>
                <w:kern w:val="22"/>
                <w:szCs w:val="22"/>
              </w:rPr>
              <w:t>Proportion of transboundary basin area with an operational arrangement for water cooperation (SDG indicator 6.5.2)</w:t>
            </w:r>
          </w:p>
          <w:p w14:paraId="61DF085D" w14:textId="77777777" w:rsidR="00366AA7" w:rsidRPr="00866F16" w:rsidRDefault="00366AA7" w:rsidP="00866F16">
            <w:pPr>
              <w:pStyle w:val="ListParagraph"/>
              <w:numPr>
                <w:ilvl w:val="3"/>
                <w:numId w:val="36"/>
              </w:numPr>
              <w:suppressLineNumbers/>
              <w:tabs>
                <w:tab w:val="left" w:pos="805"/>
              </w:tabs>
              <w:suppressAutoHyphens/>
              <w:kinsoku w:val="0"/>
              <w:overflowPunct w:val="0"/>
              <w:autoSpaceDE w:val="0"/>
              <w:autoSpaceDN w:val="0"/>
              <w:adjustRightInd w:val="0"/>
              <w:snapToGrid w:val="0"/>
              <w:spacing w:before="60" w:after="60"/>
              <w:ind w:left="0" w:firstLine="0"/>
              <w:jc w:val="left"/>
              <w:rPr>
                <w:kern w:val="22"/>
                <w:szCs w:val="22"/>
              </w:rPr>
            </w:pPr>
            <w:r w:rsidRPr="00866F16">
              <w:rPr>
                <w:kern w:val="22"/>
                <w:szCs w:val="22"/>
              </w:rPr>
              <w:t>Percent of total land area that is under cultivation</w:t>
            </w:r>
          </w:p>
          <w:p w14:paraId="4450C867" w14:textId="77777777" w:rsidR="00366AA7" w:rsidRPr="00866F16" w:rsidRDefault="00366AA7" w:rsidP="00866F16">
            <w:pPr>
              <w:pStyle w:val="ListParagraph"/>
              <w:numPr>
                <w:ilvl w:val="3"/>
                <w:numId w:val="36"/>
              </w:numPr>
              <w:suppressLineNumbers/>
              <w:tabs>
                <w:tab w:val="left" w:pos="805"/>
              </w:tabs>
              <w:suppressAutoHyphens/>
              <w:kinsoku w:val="0"/>
              <w:overflowPunct w:val="0"/>
              <w:autoSpaceDE w:val="0"/>
              <w:autoSpaceDN w:val="0"/>
              <w:adjustRightInd w:val="0"/>
              <w:snapToGrid w:val="0"/>
              <w:spacing w:before="60" w:after="60"/>
              <w:ind w:left="0" w:firstLine="0"/>
              <w:jc w:val="left"/>
              <w:rPr>
                <w:kern w:val="22"/>
                <w:szCs w:val="22"/>
              </w:rPr>
            </w:pPr>
            <w:r w:rsidRPr="00866F16">
              <w:rPr>
                <w:kern w:val="22"/>
                <w:szCs w:val="22"/>
              </w:rPr>
              <w:lastRenderedPageBreak/>
              <w:t>Habitat distributional range</w:t>
            </w:r>
          </w:p>
          <w:p w14:paraId="6A24F17B" w14:textId="77777777" w:rsidR="00366AA7" w:rsidRPr="00866F16" w:rsidRDefault="00366AA7" w:rsidP="00866F16">
            <w:pPr>
              <w:pStyle w:val="ListParagraph"/>
              <w:numPr>
                <w:ilvl w:val="3"/>
                <w:numId w:val="36"/>
              </w:numPr>
              <w:suppressLineNumbers/>
              <w:tabs>
                <w:tab w:val="left" w:pos="805"/>
              </w:tabs>
              <w:suppressAutoHyphens/>
              <w:kinsoku w:val="0"/>
              <w:overflowPunct w:val="0"/>
              <w:autoSpaceDE w:val="0"/>
              <w:autoSpaceDN w:val="0"/>
              <w:adjustRightInd w:val="0"/>
              <w:snapToGrid w:val="0"/>
              <w:spacing w:before="60" w:after="60"/>
              <w:ind w:left="0" w:firstLine="0"/>
              <w:jc w:val="left"/>
              <w:rPr>
                <w:kern w:val="22"/>
                <w:szCs w:val="22"/>
              </w:rPr>
            </w:pPr>
            <w:r w:rsidRPr="00866F16">
              <w:rPr>
                <w:kern w:val="22"/>
                <w:szCs w:val="22"/>
              </w:rPr>
              <w:t>Index of Species Rarity Sites, High Biodiversity Areas, Large Mammal Landscapes, Intact Wilderness and Climate Stabilization Areas</w:t>
            </w:r>
          </w:p>
          <w:p w14:paraId="2650E243" w14:textId="77777777" w:rsidR="00366AA7" w:rsidRPr="00866F16" w:rsidRDefault="00366AA7" w:rsidP="00866F16">
            <w:pPr>
              <w:pStyle w:val="ListParagraph"/>
              <w:numPr>
                <w:ilvl w:val="3"/>
                <w:numId w:val="36"/>
              </w:numPr>
              <w:suppressLineNumbers/>
              <w:tabs>
                <w:tab w:val="left" w:pos="885"/>
              </w:tabs>
              <w:suppressAutoHyphens/>
              <w:kinsoku w:val="0"/>
              <w:overflowPunct w:val="0"/>
              <w:autoSpaceDE w:val="0"/>
              <w:autoSpaceDN w:val="0"/>
              <w:adjustRightInd w:val="0"/>
              <w:snapToGrid w:val="0"/>
              <w:spacing w:before="60" w:after="60"/>
              <w:ind w:left="0" w:firstLine="0"/>
              <w:jc w:val="left"/>
              <w:rPr>
                <w:kern w:val="22"/>
                <w:szCs w:val="22"/>
              </w:rPr>
            </w:pPr>
            <w:r w:rsidRPr="00866F16">
              <w:rPr>
                <w:kern w:val="22"/>
                <w:szCs w:val="22"/>
              </w:rPr>
              <w:t>Increase in secondary natural forest cover</w:t>
            </w:r>
          </w:p>
          <w:p w14:paraId="0804F15F" w14:textId="77777777" w:rsidR="00366AA7" w:rsidRPr="00866F16" w:rsidRDefault="00366AA7" w:rsidP="00866F16">
            <w:pPr>
              <w:pStyle w:val="ListParagraph"/>
              <w:numPr>
                <w:ilvl w:val="3"/>
                <w:numId w:val="36"/>
              </w:numPr>
              <w:suppressLineNumbers/>
              <w:tabs>
                <w:tab w:val="left" w:pos="885"/>
              </w:tabs>
              <w:suppressAutoHyphens/>
              <w:kinsoku w:val="0"/>
              <w:overflowPunct w:val="0"/>
              <w:autoSpaceDE w:val="0"/>
              <w:autoSpaceDN w:val="0"/>
              <w:adjustRightInd w:val="0"/>
              <w:snapToGrid w:val="0"/>
              <w:spacing w:before="60" w:after="60"/>
              <w:ind w:left="0" w:firstLine="0"/>
              <w:jc w:val="left"/>
              <w:rPr>
                <w:kern w:val="22"/>
                <w:szCs w:val="22"/>
              </w:rPr>
            </w:pPr>
            <w:r w:rsidRPr="00866F16">
              <w:rPr>
                <w:kern w:val="22"/>
                <w:szCs w:val="22"/>
              </w:rPr>
              <w:t>Annual Tropical Primary Tree Cover Loss</w:t>
            </w:r>
          </w:p>
          <w:p w14:paraId="40AC727F" w14:textId="77777777" w:rsidR="00366AA7" w:rsidRPr="00866F16" w:rsidRDefault="00366AA7" w:rsidP="00866F16">
            <w:pPr>
              <w:pStyle w:val="ListParagraph"/>
              <w:numPr>
                <w:ilvl w:val="3"/>
                <w:numId w:val="36"/>
              </w:numPr>
              <w:suppressLineNumbers/>
              <w:tabs>
                <w:tab w:val="left" w:pos="885"/>
              </w:tabs>
              <w:suppressAutoHyphens/>
              <w:kinsoku w:val="0"/>
              <w:overflowPunct w:val="0"/>
              <w:autoSpaceDE w:val="0"/>
              <w:autoSpaceDN w:val="0"/>
              <w:adjustRightInd w:val="0"/>
              <w:snapToGrid w:val="0"/>
              <w:spacing w:before="60" w:after="60"/>
              <w:ind w:left="0" w:firstLine="0"/>
              <w:jc w:val="left"/>
              <w:rPr>
                <w:kern w:val="22"/>
                <w:szCs w:val="22"/>
              </w:rPr>
            </w:pPr>
            <w:r w:rsidRPr="00866F16">
              <w:rPr>
                <w:kern w:val="22"/>
                <w:szCs w:val="22"/>
              </w:rPr>
              <w:t>Forest Landscape Integrity Index</w:t>
            </w:r>
          </w:p>
          <w:p w14:paraId="32B159B0" w14:textId="77777777" w:rsidR="00366AA7" w:rsidRPr="00866F16" w:rsidRDefault="00366AA7" w:rsidP="00866F16">
            <w:pPr>
              <w:pStyle w:val="ListParagraph"/>
              <w:numPr>
                <w:ilvl w:val="3"/>
                <w:numId w:val="36"/>
              </w:numPr>
              <w:suppressLineNumbers/>
              <w:tabs>
                <w:tab w:val="left" w:pos="805"/>
              </w:tabs>
              <w:suppressAutoHyphens/>
              <w:kinsoku w:val="0"/>
              <w:overflowPunct w:val="0"/>
              <w:autoSpaceDE w:val="0"/>
              <w:autoSpaceDN w:val="0"/>
              <w:adjustRightInd w:val="0"/>
              <w:snapToGrid w:val="0"/>
              <w:spacing w:before="60" w:after="60"/>
              <w:ind w:left="0" w:firstLine="0"/>
              <w:jc w:val="left"/>
              <w:rPr>
                <w:kern w:val="22"/>
                <w:szCs w:val="22"/>
              </w:rPr>
            </w:pPr>
            <w:r w:rsidRPr="00866F16">
              <w:rPr>
                <w:kern w:val="22"/>
                <w:szCs w:val="22"/>
              </w:rPr>
              <w:t>Global Ecosystem Restoration Index</w:t>
            </w:r>
          </w:p>
          <w:p w14:paraId="58CA8FD3" w14:textId="77777777" w:rsidR="00366AA7" w:rsidRPr="00866F16" w:rsidRDefault="00366AA7" w:rsidP="00866F16">
            <w:pPr>
              <w:pStyle w:val="ListParagraph"/>
              <w:numPr>
                <w:ilvl w:val="3"/>
                <w:numId w:val="36"/>
              </w:numPr>
              <w:suppressLineNumbers/>
              <w:tabs>
                <w:tab w:val="left" w:pos="805"/>
              </w:tabs>
              <w:suppressAutoHyphens/>
              <w:kinsoku w:val="0"/>
              <w:overflowPunct w:val="0"/>
              <w:autoSpaceDE w:val="0"/>
              <w:autoSpaceDN w:val="0"/>
              <w:adjustRightInd w:val="0"/>
              <w:snapToGrid w:val="0"/>
              <w:spacing w:before="60" w:after="60"/>
              <w:ind w:left="0" w:firstLine="0"/>
              <w:jc w:val="left"/>
              <w:rPr>
                <w:kern w:val="22"/>
                <w:szCs w:val="22"/>
              </w:rPr>
            </w:pPr>
            <w:r w:rsidRPr="00866F16">
              <w:rPr>
                <w:kern w:val="22"/>
                <w:szCs w:val="22"/>
              </w:rPr>
              <w:t>Cumulative human impacts on marine ecosystems.</w:t>
            </w:r>
          </w:p>
          <w:p w14:paraId="6DFC7827" w14:textId="77777777" w:rsidR="00366AA7" w:rsidRPr="00866F16" w:rsidRDefault="00366AA7" w:rsidP="00866F16">
            <w:pPr>
              <w:pStyle w:val="ListParagraph"/>
              <w:numPr>
                <w:ilvl w:val="3"/>
                <w:numId w:val="36"/>
              </w:numPr>
              <w:suppressLineNumbers/>
              <w:tabs>
                <w:tab w:val="left" w:pos="805"/>
              </w:tabs>
              <w:suppressAutoHyphens/>
              <w:kinsoku w:val="0"/>
              <w:overflowPunct w:val="0"/>
              <w:autoSpaceDE w:val="0"/>
              <w:autoSpaceDN w:val="0"/>
              <w:adjustRightInd w:val="0"/>
              <w:snapToGrid w:val="0"/>
              <w:spacing w:before="60" w:after="60"/>
              <w:ind w:left="0" w:firstLine="0"/>
              <w:jc w:val="left"/>
              <w:rPr>
                <w:kern w:val="22"/>
                <w:szCs w:val="22"/>
              </w:rPr>
            </w:pPr>
            <w:r w:rsidRPr="00866F16">
              <w:rPr>
                <w:kern w:val="22"/>
                <w:szCs w:val="22"/>
              </w:rPr>
              <w:t>Physical damage to seafloor habitats</w:t>
            </w:r>
          </w:p>
          <w:p w14:paraId="099A5C98" w14:textId="77777777" w:rsidR="00366AA7" w:rsidRPr="00866F16" w:rsidRDefault="00366AA7" w:rsidP="00866F16">
            <w:pPr>
              <w:pStyle w:val="ListParagraph"/>
              <w:numPr>
                <w:ilvl w:val="3"/>
                <w:numId w:val="36"/>
              </w:numPr>
              <w:suppressLineNumbers/>
              <w:tabs>
                <w:tab w:val="left" w:pos="805"/>
              </w:tabs>
              <w:suppressAutoHyphens/>
              <w:kinsoku w:val="0"/>
              <w:overflowPunct w:val="0"/>
              <w:autoSpaceDE w:val="0"/>
              <w:autoSpaceDN w:val="0"/>
              <w:adjustRightInd w:val="0"/>
              <w:snapToGrid w:val="0"/>
              <w:spacing w:before="60" w:after="60"/>
              <w:ind w:left="0" w:firstLine="0"/>
              <w:jc w:val="left"/>
              <w:rPr>
                <w:kern w:val="22"/>
                <w:szCs w:val="22"/>
              </w:rPr>
            </w:pPr>
            <w:r w:rsidRPr="00866F16">
              <w:rPr>
                <w:kern w:val="22"/>
                <w:szCs w:val="22"/>
              </w:rPr>
              <w:t>Free flowing rivers</w:t>
            </w:r>
          </w:p>
          <w:p w14:paraId="01DEE068" w14:textId="77777777" w:rsidR="00366AA7" w:rsidRPr="00866F16" w:rsidRDefault="00366AA7" w:rsidP="00866F16">
            <w:pPr>
              <w:pStyle w:val="ListParagraph"/>
              <w:numPr>
                <w:ilvl w:val="3"/>
                <w:numId w:val="36"/>
              </w:numPr>
              <w:suppressLineNumbers/>
              <w:tabs>
                <w:tab w:val="left" w:pos="805"/>
              </w:tabs>
              <w:suppressAutoHyphens/>
              <w:kinsoku w:val="0"/>
              <w:overflowPunct w:val="0"/>
              <w:autoSpaceDE w:val="0"/>
              <w:autoSpaceDN w:val="0"/>
              <w:adjustRightInd w:val="0"/>
              <w:snapToGrid w:val="0"/>
              <w:spacing w:before="60" w:after="60"/>
              <w:ind w:left="0" w:firstLine="0"/>
              <w:jc w:val="left"/>
              <w:rPr>
                <w:kern w:val="22"/>
                <w:szCs w:val="22"/>
              </w:rPr>
            </w:pPr>
            <w:r w:rsidRPr="00866F16">
              <w:rPr>
                <w:kern w:val="22"/>
                <w:szCs w:val="22"/>
              </w:rPr>
              <w:t>Percentage of cropped landscapes with at least 10% natural land</w:t>
            </w:r>
          </w:p>
          <w:p w14:paraId="5E539733" w14:textId="77777777" w:rsidR="00366AA7" w:rsidRPr="00866F16" w:rsidRDefault="00366AA7" w:rsidP="00866F16">
            <w:pPr>
              <w:pStyle w:val="ListParagraph"/>
              <w:numPr>
                <w:ilvl w:val="3"/>
                <w:numId w:val="36"/>
              </w:numPr>
              <w:suppressLineNumbers/>
              <w:tabs>
                <w:tab w:val="left" w:pos="805"/>
              </w:tabs>
              <w:suppressAutoHyphens/>
              <w:kinsoku w:val="0"/>
              <w:overflowPunct w:val="0"/>
              <w:autoSpaceDE w:val="0"/>
              <w:autoSpaceDN w:val="0"/>
              <w:adjustRightInd w:val="0"/>
              <w:snapToGrid w:val="0"/>
              <w:spacing w:before="60" w:after="60"/>
              <w:ind w:left="0" w:firstLine="0"/>
              <w:jc w:val="left"/>
              <w:rPr>
                <w:kern w:val="22"/>
                <w:szCs w:val="22"/>
              </w:rPr>
            </w:pPr>
            <w:r w:rsidRPr="00866F16">
              <w:rPr>
                <w:kern w:val="22"/>
                <w:szCs w:val="22"/>
              </w:rPr>
              <w:t>Bioclimatic Ecosystem Resilience Index (BERI)</w:t>
            </w:r>
          </w:p>
        </w:tc>
      </w:tr>
      <w:tr w:rsidR="00366AA7" w:rsidRPr="00B324FA" w14:paraId="4F0ED52F" w14:textId="77777777" w:rsidTr="0099764F">
        <w:trPr>
          <w:jc w:val="center"/>
        </w:trPr>
        <w:tc>
          <w:tcPr>
            <w:tcW w:w="2447" w:type="dxa"/>
            <w:shd w:val="clear" w:color="auto" w:fill="BFBFBF" w:themeFill="background1" w:themeFillShade="BF"/>
          </w:tcPr>
          <w:p w14:paraId="6B6E930C" w14:textId="77777777" w:rsidR="00366AA7" w:rsidRPr="00866F16" w:rsidRDefault="00366AA7" w:rsidP="00866F16">
            <w:pPr>
              <w:suppressLineNumbers/>
              <w:suppressAutoHyphens/>
              <w:kinsoku w:val="0"/>
              <w:overflowPunct w:val="0"/>
              <w:autoSpaceDE w:val="0"/>
              <w:autoSpaceDN w:val="0"/>
              <w:adjustRightInd w:val="0"/>
              <w:snapToGrid w:val="0"/>
              <w:spacing w:before="60" w:after="60"/>
              <w:jc w:val="left"/>
              <w:rPr>
                <w:b/>
                <w:bCs/>
                <w:kern w:val="22"/>
                <w:szCs w:val="22"/>
              </w:rPr>
            </w:pPr>
            <w:r w:rsidRPr="00866F16">
              <w:rPr>
                <w:b/>
                <w:bCs/>
                <w:kern w:val="22"/>
                <w:szCs w:val="22"/>
              </w:rPr>
              <w:lastRenderedPageBreak/>
              <w:t>Target 2.</w:t>
            </w:r>
            <w:r w:rsidRPr="00866F16">
              <w:rPr>
                <w:kern w:val="22"/>
                <w:szCs w:val="22"/>
              </w:rPr>
              <w:t xml:space="preserve"> By 2030, protect and conserve through well connected and effective system of protected areas and other effective area-based conservation measures at least 30 per cent of the planet with the focus on </w:t>
            </w:r>
            <w:r w:rsidRPr="00866F16">
              <w:rPr>
                <w:kern w:val="22"/>
                <w:szCs w:val="22"/>
              </w:rPr>
              <w:lastRenderedPageBreak/>
              <w:t>areas particularly important for biodiversity.</w:t>
            </w:r>
          </w:p>
        </w:tc>
        <w:tc>
          <w:tcPr>
            <w:tcW w:w="1959" w:type="dxa"/>
            <w:shd w:val="clear" w:color="auto" w:fill="BFBFBF" w:themeFill="background1" w:themeFillShade="BF"/>
          </w:tcPr>
          <w:p w14:paraId="0C0C1153" w14:textId="77777777" w:rsidR="00366AA7" w:rsidRPr="00866F16"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866F16">
              <w:rPr>
                <w:kern w:val="22"/>
                <w:szCs w:val="22"/>
              </w:rPr>
              <w:lastRenderedPageBreak/>
              <w:t>2.0.1 Protected area coverage of important biodiversity areas</w:t>
            </w:r>
          </w:p>
          <w:p w14:paraId="4601483C" w14:textId="574FF57D" w:rsidR="00366AA7" w:rsidRPr="00866F16"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866F16">
              <w:rPr>
                <w:kern w:val="22"/>
                <w:szCs w:val="22"/>
              </w:rPr>
              <w:t>2.0.</w:t>
            </w:r>
            <w:r w:rsidR="00A15C8F" w:rsidRPr="00866F16">
              <w:rPr>
                <w:kern w:val="22"/>
                <w:szCs w:val="22"/>
              </w:rPr>
              <w:t>2</w:t>
            </w:r>
            <w:r w:rsidRPr="00866F16">
              <w:rPr>
                <w:kern w:val="22"/>
                <w:szCs w:val="22"/>
              </w:rPr>
              <w:t xml:space="preserve"> Species Protection Index</w:t>
            </w:r>
          </w:p>
        </w:tc>
        <w:tc>
          <w:tcPr>
            <w:tcW w:w="2369" w:type="dxa"/>
            <w:shd w:val="clear" w:color="auto" w:fill="BFBFBF" w:themeFill="background1" w:themeFillShade="BF"/>
          </w:tcPr>
          <w:p w14:paraId="3A3D10A5" w14:textId="77777777" w:rsidR="00366AA7" w:rsidRPr="00866F16" w:rsidRDefault="00366AA7" w:rsidP="00866F16">
            <w:pPr>
              <w:pStyle w:val="ListParagraph"/>
              <w:numPr>
                <w:ilvl w:val="1"/>
                <w:numId w:val="38"/>
              </w:numPr>
              <w:suppressLineNumbers/>
              <w:tabs>
                <w:tab w:val="left" w:pos="412"/>
              </w:tabs>
              <w:suppressAutoHyphens/>
              <w:kinsoku w:val="0"/>
              <w:overflowPunct w:val="0"/>
              <w:autoSpaceDE w:val="0"/>
              <w:autoSpaceDN w:val="0"/>
              <w:adjustRightInd w:val="0"/>
              <w:snapToGrid w:val="0"/>
              <w:spacing w:before="60" w:after="60"/>
              <w:ind w:left="0" w:hanging="14"/>
              <w:jc w:val="left"/>
              <w:rPr>
                <w:kern w:val="22"/>
                <w:szCs w:val="22"/>
              </w:rPr>
            </w:pPr>
            <w:r w:rsidRPr="00866F16">
              <w:rPr>
                <w:kern w:val="22"/>
                <w:szCs w:val="22"/>
              </w:rPr>
              <w:t xml:space="preserve">Area of terrestrial, </w:t>
            </w:r>
            <w:proofErr w:type="gramStart"/>
            <w:r w:rsidRPr="00866F16">
              <w:rPr>
                <w:kern w:val="22"/>
                <w:szCs w:val="22"/>
              </w:rPr>
              <w:t>freshwater</w:t>
            </w:r>
            <w:proofErr w:type="gramEnd"/>
            <w:r w:rsidRPr="00866F16">
              <w:rPr>
                <w:kern w:val="22"/>
                <w:szCs w:val="22"/>
              </w:rPr>
              <w:t xml:space="preserve"> and marine ecosystem under protection and conservation</w:t>
            </w:r>
          </w:p>
          <w:p w14:paraId="53B46487" w14:textId="77777777" w:rsidR="00366AA7" w:rsidRPr="00866F16" w:rsidRDefault="00366AA7" w:rsidP="00866F16">
            <w:pPr>
              <w:pStyle w:val="ListParagraph"/>
              <w:numPr>
                <w:ilvl w:val="1"/>
                <w:numId w:val="38"/>
              </w:numPr>
              <w:suppressLineNumbers/>
              <w:tabs>
                <w:tab w:val="left" w:pos="412"/>
              </w:tabs>
              <w:suppressAutoHyphens/>
              <w:kinsoku w:val="0"/>
              <w:overflowPunct w:val="0"/>
              <w:autoSpaceDE w:val="0"/>
              <w:autoSpaceDN w:val="0"/>
              <w:adjustRightInd w:val="0"/>
              <w:snapToGrid w:val="0"/>
              <w:spacing w:before="60" w:after="60"/>
              <w:ind w:left="0" w:hanging="14"/>
              <w:jc w:val="left"/>
              <w:rPr>
                <w:kern w:val="22"/>
                <w:szCs w:val="22"/>
              </w:rPr>
            </w:pPr>
            <w:r w:rsidRPr="00866F16">
              <w:rPr>
                <w:kern w:val="22"/>
                <w:szCs w:val="22"/>
              </w:rPr>
              <w:t xml:space="preserve">Areas of </w:t>
            </w:r>
            <w:proofErr w:type="gramStart"/>
            <w:r w:rsidRPr="00866F16">
              <w:rPr>
                <w:kern w:val="22"/>
                <w:szCs w:val="22"/>
              </w:rPr>
              <w:t>particular importance</w:t>
            </w:r>
            <w:proofErr w:type="gramEnd"/>
            <w:r w:rsidRPr="00866F16">
              <w:rPr>
                <w:kern w:val="22"/>
                <w:szCs w:val="22"/>
              </w:rPr>
              <w:t xml:space="preserve"> for biodiversity are </w:t>
            </w:r>
            <w:r w:rsidRPr="00866F16">
              <w:rPr>
                <w:kern w:val="22"/>
                <w:szCs w:val="22"/>
              </w:rPr>
              <w:lastRenderedPageBreak/>
              <w:t>protected and conserved as priority</w:t>
            </w:r>
          </w:p>
          <w:p w14:paraId="4A818009" w14:textId="77777777" w:rsidR="00366AA7" w:rsidRPr="00866F16" w:rsidRDefault="00366AA7" w:rsidP="00866F16">
            <w:pPr>
              <w:pStyle w:val="ListParagraph"/>
              <w:numPr>
                <w:ilvl w:val="1"/>
                <w:numId w:val="38"/>
              </w:numPr>
              <w:suppressLineNumbers/>
              <w:tabs>
                <w:tab w:val="left" w:pos="412"/>
              </w:tabs>
              <w:suppressAutoHyphens/>
              <w:kinsoku w:val="0"/>
              <w:overflowPunct w:val="0"/>
              <w:autoSpaceDE w:val="0"/>
              <w:autoSpaceDN w:val="0"/>
              <w:adjustRightInd w:val="0"/>
              <w:snapToGrid w:val="0"/>
              <w:spacing w:before="60" w:after="60"/>
              <w:ind w:left="0" w:hanging="14"/>
              <w:jc w:val="left"/>
              <w:rPr>
                <w:kern w:val="22"/>
                <w:szCs w:val="22"/>
              </w:rPr>
            </w:pPr>
            <w:r w:rsidRPr="00866F16">
              <w:rPr>
                <w:kern w:val="22"/>
                <w:szCs w:val="22"/>
              </w:rPr>
              <w:t>Representative system of protected areas and other effective area-based conservation measures</w:t>
            </w:r>
          </w:p>
          <w:p w14:paraId="6519AFCF" w14:textId="77777777" w:rsidR="00366AA7" w:rsidRPr="00866F16" w:rsidRDefault="00366AA7" w:rsidP="00866F16">
            <w:pPr>
              <w:pStyle w:val="ListParagraph"/>
              <w:numPr>
                <w:ilvl w:val="1"/>
                <w:numId w:val="38"/>
              </w:numPr>
              <w:suppressLineNumbers/>
              <w:tabs>
                <w:tab w:val="left" w:pos="412"/>
              </w:tabs>
              <w:suppressAutoHyphens/>
              <w:kinsoku w:val="0"/>
              <w:overflowPunct w:val="0"/>
              <w:autoSpaceDE w:val="0"/>
              <w:autoSpaceDN w:val="0"/>
              <w:adjustRightInd w:val="0"/>
              <w:snapToGrid w:val="0"/>
              <w:spacing w:before="60" w:after="60"/>
              <w:ind w:left="0" w:hanging="14"/>
              <w:jc w:val="left"/>
              <w:rPr>
                <w:kern w:val="22"/>
                <w:szCs w:val="22"/>
              </w:rPr>
            </w:pPr>
            <w:r w:rsidRPr="00866F16">
              <w:rPr>
                <w:kern w:val="22"/>
                <w:szCs w:val="22"/>
              </w:rPr>
              <w:t>Effective management and equitable governance of the system of protected areas and other effective area-based conservation measures</w:t>
            </w:r>
          </w:p>
          <w:p w14:paraId="257A9089" w14:textId="77777777" w:rsidR="00366AA7" w:rsidRPr="00866F16" w:rsidRDefault="00366AA7" w:rsidP="00866F16">
            <w:pPr>
              <w:pStyle w:val="ListParagraph"/>
              <w:numPr>
                <w:ilvl w:val="1"/>
                <w:numId w:val="38"/>
              </w:numPr>
              <w:suppressLineNumbers/>
              <w:tabs>
                <w:tab w:val="left" w:pos="412"/>
              </w:tabs>
              <w:suppressAutoHyphens/>
              <w:kinsoku w:val="0"/>
              <w:overflowPunct w:val="0"/>
              <w:autoSpaceDE w:val="0"/>
              <w:autoSpaceDN w:val="0"/>
              <w:adjustRightInd w:val="0"/>
              <w:snapToGrid w:val="0"/>
              <w:spacing w:before="60" w:after="60"/>
              <w:ind w:left="0" w:hanging="14"/>
              <w:jc w:val="left"/>
              <w:rPr>
                <w:kern w:val="22"/>
                <w:szCs w:val="22"/>
              </w:rPr>
            </w:pPr>
            <w:r w:rsidRPr="00866F16">
              <w:rPr>
                <w:kern w:val="22"/>
                <w:szCs w:val="22"/>
              </w:rPr>
              <w:t>Connectivity within the system of protected areas and other effective area-based conservation measures</w:t>
            </w:r>
          </w:p>
          <w:p w14:paraId="6A07A6AB" w14:textId="77777777" w:rsidR="00366AA7" w:rsidRPr="00866F16" w:rsidRDefault="00366AA7" w:rsidP="00866F16">
            <w:pPr>
              <w:pStyle w:val="ListParagraph"/>
              <w:numPr>
                <w:ilvl w:val="1"/>
                <w:numId w:val="38"/>
              </w:numPr>
              <w:suppressLineNumbers/>
              <w:tabs>
                <w:tab w:val="left" w:pos="412"/>
              </w:tabs>
              <w:suppressAutoHyphens/>
              <w:kinsoku w:val="0"/>
              <w:overflowPunct w:val="0"/>
              <w:autoSpaceDE w:val="0"/>
              <w:autoSpaceDN w:val="0"/>
              <w:adjustRightInd w:val="0"/>
              <w:snapToGrid w:val="0"/>
              <w:spacing w:before="60" w:after="60"/>
              <w:ind w:left="0" w:hanging="14"/>
              <w:jc w:val="left"/>
              <w:rPr>
                <w:kern w:val="22"/>
                <w:szCs w:val="22"/>
              </w:rPr>
            </w:pPr>
            <w:r w:rsidRPr="00866F16">
              <w:rPr>
                <w:kern w:val="22"/>
                <w:szCs w:val="22"/>
              </w:rPr>
              <w:t xml:space="preserve"> Increased protection and conservation effectiveness</w:t>
            </w:r>
          </w:p>
          <w:p w14:paraId="4291D23A" w14:textId="77777777" w:rsidR="00366AA7" w:rsidRPr="00866F16" w:rsidRDefault="00366AA7" w:rsidP="00866F16">
            <w:pPr>
              <w:pStyle w:val="ListParagraph"/>
              <w:numPr>
                <w:ilvl w:val="1"/>
                <w:numId w:val="38"/>
              </w:numPr>
              <w:suppressLineNumbers/>
              <w:tabs>
                <w:tab w:val="left" w:pos="412"/>
              </w:tabs>
              <w:suppressAutoHyphens/>
              <w:kinsoku w:val="0"/>
              <w:overflowPunct w:val="0"/>
              <w:autoSpaceDE w:val="0"/>
              <w:autoSpaceDN w:val="0"/>
              <w:adjustRightInd w:val="0"/>
              <w:snapToGrid w:val="0"/>
              <w:spacing w:before="60" w:after="60"/>
              <w:ind w:left="0" w:hanging="14"/>
              <w:jc w:val="left"/>
              <w:rPr>
                <w:kern w:val="22"/>
                <w:szCs w:val="22"/>
              </w:rPr>
            </w:pPr>
            <w:r w:rsidRPr="00866F16">
              <w:rPr>
                <w:kern w:val="22"/>
                <w:szCs w:val="22"/>
              </w:rPr>
              <w:t>Integration into landscape and seascape context</w:t>
            </w:r>
          </w:p>
        </w:tc>
        <w:tc>
          <w:tcPr>
            <w:tcW w:w="3568" w:type="dxa"/>
            <w:shd w:val="clear" w:color="auto" w:fill="BFBFBF" w:themeFill="background1" w:themeFillShade="BF"/>
          </w:tcPr>
          <w:p w14:paraId="6F3AC852" w14:textId="77777777" w:rsidR="00366AA7" w:rsidRPr="00866F16" w:rsidRDefault="00366AA7" w:rsidP="00866F16">
            <w:pPr>
              <w:pStyle w:val="ListParagraph"/>
              <w:numPr>
                <w:ilvl w:val="2"/>
                <w:numId w:val="39"/>
              </w:numPr>
              <w:suppressLineNumbers/>
              <w:tabs>
                <w:tab w:val="left" w:pos="628"/>
              </w:tabs>
              <w:suppressAutoHyphens/>
              <w:kinsoku w:val="0"/>
              <w:overflowPunct w:val="0"/>
              <w:autoSpaceDE w:val="0"/>
              <w:autoSpaceDN w:val="0"/>
              <w:adjustRightInd w:val="0"/>
              <w:snapToGrid w:val="0"/>
              <w:spacing w:before="60" w:after="60"/>
              <w:ind w:left="54" w:firstLine="0"/>
              <w:jc w:val="left"/>
              <w:rPr>
                <w:kern w:val="22"/>
                <w:szCs w:val="22"/>
              </w:rPr>
            </w:pPr>
            <w:r w:rsidRPr="00866F16">
              <w:rPr>
                <w:kern w:val="22"/>
                <w:szCs w:val="22"/>
              </w:rPr>
              <w:lastRenderedPageBreak/>
              <w:t>Protected area coverage by type (marine, freshwater, mountain and terrestrial)</w:t>
            </w:r>
          </w:p>
          <w:p w14:paraId="3D23D60B" w14:textId="77777777" w:rsidR="00366AA7" w:rsidRPr="00866F16" w:rsidRDefault="00366AA7" w:rsidP="00866F16">
            <w:pPr>
              <w:pStyle w:val="ListParagraph"/>
              <w:numPr>
                <w:ilvl w:val="2"/>
                <w:numId w:val="39"/>
              </w:numPr>
              <w:suppressLineNumbers/>
              <w:tabs>
                <w:tab w:val="left" w:pos="628"/>
                <w:tab w:val="left" w:pos="763"/>
              </w:tabs>
              <w:suppressAutoHyphens/>
              <w:kinsoku w:val="0"/>
              <w:overflowPunct w:val="0"/>
              <w:autoSpaceDE w:val="0"/>
              <w:autoSpaceDN w:val="0"/>
              <w:adjustRightInd w:val="0"/>
              <w:snapToGrid w:val="0"/>
              <w:spacing w:before="60" w:after="60"/>
              <w:ind w:left="54" w:firstLine="0"/>
              <w:jc w:val="left"/>
              <w:rPr>
                <w:kern w:val="22"/>
                <w:szCs w:val="22"/>
              </w:rPr>
            </w:pPr>
            <w:r w:rsidRPr="00866F16">
              <w:rPr>
                <w:kern w:val="22"/>
                <w:szCs w:val="22"/>
              </w:rPr>
              <w:t>Protected area coverage of important biodiversity areas (by type (marine, freshwater, mountain and terrestrial)</w:t>
            </w:r>
          </w:p>
          <w:p w14:paraId="22D73F56" w14:textId="77777777" w:rsidR="00366AA7" w:rsidRPr="00866F16" w:rsidRDefault="00366AA7" w:rsidP="00866F16">
            <w:pPr>
              <w:pStyle w:val="ListParagraph"/>
              <w:numPr>
                <w:ilvl w:val="2"/>
                <w:numId w:val="39"/>
              </w:numPr>
              <w:suppressLineNumbers/>
              <w:tabs>
                <w:tab w:val="left" w:pos="628"/>
                <w:tab w:val="left" w:pos="763"/>
              </w:tabs>
              <w:suppressAutoHyphens/>
              <w:kinsoku w:val="0"/>
              <w:overflowPunct w:val="0"/>
              <w:autoSpaceDE w:val="0"/>
              <w:autoSpaceDN w:val="0"/>
              <w:adjustRightInd w:val="0"/>
              <w:snapToGrid w:val="0"/>
              <w:spacing w:before="60" w:after="60"/>
              <w:ind w:left="54" w:firstLine="0"/>
              <w:jc w:val="left"/>
              <w:rPr>
                <w:kern w:val="22"/>
                <w:szCs w:val="22"/>
              </w:rPr>
            </w:pPr>
            <w:r w:rsidRPr="00866F16">
              <w:rPr>
                <w:kern w:val="22"/>
                <w:szCs w:val="22"/>
              </w:rPr>
              <w:lastRenderedPageBreak/>
              <w:t>Protected Area Representativeness Index (PARC-Representativeness)</w:t>
            </w:r>
          </w:p>
          <w:p w14:paraId="36A589D4" w14:textId="77777777" w:rsidR="00366AA7" w:rsidRPr="00866F16" w:rsidRDefault="00366AA7" w:rsidP="00866F16">
            <w:pPr>
              <w:pStyle w:val="ListParagraph"/>
              <w:numPr>
                <w:ilvl w:val="2"/>
                <w:numId w:val="39"/>
              </w:numPr>
              <w:suppressLineNumbers/>
              <w:tabs>
                <w:tab w:val="left" w:pos="628"/>
                <w:tab w:val="left" w:pos="763"/>
              </w:tabs>
              <w:suppressAutoHyphens/>
              <w:kinsoku w:val="0"/>
              <w:overflowPunct w:val="0"/>
              <w:autoSpaceDE w:val="0"/>
              <w:autoSpaceDN w:val="0"/>
              <w:adjustRightInd w:val="0"/>
              <w:snapToGrid w:val="0"/>
              <w:spacing w:before="60" w:after="60"/>
              <w:ind w:left="54" w:firstLine="0"/>
              <w:jc w:val="left"/>
              <w:rPr>
                <w:kern w:val="22"/>
                <w:szCs w:val="22"/>
              </w:rPr>
            </w:pPr>
            <w:r w:rsidRPr="00866F16">
              <w:rPr>
                <w:kern w:val="22"/>
                <w:szCs w:val="22"/>
              </w:rPr>
              <w:t>Headline indicator for Target 3</w:t>
            </w:r>
          </w:p>
          <w:p w14:paraId="07A55DB7" w14:textId="77777777" w:rsidR="00366AA7" w:rsidRPr="00866F16" w:rsidRDefault="00366AA7" w:rsidP="00866F16">
            <w:pPr>
              <w:pStyle w:val="ListParagraph"/>
              <w:numPr>
                <w:ilvl w:val="2"/>
                <w:numId w:val="39"/>
              </w:numPr>
              <w:suppressLineNumbers/>
              <w:tabs>
                <w:tab w:val="left" w:pos="628"/>
                <w:tab w:val="left" w:pos="763"/>
              </w:tabs>
              <w:suppressAutoHyphens/>
              <w:kinsoku w:val="0"/>
              <w:overflowPunct w:val="0"/>
              <w:autoSpaceDE w:val="0"/>
              <w:autoSpaceDN w:val="0"/>
              <w:adjustRightInd w:val="0"/>
              <w:snapToGrid w:val="0"/>
              <w:spacing w:before="60" w:after="60"/>
              <w:ind w:left="54" w:firstLine="0"/>
              <w:jc w:val="left"/>
              <w:rPr>
                <w:kern w:val="22"/>
                <w:szCs w:val="22"/>
              </w:rPr>
            </w:pPr>
            <w:r w:rsidRPr="00866F16">
              <w:rPr>
                <w:kern w:val="22"/>
                <w:szCs w:val="22"/>
              </w:rPr>
              <w:t>Protected Connected (</w:t>
            </w:r>
            <w:proofErr w:type="spellStart"/>
            <w:r w:rsidRPr="00866F16">
              <w:rPr>
                <w:noProof/>
                <w:kern w:val="22"/>
                <w:szCs w:val="22"/>
              </w:rPr>
              <w:t>Protconn</w:t>
            </w:r>
            <w:proofErr w:type="spellEnd"/>
            <w:r w:rsidRPr="00866F16">
              <w:rPr>
                <w:kern w:val="22"/>
                <w:szCs w:val="22"/>
              </w:rPr>
              <w:t>) index</w:t>
            </w:r>
          </w:p>
          <w:p w14:paraId="6E08E4D5" w14:textId="77777777" w:rsidR="00366AA7" w:rsidRPr="00866F16" w:rsidRDefault="00366AA7" w:rsidP="00866F16">
            <w:pPr>
              <w:pStyle w:val="ListParagraph"/>
              <w:numPr>
                <w:ilvl w:val="2"/>
                <w:numId w:val="39"/>
              </w:numPr>
              <w:suppressLineNumbers/>
              <w:tabs>
                <w:tab w:val="left" w:pos="628"/>
                <w:tab w:val="left" w:pos="763"/>
              </w:tabs>
              <w:suppressAutoHyphens/>
              <w:kinsoku w:val="0"/>
              <w:overflowPunct w:val="0"/>
              <w:autoSpaceDE w:val="0"/>
              <w:autoSpaceDN w:val="0"/>
              <w:adjustRightInd w:val="0"/>
              <w:snapToGrid w:val="0"/>
              <w:spacing w:before="60" w:after="60"/>
              <w:ind w:left="54" w:firstLine="0"/>
              <w:jc w:val="left"/>
              <w:rPr>
                <w:kern w:val="22"/>
                <w:szCs w:val="22"/>
              </w:rPr>
            </w:pPr>
            <w:r w:rsidRPr="00866F16">
              <w:rPr>
                <w:kern w:val="22"/>
                <w:szCs w:val="22"/>
              </w:rPr>
              <w:t>Area of Protected areas and other effective area-based conservation measures meeting their documented ecological objectives (Protected areas effectiveness)</w:t>
            </w:r>
          </w:p>
          <w:p w14:paraId="663FB7C9" w14:textId="77777777" w:rsidR="00366AA7" w:rsidRPr="00866F16" w:rsidRDefault="00366AA7" w:rsidP="00866F16">
            <w:pPr>
              <w:pStyle w:val="ListParagraph"/>
              <w:numPr>
                <w:ilvl w:val="2"/>
                <w:numId w:val="39"/>
              </w:numPr>
              <w:suppressLineNumbers/>
              <w:tabs>
                <w:tab w:val="left" w:pos="628"/>
                <w:tab w:val="left" w:pos="763"/>
              </w:tabs>
              <w:suppressAutoHyphens/>
              <w:kinsoku w:val="0"/>
              <w:overflowPunct w:val="0"/>
              <w:autoSpaceDE w:val="0"/>
              <w:autoSpaceDN w:val="0"/>
              <w:adjustRightInd w:val="0"/>
              <w:snapToGrid w:val="0"/>
              <w:spacing w:before="60" w:after="60"/>
              <w:ind w:left="54" w:firstLine="0"/>
              <w:jc w:val="left"/>
              <w:rPr>
                <w:kern w:val="22"/>
                <w:szCs w:val="22"/>
              </w:rPr>
            </w:pPr>
            <w:r w:rsidRPr="00866F16">
              <w:rPr>
                <w:kern w:val="22"/>
                <w:szCs w:val="22"/>
              </w:rPr>
              <w:t>Area of protected areas and other effective area-based conservation measures in each of the four governance types</w:t>
            </w:r>
          </w:p>
        </w:tc>
        <w:tc>
          <w:tcPr>
            <w:tcW w:w="3827" w:type="dxa"/>
            <w:shd w:val="clear" w:color="auto" w:fill="BFBFBF" w:themeFill="background1" w:themeFillShade="BF"/>
          </w:tcPr>
          <w:p w14:paraId="357A9654" w14:textId="77777777" w:rsidR="00366AA7" w:rsidRPr="00866F16" w:rsidRDefault="00366AA7" w:rsidP="00866F16">
            <w:pPr>
              <w:pStyle w:val="ListParagraph"/>
              <w:numPr>
                <w:ilvl w:val="3"/>
                <w:numId w:val="40"/>
              </w:numPr>
              <w:suppressLineNumbers/>
              <w:tabs>
                <w:tab w:val="left" w:pos="926"/>
              </w:tabs>
              <w:suppressAutoHyphens/>
              <w:kinsoku w:val="0"/>
              <w:overflowPunct w:val="0"/>
              <w:autoSpaceDE w:val="0"/>
              <w:autoSpaceDN w:val="0"/>
              <w:adjustRightInd w:val="0"/>
              <w:snapToGrid w:val="0"/>
              <w:spacing w:before="60" w:after="60"/>
              <w:ind w:left="76" w:firstLine="0"/>
              <w:jc w:val="left"/>
              <w:rPr>
                <w:kern w:val="22"/>
                <w:szCs w:val="22"/>
              </w:rPr>
            </w:pPr>
            <w:r w:rsidRPr="00866F16">
              <w:rPr>
                <w:kern w:val="22"/>
                <w:szCs w:val="22"/>
              </w:rPr>
              <w:lastRenderedPageBreak/>
              <w:t xml:space="preserve">Protected area downgrading, downsizing and </w:t>
            </w:r>
            <w:r w:rsidRPr="00866F16">
              <w:rPr>
                <w:noProof/>
                <w:kern w:val="22"/>
                <w:szCs w:val="22"/>
              </w:rPr>
              <w:t>degazettement</w:t>
            </w:r>
            <w:r w:rsidRPr="00866F16">
              <w:rPr>
                <w:kern w:val="22"/>
                <w:szCs w:val="22"/>
              </w:rPr>
              <w:t xml:space="preserve"> (PADDD)</w:t>
            </w:r>
          </w:p>
          <w:p w14:paraId="3AE5D51B" w14:textId="77777777" w:rsidR="00366AA7" w:rsidRPr="00866F16" w:rsidRDefault="00366AA7" w:rsidP="00866F16">
            <w:pPr>
              <w:pStyle w:val="ListParagraph"/>
              <w:numPr>
                <w:ilvl w:val="3"/>
                <w:numId w:val="40"/>
              </w:numPr>
              <w:suppressLineNumbers/>
              <w:tabs>
                <w:tab w:val="left" w:pos="926"/>
              </w:tabs>
              <w:suppressAutoHyphens/>
              <w:kinsoku w:val="0"/>
              <w:overflowPunct w:val="0"/>
              <w:autoSpaceDE w:val="0"/>
              <w:autoSpaceDN w:val="0"/>
              <w:adjustRightInd w:val="0"/>
              <w:snapToGrid w:val="0"/>
              <w:spacing w:before="60" w:after="60"/>
              <w:ind w:left="76" w:firstLine="0"/>
              <w:jc w:val="left"/>
              <w:rPr>
                <w:kern w:val="22"/>
                <w:szCs w:val="22"/>
              </w:rPr>
            </w:pPr>
            <w:r w:rsidRPr="00866F16">
              <w:rPr>
                <w:kern w:val="22"/>
                <w:szCs w:val="22"/>
              </w:rPr>
              <w:t>Status of key biodiversity areas</w:t>
            </w:r>
          </w:p>
          <w:p w14:paraId="1E2D3651" w14:textId="77777777" w:rsidR="00366AA7" w:rsidRPr="00866F16" w:rsidRDefault="00366AA7" w:rsidP="00866F16">
            <w:pPr>
              <w:pStyle w:val="ListParagraph"/>
              <w:numPr>
                <w:ilvl w:val="3"/>
                <w:numId w:val="40"/>
              </w:numPr>
              <w:suppressLineNumbers/>
              <w:tabs>
                <w:tab w:val="left" w:pos="926"/>
              </w:tabs>
              <w:suppressAutoHyphens/>
              <w:kinsoku w:val="0"/>
              <w:overflowPunct w:val="0"/>
              <w:autoSpaceDE w:val="0"/>
              <w:autoSpaceDN w:val="0"/>
              <w:adjustRightInd w:val="0"/>
              <w:snapToGrid w:val="0"/>
              <w:spacing w:before="60" w:after="60"/>
              <w:ind w:left="76" w:firstLine="0"/>
              <w:jc w:val="left"/>
              <w:rPr>
                <w:kern w:val="22"/>
                <w:szCs w:val="22"/>
              </w:rPr>
            </w:pPr>
            <w:r w:rsidRPr="00866F16">
              <w:rPr>
                <w:kern w:val="22"/>
                <w:szCs w:val="22"/>
              </w:rPr>
              <w:t xml:space="preserve">Protected area coverage of key biodiversity areas </w:t>
            </w:r>
          </w:p>
          <w:p w14:paraId="47897C2B" w14:textId="77777777" w:rsidR="00366AA7" w:rsidRPr="00866F16" w:rsidRDefault="00366AA7" w:rsidP="00866F16">
            <w:pPr>
              <w:pStyle w:val="ListParagraph"/>
              <w:numPr>
                <w:ilvl w:val="3"/>
                <w:numId w:val="40"/>
              </w:numPr>
              <w:suppressLineNumbers/>
              <w:tabs>
                <w:tab w:val="left" w:pos="926"/>
              </w:tabs>
              <w:suppressAutoHyphens/>
              <w:kinsoku w:val="0"/>
              <w:overflowPunct w:val="0"/>
              <w:autoSpaceDE w:val="0"/>
              <w:autoSpaceDN w:val="0"/>
              <w:adjustRightInd w:val="0"/>
              <w:snapToGrid w:val="0"/>
              <w:spacing w:before="60" w:after="60"/>
              <w:ind w:left="76" w:firstLine="0"/>
              <w:jc w:val="left"/>
              <w:rPr>
                <w:kern w:val="22"/>
                <w:szCs w:val="22"/>
              </w:rPr>
            </w:pPr>
            <w:r w:rsidRPr="00866F16">
              <w:rPr>
                <w:kern w:val="22"/>
                <w:szCs w:val="22"/>
              </w:rPr>
              <w:lastRenderedPageBreak/>
              <w:t>Protected area coverage of coral reefs</w:t>
            </w:r>
          </w:p>
          <w:p w14:paraId="006D670D" w14:textId="77777777" w:rsidR="00366AA7" w:rsidRPr="00866F16" w:rsidRDefault="00366AA7" w:rsidP="00866F16">
            <w:pPr>
              <w:pStyle w:val="ListParagraph"/>
              <w:numPr>
                <w:ilvl w:val="3"/>
                <w:numId w:val="40"/>
              </w:numPr>
              <w:suppressLineNumbers/>
              <w:tabs>
                <w:tab w:val="left" w:pos="926"/>
              </w:tabs>
              <w:suppressAutoHyphens/>
              <w:kinsoku w:val="0"/>
              <w:overflowPunct w:val="0"/>
              <w:autoSpaceDE w:val="0"/>
              <w:autoSpaceDN w:val="0"/>
              <w:adjustRightInd w:val="0"/>
              <w:snapToGrid w:val="0"/>
              <w:spacing w:before="60" w:after="60"/>
              <w:ind w:left="76" w:firstLine="0"/>
              <w:jc w:val="left"/>
              <w:rPr>
                <w:kern w:val="22"/>
                <w:szCs w:val="22"/>
              </w:rPr>
            </w:pPr>
            <w:r w:rsidRPr="00866F16">
              <w:rPr>
                <w:kern w:val="22"/>
                <w:szCs w:val="22"/>
              </w:rPr>
              <w:t>IUCN Green List of Protected and Conserved Areas</w:t>
            </w:r>
          </w:p>
          <w:p w14:paraId="001700A5" w14:textId="77777777" w:rsidR="00366AA7" w:rsidRPr="00866F16" w:rsidRDefault="00366AA7" w:rsidP="00866F16">
            <w:pPr>
              <w:pStyle w:val="ListParagraph"/>
              <w:numPr>
                <w:ilvl w:val="3"/>
                <w:numId w:val="40"/>
              </w:numPr>
              <w:suppressLineNumbers/>
              <w:tabs>
                <w:tab w:val="left" w:pos="926"/>
              </w:tabs>
              <w:suppressAutoHyphens/>
              <w:kinsoku w:val="0"/>
              <w:overflowPunct w:val="0"/>
              <w:autoSpaceDE w:val="0"/>
              <w:autoSpaceDN w:val="0"/>
              <w:adjustRightInd w:val="0"/>
              <w:snapToGrid w:val="0"/>
              <w:spacing w:before="60" w:after="60"/>
              <w:ind w:left="76" w:firstLine="0"/>
              <w:jc w:val="left"/>
              <w:rPr>
                <w:kern w:val="22"/>
                <w:szCs w:val="22"/>
              </w:rPr>
            </w:pPr>
            <w:r w:rsidRPr="00866F16">
              <w:rPr>
                <w:kern w:val="22"/>
                <w:szCs w:val="22"/>
              </w:rPr>
              <w:t xml:space="preserve">Proportion of terrestrial, </w:t>
            </w:r>
            <w:proofErr w:type="gramStart"/>
            <w:r w:rsidRPr="00866F16">
              <w:rPr>
                <w:kern w:val="22"/>
                <w:szCs w:val="22"/>
              </w:rPr>
              <w:t>freshwater</w:t>
            </w:r>
            <w:proofErr w:type="gramEnd"/>
            <w:r w:rsidRPr="00866F16">
              <w:rPr>
                <w:kern w:val="22"/>
                <w:szCs w:val="22"/>
              </w:rPr>
              <w:t xml:space="preserve"> and marine ecological regions which are conserved by protected areas or other effective area-based conservation measures</w:t>
            </w:r>
          </w:p>
          <w:p w14:paraId="0D805FC9" w14:textId="77777777" w:rsidR="00366AA7" w:rsidRPr="00866F16" w:rsidRDefault="00366AA7" w:rsidP="00866F16">
            <w:pPr>
              <w:pStyle w:val="ListParagraph"/>
              <w:numPr>
                <w:ilvl w:val="3"/>
                <w:numId w:val="40"/>
              </w:numPr>
              <w:suppressLineNumbers/>
              <w:tabs>
                <w:tab w:val="left" w:pos="926"/>
              </w:tabs>
              <w:suppressAutoHyphens/>
              <w:kinsoku w:val="0"/>
              <w:overflowPunct w:val="0"/>
              <w:autoSpaceDE w:val="0"/>
              <w:autoSpaceDN w:val="0"/>
              <w:adjustRightInd w:val="0"/>
              <w:snapToGrid w:val="0"/>
              <w:spacing w:before="60" w:after="60"/>
              <w:ind w:left="76" w:firstLine="0"/>
              <w:jc w:val="left"/>
              <w:rPr>
                <w:kern w:val="22"/>
                <w:szCs w:val="22"/>
              </w:rPr>
            </w:pPr>
            <w:r w:rsidRPr="00866F16">
              <w:rPr>
                <w:kern w:val="22"/>
                <w:szCs w:val="22"/>
              </w:rPr>
              <w:t>Species Protection Index</w:t>
            </w:r>
          </w:p>
          <w:p w14:paraId="10E75695" w14:textId="3189AF47" w:rsidR="00366AA7" w:rsidRPr="00866F16" w:rsidRDefault="00366AA7" w:rsidP="00866F16">
            <w:pPr>
              <w:pStyle w:val="ListParagraph"/>
              <w:numPr>
                <w:ilvl w:val="3"/>
                <w:numId w:val="40"/>
              </w:numPr>
              <w:suppressLineNumbers/>
              <w:tabs>
                <w:tab w:val="left" w:pos="926"/>
              </w:tabs>
              <w:suppressAutoHyphens/>
              <w:kinsoku w:val="0"/>
              <w:overflowPunct w:val="0"/>
              <w:autoSpaceDE w:val="0"/>
              <w:autoSpaceDN w:val="0"/>
              <w:adjustRightInd w:val="0"/>
              <w:snapToGrid w:val="0"/>
              <w:spacing w:before="60" w:after="60"/>
              <w:ind w:left="76" w:firstLine="0"/>
              <w:jc w:val="left"/>
              <w:rPr>
                <w:kern w:val="22"/>
                <w:szCs w:val="22"/>
              </w:rPr>
            </w:pPr>
            <w:r w:rsidRPr="00866F16">
              <w:rPr>
                <w:kern w:val="22"/>
                <w:szCs w:val="22"/>
              </w:rPr>
              <w:t>Ramsar Management Effectiveness Tracking Tool (</w:t>
            </w:r>
            <w:r w:rsidR="007B7AF1" w:rsidRPr="00866F16">
              <w:rPr>
                <w:kern w:val="22"/>
                <w:szCs w:val="22"/>
              </w:rPr>
              <w:t>R-</w:t>
            </w:r>
            <w:r w:rsidRPr="00866F16">
              <w:rPr>
                <w:kern w:val="22"/>
                <w:szCs w:val="22"/>
              </w:rPr>
              <w:t>METT)</w:t>
            </w:r>
          </w:p>
          <w:p w14:paraId="15F15416" w14:textId="77777777" w:rsidR="00366AA7" w:rsidRPr="00866F16" w:rsidRDefault="00366AA7" w:rsidP="00866F16">
            <w:pPr>
              <w:pStyle w:val="ListParagraph"/>
              <w:numPr>
                <w:ilvl w:val="3"/>
                <w:numId w:val="40"/>
              </w:numPr>
              <w:suppressLineNumbers/>
              <w:tabs>
                <w:tab w:val="left" w:pos="926"/>
              </w:tabs>
              <w:suppressAutoHyphens/>
              <w:kinsoku w:val="0"/>
              <w:overflowPunct w:val="0"/>
              <w:autoSpaceDE w:val="0"/>
              <w:autoSpaceDN w:val="0"/>
              <w:adjustRightInd w:val="0"/>
              <w:snapToGrid w:val="0"/>
              <w:spacing w:before="60" w:after="60"/>
              <w:ind w:left="76" w:firstLine="0"/>
              <w:jc w:val="left"/>
              <w:rPr>
                <w:kern w:val="22"/>
                <w:szCs w:val="22"/>
              </w:rPr>
            </w:pPr>
            <w:r w:rsidRPr="00866F16">
              <w:rPr>
                <w:kern w:val="22"/>
                <w:szCs w:val="22"/>
              </w:rPr>
              <w:t>Number of protected areas that have completed a site-level assessment of governance and equity (SAGE)</w:t>
            </w:r>
          </w:p>
          <w:p w14:paraId="66339BFC" w14:textId="77777777" w:rsidR="00366AA7" w:rsidRPr="00866F16" w:rsidRDefault="00366AA7" w:rsidP="00866F16">
            <w:pPr>
              <w:pStyle w:val="ListParagraph"/>
              <w:numPr>
                <w:ilvl w:val="3"/>
                <w:numId w:val="40"/>
              </w:numPr>
              <w:suppressLineNumbers/>
              <w:tabs>
                <w:tab w:val="left" w:pos="926"/>
              </w:tabs>
              <w:suppressAutoHyphens/>
              <w:kinsoku w:val="0"/>
              <w:overflowPunct w:val="0"/>
              <w:autoSpaceDE w:val="0"/>
              <w:autoSpaceDN w:val="0"/>
              <w:adjustRightInd w:val="0"/>
              <w:snapToGrid w:val="0"/>
              <w:spacing w:before="60" w:after="60"/>
              <w:ind w:left="0" w:firstLine="0"/>
              <w:jc w:val="left"/>
              <w:rPr>
                <w:kern w:val="22"/>
                <w:szCs w:val="22"/>
              </w:rPr>
            </w:pPr>
            <w:r w:rsidRPr="00866F16">
              <w:rPr>
                <w:kern w:val="22"/>
                <w:szCs w:val="22"/>
              </w:rPr>
              <w:t>Number of certified forest areas under sustainable management with verified impacts on biodiversity conservation</w:t>
            </w:r>
          </w:p>
          <w:p w14:paraId="64F411F1" w14:textId="0A15FBBB" w:rsidR="00366AA7" w:rsidRPr="00866F16" w:rsidRDefault="00366AA7" w:rsidP="00866F16">
            <w:pPr>
              <w:pStyle w:val="ListParagraph"/>
              <w:numPr>
                <w:ilvl w:val="3"/>
                <w:numId w:val="40"/>
              </w:numPr>
              <w:suppressLineNumbers/>
              <w:tabs>
                <w:tab w:val="left" w:pos="926"/>
              </w:tabs>
              <w:suppressAutoHyphens/>
              <w:kinsoku w:val="0"/>
              <w:overflowPunct w:val="0"/>
              <w:autoSpaceDE w:val="0"/>
              <w:autoSpaceDN w:val="0"/>
              <w:adjustRightInd w:val="0"/>
              <w:snapToGrid w:val="0"/>
              <w:spacing w:before="60" w:after="60"/>
              <w:ind w:left="0" w:firstLine="0"/>
              <w:jc w:val="left"/>
              <w:rPr>
                <w:kern w:val="22"/>
                <w:szCs w:val="22"/>
              </w:rPr>
            </w:pPr>
            <w:r w:rsidRPr="00866F16">
              <w:rPr>
                <w:kern w:val="22"/>
                <w:szCs w:val="22"/>
              </w:rPr>
              <w:t>Protected Area Connectedness Index (PARC-Connectedness)</w:t>
            </w:r>
          </w:p>
          <w:p w14:paraId="02613ACC" w14:textId="77777777" w:rsidR="00366AA7" w:rsidRPr="00866F16" w:rsidRDefault="00366AA7" w:rsidP="00866F16">
            <w:pPr>
              <w:pStyle w:val="ListParagraph"/>
              <w:numPr>
                <w:ilvl w:val="3"/>
                <w:numId w:val="40"/>
              </w:numPr>
              <w:suppressLineNumbers/>
              <w:tabs>
                <w:tab w:val="left" w:pos="926"/>
              </w:tabs>
              <w:suppressAutoHyphens/>
              <w:kinsoku w:val="0"/>
              <w:overflowPunct w:val="0"/>
              <w:autoSpaceDE w:val="0"/>
              <w:autoSpaceDN w:val="0"/>
              <w:adjustRightInd w:val="0"/>
              <w:snapToGrid w:val="0"/>
              <w:spacing w:before="60" w:after="60"/>
              <w:ind w:left="0" w:firstLine="0"/>
              <w:jc w:val="left"/>
              <w:rPr>
                <w:kern w:val="22"/>
                <w:szCs w:val="22"/>
              </w:rPr>
            </w:pPr>
            <w:r w:rsidRPr="00866F16">
              <w:rPr>
                <w:kern w:val="22"/>
                <w:szCs w:val="22"/>
              </w:rPr>
              <w:t>Number of hectares of UNESCO designated sites (natural and mixed World Heritage sites and Biosphere Reserves)</w:t>
            </w:r>
          </w:p>
          <w:p w14:paraId="67195B54" w14:textId="77777777" w:rsidR="00366AA7" w:rsidRPr="00866F16" w:rsidRDefault="00366AA7" w:rsidP="00866F16">
            <w:pPr>
              <w:pStyle w:val="ListParagraph"/>
              <w:numPr>
                <w:ilvl w:val="3"/>
                <w:numId w:val="40"/>
              </w:numPr>
              <w:suppressLineNumbers/>
              <w:tabs>
                <w:tab w:val="left" w:pos="926"/>
              </w:tabs>
              <w:suppressAutoHyphens/>
              <w:kinsoku w:val="0"/>
              <w:overflowPunct w:val="0"/>
              <w:autoSpaceDE w:val="0"/>
              <w:autoSpaceDN w:val="0"/>
              <w:adjustRightInd w:val="0"/>
              <w:snapToGrid w:val="0"/>
              <w:spacing w:before="60" w:after="60"/>
              <w:ind w:left="0" w:firstLine="0"/>
              <w:jc w:val="left"/>
              <w:rPr>
                <w:kern w:val="22"/>
                <w:szCs w:val="22"/>
              </w:rPr>
            </w:pPr>
            <w:r w:rsidRPr="00866F16">
              <w:rPr>
                <w:kern w:val="22"/>
                <w:szCs w:val="22"/>
              </w:rPr>
              <w:t>Percentage of biosphere reserves that have a positive conservation outcome and effective management</w:t>
            </w:r>
          </w:p>
          <w:p w14:paraId="52D1A0B3" w14:textId="77777777" w:rsidR="00366AA7" w:rsidRPr="00866F16" w:rsidRDefault="00366AA7" w:rsidP="00866F16">
            <w:pPr>
              <w:pStyle w:val="ListParagraph"/>
              <w:numPr>
                <w:ilvl w:val="3"/>
                <w:numId w:val="40"/>
              </w:numPr>
              <w:suppressLineNumbers/>
              <w:tabs>
                <w:tab w:val="left" w:pos="926"/>
              </w:tabs>
              <w:suppressAutoHyphens/>
              <w:kinsoku w:val="0"/>
              <w:overflowPunct w:val="0"/>
              <w:autoSpaceDE w:val="0"/>
              <w:autoSpaceDN w:val="0"/>
              <w:adjustRightInd w:val="0"/>
              <w:snapToGrid w:val="0"/>
              <w:spacing w:before="60" w:after="60"/>
              <w:ind w:left="0" w:firstLine="0"/>
              <w:jc w:val="left"/>
              <w:rPr>
                <w:kern w:val="22"/>
                <w:szCs w:val="22"/>
              </w:rPr>
            </w:pPr>
            <w:r w:rsidRPr="00866F16">
              <w:rPr>
                <w:kern w:val="22"/>
                <w:szCs w:val="22"/>
              </w:rPr>
              <w:lastRenderedPageBreak/>
              <w:t>Extent of indigenous peoples and local communities’ lands hat have some form of recognition</w:t>
            </w:r>
          </w:p>
        </w:tc>
      </w:tr>
      <w:tr w:rsidR="00366AA7" w:rsidRPr="00B324FA" w14:paraId="10FE7392" w14:textId="77777777" w:rsidTr="0099764F">
        <w:trPr>
          <w:jc w:val="center"/>
        </w:trPr>
        <w:tc>
          <w:tcPr>
            <w:tcW w:w="2447" w:type="dxa"/>
            <w:shd w:val="clear" w:color="auto" w:fill="FFFFFF" w:themeFill="background1"/>
          </w:tcPr>
          <w:p w14:paraId="071543F8" w14:textId="77777777" w:rsidR="00366AA7" w:rsidRPr="00866F16" w:rsidRDefault="00366AA7" w:rsidP="00866F16">
            <w:pPr>
              <w:suppressLineNumbers/>
              <w:suppressAutoHyphens/>
              <w:kinsoku w:val="0"/>
              <w:overflowPunct w:val="0"/>
              <w:autoSpaceDE w:val="0"/>
              <w:autoSpaceDN w:val="0"/>
              <w:adjustRightInd w:val="0"/>
              <w:snapToGrid w:val="0"/>
              <w:spacing w:before="60" w:after="60"/>
              <w:jc w:val="left"/>
              <w:rPr>
                <w:b/>
                <w:bCs/>
                <w:kern w:val="22"/>
                <w:szCs w:val="22"/>
              </w:rPr>
            </w:pPr>
            <w:r w:rsidRPr="00866F16">
              <w:rPr>
                <w:b/>
                <w:bCs/>
                <w:kern w:val="22"/>
                <w:szCs w:val="22"/>
              </w:rPr>
              <w:lastRenderedPageBreak/>
              <w:t>Target 3</w:t>
            </w:r>
            <w:r w:rsidRPr="00866F16">
              <w:rPr>
                <w:kern w:val="22"/>
                <w:szCs w:val="22"/>
              </w:rPr>
              <w:t>. By 2030, ensure active management actions to enable wild species of fauna and flora recovery and conservation, and reduce human-wildlife conflict by [X%].</w:t>
            </w:r>
          </w:p>
        </w:tc>
        <w:tc>
          <w:tcPr>
            <w:tcW w:w="1959" w:type="dxa"/>
            <w:shd w:val="clear" w:color="auto" w:fill="FFFFFF" w:themeFill="background1"/>
          </w:tcPr>
          <w:p w14:paraId="55DD370B" w14:textId="77777777" w:rsidR="00366AA7" w:rsidRPr="00866F16"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866F16">
              <w:rPr>
                <w:kern w:val="22"/>
                <w:szCs w:val="22"/>
              </w:rPr>
              <w:t xml:space="preserve">3.0.1 Protected areas management effectiveness </w:t>
            </w:r>
          </w:p>
          <w:p w14:paraId="22957272" w14:textId="77777777" w:rsidR="00366AA7" w:rsidRPr="00866F16"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866F16">
              <w:rPr>
                <w:kern w:val="22"/>
                <w:szCs w:val="22"/>
              </w:rPr>
              <w:t>3.0.2 Species recovery programmes*</w:t>
            </w:r>
          </w:p>
        </w:tc>
        <w:tc>
          <w:tcPr>
            <w:tcW w:w="2369" w:type="dxa"/>
            <w:shd w:val="clear" w:color="auto" w:fill="FFFFFF" w:themeFill="background1"/>
          </w:tcPr>
          <w:p w14:paraId="5A5443E6" w14:textId="77777777" w:rsidR="00366AA7" w:rsidRPr="00866F16" w:rsidRDefault="00366AA7" w:rsidP="00866F16">
            <w:pPr>
              <w:pStyle w:val="ListParagraph"/>
              <w:numPr>
                <w:ilvl w:val="1"/>
                <w:numId w:val="41"/>
              </w:numPr>
              <w:suppressLineNumbers/>
              <w:tabs>
                <w:tab w:val="left" w:pos="412"/>
              </w:tabs>
              <w:suppressAutoHyphens/>
              <w:kinsoku w:val="0"/>
              <w:overflowPunct w:val="0"/>
              <w:autoSpaceDE w:val="0"/>
              <w:autoSpaceDN w:val="0"/>
              <w:adjustRightInd w:val="0"/>
              <w:snapToGrid w:val="0"/>
              <w:spacing w:before="60" w:after="60"/>
              <w:ind w:left="0" w:firstLine="0"/>
              <w:jc w:val="left"/>
              <w:rPr>
                <w:kern w:val="22"/>
                <w:szCs w:val="22"/>
              </w:rPr>
            </w:pPr>
            <w:r w:rsidRPr="00866F16">
              <w:rPr>
                <w:kern w:val="22"/>
                <w:szCs w:val="22"/>
              </w:rPr>
              <w:t>Active recovery and conservation management actions</w:t>
            </w:r>
          </w:p>
          <w:p w14:paraId="6DBDA924" w14:textId="77777777" w:rsidR="00366AA7" w:rsidRPr="00866F16" w:rsidRDefault="00366AA7" w:rsidP="00866F16">
            <w:pPr>
              <w:pStyle w:val="ListParagraph"/>
              <w:numPr>
                <w:ilvl w:val="1"/>
                <w:numId w:val="41"/>
              </w:numPr>
              <w:suppressLineNumbers/>
              <w:tabs>
                <w:tab w:val="left" w:pos="412"/>
              </w:tabs>
              <w:suppressAutoHyphens/>
              <w:kinsoku w:val="0"/>
              <w:overflowPunct w:val="0"/>
              <w:autoSpaceDE w:val="0"/>
              <w:autoSpaceDN w:val="0"/>
              <w:adjustRightInd w:val="0"/>
              <w:snapToGrid w:val="0"/>
              <w:spacing w:before="60" w:after="60"/>
              <w:ind w:left="0" w:firstLine="0"/>
              <w:jc w:val="left"/>
              <w:rPr>
                <w:kern w:val="22"/>
                <w:szCs w:val="22"/>
              </w:rPr>
            </w:pPr>
            <w:r w:rsidRPr="00866F16">
              <w:rPr>
                <w:kern w:val="22"/>
                <w:szCs w:val="22"/>
              </w:rPr>
              <w:t>Reduced human-wildlife conflicts</w:t>
            </w:r>
          </w:p>
          <w:p w14:paraId="200EBB12" w14:textId="77777777" w:rsidR="00366AA7" w:rsidRPr="00866F16" w:rsidRDefault="00366AA7" w:rsidP="00866F16">
            <w:pPr>
              <w:pStyle w:val="ListParagraph"/>
              <w:numPr>
                <w:ilvl w:val="1"/>
                <w:numId w:val="41"/>
              </w:numPr>
              <w:suppressLineNumbers/>
              <w:tabs>
                <w:tab w:val="left" w:pos="412"/>
              </w:tabs>
              <w:suppressAutoHyphens/>
              <w:kinsoku w:val="0"/>
              <w:overflowPunct w:val="0"/>
              <w:autoSpaceDE w:val="0"/>
              <w:autoSpaceDN w:val="0"/>
              <w:adjustRightInd w:val="0"/>
              <w:snapToGrid w:val="0"/>
              <w:spacing w:before="60" w:after="60"/>
              <w:ind w:left="0" w:firstLine="0"/>
              <w:jc w:val="left"/>
              <w:rPr>
                <w:kern w:val="22"/>
                <w:szCs w:val="22"/>
              </w:rPr>
            </w:pPr>
            <w:r w:rsidRPr="00866F16">
              <w:rPr>
                <w:kern w:val="22"/>
                <w:szCs w:val="22"/>
              </w:rPr>
              <w:t>Number of countries with a national species recovery plan</w:t>
            </w:r>
          </w:p>
        </w:tc>
        <w:tc>
          <w:tcPr>
            <w:tcW w:w="3568" w:type="dxa"/>
            <w:shd w:val="clear" w:color="auto" w:fill="FFFFFF" w:themeFill="background1"/>
          </w:tcPr>
          <w:p w14:paraId="702B7814" w14:textId="77777777" w:rsidR="00366AA7" w:rsidRPr="00866F16" w:rsidRDefault="00366AA7" w:rsidP="00866F16">
            <w:pPr>
              <w:pStyle w:val="ListParagraph"/>
              <w:numPr>
                <w:ilvl w:val="2"/>
                <w:numId w:val="42"/>
              </w:numPr>
              <w:suppressLineNumbers/>
              <w:tabs>
                <w:tab w:val="left" w:pos="593"/>
              </w:tabs>
              <w:suppressAutoHyphens/>
              <w:kinsoku w:val="0"/>
              <w:overflowPunct w:val="0"/>
              <w:autoSpaceDE w:val="0"/>
              <w:autoSpaceDN w:val="0"/>
              <w:adjustRightInd w:val="0"/>
              <w:snapToGrid w:val="0"/>
              <w:spacing w:before="60" w:after="60"/>
              <w:ind w:left="26" w:firstLine="0"/>
              <w:jc w:val="left"/>
              <w:rPr>
                <w:kern w:val="22"/>
                <w:szCs w:val="22"/>
              </w:rPr>
            </w:pPr>
            <w:r w:rsidRPr="00866F16">
              <w:rPr>
                <w:kern w:val="22"/>
                <w:szCs w:val="22"/>
              </w:rPr>
              <w:t>Status of species captured in Goal A</w:t>
            </w:r>
          </w:p>
          <w:p w14:paraId="4EAA8F9A" w14:textId="77777777" w:rsidR="00366AA7" w:rsidRPr="00866F16" w:rsidRDefault="00366AA7" w:rsidP="00866F16">
            <w:pPr>
              <w:pStyle w:val="ListParagraph"/>
              <w:numPr>
                <w:ilvl w:val="2"/>
                <w:numId w:val="42"/>
              </w:numPr>
              <w:suppressLineNumbers/>
              <w:tabs>
                <w:tab w:val="left" w:pos="593"/>
              </w:tabs>
              <w:suppressAutoHyphens/>
              <w:kinsoku w:val="0"/>
              <w:overflowPunct w:val="0"/>
              <w:autoSpaceDE w:val="0"/>
              <w:autoSpaceDN w:val="0"/>
              <w:adjustRightInd w:val="0"/>
              <w:snapToGrid w:val="0"/>
              <w:spacing w:before="60" w:after="60"/>
              <w:ind w:left="26" w:firstLine="0"/>
              <w:jc w:val="left"/>
              <w:rPr>
                <w:kern w:val="22"/>
                <w:szCs w:val="22"/>
              </w:rPr>
            </w:pPr>
            <w:r w:rsidRPr="00866F16">
              <w:rPr>
                <w:kern w:val="22"/>
                <w:szCs w:val="22"/>
              </w:rPr>
              <w:t>Proportion of conservation dependent species (IUCN Green Status of Species Index)</w:t>
            </w:r>
          </w:p>
        </w:tc>
        <w:tc>
          <w:tcPr>
            <w:tcW w:w="3827" w:type="dxa"/>
            <w:shd w:val="clear" w:color="auto" w:fill="FFFFFF" w:themeFill="background1"/>
          </w:tcPr>
          <w:p w14:paraId="0053D600" w14:textId="77777777" w:rsidR="00366AA7" w:rsidRPr="00866F16" w:rsidRDefault="00366AA7" w:rsidP="00866F16">
            <w:pPr>
              <w:pStyle w:val="ListParagraph"/>
              <w:numPr>
                <w:ilvl w:val="3"/>
                <w:numId w:val="43"/>
              </w:numPr>
              <w:suppressLineNumbers/>
              <w:tabs>
                <w:tab w:val="left" w:pos="785"/>
              </w:tabs>
              <w:suppressAutoHyphens/>
              <w:kinsoku w:val="0"/>
              <w:overflowPunct w:val="0"/>
              <w:autoSpaceDE w:val="0"/>
              <w:autoSpaceDN w:val="0"/>
              <w:adjustRightInd w:val="0"/>
              <w:snapToGrid w:val="0"/>
              <w:spacing w:before="60" w:after="60"/>
              <w:ind w:left="35" w:firstLine="0"/>
              <w:jc w:val="left"/>
              <w:rPr>
                <w:kern w:val="22"/>
                <w:szCs w:val="22"/>
              </w:rPr>
            </w:pPr>
            <w:r w:rsidRPr="00866F16">
              <w:rPr>
                <w:kern w:val="22"/>
                <w:szCs w:val="22"/>
              </w:rPr>
              <w:t>Species threat abatement and restoration metric</w:t>
            </w:r>
          </w:p>
          <w:p w14:paraId="2B456351" w14:textId="77777777" w:rsidR="00366AA7" w:rsidRPr="00866F16" w:rsidRDefault="00366AA7" w:rsidP="00866F16">
            <w:pPr>
              <w:pStyle w:val="ListParagraph"/>
              <w:numPr>
                <w:ilvl w:val="3"/>
                <w:numId w:val="43"/>
              </w:numPr>
              <w:suppressLineNumbers/>
              <w:tabs>
                <w:tab w:val="left" w:pos="785"/>
              </w:tabs>
              <w:suppressAutoHyphens/>
              <w:kinsoku w:val="0"/>
              <w:overflowPunct w:val="0"/>
              <w:autoSpaceDE w:val="0"/>
              <w:autoSpaceDN w:val="0"/>
              <w:adjustRightInd w:val="0"/>
              <w:snapToGrid w:val="0"/>
              <w:spacing w:before="60" w:after="60"/>
              <w:ind w:left="35" w:firstLine="0"/>
              <w:jc w:val="left"/>
              <w:rPr>
                <w:kern w:val="22"/>
                <w:szCs w:val="22"/>
              </w:rPr>
            </w:pPr>
            <w:r w:rsidRPr="00866F16">
              <w:rPr>
                <w:kern w:val="22"/>
                <w:szCs w:val="22"/>
              </w:rPr>
              <w:t>IUCN Green Status of Species Index by sub-indicators</w:t>
            </w:r>
          </w:p>
          <w:p w14:paraId="1FFFDF70" w14:textId="0866EC9C" w:rsidR="00366AA7" w:rsidRPr="00866F16" w:rsidRDefault="00366AA7" w:rsidP="00866F16">
            <w:pPr>
              <w:pStyle w:val="ListParagraph"/>
              <w:numPr>
                <w:ilvl w:val="3"/>
                <w:numId w:val="43"/>
              </w:numPr>
              <w:suppressLineNumbers/>
              <w:tabs>
                <w:tab w:val="left" w:pos="785"/>
              </w:tabs>
              <w:suppressAutoHyphens/>
              <w:kinsoku w:val="0"/>
              <w:overflowPunct w:val="0"/>
              <w:autoSpaceDE w:val="0"/>
              <w:autoSpaceDN w:val="0"/>
              <w:adjustRightInd w:val="0"/>
              <w:snapToGrid w:val="0"/>
              <w:spacing w:before="60" w:after="60"/>
              <w:ind w:left="35" w:firstLine="0"/>
              <w:jc w:val="left"/>
              <w:rPr>
                <w:kern w:val="22"/>
                <w:szCs w:val="22"/>
              </w:rPr>
            </w:pPr>
            <w:r w:rsidRPr="00866F16">
              <w:rPr>
                <w:kern w:val="22"/>
                <w:szCs w:val="22"/>
              </w:rPr>
              <w:t xml:space="preserve">Changing status of </w:t>
            </w:r>
            <w:r w:rsidR="00A363C5">
              <w:rPr>
                <w:kern w:val="22"/>
                <w:szCs w:val="22"/>
              </w:rPr>
              <w:t>evolutionary</w:t>
            </w:r>
            <w:r w:rsidR="00A363C5" w:rsidRPr="00B324FA">
              <w:rPr>
                <w:kern w:val="22"/>
                <w:szCs w:val="22"/>
              </w:rPr>
              <w:t xml:space="preserve"> </w:t>
            </w:r>
            <w:r w:rsidRPr="00866F16">
              <w:rPr>
                <w:kern w:val="22"/>
                <w:szCs w:val="22"/>
              </w:rPr>
              <w:t>distinct and globally endangered species (EDGE Index)</w:t>
            </w:r>
          </w:p>
          <w:p w14:paraId="362B98B7" w14:textId="77777777" w:rsidR="00366AA7" w:rsidRPr="00866F16" w:rsidRDefault="00366AA7" w:rsidP="00866F16">
            <w:pPr>
              <w:pStyle w:val="ListParagraph"/>
              <w:numPr>
                <w:ilvl w:val="3"/>
                <w:numId w:val="43"/>
              </w:numPr>
              <w:suppressLineNumbers/>
              <w:tabs>
                <w:tab w:val="left" w:pos="785"/>
              </w:tabs>
              <w:suppressAutoHyphens/>
              <w:kinsoku w:val="0"/>
              <w:overflowPunct w:val="0"/>
              <w:autoSpaceDE w:val="0"/>
              <w:autoSpaceDN w:val="0"/>
              <w:adjustRightInd w:val="0"/>
              <w:snapToGrid w:val="0"/>
              <w:spacing w:before="60" w:after="60"/>
              <w:ind w:left="35" w:firstLine="0"/>
              <w:jc w:val="left"/>
              <w:rPr>
                <w:kern w:val="22"/>
                <w:szCs w:val="22"/>
              </w:rPr>
            </w:pPr>
            <w:r w:rsidRPr="00866F16">
              <w:rPr>
                <w:kern w:val="22"/>
                <w:szCs w:val="22"/>
              </w:rPr>
              <w:t>Percentage of threatened species that are improving in status.</w:t>
            </w:r>
          </w:p>
          <w:p w14:paraId="418E73D4" w14:textId="77777777" w:rsidR="00366AA7" w:rsidRPr="00866F16" w:rsidRDefault="00366AA7" w:rsidP="00866F16">
            <w:pPr>
              <w:pStyle w:val="ListParagraph"/>
              <w:numPr>
                <w:ilvl w:val="3"/>
                <w:numId w:val="43"/>
              </w:numPr>
              <w:suppressLineNumbers/>
              <w:tabs>
                <w:tab w:val="left" w:pos="785"/>
              </w:tabs>
              <w:suppressAutoHyphens/>
              <w:kinsoku w:val="0"/>
              <w:overflowPunct w:val="0"/>
              <w:autoSpaceDE w:val="0"/>
              <w:autoSpaceDN w:val="0"/>
              <w:adjustRightInd w:val="0"/>
              <w:snapToGrid w:val="0"/>
              <w:spacing w:before="60" w:after="60"/>
              <w:ind w:left="35" w:firstLine="0"/>
              <w:jc w:val="left"/>
              <w:rPr>
                <w:kern w:val="22"/>
                <w:szCs w:val="22"/>
              </w:rPr>
            </w:pPr>
            <w:r w:rsidRPr="00866F16">
              <w:rPr>
                <w:kern w:val="22"/>
                <w:szCs w:val="22"/>
              </w:rPr>
              <w:t>Number of CMS daughter agreements</w:t>
            </w:r>
          </w:p>
        </w:tc>
      </w:tr>
      <w:tr w:rsidR="00366AA7" w:rsidRPr="00B324FA" w14:paraId="625B97CE" w14:textId="77777777" w:rsidTr="0099764F">
        <w:trPr>
          <w:jc w:val="center"/>
        </w:trPr>
        <w:tc>
          <w:tcPr>
            <w:tcW w:w="2447" w:type="dxa"/>
            <w:shd w:val="clear" w:color="auto" w:fill="BFBFBF" w:themeFill="background1" w:themeFillShade="BF"/>
          </w:tcPr>
          <w:p w14:paraId="0CA45C91" w14:textId="77777777" w:rsidR="00366AA7" w:rsidRPr="00866F16"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866F16">
              <w:rPr>
                <w:b/>
                <w:bCs/>
                <w:kern w:val="22"/>
                <w:szCs w:val="22"/>
              </w:rPr>
              <w:t>Target 4.</w:t>
            </w:r>
            <w:r w:rsidRPr="00866F16">
              <w:rPr>
                <w:kern w:val="22"/>
                <w:szCs w:val="22"/>
              </w:rPr>
              <w:t xml:space="preserve"> By 2030, ensure that the harvesting, trade and use of wild species of fauna and flora is legal, at sustainable levels and safe.</w:t>
            </w:r>
          </w:p>
        </w:tc>
        <w:tc>
          <w:tcPr>
            <w:tcW w:w="1959" w:type="dxa"/>
            <w:shd w:val="clear" w:color="auto" w:fill="BFBFBF" w:themeFill="background1" w:themeFillShade="BF"/>
          </w:tcPr>
          <w:p w14:paraId="187FE6D1" w14:textId="77777777" w:rsidR="00366AA7" w:rsidRPr="00866F16"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866F16">
              <w:rPr>
                <w:kern w:val="22"/>
                <w:szCs w:val="22"/>
              </w:rPr>
              <w:t>4.0.1 Proportion of traded wildlife that is legal and safe (not poached, illicitly trafficked or unsustainable) 4.0.2 Proportion of fish stocks within biologically sustainable level</w:t>
            </w:r>
          </w:p>
        </w:tc>
        <w:tc>
          <w:tcPr>
            <w:tcW w:w="2369" w:type="dxa"/>
            <w:shd w:val="clear" w:color="auto" w:fill="BFBFBF" w:themeFill="background1" w:themeFillShade="BF"/>
          </w:tcPr>
          <w:p w14:paraId="7DC6A5FB" w14:textId="77777777" w:rsidR="00366AA7" w:rsidRPr="00866F16" w:rsidRDefault="00366AA7" w:rsidP="00866F16">
            <w:pPr>
              <w:pStyle w:val="ListParagraph"/>
              <w:numPr>
                <w:ilvl w:val="1"/>
                <w:numId w:val="44"/>
              </w:numPr>
              <w:suppressLineNumbers/>
              <w:tabs>
                <w:tab w:val="left" w:pos="553"/>
              </w:tabs>
              <w:suppressAutoHyphens/>
              <w:kinsoku w:val="0"/>
              <w:overflowPunct w:val="0"/>
              <w:autoSpaceDE w:val="0"/>
              <w:autoSpaceDN w:val="0"/>
              <w:adjustRightInd w:val="0"/>
              <w:snapToGrid w:val="0"/>
              <w:spacing w:before="60" w:after="60"/>
              <w:ind w:left="128" w:firstLine="0"/>
              <w:jc w:val="left"/>
              <w:rPr>
                <w:kern w:val="22"/>
                <w:szCs w:val="22"/>
              </w:rPr>
            </w:pPr>
            <w:r w:rsidRPr="00866F16">
              <w:rPr>
                <w:kern w:val="22"/>
                <w:szCs w:val="22"/>
              </w:rPr>
              <w:t xml:space="preserve">Harvest is legal, </w:t>
            </w:r>
            <w:proofErr w:type="gramStart"/>
            <w:r w:rsidRPr="00866F16">
              <w:rPr>
                <w:kern w:val="22"/>
                <w:szCs w:val="22"/>
              </w:rPr>
              <w:t>sustainable</w:t>
            </w:r>
            <w:proofErr w:type="gramEnd"/>
            <w:r w:rsidRPr="00866F16">
              <w:rPr>
                <w:kern w:val="22"/>
                <w:szCs w:val="22"/>
              </w:rPr>
              <w:t xml:space="preserve"> and safe for human health and biodiversity</w:t>
            </w:r>
          </w:p>
          <w:p w14:paraId="48DA8804" w14:textId="77777777" w:rsidR="00366AA7" w:rsidRPr="00866F16" w:rsidRDefault="00366AA7" w:rsidP="00866F16">
            <w:pPr>
              <w:pStyle w:val="ListParagraph"/>
              <w:numPr>
                <w:ilvl w:val="1"/>
                <w:numId w:val="44"/>
              </w:numPr>
              <w:suppressLineNumbers/>
              <w:tabs>
                <w:tab w:val="left" w:pos="553"/>
              </w:tabs>
              <w:suppressAutoHyphens/>
              <w:kinsoku w:val="0"/>
              <w:overflowPunct w:val="0"/>
              <w:autoSpaceDE w:val="0"/>
              <w:autoSpaceDN w:val="0"/>
              <w:adjustRightInd w:val="0"/>
              <w:snapToGrid w:val="0"/>
              <w:spacing w:before="60" w:after="60"/>
              <w:ind w:left="128" w:firstLine="0"/>
              <w:jc w:val="left"/>
              <w:rPr>
                <w:kern w:val="22"/>
                <w:szCs w:val="22"/>
              </w:rPr>
            </w:pPr>
            <w:r w:rsidRPr="00866F16">
              <w:rPr>
                <w:kern w:val="22"/>
                <w:szCs w:val="22"/>
              </w:rPr>
              <w:t xml:space="preserve"> Trade is legal, </w:t>
            </w:r>
            <w:proofErr w:type="gramStart"/>
            <w:r w:rsidRPr="00866F16">
              <w:rPr>
                <w:kern w:val="22"/>
                <w:szCs w:val="22"/>
              </w:rPr>
              <w:t>sustainable</w:t>
            </w:r>
            <w:proofErr w:type="gramEnd"/>
            <w:r w:rsidRPr="00866F16">
              <w:rPr>
                <w:kern w:val="22"/>
                <w:szCs w:val="22"/>
              </w:rPr>
              <w:t xml:space="preserve"> and safe for human health and biodiversity </w:t>
            </w:r>
          </w:p>
          <w:p w14:paraId="02A0E8C9" w14:textId="6F8FCE92" w:rsidR="00366AA7" w:rsidRPr="00866F16" w:rsidRDefault="00366AA7" w:rsidP="00866F16">
            <w:pPr>
              <w:pStyle w:val="ListParagraph"/>
              <w:numPr>
                <w:ilvl w:val="1"/>
                <w:numId w:val="44"/>
              </w:numPr>
              <w:suppressLineNumbers/>
              <w:tabs>
                <w:tab w:val="left" w:pos="553"/>
              </w:tabs>
              <w:suppressAutoHyphens/>
              <w:kinsoku w:val="0"/>
              <w:overflowPunct w:val="0"/>
              <w:autoSpaceDE w:val="0"/>
              <w:autoSpaceDN w:val="0"/>
              <w:adjustRightInd w:val="0"/>
              <w:snapToGrid w:val="0"/>
              <w:spacing w:before="60" w:after="60"/>
              <w:ind w:left="128" w:firstLine="0"/>
              <w:jc w:val="left"/>
              <w:rPr>
                <w:kern w:val="22"/>
                <w:szCs w:val="22"/>
              </w:rPr>
            </w:pPr>
            <w:r w:rsidRPr="00866F16">
              <w:rPr>
                <w:kern w:val="22"/>
                <w:szCs w:val="22"/>
              </w:rPr>
              <w:t xml:space="preserve"> Use is legal, </w:t>
            </w:r>
            <w:proofErr w:type="gramStart"/>
            <w:r w:rsidRPr="00866F16">
              <w:rPr>
                <w:kern w:val="22"/>
                <w:szCs w:val="22"/>
              </w:rPr>
              <w:t>sustainable</w:t>
            </w:r>
            <w:proofErr w:type="gramEnd"/>
            <w:r w:rsidRPr="00866F16">
              <w:rPr>
                <w:kern w:val="22"/>
                <w:szCs w:val="22"/>
              </w:rPr>
              <w:t xml:space="preserve"> and safe for human health and biodiversity</w:t>
            </w:r>
          </w:p>
        </w:tc>
        <w:tc>
          <w:tcPr>
            <w:tcW w:w="3568" w:type="dxa"/>
            <w:shd w:val="clear" w:color="auto" w:fill="BFBFBF" w:themeFill="background1" w:themeFillShade="BF"/>
          </w:tcPr>
          <w:p w14:paraId="720F06A3" w14:textId="77777777" w:rsidR="00366AA7" w:rsidRPr="00866F16" w:rsidRDefault="00366AA7" w:rsidP="00866F16">
            <w:pPr>
              <w:pStyle w:val="ListParagraph"/>
              <w:numPr>
                <w:ilvl w:val="2"/>
                <w:numId w:val="45"/>
              </w:numPr>
              <w:suppressLineNumbers/>
              <w:tabs>
                <w:tab w:val="left" w:pos="628"/>
              </w:tabs>
              <w:suppressAutoHyphens/>
              <w:kinsoku w:val="0"/>
              <w:overflowPunct w:val="0"/>
              <w:autoSpaceDE w:val="0"/>
              <w:autoSpaceDN w:val="0"/>
              <w:adjustRightInd w:val="0"/>
              <w:snapToGrid w:val="0"/>
              <w:spacing w:before="60" w:after="60"/>
              <w:ind w:left="26" w:firstLine="10"/>
              <w:jc w:val="left"/>
              <w:rPr>
                <w:kern w:val="22"/>
                <w:szCs w:val="22"/>
              </w:rPr>
            </w:pPr>
            <w:r w:rsidRPr="00866F16">
              <w:rPr>
                <w:kern w:val="22"/>
                <w:szCs w:val="22"/>
              </w:rPr>
              <w:t>Proportion of traded wildlife that was poached or illicitly trafficked (T4.0.1) by species group</w:t>
            </w:r>
          </w:p>
          <w:p w14:paraId="457E8E15" w14:textId="77777777" w:rsidR="00366AA7" w:rsidRPr="00866F16" w:rsidRDefault="00366AA7" w:rsidP="00866F16">
            <w:pPr>
              <w:pStyle w:val="ListParagraph"/>
              <w:numPr>
                <w:ilvl w:val="2"/>
                <w:numId w:val="45"/>
              </w:numPr>
              <w:suppressLineNumbers/>
              <w:tabs>
                <w:tab w:val="left" w:pos="628"/>
              </w:tabs>
              <w:suppressAutoHyphens/>
              <w:kinsoku w:val="0"/>
              <w:overflowPunct w:val="0"/>
              <w:autoSpaceDE w:val="0"/>
              <w:autoSpaceDN w:val="0"/>
              <w:adjustRightInd w:val="0"/>
              <w:snapToGrid w:val="0"/>
              <w:spacing w:before="60" w:after="60"/>
              <w:ind w:left="26" w:firstLine="10"/>
              <w:jc w:val="left"/>
              <w:rPr>
                <w:kern w:val="22"/>
                <w:szCs w:val="22"/>
              </w:rPr>
            </w:pPr>
            <w:r w:rsidRPr="00866F16">
              <w:rPr>
                <w:kern w:val="22"/>
                <w:szCs w:val="22"/>
              </w:rPr>
              <w:t>Proportion of fish stocks within biologically sustainable levels (T4.0.2) by fish type</w:t>
            </w:r>
          </w:p>
          <w:p w14:paraId="231D9791" w14:textId="77777777" w:rsidR="00366AA7" w:rsidRPr="00866F16" w:rsidRDefault="00366AA7" w:rsidP="00866F16">
            <w:pPr>
              <w:pStyle w:val="ListParagraph"/>
              <w:numPr>
                <w:ilvl w:val="2"/>
                <w:numId w:val="45"/>
              </w:numPr>
              <w:suppressLineNumbers/>
              <w:tabs>
                <w:tab w:val="left" w:pos="770"/>
              </w:tabs>
              <w:suppressAutoHyphens/>
              <w:kinsoku w:val="0"/>
              <w:overflowPunct w:val="0"/>
              <w:autoSpaceDE w:val="0"/>
              <w:autoSpaceDN w:val="0"/>
              <w:adjustRightInd w:val="0"/>
              <w:snapToGrid w:val="0"/>
              <w:spacing w:before="60" w:after="60"/>
              <w:ind w:left="26" w:firstLine="10"/>
              <w:jc w:val="left"/>
              <w:rPr>
                <w:kern w:val="22"/>
                <w:szCs w:val="22"/>
              </w:rPr>
            </w:pPr>
            <w:r w:rsidRPr="00866F16">
              <w:rPr>
                <w:kern w:val="22"/>
                <w:szCs w:val="22"/>
              </w:rPr>
              <w:t>Proportion of traded wildlife that was poached or illicitly trafficked (SDG indicators 15.7.1 and 15.c.1)</w:t>
            </w:r>
          </w:p>
          <w:p w14:paraId="414C6AA5" w14:textId="77777777" w:rsidR="00366AA7" w:rsidRPr="00866F16" w:rsidRDefault="00366AA7" w:rsidP="00866F16">
            <w:pPr>
              <w:pStyle w:val="ListParagraph"/>
              <w:numPr>
                <w:ilvl w:val="2"/>
                <w:numId w:val="45"/>
              </w:numPr>
              <w:suppressLineNumbers/>
              <w:tabs>
                <w:tab w:val="left" w:pos="770"/>
              </w:tabs>
              <w:suppressAutoHyphens/>
              <w:kinsoku w:val="0"/>
              <w:overflowPunct w:val="0"/>
              <w:autoSpaceDE w:val="0"/>
              <w:autoSpaceDN w:val="0"/>
              <w:adjustRightInd w:val="0"/>
              <w:snapToGrid w:val="0"/>
              <w:spacing w:before="60" w:after="60"/>
              <w:ind w:left="26" w:firstLine="10"/>
              <w:jc w:val="left"/>
              <w:rPr>
                <w:kern w:val="22"/>
                <w:szCs w:val="22"/>
              </w:rPr>
            </w:pPr>
            <w:r w:rsidRPr="00866F16">
              <w:rPr>
                <w:kern w:val="22"/>
                <w:szCs w:val="22"/>
              </w:rPr>
              <w:t>The conservation status of species listed in the CITES Appendices has stabilized or improved</w:t>
            </w:r>
          </w:p>
        </w:tc>
        <w:tc>
          <w:tcPr>
            <w:tcW w:w="3827" w:type="dxa"/>
            <w:shd w:val="clear" w:color="auto" w:fill="BFBFBF" w:themeFill="background1" w:themeFillShade="BF"/>
          </w:tcPr>
          <w:p w14:paraId="2BA41508" w14:textId="77777777" w:rsidR="00366AA7" w:rsidRPr="00866F16" w:rsidRDefault="00366AA7" w:rsidP="00866F16">
            <w:pPr>
              <w:pStyle w:val="ListParagraph"/>
              <w:numPr>
                <w:ilvl w:val="3"/>
                <w:numId w:val="46"/>
              </w:numPr>
              <w:suppressLineNumbers/>
              <w:tabs>
                <w:tab w:val="left" w:pos="785"/>
              </w:tabs>
              <w:suppressAutoHyphens/>
              <w:kinsoku w:val="0"/>
              <w:overflowPunct w:val="0"/>
              <w:autoSpaceDE w:val="0"/>
              <w:autoSpaceDN w:val="0"/>
              <w:adjustRightInd w:val="0"/>
              <w:snapToGrid w:val="0"/>
              <w:spacing w:before="60" w:after="60"/>
              <w:ind w:left="0" w:firstLine="0"/>
              <w:jc w:val="left"/>
              <w:rPr>
                <w:kern w:val="22"/>
                <w:szCs w:val="22"/>
              </w:rPr>
            </w:pPr>
            <w:r w:rsidRPr="00866F16">
              <w:rPr>
                <w:kern w:val="22"/>
                <w:szCs w:val="22"/>
              </w:rPr>
              <w:t xml:space="preserve">Degree of implementation of international instruments aiming to combat illegal, </w:t>
            </w:r>
            <w:proofErr w:type="gramStart"/>
            <w:r w:rsidRPr="00866F16">
              <w:rPr>
                <w:kern w:val="22"/>
                <w:szCs w:val="22"/>
              </w:rPr>
              <w:t>unreported</w:t>
            </w:r>
            <w:proofErr w:type="gramEnd"/>
            <w:r w:rsidRPr="00866F16">
              <w:rPr>
                <w:kern w:val="22"/>
                <w:szCs w:val="22"/>
              </w:rPr>
              <w:t xml:space="preserve"> and unregulated fishing (SDG indicator 14.6.1).</w:t>
            </w:r>
          </w:p>
          <w:p w14:paraId="50C7AC9F" w14:textId="77777777" w:rsidR="00366AA7" w:rsidRPr="00866F16" w:rsidRDefault="00366AA7" w:rsidP="00866F16">
            <w:pPr>
              <w:pStyle w:val="ListParagraph"/>
              <w:numPr>
                <w:ilvl w:val="3"/>
                <w:numId w:val="46"/>
              </w:numPr>
              <w:suppressLineNumbers/>
              <w:tabs>
                <w:tab w:val="left" w:pos="785"/>
              </w:tabs>
              <w:suppressAutoHyphens/>
              <w:kinsoku w:val="0"/>
              <w:overflowPunct w:val="0"/>
              <w:autoSpaceDE w:val="0"/>
              <w:autoSpaceDN w:val="0"/>
              <w:adjustRightInd w:val="0"/>
              <w:snapToGrid w:val="0"/>
              <w:spacing w:before="60" w:after="60"/>
              <w:ind w:left="0" w:firstLine="0"/>
              <w:jc w:val="left"/>
              <w:rPr>
                <w:kern w:val="22"/>
                <w:szCs w:val="22"/>
              </w:rPr>
            </w:pPr>
            <w:r w:rsidRPr="00866F16">
              <w:rPr>
                <w:kern w:val="22"/>
                <w:szCs w:val="22"/>
              </w:rPr>
              <w:t>Sustainable watershed and inland fisheries index</w:t>
            </w:r>
          </w:p>
          <w:p w14:paraId="17362C00" w14:textId="77777777" w:rsidR="00366AA7" w:rsidRPr="00866F16" w:rsidRDefault="00366AA7" w:rsidP="00866F16">
            <w:pPr>
              <w:pStyle w:val="ListParagraph"/>
              <w:numPr>
                <w:ilvl w:val="3"/>
                <w:numId w:val="46"/>
              </w:numPr>
              <w:suppressLineNumbers/>
              <w:tabs>
                <w:tab w:val="left" w:pos="785"/>
              </w:tabs>
              <w:suppressAutoHyphens/>
              <w:kinsoku w:val="0"/>
              <w:overflowPunct w:val="0"/>
              <w:autoSpaceDE w:val="0"/>
              <w:autoSpaceDN w:val="0"/>
              <w:adjustRightInd w:val="0"/>
              <w:snapToGrid w:val="0"/>
              <w:spacing w:before="60" w:after="60"/>
              <w:ind w:left="0" w:firstLine="0"/>
              <w:jc w:val="left"/>
              <w:rPr>
                <w:kern w:val="22"/>
                <w:szCs w:val="22"/>
              </w:rPr>
            </w:pPr>
            <w:r w:rsidRPr="00866F16">
              <w:rPr>
                <w:kern w:val="22"/>
                <w:szCs w:val="22"/>
              </w:rPr>
              <w:t xml:space="preserve">Proportion of legal and illegal wildlife trade consisting of species threatened with extinction </w:t>
            </w:r>
          </w:p>
          <w:p w14:paraId="1442C67B" w14:textId="77777777" w:rsidR="00366AA7" w:rsidRPr="00866F16" w:rsidRDefault="00366AA7" w:rsidP="00866F16">
            <w:pPr>
              <w:pStyle w:val="ListParagraph"/>
              <w:numPr>
                <w:ilvl w:val="3"/>
                <w:numId w:val="46"/>
              </w:numPr>
              <w:suppressLineNumbers/>
              <w:tabs>
                <w:tab w:val="left" w:pos="785"/>
              </w:tabs>
              <w:suppressAutoHyphens/>
              <w:kinsoku w:val="0"/>
              <w:overflowPunct w:val="0"/>
              <w:autoSpaceDE w:val="0"/>
              <w:autoSpaceDN w:val="0"/>
              <w:adjustRightInd w:val="0"/>
              <w:snapToGrid w:val="0"/>
              <w:spacing w:before="60" w:after="60"/>
              <w:ind w:left="0" w:firstLine="0"/>
              <w:jc w:val="left"/>
              <w:rPr>
                <w:kern w:val="22"/>
                <w:szCs w:val="22"/>
              </w:rPr>
            </w:pPr>
            <w:r w:rsidRPr="00866F16">
              <w:rPr>
                <w:kern w:val="22"/>
                <w:szCs w:val="22"/>
              </w:rPr>
              <w:t>Marine Stewardship Council Fish catch</w:t>
            </w:r>
          </w:p>
          <w:p w14:paraId="60C5254A" w14:textId="77777777" w:rsidR="00366AA7" w:rsidRPr="00866F16" w:rsidRDefault="00366AA7" w:rsidP="00866F16">
            <w:pPr>
              <w:pStyle w:val="ListParagraph"/>
              <w:numPr>
                <w:ilvl w:val="3"/>
                <w:numId w:val="46"/>
              </w:numPr>
              <w:suppressLineNumbers/>
              <w:tabs>
                <w:tab w:val="left" w:pos="785"/>
              </w:tabs>
              <w:suppressAutoHyphens/>
              <w:kinsoku w:val="0"/>
              <w:overflowPunct w:val="0"/>
              <w:autoSpaceDE w:val="0"/>
              <w:autoSpaceDN w:val="0"/>
              <w:adjustRightInd w:val="0"/>
              <w:snapToGrid w:val="0"/>
              <w:spacing w:before="60" w:after="60"/>
              <w:ind w:left="0" w:firstLine="0"/>
              <w:jc w:val="left"/>
              <w:rPr>
                <w:kern w:val="22"/>
                <w:szCs w:val="22"/>
              </w:rPr>
            </w:pPr>
            <w:r w:rsidRPr="00866F16">
              <w:rPr>
                <w:kern w:val="22"/>
                <w:szCs w:val="22"/>
              </w:rPr>
              <w:t>Total catch of cetaceans under International Convention for the Regulation of Whaling</w:t>
            </w:r>
          </w:p>
          <w:p w14:paraId="0634621A" w14:textId="77777777" w:rsidR="00366AA7" w:rsidRPr="00866F16" w:rsidRDefault="00366AA7" w:rsidP="00866F16">
            <w:pPr>
              <w:pStyle w:val="ListParagraph"/>
              <w:numPr>
                <w:ilvl w:val="3"/>
                <w:numId w:val="46"/>
              </w:numPr>
              <w:suppressLineNumbers/>
              <w:tabs>
                <w:tab w:val="left" w:pos="785"/>
              </w:tabs>
              <w:suppressAutoHyphens/>
              <w:kinsoku w:val="0"/>
              <w:overflowPunct w:val="0"/>
              <w:autoSpaceDE w:val="0"/>
              <w:autoSpaceDN w:val="0"/>
              <w:adjustRightInd w:val="0"/>
              <w:snapToGrid w:val="0"/>
              <w:spacing w:before="60" w:after="60"/>
              <w:ind w:left="0" w:firstLine="0"/>
              <w:jc w:val="left"/>
              <w:rPr>
                <w:kern w:val="22"/>
                <w:szCs w:val="22"/>
              </w:rPr>
            </w:pPr>
            <w:r w:rsidRPr="00866F16">
              <w:rPr>
                <w:kern w:val="22"/>
                <w:szCs w:val="22"/>
              </w:rPr>
              <w:t>By catch of vulnerable and non-target species</w:t>
            </w:r>
          </w:p>
          <w:p w14:paraId="22A4273C" w14:textId="77777777" w:rsidR="00366AA7" w:rsidRPr="00866F16" w:rsidRDefault="00366AA7" w:rsidP="00866F16">
            <w:pPr>
              <w:pStyle w:val="ListParagraph"/>
              <w:numPr>
                <w:ilvl w:val="3"/>
                <w:numId w:val="46"/>
              </w:numPr>
              <w:suppressLineNumbers/>
              <w:tabs>
                <w:tab w:val="left" w:pos="785"/>
              </w:tabs>
              <w:suppressAutoHyphens/>
              <w:kinsoku w:val="0"/>
              <w:overflowPunct w:val="0"/>
              <w:autoSpaceDE w:val="0"/>
              <w:autoSpaceDN w:val="0"/>
              <w:adjustRightInd w:val="0"/>
              <w:snapToGrid w:val="0"/>
              <w:spacing w:before="60" w:after="60"/>
              <w:ind w:left="0" w:firstLine="0"/>
              <w:jc w:val="left"/>
              <w:rPr>
                <w:kern w:val="22"/>
                <w:szCs w:val="22"/>
              </w:rPr>
            </w:pPr>
            <w:r w:rsidRPr="00866F16">
              <w:rPr>
                <w:kern w:val="22"/>
                <w:szCs w:val="22"/>
              </w:rPr>
              <w:lastRenderedPageBreak/>
              <w:t>Illegal trade by CITES species classification</w:t>
            </w:r>
          </w:p>
          <w:p w14:paraId="0E81ED96" w14:textId="77777777" w:rsidR="00366AA7" w:rsidRPr="00866F16" w:rsidRDefault="00366AA7" w:rsidP="00866F16">
            <w:pPr>
              <w:pStyle w:val="ListParagraph"/>
              <w:numPr>
                <w:ilvl w:val="3"/>
                <w:numId w:val="46"/>
              </w:numPr>
              <w:suppressLineNumbers/>
              <w:tabs>
                <w:tab w:val="left" w:pos="785"/>
              </w:tabs>
              <w:suppressAutoHyphens/>
              <w:kinsoku w:val="0"/>
              <w:overflowPunct w:val="0"/>
              <w:autoSpaceDE w:val="0"/>
              <w:autoSpaceDN w:val="0"/>
              <w:adjustRightInd w:val="0"/>
              <w:snapToGrid w:val="0"/>
              <w:spacing w:before="60" w:after="60"/>
              <w:ind w:left="0" w:firstLine="0"/>
              <w:jc w:val="left"/>
              <w:rPr>
                <w:kern w:val="22"/>
                <w:szCs w:val="22"/>
              </w:rPr>
            </w:pPr>
            <w:r w:rsidRPr="00866F16">
              <w:rPr>
                <w:kern w:val="22"/>
                <w:szCs w:val="22"/>
              </w:rPr>
              <w:t>Number of countries incorporating trade in their national biodiversity policy</w:t>
            </w:r>
          </w:p>
          <w:p w14:paraId="29843D3B" w14:textId="77777777" w:rsidR="00366AA7" w:rsidRPr="00866F16" w:rsidRDefault="00366AA7" w:rsidP="00866F16">
            <w:pPr>
              <w:pStyle w:val="ListParagraph"/>
              <w:numPr>
                <w:ilvl w:val="3"/>
                <w:numId w:val="46"/>
              </w:numPr>
              <w:suppressLineNumbers/>
              <w:tabs>
                <w:tab w:val="left" w:pos="785"/>
              </w:tabs>
              <w:suppressAutoHyphens/>
              <w:kinsoku w:val="0"/>
              <w:overflowPunct w:val="0"/>
              <w:autoSpaceDE w:val="0"/>
              <w:autoSpaceDN w:val="0"/>
              <w:adjustRightInd w:val="0"/>
              <w:snapToGrid w:val="0"/>
              <w:spacing w:before="60" w:after="60"/>
              <w:ind w:left="0" w:firstLine="0"/>
              <w:jc w:val="left"/>
              <w:rPr>
                <w:kern w:val="22"/>
                <w:szCs w:val="22"/>
              </w:rPr>
            </w:pPr>
            <w:r w:rsidRPr="00866F16">
              <w:rPr>
                <w:kern w:val="22"/>
                <w:szCs w:val="22"/>
              </w:rPr>
              <w:t>The conservation status of species listed in the CITES Appendices has stabilized or improved</w:t>
            </w:r>
          </w:p>
          <w:p w14:paraId="512DBA94" w14:textId="77777777" w:rsidR="00366AA7" w:rsidRPr="00866F16" w:rsidRDefault="00366AA7" w:rsidP="00866F16">
            <w:pPr>
              <w:pStyle w:val="ListParagraph"/>
              <w:numPr>
                <w:ilvl w:val="3"/>
                <w:numId w:val="46"/>
              </w:numPr>
              <w:suppressLineNumbers/>
              <w:tabs>
                <w:tab w:val="left" w:pos="926"/>
              </w:tabs>
              <w:suppressAutoHyphens/>
              <w:kinsoku w:val="0"/>
              <w:overflowPunct w:val="0"/>
              <w:autoSpaceDE w:val="0"/>
              <w:autoSpaceDN w:val="0"/>
              <w:adjustRightInd w:val="0"/>
              <w:snapToGrid w:val="0"/>
              <w:spacing w:before="60" w:after="60"/>
              <w:ind w:left="0" w:firstLine="0"/>
              <w:jc w:val="left"/>
              <w:rPr>
                <w:kern w:val="22"/>
                <w:szCs w:val="22"/>
              </w:rPr>
            </w:pPr>
            <w:r w:rsidRPr="00866F16">
              <w:rPr>
                <w:kern w:val="22"/>
                <w:szCs w:val="22"/>
              </w:rPr>
              <w:t>Implementation of measures designed to minimize the impacts of fisheries and hunting on migratory species and their habitats</w:t>
            </w:r>
          </w:p>
        </w:tc>
      </w:tr>
      <w:tr w:rsidR="00366AA7" w:rsidRPr="00B324FA" w14:paraId="07DA53A6" w14:textId="77777777" w:rsidTr="0099764F">
        <w:trPr>
          <w:jc w:val="center"/>
        </w:trPr>
        <w:tc>
          <w:tcPr>
            <w:tcW w:w="2447" w:type="dxa"/>
            <w:shd w:val="clear" w:color="auto" w:fill="FFFFFF" w:themeFill="background1"/>
          </w:tcPr>
          <w:p w14:paraId="6EDBA415" w14:textId="77777777" w:rsidR="00366AA7" w:rsidRPr="00800629"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AA6799">
              <w:rPr>
                <w:b/>
                <w:bCs/>
                <w:kern w:val="22"/>
                <w:szCs w:val="22"/>
              </w:rPr>
              <w:lastRenderedPageBreak/>
              <w:t>Target 5.</w:t>
            </w:r>
            <w:r w:rsidRPr="00AA6799">
              <w:rPr>
                <w:kern w:val="22"/>
                <w:szCs w:val="22"/>
              </w:rPr>
              <w:t xml:space="preserve"> By 2030, manage, and where possible control, pathways for the introduction of invasive alien species, achieving [50%] reduction in the rate of new introductions, and control or eradicate invasive alien species to eliminate or reduce their impacts, including in at least [50%] of priority sites</w:t>
            </w:r>
          </w:p>
        </w:tc>
        <w:tc>
          <w:tcPr>
            <w:tcW w:w="1959" w:type="dxa"/>
            <w:shd w:val="clear" w:color="auto" w:fill="FFFFFF" w:themeFill="background1"/>
          </w:tcPr>
          <w:p w14:paraId="7B32A932" w14:textId="77777777" w:rsidR="00366AA7" w:rsidRPr="00866F16"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866F16">
              <w:rPr>
                <w:kern w:val="22"/>
                <w:szCs w:val="22"/>
              </w:rPr>
              <w:t>5.0.1 Rate of invasive alien species spread 5.0.2 Rate of invasive alien species impact</w:t>
            </w:r>
          </w:p>
        </w:tc>
        <w:tc>
          <w:tcPr>
            <w:tcW w:w="2369" w:type="dxa"/>
            <w:shd w:val="clear" w:color="auto" w:fill="FFFFFF" w:themeFill="background1"/>
          </w:tcPr>
          <w:p w14:paraId="6191CED6" w14:textId="77777777" w:rsidR="00366AA7" w:rsidRPr="00866F16" w:rsidRDefault="00366AA7" w:rsidP="00866F16">
            <w:pPr>
              <w:pStyle w:val="ListParagraph"/>
              <w:numPr>
                <w:ilvl w:val="1"/>
                <w:numId w:val="47"/>
              </w:numPr>
              <w:suppressLineNumbers/>
              <w:tabs>
                <w:tab w:val="left" w:pos="412"/>
              </w:tabs>
              <w:suppressAutoHyphens/>
              <w:kinsoku w:val="0"/>
              <w:overflowPunct w:val="0"/>
              <w:autoSpaceDE w:val="0"/>
              <w:autoSpaceDN w:val="0"/>
              <w:adjustRightInd w:val="0"/>
              <w:snapToGrid w:val="0"/>
              <w:spacing w:before="60" w:after="60"/>
              <w:ind w:left="0" w:firstLine="0"/>
              <w:jc w:val="left"/>
              <w:rPr>
                <w:kern w:val="22"/>
                <w:szCs w:val="22"/>
              </w:rPr>
            </w:pPr>
            <w:r w:rsidRPr="00866F16">
              <w:rPr>
                <w:kern w:val="22"/>
                <w:szCs w:val="22"/>
              </w:rPr>
              <w:t xml:space="preserve">Identification, </w:t>
            </w:r>
            <w:proofErr w:type="gramStart"/>
            <w:r w:rsidRPr="00866F16">
              <w:rPr>
                <w:kern w:val="22"/>
                <w:szCs w:val="22"/>
              </w:rPr>
              <w:t>control</w:t>
            </w:r>
            <w:proofErr w:type="gramEnd"/>
            <w:r w:rsidRPr="00866F16">
              <w:rPr>
                <w:kern w:val="22"/>
                <w:szCs w:val="22"/>
              </w:rPr>
              <w:t xml:space="preserve"> and management of pathways for introduction of invasive alien species</w:t>
            </w:r>
          </w:p>
          <w:p w14:paraId="31B8C255" w14:textId="18FE5915" w:rsidR="00366AA7" w:rsidRPr="00866F16" w:rsidRDefault="00366AA7" w:rsidP="00866F16">
            <w:pPr>
              <w:pStyle w:val="ListParagraph"/>
              <w:numPr>
                <w:ilvl w:val="1"/>
                <w:numId w:val="47"/>
              </w:numPr>
              <w:suppressLineNumbers/>
              <w:tabs>
                <w:tab w:val="left" w:pos="412"/>
              </w:tabs>
              <w:suppressAutoHyphens/>
              <w:kinsoku w:val="0"/>
              <w:overflowPunct w:val="0"/>
              <w:autoSpaceDE w:val="0"/>
              <w:autoSpaceDN w:val="0"/>
              <w:adjustRightInd w:val="0"/>
              <w:snapToGrid w:val="0"/>
              <w:spacing w:before="60" w:after="60"/>
              <w:ind w:left="0" w:firstLine="0"/>
              <w:jc w:val="left"/>
              <w:rPr>
                <w:kern w:val="22"/>
                <w:szCs w:val="22"/>
              </w:rPr>
            </w:pPr>
            <w:r w:rsidRPr="00866F16">
              <w:rPr>
                <w:kern w:val="22"/>
                <w:szCs w:val="22"/>
              </w:rPr>
              <w:t xml:space="preserve">Effective detection, identification, </w:t>
            </w:r>
            <w:proofErr w:type="gramStart"/>
            <w:r w:rsidRPr="00866F16">
              <w:rPr>
                <w:kern w:val="22"/>
                <w:szCs w:val="22"/>
              </w:rPr>
              <w:t>prioriti</w:t>
            </w:r>
            <w:r w:rsidR="0081710D" w:rsidRPr="00866F16">
              <w:rPr>
                <w:kern w:val="22"/>
                <w:szCs w:val="22"/>
              </w:rPr>
              <w:t>z</w:t>
            </w:r>
            <w:r w:rsidRPr="00866F16">
              <w:rPr>
                <w:kern w:val="22"/>
                <w:szCs w:val="22"/>
              </w:rPr>
              <w:t>ation</w:t>
            </w:r>
            <w:proofErr w:type="gramEnd"/>
            <w:r w:rsidRPr="00866F16">
              <w:rPr>
                <w:kern w:val="22"/>
                <w:szCs w:val="22"/>
              </w:rPr>
              <w:t xml:space="preserve"> and monitoring of invasive alien species</w:t>
            </w:r>
          </w:p>
          <w:p w14:paraId="18040183" w14:textId="77777777" w:rsidR="00366AA7" w:rsidRPr="00866F16" w:rsidRDefault="00366AA7" w:rsidP="00866F16">
            <w:pPr>
              <w:pStyle w:val="ListParagraph"/>
              <w:numPr>
                <w:ilvl w:val="1"/>
                <w:numId w:val="47"/>
              </w:numPr>
              <w:suppressLineNumbers/>
              <w:tabs>
                <w:tab w:val="left" w:pos="412"/>
              </w:tabs>
              <w:suppressAutoHyphens/>
              <w:kinsoku w:val="0"/>
              <w:overflowPunct w:val="0"/>
              <w:autoSpaceDE w:val="0"/>
              <w:autoSpaceDN w:val="0"/>
              <w:adjustRightInd w:val="0"/>
              <w:snapToGrid w:val="0"/>
              <w:spacing w:before="60" w:after="60"/>
              <w:ind w:left="0" w:firstLine="0"/>
              <w:jc w:val="left"/>
              <w:rPr>
                <w:kern w:val="22"/>
                <w:szCs w:val="22"/>
              </w:rPr>
            </w:pPr>
            <w:r w:rsidRPr="00866F16">
              <w:rPr>
                <w:kern w:val="22"/>
                <w:szCs w:val="22"/>
              </w:rPr>
              <w:t xml:space="preserve">Establishment of measures for eradication, </w:t>
            </w:r>
            <w:proofErr w:type="gramStart"/>
            <w:r w:rsidRPr="00866F16">
              <w:rPr>
                <w:kern w:val="22"/>
                <w:szCs w:val="22"/>
              </w:rPr>
              <w:t>control</w:t>
            </w:r>
            <w:proofErr w:type="gramEnd"/>
            <w:r w:rsidRPr="00866F16">
              <w:rPr>
                <w:kern w:val="22"/>
                <w:szCs w:val="22"/>
              </w:rPr>
              <w:t xml:space="preserve"> and management of invasive alien species</w:t>
            </w:r>
          </w:p>
          <w:p w14:paraId="6CBAAEC4" w14:textId="77777777" w:rsidR="00366AA7" w:rsidRPr="00866F16" w:rsidRDefault="00366AA7" w:rsidP="00866F16">
            <w:pPr>
              <w:pStyle w:val="ListParagraph"/>
              <w:numPr>
                <w:ilvl w:val="1"/>
                <w:numId w:val="47"/>
              </w:numPr>
              <w:suppressLineNumbers/>
              <w:tabs>
                <w:tab w:val="left" w:pos="412"/>
              </w:tabs>
              <w:suppressAutoHyphens/>
              <w:kinsoku w:val="0"/>
              <w:overflowPunct w:val="0"/>
              <w:autoSpaceDE w:val="0"/>
              <w:autoSpaceDN w:val="0"/>
              <w:adjustRightInd w:val="0"/>
              <w:snapToGrid w:val="0"/>
              <w:spacing w:before="60" w:after="60"/>
              <w:ind w:left="0" w:firstLine="0"/>
              <w:jc w:val="left"/>
              <w:rPr>
                <w:kern w:val="22"/>
                <w:szCs w:val="22"/>
              </w:rPr>
            </w:pPr>
            <w:r w:rsidRPr="00866F16">
              <w:rPr>
                <w:kern w:val="22"/>
                <w:szCs w:val="22"/>
              </w:rPr>
              <w:t>Eliminated or reduced impacts of invasive alien species</w:t>
            </w:r>
          </w:p>
          <w:p w14:paraId="50CF8D8A" w14:textId="77777777" w:rsidR="00366AA7" w:rsidRPr="00866F16" w:rsidRDefault="00366AA7" w:rsidP="00866F16">
            <w:pPr>
              <w:pStyle w:val="ListParagraph"/>
              <w:numPr>
                <w:ilvl w:val="1"/>
                <w:numId w:val="47"/>
              </w:numPr>
              <w:suppressLineNumbers/>
              <w:tabs>
                <w:tab w:val="left" w:pos="412"/>
              </w:tabs>
              <w:suppressAutoHyphens/>
              <w:kinsoku w:val="0"/>
              <w:overflowPunct w:val="0"/>
              <w:autoSpaceDE w:val="0"/>
              <w:autoSpaceDN w:val="0"/>
              <w:adjustRightInd w:val="0"/>
              <w:snapToGrid w:val="0"/>
              <w:spacing w:before="60" w:after="60"/>
              <w:ind w:left="0" w:firstLine="0"/>
              <w:jc w:val="left"/>
              <w:rPr>
                <w:kern w:val="22"/>
                <w:szCs w:val="22"/>
              </w:rPr>
            </w:pPr>
            <w:r w:rsidRPr="00866F16">
              <w:rPr>
                <w:kern w:val="22"/>
                <w:szCs w:val="22"/>
              </w:rPr>
              <w:lastRenderedPageBreak/>
              <w:t xml:space="preserve">Eradication, </w:t>
            </w:r>
            <w:proofErr w:type="gramStart"/>
            <w:r w:rsidRPr="00866F16">
              <w:rPr>
                <w:kern w:val="22"/>
                <w:szCs w:val="22"/>
              </w:rPr>
              <w:t>control</w:t>
            </w:r>
            <w:proofErr w:type="gramEnd"/>
            <w:r w:rsidRPr="00866F16">
              <w:rPr>
                <w:kern w:val="22"/>
                <w:szCs w:val="22"/>
              </w:rPr>
              <w:t xml:space="preserve"> or management of invasive alien species in priority sites</w:t>
            </w:r>
          </w:p>
        </w:tc>
        <w:tc>
          <w:tcPr>
            <w:tcW w:w="3568" w:type="dxa"/>
            <w:shd w:val="clear" w:color="auto" w:fill="FFFFFF" w:themeFill="background1"/>
          </w:tcPr>
          <w:p w14:paraId="4575B62F" w14:textId="77777777" w:rsidR="00366AA7" w:rsidRPr="00866F16" w:rsidRDefault="00366AA7" w:rsidP="00866F16">
            <w:pPr>
              <w:pStyle w:val="ListParagraph"/>
              <w:numPr>
                <w:ilvl w:val="2"/>
                <w:numId w:val="48"/>
              </w:numPr>
              <w:suppressLineNumbers/>
              <w:tabs>
                <w:tab w:val="left" w:pos="770"/>
              </w:tabs>
              <w:suppressAutoHyphens/>
              <w:kinsoku w:val="0"/>
              <w:overflowPunct w:val="0"/>
              <w:autoSpaceDE w:val="0"/>
              <w:autoSpaceDN w:val="0"/>
              <w:adjustRightInd w:val="0"/>
              <w:snapToGrid w:val="0"/>
              <w:spacing w:before="60" w:after="60"/>
              <w:ind w:left="26" w:firstLine="10"/>
              <w:jc w:val="left"/>
              <w:rPr>
                <w:kern w:val="22"/>
                <w:szCs w:val="22"/>
              </w:rPr>
            </w:pPr>
            <w:r w:rsidRPr="00866F16">
              <w:rPr>
                <w:kern w:val="22"/>
                <w:szCs w:val="22"/>
              </w:rPr>
              <w:lastRenderedPageBreak/>
              <w:t>Numbers of invasive alien species introduction events</w:t>
            </w:r>
          </w:p>
          <w:p w14:paraId="4FDAF4C0" w14:textId="77777777" w:rsidR="00366AA7" w:rsidRPr="00866F16" w:rsidRDefault="00366AA7" w:rsidP="00866F16">
            <w:pPr>
              <w:pStyle w:val="ListParagraph"/>
              <w:numPr>
                <w:ilvl w:val="2"/>
                <w:numId w:val="48"/>
              </w:numPr>
              <w:suppressLineNumbers/>
              <w:tabs>
                <w:tab w:val="left" w:pos="770"/>
              </w:tabs>
              <w:suppressAutoHyphens/>
              <w:kinsoku w:val="0"/>
              <w:overflowPunct w:val="0"/>
              <w:autoSpaceDE w:val="0"/>
              <w:autoSpaceDN w:val="0"/>
              <w:adjustRightInd w:val="0"/>
              <w:snapToGrid w:val="0"/>
              <w:spacing w:before="60" w:after="60"/>
              <w:ind w:left="26" w:firstLine="10"/>
              <w:jc w:val="left"/>
              <w:rPr>
                <w:kern w:val="22"/>
                <w:szCs w:val="22"/>
              </w:rPr>
            </w:pPr>
            <w:r w:rsidRPr="00866F16">
              <w:rPr>
                <w:kern w:val="22"/>
                <w:szCs w:val="22"/>
              </w:rPr>
              <w:t>An established an alert system for prevention and control of IAS</w:t>
            </w:r>
          </w:p>
          <w:p w14:paraId="1DEC5520" w14:textId="77777777" w:rsidR="00366AA7" w:rsidRPr="00866F16" w:rsidRDefault="00366AA7" w:rsidP="00866F16">
            <w:pPr>
              <w:pStyle w:val="ListParagraph"/>
              <w:numPr>
                <w:ilvl w:val="2"/>
                <w:numId w:val="48"/>
              </w:numPr>
              <w:suppressLineNumbers/>
              <w:tabs>
                <w:tab w:val="left" w:pos="770"/>
              </w:tabs>
              <w:suppressAutoHyphens/>
              <w:kinsoku w:val="0"/>
              <w:overflowPunct w:val="0"/>
              <w:autoSpaceDE w:val="0"/>
              <w:autoSpaceDN w:val="0"/>
              <w:adjustRightInd w:val="0"/>
              <w:snapToGrid w:val="0"/>
              <w:spacing w:before="60" w:after="60"/>
              <w:ind w:left="26" w:firstLine="10"/>
              <w:jc w:val="left"/>
              <w:rPr>
                <w:kern w:val="22"/>
                <w:szCs w:val="22"/>
              </w:rPr>
            </w:pPr>
            <w:r w:rsidRPr="00866F16">
              <w:rPr>
                <w:kern w:val="22"/>
                <w:szCs w:val="22"/>
              </w:rPr>
              <w:t>Rate of invasive alien species eradication by species type</w:t>
            </w:r>
          </w:p>
          <w:p w14:paraId="0E8A6B45" w14:textId="77777777" w:rsidR="00366AA7" w:rsidRPr="00866F16" w:rsidRDefault="00366AA7" w:rsidP="00866F16">
            <w:pPr>
              <w:pStyle w:val="ListParagraph"/>
              <w:numPr>
                <w:ilvl w:val="2"/>
                <w:numId w:val="48"/>
              </w:numPr>
              <w:suppressLineNumbers/>
              <w:tabs>
                <w:tab w:val="left" w:pos="770"/>
              </w:tabs>
              <w:suppressAutoHyphens/>
              <w:kinsoku w:val="0"/>
              <w:overflowPunct w:val="0"/>
              <w:autoSpaceDE w:val="0"/>
              <w:autoSpaceDN w:val="0"/>
              <w:adjustRightInd w:val="0"/>
              <w:snapToGrid w:val="0"/>
              <w:spacing w:before="60" w:after="60"/>
              <w:ind w:left="26" w:firstLine="10"/>
              <w:jc w:val="left"/>
              <w:rPr>
                <w:kern w:val="22"/>
                <w:szCs w:val="22"/>
              </w:rPr>
            </w:pPr>
            <w:r w:rsidRPr="00866F16">
              <w:rPr>
                <w:kern w:val="22"/>
                <w:szCs w:val="22"/>
              </w:rPr>
              <w:t>Red List Index (impacts of invasive alien species)</w:t>
            </w:r>
          </w:p>
          <w:p w14:paraId="6F41E3D8" w14:textId="77777777" w:rsidR="00366AA7" w:rsidRPr="00866F16" w:rsidRDefault="00366AA7" w:rsidP="00866F16">
            <w:pPr>
              <w:pStyle w:val="ListParagraph"/>
              <w:numPr>
                <w:ilvl w:val="2"/>
                <w:numId w:val="48"/>
              </w:numPr>
              <w:suppressLineNumbers/>
              <w:tabs>
                <w:tab w:val="left" w:pos="770"/>
              </w:tabs>
              <w:suppressAutoHyphens/>
              <w:kinsoku w:val="0"/>
              <w:overflowPunct w:val="0"/>
              <w:autoSpaceDE w:val="0"/>
              <w:autoSpaceDN w:val="0"/>
              <w:adjustRightInd w:val="0"/>
              <w:snapToGrid w:val="0"/>
              <w:spacing w:before="60" w:after="60"/>
              <w:ind w:left="26" w:firstLine="10"/>
              <w:jc w:val="left"/>
              <w:rPr>
                <w:kern w:val="22"/>
                <w:szCs w:val="22"/>
              </w:rPr>
            </w:pPr>
            <w:r w:rsidRPr="00866F16">
              <w:rPr>
                <w:kern w:val="22"/>
                <w:szCs w:val="22"/>
              </w:rPr>
              <w:t>Proportion of key biodiversity areas threatened by invasive alien species</w:t>
            </w:r>
          </w:p>
        </w:tc>
        <w:tc>
          <w:tcPr>
            <w:tcW w:w="3827" w:type="dxa"/>
            <w:shd w:val="clear" w:color="auto" w:fill="FFFFFF" w:themeFill="background1"/>
          </w:tcPr>
          <w:p w14:paraId="4DCED4FF" w14:textId="77777777" w:rsidR="00366AA7" w:rsidRPr="00866F16" w:rsidRDefault="00366AA7" w:rsidP="00866F16">
            <w:pPr>
              <w:pStyle w:val="ListParagraph"/>
              <w:numPr>
                <w:ilvl w:val="3"/>
                <w:numId w:val="49"/>
              </w:numPr>
              <w:suppressLineNumbers/>
              <w:tabs>
                <w:tab w:val="left" w:pos="885"/>
              </w:tabs>
              <w:suppressAutoHyphens/>
              <w:kinsoku w:val="0"/>
              <w:overflowPunct w:val="0"/>
              <w:autoSpaceDE w:val="0"/>
              <w:autoSpaceDN w:val="0"/>
              <w:adjustRightInd w:val="0"/>
              <w:snapToGrid w:val="0"/>
              <w:spacing w:before="60" w:after="60"/>
              <w:ind w:left="76" w:firstLine="0"/>
              <w:jc w:val="left"/>
              <w:rPr>
                <w:kern w:val="22"/>
                <w:szCs w:val="22"/>
              </w:rPr>
            </w:pPr>
            <w:r w:rsidRPr="00866F16">
              <w:rPr>
                <w:kern w:val="22"/>
                <w:szCs w:val="22"/>
              </w:rPr>
              <w:t>Number of invasive alien species in national lists as per the Global Register of Introduced and Invasive Species*</w:t>
            </w:r>
          </w:p>
          <w:p w14:paraId="12CE1A79" w14:textId="77777777" w:rsidR="00366AA7" w:rsidRPr="00866F16" w:rsidRDefault="00366AA7" w:rsidP="00866F16">
            <w:pPr>
              <w:pStyle w:val="ListParagraph"/>
              <w:numPr>
                <w:ilvl w:val="3"/>
                <w:numId w:val="49"/>
              </w:numPr>
              <w:suppressLineNumbers/>
              <w:tabs>
                <w:tab w:val="left" w:pos="885"/>
              </w:tabs>
              <w:suppressAutoHyphens/>
              <w:kinsoku w:val="0"/>
              <w:overflowPunct w:val="0"/>
              <w:autoSpaceDE w:val="0"/>
              <w:autoSpaceDN w:val="0"/>
              <w:adjustRightInd w:val="0"/>
              <w:snapToGrid w:val="0"/>
              <w:spacing w:before="60" w:after="60"/>
              <w:ind w:left="76" w:firstLine="0"/>
              <w:jc w:val="left"/>
              <w:rPr>
                <w:kern w:val="22"/>
                <w:szCs w:val="22"/>
              </w:rPr>
            </w:pPr>
            <w:r w:rsidRPr="00866F16">
              <w:rPr>
                <w:kern w:val="22"/>
                <w:szCs w:val="22"/>
              </w:rPr>
              <w:t>Proportion of countries adopting relevant national legislation and adequately resourcing the prevention or control of invasive alien species</w:t>
            </w:r>
          </w:p>
        </w:tc>
      </w:tr>
      <w:tr w:rsidR="00366AA7" w:rsidRPr="00B324FA" w14:paraId="3B10474A" w14:textId="77777777" w:rsidTr="0099764F">
        <w:trPr>
          <w:jc w:val="center"/>
        </w:trPr>
        <w:tc>
          <w:tcPr>
            <w:tcW w:w="2447" w:type="dxa"/>
            <w:shd w:val="clear" w:color="auto" w:fill="BFBFBF" w:themeFill="background1" w:themeFillShade="BF"/>
          </w:tcPr>
          <w:p w14:paraId="5DC7C9EA" w14:textId="77777777" w:rsidR="00366AA7" w:rsidRPr="002D0172"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2D0172">
              <w:rPr>
                <w:b/>
                <w:bCs/>
                <w:kern w:val="22"/>
                <w:szCs w:val="22"/>
              </w:rPr>
              <w:t>Target 6.</w:t>
            </w:r>
            <w:r w:rsidRPr="00800629">
              <w:rPr>
                <w:kern w:val="22"/>
                <w:szCs w:val="22"/>
              </w:rPr>
              <w:t xml:space="preserve"> </w:t>
            </w:r>
            <w:r w:rsidRPr="002D0172">
              <w:rPr>
                <w:kern w:val="22"/>
                <w:szCs w:val="22"/>
              </w:rPr>
              <w:t>By 2030, reduce pollution from all sources, including reducing excess nutrients [by x%],</w:t>
            </w:r>
          </w:p>
          <w:p w14:paraId="549A0234" w14:textId="77777777" w:rsidR="00366AA7" w:rsidRPr="002D0172"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2D0172">
              <w:rPr>
                <w:kern w:val="22"/>
                <w:szCs w:val="22"/>
              </w:rPr>
              <w:t>biocides [by x%], plastic waste [by x%] to levels that are not harmful to biodiversity and ecosystem</w:t>
            </w:r>
          </w:p>
          <w:p w14:paraId="335369D2" w14:textId="77777777" w:rsidR="00366AA7" w:rsidRPr="00800629"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2D0172">
              <w:rPr>
                <w:kern w:val="22"/>
                <w:szCs w:val="22"/>
              </w:rPr>
              <w:t>functions and human heal</w:t>
            </w:r>
          </w:p>
        </w:tc>
        <w:tc>
          <w:tcPr>
            <w:tcW w:w="1959" w:type="dxa"/>
            <w:shd w:val="clear" w:color="auto" w:fill="BFBFBF" w:themeFill="background1" w:themeFillShade="BF"/>
          </w:tcPr>
          <w:p w14:paraId="220F6A78" w14:textId="70AC4807" w:rsidR="00366AA7" w:rsidRPr="00866F16"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866F16">
              <w:rPr>
                <w:kern w:val="22"/>
                <w:szCs w:val="22"/>
              </w:rPr>
              <w:t>6.0.</w:t>
            </w:r>
            <w:r w:rsidR="009A4D80" w:rsidRPr="00866F16">
              <w:rPr>
                <w:kern w:val="22"/>
                <w:szCs w:val="22"/>
              </w:rPr>
              <w:t>1</w:t>
            </w:r>
            <w:r w:rsidRPr="00866F16">
              <w:rPr>
                <w:kern w:val="22"/>
                <w:szCs w:val="22"/>
              </w:rPr>
              <w:t xml:space="preserve"> Proportion of water with good ambient water quality (freshwater and marine)</w:t>
            </w:r>
          </w:p>
          <w:p w14:paraId="44743484" w14:textId="77777777" w:rsidR="00366AA7" w:rsidRPr="00866F16"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866F16">
              <w:rPr>
                <w:kern w:val="22"/>
                <w:szCs w:val="22"/>
              </w:rPr>
              <w:t>6.0.2 Plastic debris density</w:t>
            </w:r>
          </w:p>
          <w:p w14:paraId="390F8B43" w14:textId="77777777" w:rsidR="00366AA7" w:rsidRPr="00866F16"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866F16">
              <w:rPr>
                <w:kern w:val="22"/>
                <w:szCs w:val="22"/>
              </w:rPr>
              <w:t>6.0.3 Pesticide use per area of cropland</w:t>
            </w:r>
          </w:p>
          <w:p w14:paraId="245E64FB" w14:textId="77777777" w:rsidR="00366AA7" w:rsidRPr="00866F16"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866F16">
              <w:rPr>
                <w:kern w:val="22"/>
                <w:szCs w:val="22"/>
              </w:rPr>
              <w:t>6.0.4 Proportion of municipal solid waste collected and managed in controlled facilities out of total municipal solid waste generated by cities</w:t>
            </w:r>
          </w:p>
        </w:tc>
        <w:tc>
          <w:tcPr>
            <w:tcW w:w="2369" w:type="dxa"/>
            <w:shd w:val="clear" w:color="auto" w:fill="BFBFBF" w:themeFill="background1" w:themeFillShade="BF"/>
          </w:tcPr>
          <w:p w14:paraId="5454AA47" w14:textId="77777777" w:rsidR="00366AA7" w:rsidRPr="00866F16" w:rsidRDefault="00366AA7" w:rsidP="00866F16">
            <w:pPr>
              <w:pStyle w:val="ListParagraph"/>
              <w:numPr>
                <w:ilvl w:val="1"/>
                <w:numId w:val="50"/>
              </w:numPr>
              <w:suppressLineNumbers/>
              <w:tabs>
                <w:tab w:val="left" w:pos="553"/>
              </w:tabs>
              <w:suppressAutoHyphens/>
              <w:kinsoku w:val="0"/>
              <w:overflowPunct w:val="0"/>
              <w:autoSpaceDE w:val="0"/>
              <w:autoSpaceDN w:val="0"/>
              <w:adjustRightInd w:val="0"/>
              <w:snapToGrid w:val="0"/>
              <w:spacing w:before="60" w:after="60"/>
              <w:ind w:left="128" w:firstLine="0"/>
              <w:jc w:val="left"/>
              <w:rPr>
                <w:kern w:val="22"/>
                <w:szCs w:val="22"/>
              </w:rPr>
            </w:pPr>
            <w:r w:rsidRPr="00866F16">
              <w:rPr>
                <w:kern w:val="22"/>
                <w:szCs w:val="22"/>
              </w:rPr>
              <w:t>Reduction of pollution from excess nutrients</w:t>
            </w:r>
          </w:p>
          <w:p w14:paraId="4F154F5E" w14:textId="77777777" w:rsidR="00366AA7" w:rsidRPr="00866F16" w:rsidRDefault="00366AA7" w:rsidP="00866F16">
            <w:pPr>
              <w:pStyle w:val="ListParagraph"/>
              <w:numPr>
                <w:ilvl w:val="1"/>
                <w:numId w:val="50"/>
              </w:numPr>
              <w:suppressLineNumbers/>
              <w:tabs>
                <w:tab w:val="left" w:pos="553"/>
              </w:tabs>
              <w:suppressAutoHyphens/>
              <w:kinsoku w:val="0"/>
              <w:overflowPunct w:val="0"/>
              <w:autoSpaceDE w:val="0"/>
              <w:autoSpaceDN w:val="0"/>
              <w:adjustRightInd w:val="0"/>
              <w:snapToGrid w:val="0"/>
              <w:spacing w:before="60" w:after="60"/>
              <w:ind w:left="128" w:firstLine="0"/>
              <w:jc w:val="left"/>
              <w:rPr>
                <w:kern w:val="22"/>
                <w:szCs w:val="22"/>
              </w:rPr>
            </w:pPr>
            <w:r w:rsidRPr="00866F16">
              <w:rPr>
                <w:kern w:val="22"/>
                <w:szCs w:val="22"/>
              </w:rPr>
              <w:t>Reduction of pollution from biocides</w:t>
            </w:r>
          </w:p>
          <w:p w14:paraId="7F92A05D" w14:textId="77777777" w:rsidR="00366AA7" w:rsidRPr="00866F16" w:rsidRDefault="00366AA7" w:rsidP="00866F16">
            <w:pPr>
              <w:pStyle w:val="ListParagraph"/>
              <w:numPr>
                <w:ilvl w:val="1"/>
                <w:numId w:val="50"/>
              </w:numPr>
              <w:suppressLineNumbers/>
              <w:tabs>
                <w:tab w:val="left" w:pos="553"/>
              </w:tabs>
              <w:suppressAutoHyphens/>
              <w:kinsoku w:val="0"/>
              <w:overflowPunct w:val="0"/>
              <w:autoSpaceDE w:val="0"/>
              <w:autoSpaceDN w:val="0"/>
              <w:adjustRightInd w:val="0"/>
              <w:snapToGrid w:val="0"/>
              <w:spacing w:before="60" w:after="60"/>
              <w:ind w:left="128" w:firstLine="0"/>
              <w:jc w:val="left"/>
              <w:rPr>
                <w:kern w:val="22"/>
                <w:szCs w:val="22"/>
              </w:rPr>
            </w:pPr>
            <w:r w:rsidRPr="00866F16">
              <w:rPr>
                <w:kern w:val="22"/>
                <w:szCs w:val="22"/>
              </w:rPr>
              <w:t>Reduction of pollution from plastic</w:t>
            </w:r>
          </w:p>
          <w:p w14:paraId="371EFA1C" w14:textId="77777777" w:rsidR="00366AA7" w:rsidRPr="00866F16" w:rsidRDefault="00366AA7" w:rsidP="00866F16">
            <w:pPr>
              <w:pStyle w:val="ListParagraph"/>
              <w:numPr>
                <w:ilvl w:val="1"/>
                <w:numId w:val="50"/>
              </w:numPr>
              <w:suppressLineNumbers/>
              <w:tabs>
                <w:tab w:val="left" w:pos="553"/>
              </w:tabs>
              <w:suppressAutoHyphens/>
              <w:kinsoku w:val="0"/>
              <w:overflowPunct w:val="0"/>
              <w:autoSpaceDE w:val="0"/>
              <w:autoSpaceDN w:val="0"/>
              <w:adjustRightInd w:val="0"/>
              <w:snapToGrid w:val="0"/>
              <w:spacing w:before="60" w:after="60"/>
              <w:ind w:left="128" w:firstLine="0"/>
              <w:jc w:val="left"/>
              <w:rPr>
                <w:kern w:val="22"/>
                <w:szCs w:val="22"/>
              </w:rPr>
            </w:pPr>
            <w:r w:rsidRPr="00866F16">
              <w:rPr>
                <w:kern w:val="22"/>
                <w:szCs w:val="22"/>
              </w:rPr>
              <w:t>Reduction of pollution from other sources</w:t>
            </w:r>
          </w:p>
        </w:tc>
        <w:tc>
          <w:tcPr>
            <w:tcW w:w="3568" w:type="dxa"/>
            <w:shd w:val="clear" w:color="auto" w:fill="BFBFBF" w:themeFill="background1" w:themeFillShade="BF"/>
          </w:tcPr>
          <w:p w14:paraId="3A6DD46C" w14:textId="77777777" w:rsidR="00366AA7" w:rsidRPr="00866F16" w:rsidRDefault="00366AA7" w:rsidP="00866F16">
            <w:pPr>
              <w:pStyle w:val="ListParagraph"/>
              <w:numPr>
                <w:ilvl w:val="2"/>
                <w:numId w:val="51"/>
              </w:numPr>
              <w:suppressLineNumbers/>
              <w:tabs>
                <w:tab w:val="left" w:pos="628"/>
              </w:tabs>
              <w:suppressAutoHyphens/>
              <w:kinsoku w:val="0"/>
              <w:overflowPunct w:val="0"/>
              <w:autoSpaceDE w:val="0"/>
              <w:autoSpaceDN w:val="0"/>
              <w:adjustRightInd w:val="0"/>
              <w:snapToGrid w:val="0"/>
              <w:spacing w:before="60" w:after="60"/>
              <w:ind w:left="36" w:firstLine="0"/>
              <w:jc w:val="left"/>
              <w:rPr>
                <w:kern w:val="22"/>
                <w:szCs w:val="22"/>
              </w:rPr>
            </w:pPr>
            <w:r w:rsidRPr="00866F16">
              <w:rPr>
                <w:kern w:val="22"/>
                <w:szCs w:val="22"/>
              </w:rPr>
              <w:t>Nitrogen balance (in rivers from SDG indicator 6.3.2 and in oceans from SDG indicator 14.1.1)</w:t>
            </w:r>
          </w:p>
          <w:p w14:paraId="227AFB51" w14:textId="77777777" w:rsidR="00366AA7" w:rsidRPr="00866F16" w:rsidRDefault="00366AA7" w:rsidP="00866F16">
            <w:pPr>
              <w:pStyle w:val="ListParagraph"/>
              <w:numPr>
                <w:ilvl w:val="2"/>
                <w:numId w:val="51"/>
              </w:numPr>
              <w:suppressLineNumbers/>
              <w:tabs>
                <w:tab w:val="left" w:pos="628"/>
              </w:tabs>
              <w:suppressAutoHyphens/>
              <w:kinsoku w:val="0"/>
              <w:overflowPunct w:val="0"/>
              <w:autoSpaceDE w:val="0"/>
              <w:autoSpaceDN w:val="0"/>
              <w:adjustRightInd w:val="0"/>
              <w:snapToGrid w:val="0"/>
              <w:spacing w:before="60" w:after="60"/>
              <w:ind w:left="36" w:firstLine="0"/>
              <w:jc w:val="left"/>
              <w:rPr>
                <w:kern w:val="22"/>
                <w:szCs w:val="22"/>
              </w:rPr>
            </w:pPr>
            <w:r w:rsidRPr="00866F16">
              <w:rPr>
                <w:kern w:val="22"/>
                <w:szCs w:val="22"/>
              </w:rPr>
              <w:t>Phosphate balance (in rivers from SDG indicator 6.3.2 and in oceans from SDG indicator 14.1.1)</w:t>
            </w:r>
          </w:p>
          <w:p w14:paraId="63082239" w14:textId="77777777" w:rsidR="00366AA7" w:rsidRPr="00866F16" w:rsidRDefault="00366AA7" w:rsidP="00866F16">
            <w:pPr>
              <w:pStyle w:val="ListParagraph"/>
              <w:numPr>
                <w:ilvl w:val="2"/>
                <w:numId w:val="51"/>
              </w:numPr>
              <w:suppressLineNumbers/>
              <w:tabs>
                <w:tab w:val="left" w:pos="628"/>
              </w:tabs>
              <w:suppressAutoHyphens/>
              <w:kinsoku w:val="0"/>
              <w:overflowPunct w:val="0"/>
              <w:autoSpaceDE w:val="0"/>
              <w:autoSpaceDN w:val="0"/>
              <w:adjustRightInd w:val="0"/>
              <w:snapToGrid w:val="0"/>
              <w:spacing w:before="60" w:after="60"/>
              <w:ind w:left="36" w:firstLine="0"/>
              <w:jc w:val="left"/>
              <w:rPr>
                <w:kern w:val="22"/>
                <w:szCs w:val="22"/>
              </w:rPr>
            </w:pPr>
            <w:r w:rsidRPr="00866F16">
              <w:rPr>
                <w:kern w:val="22"/>
                <w:szCs w:val="22"/>
              </w:rPr>
              <w:t>Fertilizer use</w:t>
            </w:r>
          </w:p>
          <w:p w14:paraId="4A15CFB4" w14:textId="77777777" w:rsidR="00366AA7" w:rsidRPr="00866F16" w:rsidRDefault="00366AA7" w:rsidP="00866F16">
            <w:pPr>
              <w:pStyle w:val="ListParagraph"/>
              <w:numPr>
                <w:ilvl w:val="2"/>
                <w:numId w:val="51"/>
              </w:numPr>
              <w:suppressLineNumbers/>
              <w:tabs>
                <w:tab w:val="left" w:pos="628"/>
              </w:tabs>
              <w:suppressAutoHyphens/>
              <w:kinsoku w:val="0"/>
              <w:overflowPunct w:val="0"/>
              <w:autoSpaceDE w:val="0"/>
              <w:autoSpaceDN w:val="0"/>
              <w:adjustRightInd w:val="0"/>
              <w:snapToGrid w:val="0"/>
              <w:spacing w:before="60" w:after="60"/>
              <w:ind w:left="36" w:firstLine="0"/>
              <w:jc w:val="left"/>
              <w:rPr>
                <w:kern w:val="22"/>
                <w:szCs w:val="22"/>
              </w:rPr>
            </w:pPr>
            <w:r w:rsidRPr="00866F16">
              <w:rPr>
                <w:kern w:val="22"/>
                <w:szCs w:val="22"/>
              </w:rPr>
              <w:t>Pesticide use by type of pesticides</w:t>
            </w:r>
          </w:p>
          <w:p w14:paraId="41CE14EA" w14:textId="77777777" w:rsidR="00366AA7" w:rsidRPr="00866F16" w:rsidRDefault="00366AA7" w:rsidP="00866F16">
            <w:pPr>
              <w:pStyle w:val="ListParagraph"/>
              <w:numPr>
                <w:ilvl w:val="2"/>
                <w:numId w:val="51"/>
              </w:numPr>
              <w:suppressLineNumbers/>
              <w:tabs>
                <w:tab w:val="left" w:pos="628"/>
              </w:tabs>
              <w:suppressAutoHyphens/>
              <w:kinsoku w:val="0"/>
              <w:overflowPunct w:val="0"/>
              <w:autoSpaceDE w:val="0"/>
              <w:autoSpaceDN w:val="0"/>
              <w:adjustRightInd w:val="0"/>
              <w:snapToGrid w:val="0"/>
              <w:spacing w:before="60" w:after="60"/>
              <w:ind w:left="36" w:firstLine="0"/>
              <w:jc w:val="left"/>
              <w:rPr>
                <w:kern w:val="22"/>
                <w:szCs w:val="22"/>
              </w:rPr>
            </w:pPr>
            <w:r w:rsidRPr="00866F16">
              <w:rPr>
                <w:kern w:val="22"/>
                <w:szCs w:val="22"/>
              </w:rPr>
              <w:t>Plastic debris density by location (beach litter, floating debris, debris in the sea column, debris on the sea floor)</w:t>
            </w:r>
          </w:p>
          <w:p w14:paraId="1A053DC3" w14:textId="77777777" w:rsidR="00366AA7" w:rsidRPr="00866F16" w:rsidRDefault="00366AA7" w:rsidP="00866F16">
            <w:pPr>
              <w:pStyle w:val="ListParagraph"/>
              <w:numPr>
                <w:ilvl w:val="2"/>
                <w:numId w:val="51"/>
              </w:numPr>
              <w:suppressLineNumbers/>
              <w:tabs>
                <w:tab w:val="left" w:pos="628"/>
              </w:tabs>
              <w:suppressAutoHyphens/>
              <w:kinsoku w:val="0"/>
              <w:overflowPunct w:val="0"/>
              <w:autoSpaceDE w:val="0"/>
              <w:autoSpaceDN w:val="0"/>
              <w:adjustRightInd w:val="0"/>
              <w:snapToGrid w:val="0"/>
              <w:spacing w:before="60" w:after="60"/>
              <w:ind w:left="36" w:firstLine="0"/>
              <w:jc w:val="left"/>
              <w:rPr>
                <w:kern w:val="22"/>
                <w:szCs w:val="22"/>
              </w:rPr>
            </w:pPr>
            <w:r w:rsidRPr="00866F16">
              <w:rPr>
                <w:kern w:val="22"/>
                <w:szCs w:val="22"/>
              </w:rPr>
              <w:t>Ingested plastic and entanglement</w:t>
            </w:r>
          </w:p>
          <w:p w14:paraId="561F12C4" w14:textId="77777777" w:rsidR="00366AA7" w:rsidRPr="00866F16" w:rsidRDefault="00366AA7" w:rsidP="00866F16">
            <w:pPr>
              <w:pStyle w:val="ListParagraph"/>
              <w:numPr>
                <w:ilvl w:val="2"/>
                <w:numId w:val="51"/>
              </w:numPr>
              <w:suppressLineNumbers/>
              <w:tabs>
                <w:tab w:val="left" w:pos="628"/>
              </w:tabs>
              <w:suppressAutoHyphens/>
              <w:kinsoku w:val="0"/>
              <w:overflowPunct w:val="0"/>
              <w:autoSpaceDE w:val="0"/>
              <w:autoSpaceDN w:val="0"/>
              <w:adjustRightInd w:val="0"/>
              <w:snapToGrid w:val="0"/>
              <w:spacing w:before="60" w:after="60"/>
              <w:ind w:left="36" w:firstLine="0"/>
              <w:jc w:val="left"/>
              <w:rPr>
                <w:kern w:val="22"/>
                <w:szCs w:val="22"/>
              </w:rPr>
            </w:pPr>
            <w:r w:rsidRPr="00866F16">
              <w:rPr>
                <w:kern w:val="22"/>
                <w:szCs w:val="22"/>
              </w:rPr>
              <w:t>Hazardous waste generated per capita; and proportion of hazardous waste treated, by type of treatment (SDG indicator 12.4.2)</w:t>
            </w:r>
          </w:p>
          <w:p w14:paraId="011FDA80" w14:textId="77777777" w:rsidR="00366AA7" w:rsidRPr="00866F16" w:rsidRDefault="00366AA7" w:rsidP="00866F16">
            <w:pPr>
              <w:pStyle w:val="ListParagraph"/>
              <w:numPr>
                <w:ilvl w:val="2"/>
                <w:numId w:val="51"/>
              </w:numPr>
              <w:suppressLineNumbers/>
              <w:tabs>
                <w:tab w:val="left" w:pos="628"/>
              </w:tabs>
              <w:suppressAutoHyphens/>
              <w:kinsoku w:val="0"/>
              <w:overflowPunct w:val="0"/>
              <w:autoSpaceDE w:val="0"/>
              <w:autoSpaceDN w:val="0"/>
              <w:adjustRightInd w:val="0"/>
              <w:snapToGrid w:val="0"/>
              <w:spacing w:before="60" w:after="60"/>
              <w:ind w:left="36" w:firstLine="0"/>
              <w:jc w:val="left"/>
              <w:rPr>
                <w:kern w:val="22"/>
                <w:szCs w:val="22"/>
              </w:rPr>
            </w:pPr>
            <w:r w:rsidRPr="00866F16">
              <w:rPr>
                <w:kern w:val="22"/>
                <w:szCs w:val="22"/>
              </w:rPr>
              <w:t>Recycling rate (from SDG indicator 12.5.1)</w:t>
            </w:r>
          </w:p>
        </w:tc>
        <w:tc>
          <w:tcPr>
            <w:tcW w:w="3827" w:type="dxa"/>
            <w:shd w:val="clear" w:color="auto" w:fill="BFBFBF" w:themeFill="background1" w:themeFillShade="BF"/>
          </w:tcPr>
          <w:p w14:paraId="3E0E0630" w14:textId="77777777" w:rsidR="00366AA7" w:rsidRPr="00866F16" w:rsidRDefault="00366AA7" w:rsidP="00866F16">
            <w:pPr>
              <w:pStyle w:val="ListParagraph"/>
              <w:numPr>
                <w:ilvl w:val="3"/>
                <w:numId w:val="52"/>
              </w:numPr>
              <w:suppressLineNumbers/>
              <w:tabs>
                <w:tab w:val="left" w:pos="885"/>
              </w:tabs>
              <w:suppressAutoHyphens/>
              <w:kinsoku w:val="0"/>
              <w:overflowPunct w:val="0"/>
              <w:autoSpaceDE w:val="0"/>
              <w:autoSpaceDN w:val="0"/>
              <w:adjustRightInd w:val="0"/>
              <w:snapToGrid w:val="0"/>
              <w:spacing w:before="60" w:after="60"/>
              <w:ind w:left="76" w:firstLine="0"/>
              <w:jc w:val="left"/>
              <w:rPr>
                <w:kern w:val="22"/>
                <w:szCs w:val="22"/>
              </w:rPr>
            </w:pPr>
            <w:r w:rsidRPr="00866F16">
              <w:rPr>
                <w:kern w:val="22"/>
                <w:szCs w:val="22"/>
              </w:rPr>
              <w:t>Trends in Loss of Reactive Nitrogen to the Environment.</w:t>
            </w:r>
          </w:p>
        </w:tc>
      </w:tr>
      <w:tr w:rsidR="00366AA7" w:rsidRPr="00B324FA" w14:paraId="1BC013C5" w14:textId="77777777" w:rsidTr="0099764F">
        <w:trPr>
          <w:jc w:val="center"/>
        </w:trPr>
        <w:tc>
          <w:tcPr>
            <w:tcW w:w="2447" w:type="dxa"/>
            <w:shd w:val="clear" w:color="auto" w:fill="FFFFFF" w:themeFill="background1"/>
          </w:tcPr>
          <w:p w14:paraId="7A8BBDBE" w14:textId="1C5426BC" w:rsidR="00366AA7" w:rsidRPr="00866F16" w:rsidRDefault="00366AA7" w:rsidP="00866F16">
            <w:pPr>
              <w:suppressLineNumbers/>
              <w:suppressAutoHyphens/>
              <w:kinsoku w:val="0"/>
              <w:overflowPunct w:val="0"/>
              <w:autoSpaceDE w:val="0"/>
              <w:autoSpaceDN w:val="0"/>
              <w:adjustRightInd w:val="0"/>
              <w:snapToGrid w:val="0"/>
              <w:spacing w:before="60" w:after="60"/>
              <w:jc w:val="left"/>
              <w:rPr>
                <w:b/>
                <w:bCs/>
                <w:kern w:val="22"/>
                <w:szCs w:val="22"/>
              </w:rPr>
            </w:pPr>
            <w:r w:rsidRPr="00866F16">
              <w:rPr>
                <w:b/>
                <w:bCs/>
                <w:kern w:val="22"/>
                <w:szCs w:val="22"/>
              </w:rPr>
              <w:t>Target 7.</w:t>
            </w:r>
            <w:r w:rsidRPr="00866F16">
              <w:rPr>
                <w:kern w:val="22"/>
                <w:szCs w:val="22"/>
              </w:rPr>
              <w:t xml:space="preserve"> By 2030, increase contributions to climate change mitigation adaption and disaster risk reduction from nature-based solutions and </w:t>
            </w:r>
            <w:r w:rsidRPr="00866F16">
              <w:rPr>
                <w:kern w:val="22"/>
                <w:szCs w:val="22"/>
              </w:rPr>
              <w:lastRenderedPageBreak/>
              <w:t>ecosystems</w:t>
            </w:r>
            <w:r w:rsidR="00881E94" w:rsidRPr="00866F16">
              <w:rPr>
                <w:kern w:val="22"/>
                <w:szCs w:val="22"/>
              </w:rPr>
              <w:noBreakHyphen/>
            </w:r>
            <w:r w:rsidRPr="00866F16">
              <w:rPr>
                <w:kern w:val="22"/>
                <w:szCs w:val="22"/>
              </w:rPr>
              <w:t>based approaches, ensuring resilience and minimizing any negative impacts on biodiversity</w:t>
            </w:r>
          </w:p>
        </w:tc>
        <w:tc>
          <w:tcPr>
            <w:tcW w:w="1959" w:type="dxa"/>
            <w:shd w:val="clear" w:color="auto" w:fill="FFFFFF" w:themeFill="background1"/>
          </w:tcPr>
          <w:p w14:paraId="5DFB1663" w14:textId="77777777" w:rsidR="00366AA7" w:rsidRPr="00866F16"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866F16">
              <w:rPr>
                <w:kern w:val="22"/>
                <w:szCs w:val="22"/>
              </w:rPr>
              <w:lastRenderedPageBreak/>
              <w:t>7.0.1 Total climate regulation services provided by ecosystems*</w:t>
            </w:r>
          </w:p>
        </w:tc>
        <w:tc>
          <w:tcPr>
            <w:tcW w:w="2369" w:type="dxa"/>
            <w:shd w:val="clear" w:color="auto" w:fill="FFFFFF" w:themeFill="background1"/>
          </w:tcPr>
          <w:p w14:paraId="0496B141" w14:textId="77777777" w:rsidR="00366AA7" w:rsidRPr="00866F16" w:rsidRDefault="00366AA7" w:rsidP="00866F16">
            <w:pPr>
              <w:pStyle w:val="ListParagraph"/>
              <w:numPr>
                <w:ilvl w:val="1"/>
                <w:numId w:val="53"/>
              </w:numPr>
              <w:suppressLineNumbers/>
              <w:tabs>
                <w:tab w:val="left" w:pos="412"/>
              </w:tabs>
              <w:suppressAutoHyphens/>
              <w:kinsoku w:val="0"/>
              <w:overflowPunct w:val="0"/>
              <w:autoSpaceDE w:val="0"/>
              <w:autoSpaceDN w:val="0"/>
              <w:adjustRightInd w:val="0"/>
              <w:snapToGrid w:val="0"/>
              <w:spacing w:before="60" w:after="60"/>
              <w:ind w:left="0" w:hanging="14"/>
              <w:jc w:val="left"/>
              <w:rPr>
                <w:kern w:val="22"/>
                <w:szCs w:val="22"/>
              </w:rPr>
            </w:pPr>
            <w:r w:rsidRPr="00866F16">
              <w:rPr>
                <w:kern w:val="22"/>
                <w:szCs w:val="22"/>
              </w:rPr>
              <w:t xml:space="preserve">Increased biodiversity contribution to climate change mitigation, </w:t>
            </w:r>
            <w:proofErr w:type="gramStart"/>
            <w:r w:rsidRPr="00866F16">
              <w:rPr>
                <w:kern w:val="22"/>
                <w:szCs w:val="22"/>
              </w:rPr>
              <w:t>adaptation</w:t>
            </w:r>
            <w:proofErr w:type="gramEnd"/>
            <w:r w:rsidRPr="00866F16">
              <w:rPr>
                <w:kern w:val="22"/>
                <w:szCs w:val="22"/>
              </w:rPr>
              <w:t xml:space="preserve"> and disaster risk reduction</w:t>
            </w:r>
          </w:p>
          <w:p w14:paraId="241AC390" w14:textId="394193CF" w:rsidR="00366AA7" w:rsidRPr="00866F16" w:rsidRDefault="00366AA7" w:rsidP="00866F16">
            <w:pPr>
              <w:pStyle w:val="ListParagraph"/>
              <w:numPr>
                <w:ilvl w:val="1"/>
                <w:numId w:val="53"/>
              </w:numPr>
              <w:suppressLineNumbers/>
              <w:tabs>
                <w:tab w:val="left" w:pos="412"/>
              </w:tabs>
              <w:suppressAutoHyphens/>
              <w:kinsoku w:val="0"/>
              <w:overflowPunct w:val="0"/>
              <w:autoSpaceDE w:val="0"/>
              <w:autoSpaceDN w:val="0"/>
              <w:adjustRightInd w:val="0"/>
              <w:snapToGrid w:val="0"/>
              <w:spacing w:before="60" w:after="60"/>
              <w:ind w:left="0" w:hanging="14"/>
              <w:jc w:val="left"/>
              <w:rPr>
                <w:kern w:val="22"/>
                <w:szCs w:val="22"/>
              </w:rPr>
            </w:pPr>
            <w:r w:rsidRPr="00866F16">
              <w:rPr>
                <w:kern w:val="22"/>
                <w:szCs w:val="22"/>
              </w:rPr>
              <w:lastRenderedPageBreak/>
              <w:t>Minimi</w:t>
            </w:r>
            <w:r w:rsidR="00015BEF" w:rsidRPr="00866F16">
              <w:rPr>
                <w:kern w:val="22"/>
                <w:szCs w:val="22"/>
              </w:rPr>
              <w:t>z</w:t>
            </w:r>
            <w:r w:rsidRPr="00866F16">
              <w:rPr>
                <w:kern w:val="22"/>
                <w:szCs w:val="22"/>
              </w:rPr>
              <w:t xml:space="preserve">ed negative impacts on biodiversity from any mitigation, </w:t>
            </w:r>
            <w:proofErr w:type="gramStart"/>
            <w:r w:rsidRPr="00866F16">
              <w:rPr>
                <w:kern w:val="22"/>
                <w:szCs w:val="22"/>
              </w:rPr>
              <w:t>adaptation</w:t>
            </w:r>
            <w:proofErr w:type="gramEnd"/>
            <w:r w:rsidRPr="00866F16">
              <w:rPr>
                <w:kern w:val="22"/>
                <w:szCs w:val="22"/>
              </w:rPr>
              <w:t xml:space="preserve"> and disaster risk reduction measures</w:t>
            </w:r>
          </w:p>
        </w:tc>
        <w:tc>
          <w:tcPr>
            <w:tcW w:w="3568" w:type="dxa"/>
            <w:shd w:val="clear" w:color="auto" w:fill="FFFFFF" w:themeFill="background1"/>
          </w:tcPr>
          <w:p w14:paraId="31CD2096" w14:textId="67FA71C4" w:rsidR="00366AA7" w:rsidRPr="00866F16" w:rsidRDefault="00366AA7" w:rsidP="00800629">
            <w:pPr>
              <w:pStyle w:val="ListParagraph"/>
              <w:suppressLineNumbers/>
              <w:tabs>
                <w:tab w:val="left" w:pos="622"/>
              </w:tabs>
              <w:suppressAutoHyphens/>
              <w:kinsoku w:val="0"/>
              <w:overflowPunct w:val="0"/>
              <w:autoSpaceDE w:val="0"/>
              <w:autoSpaceDN w:val="0"/>
              <w:adjustRightInd w:val="0"/>
              <w:snapToGrid w:val="0"/>
              <w:spacing w:before="60" w:after="60"/>
              <w:ind w:left="0"/>
              <w:jc w:val="left"/>
              <w:rPr>
                <w:kern w:val="22"/>
                <w:szCs w:val="22"/>
              </w:rPr>
            </w:pPr>
            <w:r w:rsidRPr="00866F16">
              <w:rPr>
                <w:kern w:val="22"/>
                <w:szCs w:val="22"/>
              </w:rPr>
              <w:lastRenderedPageBreak/>
              <w:t>7.1.1.</w:t>
            </w:r>
            <w:r w:rsidR="00D5699B">
              <w:rPr>
                <w:kern w:val="22"/>
                <w:szCs w:val="22"/>
              </w:rPr>
              <w:tab/>
            </w:r>
            <w:r w:rsidRPr="00866F16">
              <w:rPr>
                <w:kern w:val="22"/>
                <w:szCs w:val="22"/>
              </w:rPr>
              <w:t>Total climate regulation services provided by ecosystems by ecosystem type</w:t>
            </w:r>
          </w:p>
        </w:tc>
        <w:tc>
          <w:tcPr>
            <w:tcW w:w="3827" w:type="dxa"/>
            <w:shd w:val="clear" w:color="auto" w:fill="FFFFFF" w:themeFill="background1"/>
          </w:tcPr>
          <w:p w14:paraId="2567F9F4" w14:textId="77777777" w:rsidR="00366AA7" w:rsidRPr="00866F16" w:rsidRDefault="00366AA7" w:rsidP="00866F16">
            <w:pPr>
              <w:pStyle w:val="ListParagraph"/>
              <w:numPr>
                <w:ilvl w:val="3"/>
                <w:numId w:val="54"/>
              </w:numPr>
              <w:suppressLineNumbers/>
              <w:tabs>
                <w:tab w:val="left" w:pos="885"/>
              </w:tabs>
              <w:suppressAutoHyphens/>
              <w:kinsoku w:val="0"/>
              <w:overflowPunct w:val="0"/>
              <w:autoSpaceDE w:val="0"/>
              <w:autoSpaceDN w:val="0"/>
              <w:adjustRightInd w:val="0"/>
              <w:snapToGrid w:val="0"/>
              <w:spacing w:before="60" w:after="60"/>
              <w:ind w:left="76" w:firstLine="0"/>
              <w:jc w:val="left"/>
              <w:rPr>
                <w:kern w:val="22"/>
                <w:szCs w:val="22"/>
              </w:rPr>
            </w:pPr>
            <w:r w:rsidRPr="00866F16">
              <w:rPr>
                <w:kern w:val="22"/>
                <w:szCs w:val="22"/>
              </w:rPr>
              <w:t>Above-ground biomass stock in forest (tonnes/ha)</w:t>
            </w:r>
          </w:p>
          <w:p w14:paraId="20ECC8DB" w14:textId="77777777" w:rsidR="00366AA7" w:rsidRPr="00866F16" w:rsidRDefault="00366AA7" w:rsidP="00866F16">
            <w:pPr>
              <w:pStyle w:val="ListParagraph"/>
              <w:numPr>
                <w:ilvl w:val="3"/>
                <w:numId w:val="54"/>
              </w:numPr>
              <w:suppressLineNumbers/>
              <w:tabs>
                <w:tab w:val="left" w:pos="885"/>
              </w:tabs>
              <w:suppressAutoHyphens/>
              <w:kinsoku w:val="0"/>
              <w:overflowPunct w:val="0"/>
              <w:autoSpaceDE w:val="0"/>
              <w:autoSpaceDN w:val="0"/>
              <w:adjustRightInd w:val="0"/>
              <w:snapToGrid w:val="0"/>
              <w:spacing w:before="60" w:after="60"/>
              <w:ind w:left="76" w:firstLine="0"/>
              <w:jc w:val="left"/>
              <w:rPr>
                <w:kern w:val="22"/>
                <w:szCs w:val="22"/>
              </w:rPr>
            </w:pPr>
            <w:r w:rsidRPr="00866F16">
              <w:rPr>
                <w:kern w:val="22"/>
                <w:szCs w:val="22"/>
              </w:rPr>
              <w:t xml:space="preserve">Number of countries that adopt and implement national disaster risk reduction strategies in line with the Sendai Framework for Disaster Risk </w:t>
            </w:r>
            <w:r w:rsidRPr="00866F16">
              <w:rPr>
                <w:kern w:val="22"/>
                <w:szCs w:val="22"/>
              </w:rPr>
              <w:lastRenderedPageBreak/>
              <w:t>Reduction 2015–2030 (SDG indicator 13.1.2)</w:t>
            </w:r>
          </w:p>
          <w:p w14:paraId="36E22A6A" w14:textId="77777777" w:rsidR="00366AA7" w:rsidRPr="00866F16" w:rsidRDefault="00366AA7" w:rsidP="00866F16">
            <w:pPr>
              <w:pStyle w:val="ListParagraph"/>
              <w:numPr>
                <w:ilvl w:val="3"/>
                <w:numId w:val="54"/>
              </w:numPr>
              <w:suppressLineNumbers/>
              <w:tabs>
                <w:tab w:val="left" w:pos="885"/>
              </w:tabs>
              <w:suppressAutoHyphens/>
              <w:kinsoku w:val="0"/>
              <w:overflowPunct w:val="0"/>
              <w:autoSpaceDE w:val="0"/>
              <w:autoSpaceDN w:val="0"/>
              <w:adjustRightInd w:val="0"/>
              <w:snapToGrid w:val="0"/>
              <w:spacing w:before="60" w:after="60"/>
              <w:ind w:left="76" w:firstLine="0"/>
              <w:jc w:val="left"/>
              <w:rPr>
                <w:kern w:val="22"/>
                <w:szCs w:val="22"/>
              </w:rPr>
            </w:pPr>
            <w:r w:rsidRPr="00866F16">
              <w:rPr>
                <w:kern w:val="22"/>
                <w:szCs w:val="22"/>
              </w:rPr>
              <w:t>Proportion of local governments that adopt and implement local disaster risk reduction strategies in line with national disaster risk reduction strategies (SDG indicator 13.1.3)</w:t>
            </w:r>
          </w:p>
          <w:p w14:paraId="1D81E878" w14:textId="77777777" w:rsidR="00366AA7" w:rsidRPr="00866F16" w:rsidRDefault="00366AA7" w:rsidP="00866F16">
            <w:pPr>
              <w:pStyle w:val="ListParagraph"/>
              <w:numPr>
                <w:ilvl w:val="3"/>
                <w:numId w:val="54"/>
              </w:numPr>
              <w:suppressLineNumbers/>
              <w:tabs>
                <w:tab w:val="left" w:pos="885"/>
              </w:tabs>
              <w:suppressAutoHyphens/>
              <w:kinsoku w:val="0"/>
              <w:overflowPunct w:val="0"/>
              <w:autoSpaceDE w:val="0"/>
              <w:autoSpaceDN w:val="0"/>
              <w:adjustRightInd w:val="0"/>
              <w:snapToGrid w:val="0"/>
              <w:spacing w:before="60" w:after="60"/>
              <w:ind w:left="76" w:firstLine="0"/>
              <w:jc w:val="left"/>
              <w:rPr>
                <w:spacing w:val="-1"/>
                <w:kern w:val="22"/>
                <w:szCs w:val="22"/>
              </w:rPr>
            </w:pPr>
            <w:r w:rsidRPr="00866F16">
              <w:rPr>
                <w:spacing w:val="-1"/>
                <w:kern w:val="22"/>
                <w:szCs w:val="22"/>
              </w:rPr>
              <w:t>Number of least developed countries and small island developing States with nationally determined contributions, long-term strategies, national adaptation plans, strategies as reported in adaptation communications and national communications (SDG indicator 13.b.1)</w:t>
            </w:r>
          </w:p>
        </w:tc>
      </w:tr>
      <w:tr w:rsidR="00366AA7" w:rsidRPr="00B324FA" w14:paraId="04BC4022" w14:textId="77777777" w:rsidTr="0099764F">
        <w:trPr>
          <w:jc w:val="center"/>
        </w:trPr>
        <w:tc>
          <w:tcPr>
            <w:tcW w:w="14170" w:type="dxa"/>
            <w:gridSpan w:val="5"/>
            <w:shd w:val="clear" w:color="auto" w:fill="FFFFFF" w:themeFill="background1"/>
          </w:tcPr>
          <w:p w14:paraId="32C32DAE" w14:textId="77777777" w:rsidR="00366AA7" w:rsidRPr="00866F16" w:rsidRDefault="00366AA7" w:rsidP="00866F16">
            <w:pPr>
              <w:suppressLineNumbers/>
              <w:tabs>
                <w:tab w:val="left" w:pos="218"/>
                <w:tab w:val="left" w:pos="359"/>
              </w:tabs>
              <w:suppressAutoHyphens/>
              <w:kinsoku w:val="0"/>
              <w:overflowPunct w:val="0"/>
              <w:autoSpaceDE w:val="0"/>
              <w:autoSpaceDN w:val="0"/>
              <w:adjustRightInd w:val="0"/>
              <w:snapToGrid w:val="0"/>
              <w:spacing w:before="120" w:after="120"/>
              <w:jc w:val="center"/>
              <w:rPr>
                <w:b/>
                <w:bCs/>
                <w:kern w:val="22"/>
                <w:szCs w:val="22"/>
              </w:rPr>
            </w:pPr>
            <w:r w:rsidRPr="00866F16">
              <w:rPr>
                <w:b/>
                <w:bCs/>
                <w:kern w:val="22"/>
                <w:szCs w:val="22"/>
              </w:rPr>
              <w:lastRenderedPageBreak/>
              <w:t>Meeting people’s needs through sustainable use and benefit-sharing</w:t>
            </w:r>
          </w:p>
        </w:tc>
      </w:tr>
      <w:tr w:rsidR="00366AA7" w:rsidRPr="00B324FA" w14:paraId="79924BF1" w14:textId="77777777" w:rsidTr="0099764F">
        <w:trPr>
          <w:jc w:val="center"/>
        </w:trPr>
        <w:tc>
          <w:tcPr>
            <w:tcW w:w="2447" w:type="dxa"/>
            <w:shd w:val="clear" w:color="auto" w:fill="BFBFBF" w:themeFill="background1" w:themeFillShade="BF"/>
          </w:tcPr>
          <w:p w14:paraId="44F51C9C" w14:textId="77777777" w:rsidR="00366AA7" w:rsidRPr="00800629"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2D0172">
              <w:rPr>
                <w:b/>
                <w:bCs/>
                <w:kern w:val="22"/>
                <w:szCs w:val="22"/>
              </w:rPr>
              <w:t>Target 8.</w:t>
            </w:r>
            <w:r w:rsidRPr="002D0172">
              <w:rPr>
                <w:kern w:val="22"/>
                <w:szCs w:val="22"/>
              </w:rPr>
              <w:t xml:space="preserve"> By 2030, ensure benefits, including nutrition, food security, livelihoods, </w:t>
            </w:r>
            <w:proofErr w:type="gramStart"/>
            <w:r w:rsidRPr="002D0172">
              <w:rPr>
                <w:kern w:val="22"/>
                <w:szCs w:val="22"/>
              </w:rPr>
              <w:t>health</w:t>
            </w:r>
            <w:proofErr w:type="gramEnd"/>
            <w:r w:rsidRPr="002D0172">
              <w:rPr>
                <w:kern w:val="22"/>
                <w:szCs w:val="22"/>
              </w:rPr>
              <w:t xml:space="preserve"> and well-being, for people, especially for the most vulnerable through sustainable management of wild species of fauna and flora</w:t>
            </w:r>
          </w:p>
        </w:tc>
        <w:tc>
          <w:tcPr>
            <w:tcW w:w="1959" w:type="dxa"/>
            <w:shd w:val="clear" w:color="auto" w:fill="BFBFBF" w:themeFill="background1" w:themeFillShade="BF"/>
          </w:tcPr>
          <w:p w14:paraId="0A5778B9" w14:textId="5178B34E" w:rsidR="00366AA7" w:rsidRPr="00866F16"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866F16">
              <w:rPr>
                <w:kern w:val="22"/>
                <w:szCs w:val="22"/>
              </w:rPr>
              <w:t xml:space="preserve">8.0.1 Number of people using wild resources for energy, food or culture (including firewood collection, hunting and fishing, gathering, medicinal use, craft making, </w:t>
            </w:r>
            <w:proofErr w:type="gramStart"/>
            <w:r w:rsidRPr="00866F16">
              <w:rPr>
                <w:kern w:val="22"/>
                <w:szCs w:val="22"/>
              </w:rPr>
              <w:t>etc</w:t>
            </w:r>
            <w:r w:rsidR="00DA33EA">
              <w:rPr>
                <w:kern w:val="22"/>
                <w:szCs w:val="22"/>
              </w:rPr>
              <w:t>.</w:t>
            </w:r>
            <w:r w:rsidRPr="00866F16">
              <w:rPr>
                <w:kern w:val="22"/>
                <w:szCs w:val="22"/>
              </w:rPr>
              <w:t>)*</w:t>
            </w:r>
            <w:proofErr w:type="gramEnd"/>
          </w:p>
          <w:p w14:paraId="58BF01D6" w14:textId="77777777" w:rsidR="00366AA7" w:rsidRPr="00866F16"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866F16">
              <w:rPr>
                <w:kern w:val="22"/>
                <w:szCs w:val="22"/>
              </w:rPr>
              <w:t>8.0.2 Percentage of the population in traditional employment</w:t>
            </w:r>
          </w:p>
        </w:tc>
        <w:tc>
          <w:tcPr>
            <w:tcW w:w="2369" w:type="dxa"/>
            <w:shd w:val="clear" w:color="auto" w:fill="BFBFBF" w:themeFill="background1" w:themeFillShade="BF"/>
          </w:tcPr>
          <w:p w14:paraId="32B64429" w14:textId="77777777" w:rsidR="00366AA7" w:rsidRPr="00866F16" w:rsidRDefault="00366AA7" w:rsidP="00866F16">
            <w:pPr>
              <w:pStyle w:val="ListParagraph"/>
              <w:numPr>
                <w:ilvl w:val="1"/>
                <w:numId w:val="55"/>
              </w:numPr>
              <w:suppressLineNumbers/>
              <w:tabs>
                <w:tab w:val="left" w:pos="412"/>
              </w:tabs>
              <w:suppressAutoHyphens/>
              <w:kinsoku w:val="0"/>
              <w:overflowPunct w:val="0"/>
              <w:autoSpaceDE w:val="0"/>
              <w:autoSpaceDN w:val="0"/>
              <w:adjustRightInd w:val="0"/>
              <w:snapToGrid w:val="0"/>
              <w:spacing w:before="60" w:after="60"/>
              <w:ind w:left="0" w:hanging="14"/>
              <w:jc w:val="left"/>
              <w:rPr>
                <w:kern w:val="22"/>
                <w:szCs w:val="22"/>
              </w:rPr>
            </w:pPr>
            <w:r w:rsidRPr="00866F16">
              <w:rPr>
                <w:kern w:val="22"/>
                <w:szCs w:val="22"/>
              </w:rPr>
              <w:t>Sustainable management of aquatic wild species of fauna and flora, including fisheries</w:t>
            </w:r>
          </w:p>
          <w:p w14:paraId="2C67E093" w14:textId="55A80FB8" w:rsidR="00366AA7" w:rsidRPr="00866F16" w:rsidRDefault="00366AA7" w:rsidP="00800629">
            <w:pPr>
              <w:pStyle w:val="ListParagraph"/>
              <w:numPr>
                <w:ilvl w:val="1"/>
                <w:numId w:val="55"/>
              </w:numPr>
              <w:suppressLineNumbers/>
              <w:tabs>
                <w:tab w:val="left" w:pos="412"/>
              </w:tabs>
              <w:suppressAutoHyphens/>
              <w:kinsoku w:val="0"/>
              <w:overflowPunct w:val="0"/>
              <w:autoSpaceDE w:val="0"/>
              <w:autoSpaceDN w:val="0"/>
              <w:adjustRightInd w:val="0"/>
              <w:snapToGrid w:val="0"/>
              <w:spacing w:before="60" w:after="60"/>
              <w:ind w:left="0" w:hanging="14"/>
              <w:jc w:val="left"/>
            </w:pPr>
            <w:r w:rsidRPr="00866F16">
              <w:rPr>
                <w:kern w:val="22"/>
                <w:szCs w:val="22"/>
              </w:rPr>
              <w:t>Sustainable management of terrestrial wild species of fauna and flora</w:t>
            </w:r>
          </w:p>
        </w:tc>
        <w:tc>
          <w:tcPr>
            <w:tcW w:w="3568" w:type="dxa"/>
            <w:shd w:val="clear" w:color="auto" w:fill="BFBFBF" w:themeFill="background1" w:themeFillShade="BF"/>
          </w:tcPr>
          <w:p w14:paraId="281F2778" w14:textId="77777777" w:rsidR="00366AA7" w:rsidRPr="00866F16" w:rsidRDefault="00366AA7" w:rsidP="00866F16">
            <w:pPr>
              <w:pStyle w:val="ListParagraph"/>
              <w:numPr>
                <w:ilvl w:val="2"/>
                <w:numId w:val="56"/>
              </w:numPr>
              <w:suppressLineNumbers/>
              <w:tabs>
                <w:tab w:val="left" w:pos="603"/>
              </w:tabs>
              <w:suppressAutoHyphens/>
              <w:kinsoku w:val="0"/>
              <w:overflowPunct w:val="0"/>
              <w:autoSpaceDE w:val="0"/>
              <w:autoSpaceDN w:val="0"/>
              <w:adjustRightInd w:val="0"/>
              <w:snapToGrid w:val="0"/>
              <w:spacing w:before="60" w:after="60"/>
              <w:ind w:left="36" w:hanging="36"/>
              <w:jc w:val="left"/>
              <w:rPr>
                <w:kern w:val="22"/>
                <w:szCs w:val="22"/>
              </w:rPr>
            </w:pPr>
            <w:r w:rsidRPr="00866F16">
              <w:rPr>
                <w:kern w:val="22"/>
                <w:szCs w:val="22"/>
              </w:rPr>
              <w:t>Average income of small-scale food producers, by sex and indigenous status (SDG indicator 2.3.2)</w:t>
            </w:r>
          </w:p>
        </w:tc>
        <w:tc>
          <w:tcPr>
            <w:tcW w:w="3827" w:type="dxa"/>
            <w:shd w:val="clear" w:color="auto" w:fill="BFBFBF" w:themeFill="background1" w:themeFillShade="BF"/>
          </w:tcPr>
          <w:p w14:paraId="4E39E5AF" w14:textId="77777777" w:rsidR="00366AA7" w:rsidRPr="00866F16" w:rsidRDefault="00366AA7" w:rsidP="00866F16">
            <w:pPr>
              <w:pStyle w:val="ListParagraph"/>
              <w:numPr>
                <w:ilvl w:val="3"/>
                <w:numId w:val="56"/>
              </w:numPr>
              <w:suppressLineNumbers/>
              <w:tabs>
                <w:tab w:val="left" w:pos="885"/>
              </w:tabs>
              <w:suppressAutoHyphens/>
              <w:kinsoku w:val="0"/>
              <w:overflowPunct w:val="0"/>
              <w:autoSpaceDE w:val="0"/>
              <w:autoSpaceDN w:val="0"/>
              <w:adjustRightInd w:val="0"/>
              <w:snapToGrid w:val="0"/>
              <w:spacing w:before="60" w:after="60"/>
              <w:ind w:left="76" w:firstLine="0"/>
              <w:jc w:val="left"/>
              <w:rPr>
                <w:kern w:val="22"/>
                <w:szCs w:val="22"/>
              </w:rPr>
            </w:pPr>
            <w:r w:rsidRPr="00866F16">
              <w:rPr>
                <w:kern w:val="22"/>
                <w:szCs w:val="22"/>
              </w:rPr>
              <w:t>Proportion of fish stocks within biologically sustainable levels (SDG indicator 14.4.1)</w:t>
            </w:r>
          </w:p>
          <w:p w14:paraId="1E2D422B" w14:textId="77777777" w:rsidR="00366AA7" w:rsidRPr="00866F16" w:rsidRDefault="00366AA7" w:rsidP="00866F16">
            <w:pPr>
              <w:pStyle w:val="ListParagraph"/>
              <w:numPr>
                <w:ilvl w:val="3"/>
                <w:numId w:val="56"/>
              </w:numPr>
              <w:suppressLineNumbers/>
              <w:tabs>
                <w:tab w:val="left" w:pos="885"/>
              </w:tabs>
              <w:suppressAutoHyphens/>
              <w:kinsoku w:val="0"/>
              <w:overflowPunct w:val="0"/>
              <w:autoSpaceDE w:val="0"/>
              <w:autoSpaceDN w:val="0"/>
              <w:adjustRightInd w:val="0"/>
              <w:snapToGrid w:val="0"/>
              <w:spacing w:before="60" w:after="60"/>
              <w:ind w:left="76" w:firstLine="0"/>
              <w:jc w:val="left"/>
              <w:rPr>
                <w:kern w:val="22"/>
                <w:szCs w:val="22"/>
              </w:rPr>
            </w:pPr>
            <w:r w:rsidRPr="00866F16">
              <w:rPr>
                <w:kern w:val="22"/>
                <w:szCs w:val="22"/>
              </w:rPr>
              <w:t xml:space="preserve">Degree of implementation of international instruments aiming to combat illegal, </w:t>
            </w:r>
            <w:proofErr w:type="gramStart"/>
            <w:r w:rsidRPr="00866F16">
              <w:rPr>
                <w:kern w:val="22"/>
                <w:szCs w:val="22"/>
              </w:rPr>
              <w:t>unreported</w:t>
            </w:r>
            <w:proofErr w:type="gramEnd"/>
            <w:r w:rsidRPr="00866F16">
              <w:rPr>
                <w:kern w:val="22"/>
                <w:szCs w:val="22"/>
              </w:rPr>
              <w:t xml:space="preserve"> and unregulated fishing (SDG indicator 14.6.1)</w:t>
            </w:r>
          </w:p>
          <w:p w14:paraId="49502C0F" w14:textId="77777777" w:rsidR="00366AA7" w:rsidRPr="00866F16" w:rsidRDefault="00366AA7" w:rsidP="00866F16">
            <w:pPr>
              <w:pStyle w:val="ListParagraph"/>
              <w:numPr>
                <w:ilvl w:val="3"/>
                <w:numId w:val="56"/>
              </w:numPr>
              <w:suppressLineNumbers/>
              <w:tabs>
                <w:tab w:val="left" w:pos="885"/>
              </w:tabs>
              <w:suppressAutoHyphens/>
              <w:kinsoku w:val="0"/>
              <w:overflowPunct w:val="0"/>
              <w:autoSpaceDE w:val="0"/>
              <w:autoSpaceDN w:val="0"/>
              <w:adjustRightInd w:val="0"/>
              <w:snapToGrid w:val="0"/>
              <w:spacing w:before="60" w:after="60"/>
              <w:ind w:left="76" w:firstLine="0"/>
              <w:jc w:val="left"/>
              <w:rPr>
                <w:kern w:val="22"/>
                <w:szCs w:val="22"/>
              </w:rPr>
            </w:pPr>
            <w:r w:rsidRPr="00866F16">
              <w:rPr>
                <w:kern w:val="22"/>
                <w:szCs w:val="22"/>
              </w:rPr>
              <w:t>Number of plant and animal genetic resources for food and agriculture secured in medium- or long-term conservation facilities (SDG indicator 2.5.1)</w:t>
            </w:r>
          </w:p>
          <w:p w14:paraId="23B71D62" w14:textId="77777777" w:rsidR="00366AA7" w:rsidRPr="00866F16" w:rsidRDefault="00366AA7" w:rsidP="00866F16">
            <w:pPr>
              <w:pStyle w:val="ListParagraph"/>
              <w:numPr>
                <w:ilvl w:val="3"/>
                <w:numId w:val="56"/>
              </w:numPr>
              <w:suppressLineNumbers/>
              <w:tabs>
                <w:tab w:val="left" w:pos="885"/>
              </w:tabs>
              <w:suppressAutoHyphens/>
              <w:kinsoku w:val="0"/>
              <w:overflowPunct w:val="0"/>
              <w:autoSpaceDE w:val="0"/>
              <w:autoSpaceDN w:val="0"/>
              <w:adjustRightInd w:val="0"/>
              <w:snapToGrid w:val="0"/>
              <w:spacing w:before="60" w:after="60"/>
              <w:ind w:left="76" w:firstLine="0"/>
              <w:jc w:val="left"/>
              <w:rPr>
                <w:kern w:val="22"/>
                <w:szCs w:val="22"/>
              </w:rPr>
            </w:pPr>
            <w:r w:rsidRPr="00866F16">
              <w:rPr>
                <w:kern w:val="22"/>
                <w:szCs w:val="22"/>
              </w:rPr>
              <w:t>Red List Index (species used for food and medicine)</w:t>
            </w:r>
          </w:p>
          <w:p w14:paraId="42EEFB96" w14:textId="77777777" w:rsidR="00366AA7" w:rsidRPr="00866F16" w:rsidRDefault="00366AA7" w:rsidP="00866F16">
            <w:pPr>
              <w:pStyle w:val="ListParagraph"/>
              <w:numPr>
                <w:ilvl w:val="3"/>
                <w:numId w:val="56"/>
              </w:numPr>
              <w:suppressLineNumbers/>
              <w:tabs>
                <w:tab w:val="left" w:pos="885"/>
              </w:tabs>
              <w:suppressAutoHyphens/>
              <w:kinsoku w:val="0"/>
              <w:overflowPunct w:val="0"/>
              <w:autoSpaceDE w:val="0"/>
              <w:autoSpaceDN w:val="0"/>
              <w:adjustRightInd w:val="0"/>
              <w:snapToGrid w:val="0"/>
              <w:spacing w:before="60" w:after="60"/>
              <w:ind w:left="76" w:firstLine="0"/>
              <w:jc w:val="left"/>
              <w:rPr>
                <w:kern w:val="22"/>
                <w:szCs w:val="22"/>
              </w:rPr>
            </w:pPr>
            <w:r w:rsidRPr="00866F16">
              <w:rPr>
                <w:kern w:val="22"/>
                <w:szCs w:val="22"/>
              </w:rPr>
              <w:lastRenderedPageBreak/>
              <w:t xml:space="preserve">Spawning stock biomass (related to commercially exploited species) </w:t>
            </w:r>
          </w:p>
          <w:p w14:paraId="6536922A" w14:textId="77777777" w:rsidR="00366AA7" w:rsidRPr="00866F16" w:rsidRDefault="00366AA7" w:rsidP="00866F16">
            <w:pPr>
              <w:pStyle w:val="ListParagraph"/>
              <w:numPr>
                <w:ilvl w:val="3"/>
                <w:numId w:val="56"/>
              </w:numPr>
              <w:suppressLineNumbers/>
              <w:tabs>
                <w:tab w:val="left" w:pos="885"/>
              </w:tabs>
              <w:suppressAutoHyphens/>
              <w:kinsoku w:val="0"/>
              <w:overflowPunct w:val="0"/>
              <w:autoSpaceDE w:val="0"/>
              <w:autoSpaceDN w:val="0"/>
              <w:adjustRightInd w:val="0"/>
              <w:snapToGrid w:val="0"/>
              <w:spacing w:before="60" w:after="60"/>
              <w:ind w:left="76" w:firstLine="0"/>
              <w:jc w:val="left"/>
              <w:rPr>
                <w:kern w:val="22"/>
                <w:szCs w:val="22"/>
              </w:rPr>
            </w:pPr>
            <w:r w:rsidRPr="00866F16">
              <w:rPr>
                <w:kern w:val="22"/>
                <w:szCs w:val="22"/>
              </w:rPr>
              <w:t>Volume of production per labour unit by classes of farming/pastoral/ forestry enterprise size (SDG indicator 2.3.1)</w:t>
            </w:r>
          </w:p>
        </w:tc>
      </w:tr>
      <w:tr w:rsidR="00366AA7" w:rsidRPr="00B324FA" w14:paraId="3F0D1068" w14:textId="77777777" w:rsidTr="0099764F">
        <w:trPr>
          <w:jc w:val="center"/>
        </w:trPr>
        <w:tc>
          <w:tcPr>
            <w:tcW w:w="2447" w:type="dxa"/>
            <w:shd w:val="clear" w:color="auto" w:fill="FFFFFF" w:themeFill="background1"/>
          </w:tcPr>
          <w:p w14:paraId="7C7851F6" w14:textId="77777777" w:rsidR="00366AA7" w:rsidRPr="00800629"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C32021">
              <w:rPr>
                <w:b/>
                <w:bCs/>
                <w:kern w:val="22"/>
                <w:szCs w:val="22"/>
              </w:rPr>
              <w:lastRenderedPageBreak/>
              <w:t>Target 9.</w:t>
            </w:r>
            <w:r w:rsidRPr="00C32021">
              <w:rPr>
                <w:kern w:val="22"/>
                <w:szCs w:val="22"/>
              </w:rPr>
              <w:t xml:space="preserve"> By 2030, support the productivity, </w:t>
            </w:r>
            <w:proofErr w:type="gramStart"/>
            <w:r w:rsidRPr="00C32021">
              <w:rPr>
                <w:kern w:val="22"/>
                <w:szCs w:val="22"/>
              </w:rPr>
              <w:t>sustainability</w:t>
            </w:r>
            <w:proofErr w:type="gramEnd"/>
            <w:r w:rsidRPr="00C32021">
              <w:rPr>
                <w:kern w:val="22"/>
                <w:szCs w:val="22"/>
              </w:rPr>
              <w:t xml:space="preserve"> and resilience of biodiversity in agricultural and other managed ecosystems through conservation and sustainable use of such ecosystems, reducing productivity gaps by at least [50%].</w:t>
            </w:r>
          </w:p>
        </w:tc>
        <w:tc>
          <w:tcPr>
            <w:tcW w:w="1959" w:type="dxa"/>
            <w:shd w:val="clear" w:color="auto" w:fill="FFFFFF" w:themeFill="background1"/>
          </w:tcPr>
          <w:p w14:paraId="2EED3C7C" w14:textId="77777777" w:rsidR="00366AA7" w:rsidRPr="00866F16"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866F16">
              <w:rPr>
                <w:kern w:val="22"/>
                <w:szCs w:val="22"/>
              </w:rPr>
              <w:t>9.0.1 Proportion of agricultural area under productive and sustainable agriculture</w:t>
            </w:r>
          </w:p>
        </w:tc>
        <w:tc>
          <w:tcPr>
            <w:tcW w:w="2369" w:type="dxa"/>
            <w:shd w:val="clear" w:color="auto" w:fill="FFFFFF" w:themeFill="background1"/>
          </w:tcPr>
          <w:p w14:paraId="5E362D19" w14:textId="77777777" w:rsidR="00366AA7" w:rsidRPr="00866F16" w:rsidRDefault="00366AA7" w:rsidP="00866F16">
            <w:pPr>
              <w:pStyle w:val="ListParagraph"/>
              <w:numPr>
                <w:ilvl w:val="1"/>
                <w:numId w:val="57"/>
              </w:numPr>
              <w:suppressLineNumbers/>
              <w:tabs>
                <w:tab w:val="left" w:pos="412"/>
              </w:tabs>
              <w:suppressAutoHyphens/>
              <w:kinsoku w:val="0"/>
              <w:overflowPunct w:val="0"/>
              <w:autoSpaceDE w:val="0"/>
              <w:autoSpaceDN w:val="0"/>
              <w:adjustRightInd w:val="0"/>
              <w:snapToGrid w:val="0"/>
              <w:spacing w:before="60" w:after="60"/>
              <w:ind w:left="0" w:firstLine="0"/>
              <w:jc w:val="left"/>
              <w:rPr>
                <w:kern w:val="22"/>
                <w:szCs w:val="22"/>
              </w:rPr>
            </w:pPr>
            <w:r w:rsidRPr="00866F16">
              <w:rPr>
                <w:kern w:val="22"/>
                <w:szCs w:val="22"/>
              </w:rPr>
              <w:t xml:space="preserve">Sustainable management of agricultural biodiversity, including soil biodiversity, cultivated </w:t>
            </w:r>
            <w:proofErr w:type="gramStart"/>
            <w:r w:rsidRPr="00866F16">
              <w:rPr>
                <w:kern w:val="22"/>
                <w:szCs w:val="22"/>
              </w:rPr>
              <w:t>plants</w:t>
            </w:r>
            <w:proofErr w:type="gramEnd"/>
            <w:r w:rsidRPr="00866F16">
              <w:rPr>
                <w:kern w:val="22"/>
                <w:szCs w:val="22"/>
              </w:rPr>
              <w:t xml:space="preserve"> and farmed and domesticated animals and of wild relatives</w:t>
            </w:r>
          </w:p>
          <w:p w14:paraId="5F6CFFEE" w14:textId="77777777" w:rsidR="00366AA7" w:rsidRPr="00866F16" w:rsidRDefault="00366AA7" w:rsidP="00866F16">
            <w:pPr>
              <w:pStyle w:val="ListParagraph"/>
              <w:numPr>
                <w:ilvl w:val="1"/>
                <w:numId w:val="57"/>
              </w:numPr>
              <w:suppressLineNumbers/>
              <w:tabs>
                <w:tab w:val="left" w:pos="412"/>
              </w:tabs>
              <w:suppressAutoHyphens/>
              <w:kinsoku w:val="0"/>
              <w:overflowPunct w:val="0"/>
              <w:autoSpaceDE w:val="0"/>
              <w:autoSpaceDN w:val="0"/>
              <w:adjustRightInd w:val="0"/>
              <w:snapToGrid w:val="0"/>
              <w:spacing w:before="60" w:after="60"/>
              <w:ind w:left="0" w:firstLine="0"/>
              <w:jc w:val="left"/>
              <w:rPr>
                <w:kern w:val="22"/>
                <w:szCs w:val="22"/>
              </w:rPr>
            </w:pPr>
            <w:r w:rsidRPr="00866F16">
              <w:rPr>
                <w:kern w:val="22"/>
                <w:szCs w:val="22"/>
              </w:rPr>
              <w:t>Sustainable management of aquaculture</w:t>
            </w:r>
          </w:p>
          <w:p w14:paraId="73A34438" w14:textId="77777777" w:rsidR="00366AA7" w:rsidRPr="00866F16" w:rsidRDefault="00366AA7" w:rsidP="00866F16">
            <w:pPr>
              <w:pStyle w:val="ListParagraph"/>
              <w:numPr>
                <w:ilvl w:val="1"/>
                <w:numId w:val="57"/>
              </w:numPr>
              <w:suppressLineNumbers/>
              <w:tabs>
                <w:tab w:val="left" w:pos="412"/>
              </w:tabs>
              <w:suppressAutoHyphens/>
              <w:kinsoku w:val="0"/>
              <w:overflowPunct w:val="0"/>
              <w:autoSpaceDE w:val="0"/>
              <w:autoSpaceDN w:val="0"/>
              <w:adjustRightInd w:val="0"/>
              <w:snapToGrid w:val="0"/>
              <w:spacing w:before="60" w:after="60"/>
              <w:ind w:left="0" w:firstLine="0"/>
              <w:jc w:val="left"/>
              <w:rPr>
                <w:kern w:val="22"/>
                <w:szCs w:val="22"/>
              </w:rPr>
            </w:pPr>
            <w:r w:rsidRPr="00866F16">
              <w:rPr>
                <w:kern w:val="22"/>
                <w:szCs w:val="22"/>
              </w:rPr>
              <w:t>Sustainable management of all types of forests</w:t>
            </w:r>
          </w:p>
        </w:tc>
        <w:tc>
          <w:tcPr>
            <w:tcW w:w="3568" w:type="dxa"/>
            <w:shd w:val="clear" w:color="auto" w:fill="FFFFFF" w:themeFill="background1"/>
          </w:tcPr>
          <w:p w14:paraId="597D14B9" w14:textId="77777777" w:rsidR="00366AA7" w:rsidRPr="00866F16" w:rsidRDefault="00366AA7" w:rsidP="00866F16">
            <w:pPr>
              <w:pStyle w:val="ListParagraph"/>
              <w:numPr>
                <w:ilvl w:val="2"/>
                <w:numId w:val="58"/>
              </w:numPr>
              <w:suppressLineNumbers/>
              <w:tabs>
                <w:tab w:val="left" w:pos="603"/>
              </w:tabs>
              <w:suppressAutoHyphens/>
              <w:kinsoku w:val="0"/>
              <w:overflowPunct w:val="0"/>
              <w:autoSpaceDE w:val="0"/>
              <w:autoSpaceDN w:val="0"/>
              <w:adjustRightInd w:val="0"/>
              <w:snapToGrid w:val="0"/>
              <w:spacing w:before="60" w:after="60"/>
              <w:ind w:left="36" w:hanging="36"/>
              <w:jc w:val="left"/>
              <w:rPr>
                <w:kern w:val="22"/>
                <w:szCs w:val="22"/>
              </w:rPr>
            </w:pPr>
            <w:r w:rsidRPr="00866F16">
              <w:rPr>
                <w:kern w:val="22"/>
                <w:szCs w:val="22"/>
              </w:rPr>
              <w:t xml:space="preserve">Changes in land productivity </w:t>
            </w:r>
          </w:p>
          <w:p w14:paraId="2E90EB21" w14:textId="77777777" w:rsidR="00366AA7" w:rsidRPr="00866F16" w:rsidRDefault="00366AA7" w:rsidP="00866F16">
            <w:pPr>
              <w:pStyle w:val="ListParagraph"/>
              <w:numPr>
                <w:ilvl w:val="2"/>
                <w:numId w:val="58"/>
              </w:numPr>
              <w:suppressLineNumbers/>
              <w:tabs>
                <w:tab w:val="left" w:pos="603"/>
              </w:tabs>
              <w:suppressAutoHyphens/>
              <w:kinsoku w:val="0"/>
              <w:overflowPunct w:val="0"/>
              <w:autoSpaceDE w:val="0"/>
              <w:autoSpaceDN w:val="0"/>
              <w:adjustRightInd w:val="0"/>
              <w:snapToGrid w:val="0"/>
              <w:spacing w:before="60" w:after="60"/>
              <w:ind w:left="36" w:hanging="36"/>
              <w:jc w:val="left"/>
              <w:rPr>
                <w:kern w:val="22"/>
                <w:szCs w:val="22"/>
              </w:rPr>
            </w:pPr>
            <w:r w:rsidRPr="00866F16">
              <w:rPr>
                <w:kern w:val="22"/>
                <w:szCs w:val="22"/>
              </w:rPr>
              <w:t>Proportion of land that is degraded over total land area (SDG indicator 15.3.1)</w:t>
            </w:r>
          </w:p>
          <w:p w14:paraId="08991660" w14:textId="77777777" w:rsidR="00366AA7" w:rsidRPr="00866F16" w:rsidRDefault="00366AA7" w:rsidP="00866F16">
            <w:pPr>
              <w:pStyle w:val="ListParagraph"/>
              <w:numPr>
                <w:ilvl w:val="2"/>
                <w:numId w:val="58"/>
              </w:numPr>
              <w:suppressLineNumbers/>
              <w:tabs>
                <w:tab w:val="left" w:pos="603"/>
              </w:tabs>
              <w:suppressAutoHyphens/>
              <w:kinsoku w:val="0"/>
              <w:overflowPunct w:val="0"/>
              <w:autoSpaceDE w:val="0"/>
              <w:autoSpaceDN w:val="0"/>
              <w:adjustRightInd w:val="0"/>
              <w:snapToGrid w:val="0"/>
              <w:spacing w:before="60" w:after="60"/>
              <w:ind w:left="36" w:hanging="36"/>
              <w:jc w:val="left"/>
              <w:rPr>
                <w:kern w:val="22"/>
                <w:szCs w:val="22"/>
              </w:rPr>
            </w:pPr>
            <w:r w:rsidRPr="00866F16">
              <w:rPr>
                <w:kern w:val="22"/>
                <w:szCs w:val="22"/>
              </w:rPr>
              <w:t>Number of plant and animal genetic resources for food and agriculture secured in either medium or long-term conservation facilities</w:t>
            </w:r>
          </w:p>
          <w:p w14:paraId="73FC1BFE" w14:textId="77777777" w:rsidR="00366AA7" w:rsidRPr="00866F16" w:rsidRDefault="00366AA7" w:rsidP="00866F16">
            <w:pPr>
              <w:pStyle w:val="ListParagraph"/>
              <w:numPr>
                <w:ilvl w:val="2"/>
                <w:numId w:val="58"/>
              </w:numPr>
              <w:suppressLineNumbers/>
              <w:tabs>
                <w:tab w:val="left" w:pos="603"/>
              </w:tabs>
              <w:suppressAutoHyphens/>
              <w:kinsoku w:val="0"/>
              <w:overflowPunct w:val="0"/>
              <w:autoSpaceDE w:val="0"/>
              <w:autoSpaceDN w:val="0"/>
              <w:adjustRightInd w:val="0"/>
              <w:snapToGrid w:val="0"/>
              <w:spacing w:before="60" w:after="60"/>
              <w:ind w:left="36" w:hanging="36"/>
              <w:jc w:val="left"/>
              <w:rPr>
                <w:kern w:val="22"/>
                <w:szCs w:val="22"/>
              </w:rPr>
            </w:pPr>
            <w:r w:rsidRPr="00866F16">
              <w:rPr>
                <w:kern w:val="22"/>
                <w:szCs w:val="22"/>
              </w:rPr>
              <w:t>Aquaculture production</w:t>
            </w:r>
          </w:p>
          <w:p w14:paraId="29CAC52D" w14:textId="31B5E56A" w:rsidR="00366AA7" w:rsidRPr="00866F16" w:rsidRDefault="00366AA7" w:rsidP="00866F16">
            <w:pPr>
              <w:pStyle w:val="ListParagraph"/>
              <w:numPr>
                <w:ilvl w:val="2"/>
                <w:numId w:val="58"/>
              </w:numPr>
              <w:suppressLineNumbers/>
              <w:tabs>
                <w:tab w:val="left" w:pos="603"/>
              </w:tabs>
              <w:suppressAutoHyphens/>
              <w:kinsoku w:val="0"/>
              <w:overflowPunct w:val="0"/>
              <w:autoSpaceDE w:val="0"/>
              <w:autoSpaceDN w:val="0"/>
              <w:adjustRightInd w:val="0"/>
              <w:snapToGrid w:val="0"/>
              <w:spacing w:before="60" w:after="60"/>
              <w:ind w:left="36" w:hanging="36"/>
              <w:jc w:val="left"/>
              <w:rPr>
                <w:kern w:val="22"/>
                <w:szCs w:val="22"/>
              </w:rPr>
            </w:pPr>
            <w:r w:rsidRPr="00866F16">
              <w:rPr>
                <w:kern w:val="22"/>
                <w:szCs w:val="22"/>
              </w:rPr>
              <w:t xml:space="preserve">Area of forest under sustainable management: total </w:t>
            </w:r>
            <w:r w:rsidR="00901ADD" w:rsidRPr="00B35074">
              <w:rPr>
                <w:kern w:val="22"/>
                <w:szCs w:val="22"/>
              </w:rPr>
              <w:t xml:space="preserve">forest management certification </w:t>
            </w:r>
            <w:r w:rsidR="00901ADD">
              <w:rPr>
                <w:kern w:val="22"/>
                <w:szCs w:val="22"/>
              </w:rPr>
              <w:t xml:space="preserve">by </w:t>
            </w:r>
            <w:r w:rsidR="00481A66">
              <w:rPr>
                <w:kern w:val="22"/>
                <w:szCs w:val="22"/>
              </w:rPr>
              <w:t>Forest Stewardship Council</w:t>
            </w:r>
            <w:r w:rsidR="00481A66" w:rsidRPr="00866F16">
              <w:rPr>
                <w:kern w:val="22"/>
                <w:szCs w:val="22"/>
              </w:rPr>
              <w:t xml:space="preserve"> </w:t>
            </w:r>
            <w:r w:rsidRPr="00866F16">
              <w:rPr>
                <w:kern w:val="22"/>
                <w:szCs w:val="22"/>
              </w:rPr>
              <w:t xml:space="preserve">and </w:t>
            </w:r>
            <w:r w:rsidR="00E33126" w:rsidRPr="00E33126">
              <w:rPr>
                <w:kern w:val="22"/>
                <w:szCs w:val="22"/>
              </w:rPr>
              <w:t>Programme for the Endorsement of Forest Certification</w:t>
            </w:r>
            <w:r w:rsidR="00E33126" w:rsidRPr="00E33126" w:rsidDel="00E33126">
              <w:rPr>
                <w:kern w:val="22"/>
                <w:szCs w:val="22"/>
              </w:rPr>
              <w:t xml:space="preserve"> </w:t>
            </w:r>
          </w:p>
        </w:tc>
        <w:tc>
          <w:tcPr>
            <w:tcW w:w="3827" w:type="dxa"/>
            <w:shd w:val="clear" w:color="auto" w:fill="FFFFFF" w:themeFill="background1"/>
          </w:tcPr>
          <w:p w14:paraId="62FB2A62" w14:textId="68F4DBB9" w:rsidR="00366AA7" w:rsidRPr="00866F16" w:rsidRDefault="00F6260C" w:rsidP="00866F16">
            <w:pPr>
              <w:pStyle w:val="ListParagraph"/>
              <w:suppressLineNumbers/>
              <w:tabs>
                <w:tab w:val="left" w:pos="885"/>
              </w:tabs>
              <w:suppressAutoHyphens/>
              <w:kinsoku w:val="0"/>
              <w:overflowPunct w:val="0"/>
              <w:autoSpaceDE w:val="0"/>
              <w:autoSpaceDN w:val="0"/>
              <w:adjustRightInd w:val="0"/>
              <w:snapToGrid w:val="0"/>
              <w:spacing w:before="60" w:after="60"/>
              <w:ind w:left="76"/>
              <w:jc w:val="left"/>
              <w:rPr>
                <w:kern w:val="22"/>
                <w:szCs w:val="22"/>
              </w:rPr>
            </w:pPr>
            <w:r w:rsidRPr="00866F16">
              <w:rPr>
                <w:kern w:val="22"/>
                <w:szCs w:val="22"/>
              </w:rPr>
              <w:t>9.1.1.1.</w:t>
            </w:r>
            <w:r w:rsidRPr="00866F16">
              <w:rPr>
                <w:kern w:val="22"/>
                <w:szCs w:val="22"/>
              </w:rPr>
              <w:tab/>
            </w:r>
            <w:r w:rsidR="00366AA7" w:rsidRPr="00866F16">
              <w:rPr>
                <w:kern w:val="22"/>
                <w:szCs w:val="22"/>
              </w:rPr>
              <w:t xml:space="preserve">Changes in soil organic carbon stocks </w:t>
            </w:r>
          </w:p>
          <w:p w14:paraId="5895E60A" w14:textId="1C70928A" w:rsidR="00366AA7" w:rsidRPr="00866F16" w:rsidRDefault="00F6260C" w:rsidP="00866F16">
            <w:pPr>
              <w:pStyle w:val="ListParagraph"/>
              <w:suppressLineNumbers/>
              <w:tabs>
                <w:tab w:val="left" w:pos="885"/>
              </w:tabs>
              <w:suppressAutoHyphens/>
              <w:kinsoku w:val="0"/>
              <w:overflowPunct w:val="0"/>
              <w:autoSpaceDE w:val="0"/>
              <w:autoSpaceDN w:val="0"/>
              <w:adjustRightInd w:val="0"/>
              <w:snapToGrid w:val="0"/>
              <w:spacing w:before="60" w:after="60"/>
              <w:ind w:left="76"/>
              <w:jc w:val="left"/>
              <w:rPr>
                <w:kern w:val="22"/>
                <w:szCs w:val="22"/>
              </w:rPr>
            </w:pPr>
            <w:r w:rsidRPr="00866F16">
              <w:rPr>
                <w:kern w:val="22"/>
                <w:szCs w:val="22"/>
              </w:rPr>
              <w:t>9.1.1.2.</w:t>
            </w:r>
            <w:r w:rsidRPr="00866F16">
              <w:rPr>
                <w:kern w:val="22"/>
                <w:szCs w:val="22"/>
              </w:rPr>
              <w:tab/>
            </w:r>
            <w:r w:rsidR="00366AA7" w:rsidRPr="00866F16">
              <w:rPr>
                <w:kern w:val="22"/>
                <w:szCs w:val="22"/>
              </w:rPr>
              <w:t xml:space="preserve">Red List Index (wild relatives of domesticated animals) </w:t>
            </w:r>
          </w:p>
          <w:p w14:paraId="09A6F1D1" w14:textId="3E2F3FEB" w:rsidR="00366AA7" w:rsidRPr="00866F16" w:rsidRDefault="00F6260C" w:rsidP="00866F16">
            <w:pPr>
              <w:pStyle w:val="ListParagraph"/>
              <w:suppressLineNumbers/>
              <w:tabs>
                <w:tab w:val="left" w:pos="885"/>
              </w:tabs>
              <w:suppressAutoHyphens/>
              <w:kinsoku w:val="0"/>
              <w:overflowPunct w:val="0"/>
              <w:autoSpaceDE w:val="0"/>
              <w:autoSpaceDN w:val="0"/>
              <w:adjustRightInd w:val="0"/>
              <w:snapToGrid w:val="0"/>
              <w:spacing w:before="60" w:after="60"/>
              <w:ind w:left="76"/>
              <w:jc w:val="left"/>
              <w:rPr>
                <w:kern w:val="22"/>
                <w:szCs w:val="22"/>
              </w:rPr>
            </w:pPr>
            <w:r w:rsidRPr="00866F16">
              <w:rPr>
                <w:kern w:val="22"/>
                <w:szCs w:val="22"/>
              </w:rPr>
              <w:t>9.1.1.3.</w:t>
            </w:r>
            <w:r w:rsidRPr="00866F16">
              <w:rPr>
                <w:kern w:val="22"/>
                <w:szCs w:val="22"/>
              </w:rPr>
              <w:tab/>
            </w:r>
            <w:r w:rsidR="00366AA7" w:rsidRPr="00866F16">
              <w:rPr>
                <w:kern w:val="22"/>
                <w:szCs w:val="22"/>
              </w:rPr>
              <w:t>Red List Index (pollinating species)</w:t>
            </w:r>
          </w:p>
          <w:p w14:paraId="64978CC8" w14:textId="7CCB7060" w:rsidR="00366AA7" w:rsidRPr="00866F16" w:rsidRDefault="00F6260C" w:rsidP="00866F16">
            <w:pPr>
              <w:pStyle w:val="ListParagraph"/>
              <w:suppressLineNumbers/>
              <w:tabs>
                <w:tab w:val="left" w:pos="885"/>
              </w:tabs>
              <w:suppressAutoHyphens/>
              <w:kinsoku w:val="0"/>
              <w:overflowPunct w:val="0"/>
              <w:autoSpaceDE w:val="0"/>
              <w:autoSpaceDN w:val="0"/>
              <w:adjustRightInd w:val="0"/>
              <w:snapToGrid w:val="0"/>
              <w:spacing w:before="60" w:after="60"/>
              <w:ind w:left="76"/>
              <w:jc w:val="left"/>
              <w:rPr>
                <w:kern w:val="22"/>
                <w:szCs w:val="22"/>
              </w:rPr>
            </w:pPr>
            <w:r w:rsidRPr="00866F16">
              <w:rPr>
                <w:kern w:val="22"/>
                <w:szCs w:val="22"/>
              </w:rPr>
              <w:t>9.1.1.4.</w:t>
            </w:r>
            <w:r w:rsidRPr="00866F16">
              <w:rPr>
                <w:kern w:val="22"/>
                <w:szCs w:val="22"/>
              </w:rPr>
              <w:tab/>
            </w:r>
            <w:r w:rsidR="00366AA7" w:rsidRPr="00866F16">
              <w:rPr>
                <w:kern w:val="22"/>
                <w:szCs w:val="22"/>
              </w:rPr>
              <w:t>Proportion of local breeds classified as being at risk of extinction</w:t>
            </w:r>
          </w:p>
          <w:p w14:paraId="272484F2" w14:textId="2B6FD98A" w:rsidR="00366AA7" w:rsidRPr="00866F16" w:rsidRDefault="00F6260C" w:rsidP="00800629">
            <w:pPr>
              <w:pStyle w:val="ListParagraph"/>
              <w:suppressLineNumbers/>
              <w:tabs>
                <w:tab w:val="left" w:pos="885"/>
              </w:tabs>
              <w:suppressAutoHyphens/>
              <w:kinsoku w:val="0"/>
              <w:overflowPunct w:val="0"/>
              <w:autoSpaceDE w:val="0"/>
              <w:autoSpaceDN w:val="0"/>
              <w:adjustRightInd w:val="0"/>
              <w:snapToGrid w:val="0"/>
              <w:spacing w:before="60" w:after="60"/>
              <w:ind w:left="76"/>
              <w:jc w:val="left"/>
            </w:pPr>
            <w:r w:rsidRPr="00866F16">
              <w:rPr>
                <w:kern w:val="22"/>
                <w:szCs w:val="22"/>
              </w:rPr>
              <w:t>9.1.1.5.</w:t>
            </w:r>
            <w:r w:rsidRPr="00866F16">
              <w:rPr>
                <w:kern w:val="22"/>
                <w:szCs w:val="22"/>
              </w:rPr>
              <w:tab/>
            </w:r>
            <w:r w:rsidR="00366AA7" w:rsidRPr="00866F16">
              <w:rPr>
                <w:kern w:val="22"/>
                <w:szCs w:val="22"/>
              </w:rPr>
              <w:t>Progress towards sustainable forest management (SDG indicator 15.2.1)</w:t>
            </w:r>
          </w:p>
        </w:tc>
      </w:tr>
      <w:tr w:rsidR="00366AA7" w:rsidRPr="00B324FA" w14:paraId="0A3E3D67" w14:textId="77777777" w:rsidTr="0099764F">
        <w:trPr>
          <w:jc w:val="center"/>
        </w:trPr>
        <w:tc>
          <w:tcPr>
            <w:tcW w:w="2447" w:type="dxa"/>
            <w:shd w:val="clear" w:color="auto" w:fill="BFBFBF" w:themeFill="background1" w:themeFillShade="BF"/>
          </w:tcPr>
          <w:p w14:paraId="733B2D1C" w14:textId="642C2E53" w:rsidR="00366AA7" w:rsidRPr="00800629"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C32021">
              <w:rPr>
                <w:b/>
                <w:bCs/>
                <w:kern w:val="22"/>
                <w:szCs w:val="22"/>
              </w:rPr>
              <w:t>Target 10</w:t>
            </w:r>
            <w:r w:rsidRPr="00800629">
              <w:rPr>
                <w:b/>
                <w:bCs/>
                <w:kern w:val="22"/>
                <w:szCs w:val="22"/>
              </w:rPr>
              <w:t>.</w:t>
            </w:r>
            <w:r w:rsidRPr="00C32021">
              <w:rPr>
                <w:kern w:val="22"/>
                <w:szCs w:val="22"/>
              </w:rPr>
              <w:t xml:space="preserve"> By 2030, ensure that nature</w:t>
            </w:r>
            <w:r w:rsidR="009D7FBD" w:rsidRPr="00C32021">
              <w:rPr>
                <w:kern w:val="22"/>
                <w:szCs w:val="22"/>
              </w:rPr>
              <w:t>-</w:t>
            </w:r>
            <w:r w:rsidRPr="00C32021">
              <w:rPr>
                <w:kern w:val="22"/>
                <w:szCs w:val="22"/>
              </w:rPr>
              <w:t>based solutions and ecosystem approach contribute to regulation of air quality, hazards and extreme events and quality and quantity of water for at least [XXX million] people</w:t>
            </w:r>
          </w:p>
        </w:tc>
        <w:tc>
          <w:tcPr>
            <w:tcW w:w="1959" w:type="dxa"/>
            <w:shd w:val="clear" w:color="auto" w:fill="BFBFBF" w:themeFill="background1" w:themeFillShade="BF"/>
          </w:tcPr>
          <w:p w14:paraId="403E8861" w14:textId="77777777" w:rsidR="00366AA7" w:rsidRPr="00866F16"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866F16">
              <w:rPr>
                <w:kern w:val="22"/>
                <w:szCs w:val="22"/>
              </w:rPr>
              <w:t>10.0.1 Population living in areas with clean air and clean and accessible water*</w:t>
            </w:r>
          </w:p>
          <w:p w14:paraId="3A02B8CC" w14:textId="77777777" w:rsidR="00366AA7" w:rsidRPr="00866F16"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866F16">
              <w:rPr>
                <w:kern w:val="22"/>
                <w:szCs w:val="22"/>
              </w:rPr>
              <w:t xml:space="preserve">10.0.2 Ecosystems providing reduced coastal erosion, flood protection </w:t>
            </w:r>
            <w:r w:rsidRPr="00866F16">
              <w:rPr>
                <w:kern w:val="22"/>
                <w:szCs w:val="22"/>
              </w:rPr>
              <w:lastRenderedPageBreak/>
              <w:t xml:space="preserve">and other </w:t>
            </w:r>
            <w:proofErr w:type="gramStart"/>
            <w:r w:rsidRPr="00866F16">
              <w:rPr>
                <w:kern w:val="22"/>
                <w:szCs w:val="22"/>
              </w:rPr>
              <w:t>services)*</w:t>
            </w:r>
            <w:proofErr w:type="gramEnd"/>
          </w:p>
        </w:tc>
        <w:tc>
          <w:tcPr>
            <w:tcW w:w="2369" w:type="dxa"/>
            <w:shd w:val="clear" w:color="auto" w:fill="BFBFBF" w:themeFill="background1" w:themeFillShade="BF"/>
          </w:tcPr>
          <w:p w14:paraId="15782F7F" w14:textId="77777777" w:rsidR="00366AA7" w:rsidRPr="00866F16" w:rsidRDefault="00366AA7" w:rsidP="00866F16">
            <w:pPr>
              <w:pStyle w:val="ListParagraph"/>
              <w:numPr>
                <w:ilvl w:val="1"/>
                <w:numId w:val="60"/>
              </w:numPr>
              <w:suppressLineNumbers/>
              <w:tabs>
                <w:tab w:val="left" w:pos="553"/>
              </w:tabs>
              <w:suppressAutoHyphens/>
              <w:kinsoku w:val="0"/>
              <w:overflowPunct w:val="0"/>
              <w:autoSpaceDE w:val="0"/>
              <w:autoSpaceDN w:val="0"/>
              <w:adjustRightInd w:val="0"/>
              <w:snapToGrid w:val="0"/>
              <w:spacing w:before="60" w:after="60"/>
              <w:ind w:left="0" w:hanging="14"/>
              <w:jc w:val="left"/>
              <w:rPr>
                <w:kern w:val="22"/>
                <w:szCs w:val="22"/>
              </w:rPr>
            </w:pPr>
            <w:r w:rsidRPr="00866F16">
              <w:rPr>
                <w:kern w:val="22"/>
                <w:szCs w:val="22"/>
              </w:rPr>
              <w:lastRenderedPageBreak/>
              <w:t>Regulation of air quality</w:t>
            </w:r>
          </w:p>
          <w:p w14:paraId="3EC2D641" w14:textId="77777777" w:rsidR="00366AA7" w:rsidRPr="00866F16" w:rsidRDefault="00366AA7" w:rsidP="00866F16">
            <w:pPr>
              <w:pStyle w:val="ListParagraph"/>
              <w:numPr>
                <w:ilvl w:val="1"/>
                <w:numId w:val="60"/>
              </w:numPr>
              <w:suppressLineNumbers/>
              <w:tabs>
                <w:tab w:val="left" w:pos="553"/>
              </w:tabs>
              <w:suppressAutoHyphens/>
              <w:kinsoku w:val="0"/>
              <w:overflowPunct w:val="0"/>
              <w:autoSpaceDE w:val="0"/>
              <w:autoSpaceDN w:val="0"/>
              <w:adjustRightInd w:val="0"/>
              <w:snapToGrid w:val="0"/>
              <w:spacing w:before="60" w:after="60"/>
              <w:ind w:left="0" w:hanging="14"/>
              <w:jc w:val="left"/>
              <w:rPr>
                <w:kern w:val="22"/>
                <w:szCs w:val="22"/>
              </w:rPr>
            </w:pPr>
            <w:r w:rsidRPr="00866F16">
              <w:rPr>
                <w:kern w:val="22"/>
                <w:szCs w:val="22"/>
              </w:rPr>
              <w:t>Regulation of hazards and extreme events</w:t>
            </w:r>
          </w:p>
          <w:p w14:paraId="3934E159" w14:textId="04D2753F" w:rsidR="00366AA7" w:rsidRPr="00866F16" w:rsidRDefault="00366AA7" w:rsidP="00800629">
            <w:pPr>
              <w:pStyle w:val="ListParagraph"/>
              <w:numPr>
                <w:ilvl w:val="1"/>
                <w:numId w:val="60"/>
              </w:numPr>
              <w:suppressLineNumbers/>
              <w:tabs>
                <w:tab w:val="left" w:pos="553"/>
              </w:tabs>
              <w:suppressAutoHyphens/>
              <w:kinsoku w:val="0"/>
              <w:overflowPunct w:val="0"/>
              <w:autoSpaceDE w:val="0"/>
              <w:autoSpaceDN w:val="0"/>
              <w:adjustRightInd w:val="0"/>
              <w:snapToGrid w:val="0"/>
              <w:spacing w:before="60" w:after="60"/>
              <w:ind w:left="0" w:hanging="14"/>
              <w:jc w:val="left"/>
            </w:pPr>
            <w:r w:rsidRPr="00866F16">
              <w:rPr>
                <w:kern w:val="22"/>
                <w:szCs w:val="22"/>
              </w:rPr>
              <w:t xml:space="preserve">Regulation of freshwater quantity, quality, </w:t>
            </w:r>
            <w:proofErr w:type="gramStart"/>
            <w:r w:rsidRPr="00866F16">
              <w:rPr>
                <w:kern w:val="22"/>
                <w:szCs w:val="22"/>
              </w:rPr>
              <w:t>location</w:t>
            </w:r>
            <w:proofErr w:type="gramEnd"/>
            <w:r w:rsidRPr="00866F16">
              <w:rPr>
                <w:kern w:val="22"/>
                <w:szCs w:val="22"/>
              </w:rPr>
              <w:t xml:space="preserve"> and timing</w:t>
            </w:r>
          </w:p>
        </w:tc>
        <w:tc>
          <w:tcPr>
            <w:tcW w:w="3568" w:type="dxa"/>
            <w:shd w:val="clear" w:color="auto" w:fill="BFBFBF" w:themeFill="background1" w:themeFillShade="BF"/>
          </w:tcPr>
          <w:p w14:paraId="3CB5F783" w14:textId="77777777" w:rsidR="00366AA7" w:rsidRPr="00866F16" w:rsidRDefault="00366AA7" w:rsidP="00866F16">
            <w:pPr>
              <w:pStyle w:val="ListParagraph"/>
              <w:numPr>
                <w:ilvl w:val="2"/>
                <w:numId w:val="61"/>
              </w:numPr>
              <w:suppressLineNumbers/>
              <w:tabs>
                <w:tab w:val="left" w:pos="745"/>
              </w:tabs>
              <w:suppressAutoHyphens/>
              <w:kinsoku w:val="0"/>
              <w:overflowPunct w:val="0"/>
              <w:autoSpaceDE w:val="0"/>
              <w:autoSpaceDN w:val="0"/>
              <w:adjustRightInd w:val="0"/>
              <w:snapToGrid w:val="0"/>
              <w:spacing w:before="60" w:after="60"/>
              <w:ind w:left="36" w:hanging="36"/>
              <w:jc w:val="left"/>
              <w:rPr>
                <w:kern w:val="22"/>
                <w:szCs w:val="22"/>
              </w:rPr>
            </w:pPr>
            <w:r w:rsidRPr="00866F16">
              <w:rPr>
                <w:kern w:val="22"/>
                <w:szCs w:val="22"/>
              </w:rPr>
              <w:t>Mortality rate attributed to household and ambient air pollution (SDG indicator 3.9.1)</w:t>
            </w:r>
          </w:p>
          <w:p w14:paraId="2BE530D0" w14:textId="77777777" w:rsidR="00366AA7" w:rsidRPr="00866F16" w:rsidRDefault="00366AA7" w:rsidP="00866F16">
            <w:pPr>
              <w:pStyle w:val="ListParagraph"/>
              <w:numPr>
                <w:ilvl w:val="2"/>
                <w:numId w:val="61"/>
              </w:numPr>
              <w:suppressLineNumbers/>
              <w:tabs>
                <w:tab w:val="left" w:pos="745"/>
              </w:tabs>
              <w:suppressAutoHyphens/>
              <w:kinsoku w:val="0"/>
              <w:overflowPunct w:val="0"/>
              <w:autoSpaceDE w:val="0"/>
              <w:autoSpaceDN w:val="0"/>
              <w:adjustRightInd w:val="0"/>
              <w:snapToGrid w:val="0"/>
              <w:spacing w:before="60" w:after="60"/>
              <w:ind w:left="36" w:hanging="36"/>
              <w:jc w:val="left"/>
              <w:rPr>
                <w:kern w:val="22"/>
                <w:szCs w:val="22"/>
              </w:rPr>
            </w:pPr>
            <w:r w:rsidRPr="00866F16">
              <w:rPr>
                <w:kern w:val="22"/>
                <w:szCs w:val="22"/>
              </w:rPr>
              <w:t>Number of deaths, missing persons and directly affected persons attributed to disasters per 100,000 population (SDG indicator 11.5.1)</w:t>
            </w:r>
          </w:p>
          <w:p w14:paraId="128E5556" w14:textId="77777777" w:rsidR="00366AA7" w:rsidRPr="00866F16" w:rsidRDefault="00366AA7" w:rsidP="00866F16">
            <w:pPr>
              <w:pStyle w:val="ListParagraph"/>
              <w:numPr>
                <w:ilvl w:val="2"/>
                <w:numId w:val="61"/>
              </w:numPr>
              <w:suppressLineNumbers/>
              <w:tabs>
                <w:tab w:val="left" w:pos="745"/>
              </w:tabs>
              <w:suppressAutoHyphens/>
              <w:kinsoku w:val="0"/>
              <w:overflowPunct w:val="0"/>
              <w:autoSpaceDE w:val="0"/>
              <w:autoSpaceDN w:val="0"/>
              <w:adjustRightInd w:val="0"/>
              <w:snapToGrid w:val="0"/>
              <w:spacing w:before="60" w:after="60"/>
              <w:ind w:left="36" w:hanging="36"/>
              <w:jc w:val="left"/>
              <w:rPr>
                <w:kern w:val="22"/>
                <w:szCs w:val="22"/>
              </w:rPr>
            </w:pPr>
            <w:r w:rsidRPr="00866F16">
              <w:rPr>
                <w:kern w:val="22"/>
                <w:szCs w:val="22"/>
              </w:rPr>
              <w:t xml:space="preserve">Mortality rate attributed to unsafe water, unsafe </w:t>
            </w:r>
            <w:proofErr w:type="gramStart"/>
            <w:r w:rsidRPr="00866F16">
              <w:rPr>
                <w:kern w:val="22"/>
                <w:szCs w:val="22"/>
              </w:rPr>
              <w:t>sanitation</w:t>
            </w:r>
            <w:proofErr w:type="gramEnd"/>
            <w:r w:rsidRPr="00866F16">
              <w:rPr>
                <w:kern w:val="22"/>
                <w:szCs w:val="22"/>
              </w:rPr>
              <w:t xml:space="preserve"> and lack of hygiene (exposure to unsafe </w:t>
            </w:r>
            <w:r w:rsidRPr="00866F16">
              <w:rPr>
                <w:kern w:val="22"/>
                <w:szCs w:val="22"/>
              </w:rPr>
              <w:lastRenderedPageBreak/>
              <w:t>Water, Sanitation and Hygiene for All (WASH) services) (SDG indicator 3.9.2)</w:t>
            </w:r>
          </w:p>
          <w:p w14:paraId="796C7970" w14:textId="77777777" w:rsidR="00366AA7" w:rsidRPr="00866F16" w:rsidRDefault="00366AA7" w:rsidP="00866F16">
            <w:pPr>
              <w:pStyle w:val="ListParagraph"/>
              <w:numPr>
                <w:ilvl w:val="2"/>
                <w:numId w:val="61"/>
              </w:numPr>
              <w:suppressLineNumbers/>
              <w:tabs>
                <w:tab w:val="left" w:pos="745"/>
              </w:tabs>
              <w:suppressAutoHyphens/>
              <w:kinsoku w:val="0"/>
              <w:overflowPunct w:val="0"/>
              <w:autoSpaceDE w:val="0"/>
              <w:autoSpaceDN w:val="0"/>
              <w:adjustRightInd w:val="0"/>
              <w:snapToGrid w:val="0"/>
              <w:spacing w:before="60" w:after="60"/>
              <w:ind w:left="36" w:hanging="36"/>
              <w:jc w:val="left"/>
              <w:rPr>
                <w:kern w:val="22"/>
                <w:szCs w:val="22"/>
              </w:rPr>
            </w:pPr>
            <w:r w:rsidRPr="00866F16">
              <w:rPr>
                <w:kern w:val="22"/>
                <w:szCs w:val="22"/>
              </w:rPr>
              <w:t>Mortality rate attributed to unintentional poisoning (SDG indicator 3.9.3)</w:t>
            </w:r>
          </w:p>
        </w:tc>
        <w:tc>
          <w:tcPr>
            <w:tcW w:w="3827" w:type="dxa"/>
            <w:shd w:val="clear" w:color="auto" w:fill="BFBFBF" w:themeFill="background1" w:themeFillShade="BF"/>
          </w:tcPr>
          <w:p w14:paraId="517BBC8A" w14:textId="77777777" w:rsidR="00366AA7" w:rsidRPr="00866F16" w:rsidRDefault="00366AA7" w:rsidP="00866F16">
            <w:pPr>
              <w:pStyle w:val="ListParagraph"/>
              <w:numPr>
                <w:ilvl w:val="3"/>
                <w:numId w:val="62"/>
              </w:numPr>
              <w:suppressLineNumbers/>
              <w:tabs>
                <w:tab w:val="left" w:pos="926"/>
              </w:tabs>
              <w:suppressAutoHyphens/>
              <w:kinsoku w:val="0"/>
              <w:overflowPunct w:val="0"/>
              <w:autoSpaceDE w:val="0"/>
              <w:autoSpaceDN w:val="0"/>
              <w:adjustRightInd w:val="0"/>
              <w:snapToGrid w:val="0"/>
              <w:spacing w:before="60" w:after="60"/>
              <w:ind w:left="76" w:firstLine="0"/>
              <w:jc w:val="left"/>
              <w:rPr>
                <w:kern w:val="22"/>
                <w:szCs w:val="22"/>
              </w:rPr>
            </w:pPr>
            <w:r w:rsidRPr="00866F16">
              <w:rPr>
                <w:kern w:val="22"/>
                <w:szCs w:val="22"/>
              </w:rPr>
              <w:lastRenderedPageBreak/>
              <w:t xml:space="preserve"> Air emission accounts</w:t>
            </w:r>
          </w:p>
          <w:p w14:paraId="12FCE7E8" w14:textId="77777777" w:rsidR="00366AA7" w:rsidRPr="00866F16" w:rsidRDefault="00366AA7" w:rsidP="00866F16">
            <w:pPr>
              <w:pStyle w:val="ListParagraph"/>
              <w:numPr>
                <w:ilvl w:val="3"/>
                <w:numId w:val="62"/>
              </w:numPr>
              <w:suppressLineNumbers/>
              <w:tabs>
                <w:tab w:val="left" w:pos="926"/>
              </w:tabs>
              <w:suppressAutoHyphens/>
              <w:kinsoku w:val="0"/>
              <w:overflowPunct w:val="0"/>
              <w:autoSpaceDE w:val="0"/>
              <w:autoSpaceDN w:val="0"/>
              <w:adjustRightInd w:val="0"/>
              <w:snapToGrid w:val="0"/>
              <w:spacing w:before="60" w:after="60"/>
              <w:ind w:left="76" w:firstLine="0"/>
              <w:jc w:val="left"/>
              <w:rPr>
                <w:kern w:val="22"/>
                <w:szCs w:val="22"/>
              </w:rPr>
            </w:pPr>
            <w:r w:rsidRPr="00866F16">
              <w:rPr>
                <w:kern w:val="22"/>
                <w:szCs w:val="22"/>
              </w:rPr>
              <w:t>Proportion of local administrative units with established and operational policies and procedures for participation of local communities in water and sanitation management (SDG indicator 6.b.1)</w:t>
            </w:r>
          </w:p>
          <w:p w14:paraId="0B5966BB" w14:textId="77777777" w:rsidR="00366AA7" w:rsidRPr="00866F16" w:rsidRDefault="00366AA7" w:rsidP="00866F16">
            <w:pPr>
              <w:pStyle w:val="ListParagraph"/>
              <w:numPr>
                <w:ilvl w:val="3"/>
                <w:numId w:val="62"/>
              </w:numPr>
              <w:suppressLineNumbers/>
              <w:tabs>
                <w:tab w:val="left" w:pos="926"/>
              </w:tabs>
              <w:suppressAutoHyphens/>
              <w:kinsoku w:val="0"/>
              <w:overflowPunct w:val="0"/>
              <w:autoSpaceDE w:val="0"/>
              <w:autoSpaceDN w:val="0"/>
              <w:adjustRightInd w:val="0"/>
              <w:snapToGrid w:val="0"/>
              <w:spacing w:before="60" w:after="60"/>
              <w:ind w:left="76" w:firstLine="0"/>
              <w:jc w:val="left"/>
              <w:rPr>
                <w:kern w:val="22"/>
                <w:szCs w:val="22"/>
              </w:rPr>
            </w:pPr>
            <w:r w:rsidRPr="00866F16">
              <w:rPr>
                <w:kern w:val="22"/>
                <w:szCs w:val="22"/>
              </w:rPr>
              <w:t>Proportion of population using safely managed drinking water services (SDG indicator 6.1.1)</w:t>
            </w:r>
          </w:p>
          <w:p w14:paraId="7FC6D74A" w14:textId="77777777" w:rsidR="00366AA7" w:rsidRPr="00866F16" w:rsidRDefault="00366AA7" w:rsidP="00866F16">
            <w:pPr>
              <w:suppressLineNumbers/>
              <w:tabs>
                <w:tab w:val="left" w:pos="218"/>
                <w:tab w:val="left" w:pos="359"/>
              </w:tabs>
              <w:suppressAutoHyphens/>
              <w:kinsoku w:val="0"/>
              <w:overflowPunct w:val="0"/>
              <w:autoSpaceDE w:val="0"/>
              <w:autoSpaceDN w:val="0"/>
              <w:adjustRightInd w:val="0"/>
              <w:snapToGrid w:val="0"/>
              <w:spacing w:before="60" w:after="60"/>
              <w:ind w:left="-66"/>
              <w:jc w:val="left"/>
              <w:rPr>
                <w:kern w:val="22"/>
                <w:szCs w:val="22"/>
              </w:rPr>
            </w:pPr>
          </w:p>
        </w:tc>
      </w:tr>
      <w:tr w:rsidR="00366AA7" w:rsidRPr="00B324FA" w14:paraId="61FBB9A7" w14:textId="77777777" w:rsidTr="0099764F">
        <w:trPr>
          <w:jc w:val="center"/>
        </w:trPr>
        <w:tc>
          <w:tcPr>
            <w:tcW w:w="2447" w:type="dxa"/>
            <w:shd w:val="clear" w:color="auto" w:fill="FFFFFF" w:themeFill="background1"/>
          </w:tcPr>
          <w:p w14:paraId="10C6544A" w14:textId="77777777" w:rsidR="00366AA7" w:rsidRPr="00866F16"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866F16">
              <w:rPr>
                <w:b/>
                <w:bCs/>
                <w:kern w:val="22"/>
                <w:szCs w:val="22"/>
              </w:rPr>
              <w:lastRenderedPageBreak/>
              <w:t>Target 11.</w:t>
            </w:r>
            <w:r w:rsidRPr="00866F16">
              <w:rPr>
                <w:kern w:val="22"/>
                <w:szCs w:val="22"/>
              </w:rPr>
              <w:t xml:space="preserve"> By 2030, increase benefits from biodiversity and green/blue spaces for human health and wellbeing, including the proportion of people with access to such spaces by at least [100%], especially for urban dwellers.</w:t>
            </w:r>
          </w:p>
        </w:tc>
        <w:tc>
          <w:tcPr>
            <w:tcW w:w="1959" w:type="dxa"/>
            <w:shd w:val="clear" w:color="auto" w:fill="FFFFFF" w:themeFill="background1"/>
          </w:tcPr>
          <w:p w14:paraId="239C5361" w14:textId="0DFA0205" w:rsidR="00366AA7" w:rsidRPr="00866F16"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866F16">
              <w:rPr>
                <w:kern w:val="22"/>
                <w:szCs w:val="22"/>
              </w:rPr>
              <w:t>11.0.1</w:t>
            </w:r>
            <w:r w:rsidR="009D0B42">
              <w:rPr>
                <w:kern w:val="22"/>
                <w:szCs w:val="22"/>
              </w:rPr>
              <w:tab/>
            </w:r>
            <w:r w:rsidRPr="00866F16">
              <w:rPr>
                <w:kern w:val="22"/>
                <w:szCs w:val="22"/>
              </w:rPr>
              <w:t>Average share of the built-up area of cities that is green/blue space for public use for all</w:t>
            </w:r>
          </w:p>
        </w:tc>
        <w:tc>
          <w:tcPr>
            <w:tcW w:w="2369" w:type="dxa"/>
            <w:shd w:val="clear" w:color="auto" w:fill="FFFFFF" w:themeFill="background1"/>
          </w:tcPr>
          <w:p w14:paraId="3F37886E" w14:textId="77777777" w:rsidR="00366AA7" w:rsidRPr="00866F16" w:rsidRDefault="00366AA7" w:rsidP="00866F16">
            <w:pPr>
              <w:pStyle w:val="ListParagraph"/>
              <w:numPr>
                <w:ilvl w:val="1"/>
                <w:numId w:val="63"/>
              </w:numPr>
              <w:suppressLineNumbers/>
              <w:tabs>
                <w:tab w:val="left" w:pos="270"/>
              </w:tabs>
              <w:suppressAutoHyphens/>
              <w:kinsoku w:val="0"/>
              <w:overflowPunct w:val="0"/>
              <w:autoSpaceDE w:val="0"/>
              <w:autoSpaceDN w:val="0"/>
              <w:adjustRightInd w:val="0"/>
              <w:snapToGrid w:val="0"/>
              <w:spacing w:before="60" w:after="60"/>
              <w:ind w:left="0" w:firstLine="0"/>
              <w:jc w:val="left"/>
              <w:rPr>
                <w:kern w:val="22"/>
                <w:szCs w:val="22"/>
              </w:rPr>
            </w:pPr>
            <w:r w:rsidRPr="00866F16">
              <w:rPr>
                <w:kern w:val="22"/>
                <w:szCs w:val="22"/>
              </w:rPr>
              <w:t>Access to green/blue spaces</w:t>
            </w:r>
          </w:p>
          <w:p w14:paraId="5079B5C8" w14:textId="77777777" w:rsidR="00366AA7" w:rsidRPr="00866F16" w:rsidRDefault="00366AA7" w:rsidP="00866F16">
            <w:pPr>
              <w:pStyle w:val="ListParagraph"/>
              <w:numPr>
                <w:ilvl w:val="1"/>
                <w:numId w:val="63"/>
              </w:numPr>
              <w:suppressLineNumbers/>
              <w:tabs>
                <w:tab w:val="left" w:pos="270"/>
              </w:tabs>
              <w:suppressAutoHyphens/>
              <w:kinsoku w:val="0"/>
              <w:overflowPunct w:val="0"/>
              <w:autoSpaceDE w:val="0"/>
              <w:autoSpaceDN w:val="0"/>
              <w:adjustRightInd w:val="0"/>
              <w:snapToGrid w:val="0"/>
              <w:spacing w:before="60" w:after="60"/>
              <w:ind w:left="0" w:firstLine="0"/>
              <w:jc w:val="left"/>
              <w:rPr>
                <w:kern w:val="22"/>
                <w:szCs w:val="22"/>
              </w:rPr>
            </w:pPr>
            <w:r w:rsidRPr="00866F16">
              <w:rPr>
                <w:kern w:val="22"/>
                <w:szCs w:val="22"/>
              </w:rPr>
              <w:t>Contributions of biodiversity to human health and well-being</w:t>
            </w:r>
          </w:p>
        </w:tc>
        <w:tc>
          <w:tcPr>
            <w:tcW w:w="3568" w:type="dxa"/>
            <w:shd w:val="clear" w:color="auto" w:fill="FFFFFF" w:themeFill="background1"/>
          </w:tcPr>
          <w:p w14:paraId="683FA0FB" w14:textId="2B74210A" w:rsidR="00366AA7" w:rsidRPr="00866F16" w:rsidRDefault="00366AA7" w:rsidP="00866F16">
            <w:pPr>
              <w:pStyle w:val="ListParagraph"/>
              <w:numPr>
                <w:ilvl w:val="3"/>
                <w:numId w:val="64"/>
              </w:numPr>
              <w:suppressLineNumbers/>
              <w:tabs>
                <w:tab w:val="left" w:pos="900"/>
              </w:tabs>
              <w:suppressAutoHyphens/>
              <w:kinsoku w:val="0"/>
              <w:overflowPunct w:val="0"/>
              <w:autoSpaceDE w:val="0"/>
              <w:autoSpaceDN w:val="0"/>
              <w:adjustRightInd w:val="0"/>
              <w:snapToGrid w:val="0"/>
              <w:spacing w:before="60" w:after="60"/>
              <w:ind w:left="26" w:hanging="26"/>
              <w:jc w:val="left"/>
              <w:rPr>
                <w:kern w:val="22"/>
                <w:szCs w:val="22"/>
              </w:rPr>
            </w:pPr>
            <w:r w:rsidRPr="00866F16">
              <w:rPr>
                <w:kern w:val="22"/>
                <w:szCs w:val="22"/>
              </w:rPr>
              <w:t>Average distance to green/blue space for public use (modification of SDG indicator 11.7.1)</w:t>
            </w:r>
          </w:p>
          <w:p w14:paraId="6C0FA987" w14:textId="2124361B" w:rsidR="00366AA7" w:rsidRPr="00866F16" w:rsidRDefault="00366AA7" w:rsidP="00866F16">
            <w:pPr>
              <w:pStyle w:val="ListParagraph"/>
              <w:numPr>
                <w:ilvl w:val="3"/>
                <w:numId w:val="64"/>
              </w:numPr>
              <w:suppressLineNumbers/>
              <w:tabs>
                <w:tab w:val="left" w:pos="900"/>
              </w:tabs>
              <w:suppressAutoHyphens/>
              <w:kinsoku w:val="0"/>
              <w:overflowPunct w:val="0"/>
              <w:autoSpaceDE w:val="0"/>
              <w:autoSpaceDN w:val="0"/>
              <w:adjustRightInd w:val="0"/>
              <w:snapToGrid w:val="0"/>
              <w:spacing w:before="60" w:after="60"/>
              <w:ind w:left="26" w:hanging="26"/>
              <w:jc w:val="left"/>
              <w:rPr>
                <w:kern w:val="22"/>
                <w:szCs w:val="22"/>
              </w:rPr>
            </w:pPr>
            <w:r w:rsidRPr="00866F16">
              <w:rPr>
                <w:kern w:val="22"/>
                <w:szCs w:val="22"/>
              </w:rPr>
              <w:t>Ratio of land consumption rate to population growth rate (SDG indicator 11.3.1)</w:t>
            </w:r>
          </w:p>
        </w:tc>
        <w:tc>
          <w:tcPr>
            <w:tcW w:w="3827" w:type="dxa"/>
            <w:shd w:val="clear" w:color="auto" w:fill="FFFFFF" w:themeFill="background1"/>
          </w:tcPr>
          <w:p w14:paraId="2FE792E9" w14:textId="77777777" w:rsidR="00366AA7" w:rsidRPr="00866F16" w:rsidRDefault="00366AA7" w:rsidP="00866F16">
            <w:pPr>
              <w:suppressLineNumbers/>
              <w:tabs>
                <w:tab w:val="left" w:pos="218"/>
                <w:tab w:val="left" w:pos="359"/>
              </w:tabs>
              <w:suppressAutoHyphens/>
              <w:kinsoku w:val="0"/>
              <w:overflowPunct w:val="0"/>
              <w:autoSpaceDE w:val="0"/>
              <w:autoSpaceDN w:val="0"/>
              <w:adjustRightInd w:val="0"/>
              <w:snapToGrid w:val="0"/>
              <w:spacing w:before="60" w:after="60"/>
              <w:jc w:val="left"/>
              <w:rPr>
                <w:kern w:val="22"/>
                <w:szCs w:val="22"/>
              </w:rPr>
            </w:pPr>
          </w:p>
        </w:tc>
      </w:tr>
      <w:tr w:rsidR="00366AA7" w:rsidRPr="00B324FA" w14:paraId="02591EFC" w14:textId="77777777" w:rsidTr="0099764F">
        <w:trPr>
          <w:jc w:val="center"/>
        </w:trPr>
        <w:tc>
          <w:tcPr>
            <w:tcW w:w="2447" w:type="dxa"/>
            <w:shd w:val="clear" w:color="auto" w:fill="BFBFBF" w:themeFill="background1" w:themeFillShade="BF"/>
          </w:tcPr>
          <w:p w14:paraId="110E20AD" w14:textId="0BA0305C" w:rsidR="00366AA7" w:rsidRPr="00866F16"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866F16">
              <w:rPr>
                <w:b/>
                <w:bCs/>
                <w:kern w:val="22"/>
                <w:szCs w:val="22"/>
              </w:rPr>
              <w:t>Target 12.</w:t>
            </w:r>
            <w:r w:rsidRPr="00866F16">
              <w:rPr>
                <w:kern w:val="22"/>
                <w:szCs w:val="22"/>
              </w:rPr>
              <w:t xml:space="preserve"> By 2030, increase by [X] benefits shared for the conservation and sustainable use of biodiversity through ensuring access to and the fair and equitable s</w:t>
            </w:r>
            <w:r w:rsidR="00CA3212" w:rsidRPr="00C23100">
              <w:rPr>
                <w:kern w:val="22"/>
                <w:szCs w:val="22"/>
              </w:rPr>
              <w:t>haring of benefits from the utilization of genetic resources</w:t>
            </w:r>
          </w:p>
        </w:tc>
        <w:tc>
          <w:tcPr>
            <w:tcW w:w="1959" w:type="dxa"/>
            <w:shd w:val="clear" w:color="auto" w:fill="BFBFBF" w:themeFill="background1" w:themeFillShade="BF"/>
          </w:tcPr>
          <w:p w14:paraId="66083AA0" w14:textId="053C6980" w:rsidR="00366AA7" w:rsidRPr="00866F16"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866F16">
              <w:rPr>
                <w:kern w:val="22"/>
                <w:szCs w:val="22"/>
              </w:rPr>
              <w:t>12.0.1</w:t>
            </w:r>
            <w:r w:rsidR="009D0B42">
              <w:rPr>
                <w:kern w:val="22"/>
                <w:szCs w:val="22"/>
              </w:rPr>
              <w:tab/>
            </w:r>
            <w:r w:rsidRPr="00866F16">
              <w:rPr>
                <w:kern w:val="22"/>
                <w:szCs w:val="22"/>
              </w:rPr>
              <w:t>Numbers of users that have shared benefits from the utilization of genetic resources and/or traditional knowledge associated with genetic resources with the providers of the resources and/or knowledge</w:t>
            </w:r>
          </w:p>
          <w:p w14:paraId="64BE0BA7" w14:textId="79A8161C" w:rsidR="00366AA7" w:rsidRPr="00866F16"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866F16">
              <w:rPr>
                <w:kern w:val="22"/>
                <w:szCs w:val="22"/>
              </w:rPr>
              <w:t>12.0.2 Number of access and benefit</w:t>
            </w:r>
            <w:r w:rsidR="009D3685" w:rsidRPr="00866F16">
              <w:rPr>
                <w:kern w:val="22"/>
                <w:szCs w:val="22"/>
              </w:rPr>
              <w:t>-</w:t>
            </w:r>
            <w:r w:rsidRPr="00866F16">
              <w:rPr>
                <w:kern w:val="22"/>
                <w:szCs w:val="22"/>
              </w:rPr>
              <w:t xml:space="preserve">sharing </w:t>
            </w:r>
            <w:proofErr w:type="gramStart"/>
            <w:r w:rsidRPr="00866F16">
              <w:rPr>
                <w:kern w:val="22"/>
                <w:szCs w:val="22"/>
              </w:rPr>
              <w:t>permits</w:t>
            </w:r>
            <w:proofErr w:type="gramEnd"/>
            <w:r w:rsidRPr="00866F16">
              <w:rPr>
                <w:kern w:val="22"/>
                <w:szCs w:val="22"/>
              </w:rPr>
              <w:t xml:space="preserve"> or </w:t>
            </w:r>
            <w:r w:rsidRPr="00866F16">
              <w:rPr>
                <w:kern w:val="22"/>
                <w:szCs w:val="22"/>
              </w:rPr>
              <w:lastRenderedPageBreak/>
              <w:t>their equivalent granted for genetic resources (including those related to traditional knowledge)</w:t>
            </w:r>
          </w:p>
          <w:p w14:paraId="69D1E559" w14:textId="77777777" w:rsidR="00366AA7" w:rsidRPr="00866F16"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866F16">
              <w:rPr>
                <w:kern w:val="22"/>
                <w:szCs w:val="22"/>
              </w:rPr>
              <w:t>12.0.3 Extent to which legislative, administrative or policy frameworks to ensure fair and equitable sharing of benefits have been adopted*</w:t>
            </w:r>
          </w:p>
        </w:tc>
        <w:tc>
          <w:tcPr>
            <w:tcW w:w="2369" w:type="dxa"/>
            <w:shd w:val="clear" w:color="auto" w:fill="BFBFBF" w:themeFill="background1" w:themeFillShade="BF"/>
          </w:tcPr>
          <w:p w14:paraId="345885D0" w14:textId="77777777" w:rsidR="00366AA7" w:rsidRPr="00866F16" w:rsidRDefault="00366AA7" w:rsidP="00866F16">
            <w:pPr>
              <w:pStyle w:val="ListParagraph"/>
              <w:numPr>
                <w:ilvl w:val="1"/>
                <w:numId w:val="65"/>
              </w:numPr>
              <w:suppressLineNumbers/>
              <w:tabs>
                <w:tab w:val="left" w:pos="553"/>
              </w:tabs>
              <w:suppressAutoHyphens/>
              <w:kinsoku w:val="0"/>
              <w:overflowPunct w:val="0"/>
              <w:autoSpaceDE w:val="0"/>
              <w:autoSpaceDN w:val="0"/>
              <w:adjustRightInd w:val="0"/>
              <w:snapToGrid w:val="0"/>
              <w:spacing w:before="60" w:after="60"/>
              <w:ind w:left="0" w:hanging="14"/>
              <w:jc w:val="left"/>
              <w:rPr>
                <w:kern w:val="22"/>
                <w:szCs w:val="22"/>
              </w:rPr>
            </w:pPr>
            <w:r w:rsidRPr="00866F16">
              <w:rPr>
                <w:kern w:val="22"/>
                <w:szCs w:val="22"/>
              </w:rPr>
              <w:lastRenderedPageBreak/>
              <w:t>Access to genetic resources</w:t>
            </w:r>
          </w:p>
          <w:p w14:paraId="4312476A" w14:textId="77777777" w:rsidR="00366AA7" w:rsidRPr="00866F16" w:rsidRDefault="00366AA7" w:rsidP="00866F16">
            <w:pPr>
              <w:pStyle w:val="ListParagraph"/>
              <w:numPr>
                <w:ilvl w:val="1"/>
                <w:numId w:val="65"/>
              </w:numPr>
              <w:suppressLineNumbers/>
              <w:tabs>
                <w:tab w:val="left" w:pos="553"/>
              </w:tabs>
              <w:suppressAutoHyphens/>
              <w:kinsoku w:val="0"/>
              <w:overflowPunct w:val="0"/>
              <w:autoSpaceDE w:val="0"/>
              <w:autoSpaceDN w:val="0"/>
              <w:adjustRightInd w:val="0"/>
              <w:snapToGrid w:val="0"/>
              <w:spacing w:before="60" w:after="60"/>
              <w:ind w:left="0" w:hanging="14"/>
              <w:jc w:val="left"/>
              <w:rPr>
                <w:kern w:val="22"/>
                <w:szCs w:val="22"/>
              </w:rPr>
            </w:pPr>
            <w:r w:rsidRPr="00866F16">
              <w:rPr>
                <w:kern w:val="22"/>
                <w:szCs w:val="22"/>
              </w:rPr>
              <w:t>Benefit shared from the use of genetic resources</w:t>
            </w:r>
          </w:p>
          <w:p w14:paraId="2F4A98F5" w14:textId="77777777" w:rsidR="00366AA7" w:rsidRPr="00866F16" w:rsidRDefault="00366AA7" w:rsidP="00866F16">
            <w:pPr>
              <w:pStyle w:val="ListParagraph"/>
              <w:numPr>
                <w:ilvl w:val="1"/>
                <w:numId w:val="65"/>
              </w:numPr>
              <w:suppressLineNumbers/>
              <w:tabs>
                <w:tab w:val="left" w:pos="553"/>
              </w:tabs>
              <w:suppressAutoHyphens/>
              <w:kinsoku w:val="0"/>
              <w:overflowPunct w:val="0"/>
              <w:autoSpaceDE w:val="0"/>
              <w:autoSpaceDN w:val="0"/>
              <w:adjustRightInd w:val="0"/>
              <w:snapToGrid w:val="0"/>
              <w:spacing w:before="60" w:after="60"/>
              <w:ind w:left="0" w:hanging="14"/>
              <w:jc w:val="left"/>
              <w:rPr>
                <w:kern w:val="22"/>
                <w:szCs w:val="22"/>
              </w:rPr>
            </w:pPr>
            <w:r w:rsidRPr="00866F16">
              <w:rPr>
                <w:kern w:val="22"/>
                <w:szCs w:val="22"/>
              </w:rPr>
              <w:t>Benefits resulting from use of traditional knowledge associated with genetic resources</w:t>
            </w:r>
          </w:p>
        </w:tc>
        <w:tc>
          <w:tcPr>
            <w:tcW w:w="3568" w:type="dxa"/>
            <w:shd w:val="clear" w:color="auto" w:fill="BFBFBF" w:themeFill="background1" w:themeFillShade="BF"/>
          </w:tcPr>
          <w:p w14:paraId="5BDAB49C" w14:textId="77777777" w:rsidR="00366AA7" w:rsidRPr="00866F16" w:rsidRDefault="00366AA7" w:rsidP="00866F16">
            <w:pPr>
              <w:pStyle w:val="ListParagraph"/>
              <w:numPr>
                <w:ilvl w:val="2"/>
                <w:numId w:val="66"/>
              </w:numPr>
              <w:suppressLineNumbers/>
              <w:tabs>
                <w:tab w:val="left" w:pos="735"/>
              </w:tabs>
              <w:suppressAutoHyphens/>
              <w:kinsoku w:val="0"/>
              <w:overflowPunct w:val="0"/>
              <w:autoSpaceDE w:val="0"/>
              <w:autoSpaceDN w:val="0"/>
              <w:adjustRightInd w:val="0"/>
              <w:snapToGrid w:val="0"/>
              <w:spacing w:before="60" w:after="60"/>
              <w:ind w:left="26" w:hanging="26"/>
              <w:jc w:val="left"/>
              <w:rPr>
                <w:kern w:val="22"/>
                <w:szCs w:val="22"/>
              </w:rPr>
            </w:pPr>
            <w:r w:rsidRPr="00866F16">
              <w:rPr>
                <w:kern w:val="22"/>
                <w:szCs w:val="22"/>
              </w:rPr>
              <w:t>Number of access and benefit-sharing permits, or their equivalent, granted for genetic resources (including those related to traditional knowledge) by type of permit</w:t>
            </w:r>
          </w:p>
          <w:p w14:paraId="704FBB0E" w14:textId="77777777" w:rsidR="00366AA7" w:rsidRPr="00866F16" w:rsidRDefault="00366AA7" w:rsidP="00866F16">
            <w:pPr>
              <w:pStyle w:val="ListParagraph"/>
              <w:numPr>
                <w:ilvl w:val="2"/>
                <w:numId w:val="66"/>
              </w:numPr>
              <w:suppressLineNumbers/>
              <w:tabs>
                <w:tab w:val="left" w:pos="735"/>
              </w:tabs>
              <w:suppressAutoHyphens/>
              <w:kinsoku w:val="0"/>
              <w:overflowPunct w:val="0"/>
              <w:autoSpaceDE w:val="0"/>
              <w:autoSpaceDN w:val="0"/>
              <w:adjustRightInd w:val="0"/>
              <w:snapToGrid w:val="0"/>
              <w:spacing w:before="60" w:after="60"/>
              <w:ind w:left="26" w:hanging="26"/>
              <w:jc w:val="left"/>
              <w:rPr>
                <w:kern w:val="22"/>
                <w:szCs w:val="22"/>
              </w:rPr>
            </w:pPr>
            <w:r w:rsidRPr="00866F16">
              <w:rPr>
                <w:kern w:val="22"/>
                <w:szCs w:val="22"/>
              </w:rPr>
              <w:t>Numbers of users that have shared benefits from the utilization of genetic resources and/or traditional knowledge associated with genetic resources with the providers of the resources and/or knowledge (12.0.1) by sex</w:t>
            </w:r>
          </w:p>
          <w:p w14:paraId="3DC807FD" w14:textId="40651C5E" w:rsidR="00366AA7" w:rsidRPr="00866F16" w:rsidRDefault="00366AA7" w:rsidP="00866F16">
            <w:pPr>
              <w:pStyle w:val="ListParagraph"/>
              <w:numPr>
                <w:ilvl w:val="2"/>
                <w:numId w:val="66"/>
              </w:numPr>
              <w:suppressLineNumbers/>
              <w:tabs>
                <w:tab w:val="left" w:pos="735"/>
              </w:tabs>
              <w:suppressAutoHyphens/>
              <w:kinsoku w:val="0"/>
              <w:overflowPunct w:val="0"/>
              <w:autoSpaceDE w:val="0"/>
              <w:autoSpaceDN w:val="0"/>
              <w:adjustRightInd w:val="0"/>
              <w:snapToGrid w:val="0"/>
              <w:spacing w:before="60" w:after="60"/>
              <w:ind w:left="26" w:hanging="26"/>
              <w:jc w:val="left"/>
              <w:rPr>
                <w:kern w:val="22"/>
                <w:szCs w:val="22"/>
              </w:rPr>
            </w:pPr>
            <w:r w:rsidRPr="00866F16">
              <w:rPr>
                <w:kern w:val="22"/>
                <w:szCs w:val="22"/>
              </w:rPr>
              <w:t xml:space="preserve">Numbers of users that have shared benefits from the utilization of genetic resources and/or traditional </w:t>
            </w:r>
            <w:r w:rsidRPr="00866F16">
              <w:rPr>
                <w:kern w:val="22"/>
                <w:szCs w:val="22"/>
              </w:rPr>
              <w:lastRenderedPageBreak/>
              <w:t xml:space="preserve">knowledge associated with genetic resources with the providers of the resources and/or knowledge (12.0.1) by </w:t>
            </w:r>
            <w:r w:rsidR="00293E4D">
              <w:rPr>
                <w:kern w:val="22"/>
                <w:szCs w:val="22"/>
              </w:rPr>
              <w:t xml:space="preserve">indigenous </w:t>
            </w:r>
            <w:r w:rsidRPr="00866F16">
              <w:rPr>
                <w:kern w:val="22"/>
                <w:szCs w:val="22"/>
              </w:rPr>
              <w:t>status</w:t>
            </w:r>
          </w:p>
        </w:tc>
        <w:tc>
          <w:tcPr>
            <w:tcW w:w="3827" w:type="dxa"/>
            <w:shd w:val="clear" w:color="auto" w:fill="BFBFBF" w:themeFill="background1" w:themeFillShade="BF"/>
          </w:tcPr>
          <w:p w14:paraId="3DE75126" w14:textId="01FE2715" w:rsidR="00366AA7" w:rsidRPr="00866F16" w:rsidRDefault="00366AA7" w:rsidP="00866F16">
            <w:pPr>
              <w:pStyle w:val="ListParagraph"/>
              <w:numPr>
                <w:ilvl w:val="3"/>
                <w:numId w:val="67"/>
              </w:numPr>
              <w:suppressLineNumbers/>
              <w:tabs>
                <w:tab w:val="left" w:pos="926"/>
              </w:tabs>
              <w:suppressAutoHyphens/>
              <w:kinsoku w:val="0"/>
              <w:overflowPunct w:val="0"/>
              <w:autoSpaceDE w:val="0"/>
              <w:autoSpaceDN w:val="0"/>
              <w:adjustRightInd w:val="0"/>
              <w:snapToGrid w:val="0"/>
              <w:spacing w:before="60" w:after="60"/>
              <w:ind w:left="0" w:firstLine="0"/>
              <w:jc w:val="left"/>
              <w:rPr>
                <w:kern w:val="22"/>
                <w:szCs w:val="22"/>
              </w:rPr>
            </w:pPr>
            <w:r w:rsidRPr="00866F16">
              <w:rPr>
                <w:kern w:val="22"/>
                <w:szCs w:val="22"/>
              </w:rPr>
              <w:lastRenderedPageBreak/>
              <w:t>Total number of transfers of crop material from the Multilateral System of the International Treaty on Plant Genetic Resources for Food and Agriculture (ITPGRFA) received in a country</w:t>
            </w:r>
          </w:p>
          <w:p w14:paraId="6E20E948" w14:textId="77777777" w:rsidR="00366AA7" w:rsidRPr="00866F16" w:rsidRDefault="00366AA7" w:rsidP="00866F16">
            <w:pPr>
              <w:pStyle w:val="ListParagraph"/>
              <w:numPr>
                <w:ilvl w:val="3"/>
                <w:numId w:val="67"/>
              </w:numPr>
              <w:suppressLineNumbers/>
              <w:tabs>
                <w:tab w:val="left" w:pos="926"/>
              </w:tabs>
              <w:suppressAutoHyphens/>
              <w:kinsoku w:val="0"/>
              <w:overflowPunct w:val="0"/>
              <w:autoSpaceDE w:val="0"/>
              <w:autoSpaceDN w:val="0"/>
              <w:adjustRightInd w:val="0"/>
              <w:snapToGrid w:val="0"/>
              <w:spacing w:before="60" w:after="60"/>
              <w:ind w:left="0" w:firstLine="0"/>
              <w:jc w:val="left"/>
              <w:rPr>
                <w:kern w:val="22"/>
                <w:szCs w:val="22"/>
              </w:rPr>
            </w:pPr>
            <w:r w:rsidRPr="00866F16">
              <w:rPr>
                <w:kern w:val="22"/>
                <w:szCs w:val="22"/>
              </w:rPr>
              <w:t>Total number of permits, or their equivalent, granted for access to genetic resources</w:t>
            </w:r>
          </w:p>
          <w:p w14:paraId="7FA25E1F" w14:textId="77777777" w:rsidR="00366AA7" w:rsidRPr="00866F16" w:rsidRDefault="00366AA7" w:rsidP="00866F16">
            <w:pPr>
              <w:pStyle w:val="ListParagraph"/>
              <w:numPr>
                <w:ilvl w:val="3"/>
                <w:numId w:val="67"/>
              </w:numPr>
              <w:suppressLineNumbers/>
              <w:tabs>
                <w:tab w:val="left" w:pos="926"/>
              </w:tabs>
              <w:suppressAutoHyphens/>
              <w:kinsoku w:val="0"/>
              <w:overflowPunct w:val="0"/>
              <w:autoSpaceDE w:val="0"/>
              <w:autoSpaceDN w:val="0"/>
              <w:adjustRightInd w:val="0"/>
              <w:snapToGrid w:val="0"/>
              <w:spacing w:before="60" w:after="60"/>
              <w:ind w:left="0" w:firstLine="0"/>
              <w:jc w:val="left"/>
              <w:rPr>
                <w:kern w:val="22"/>
                <w:szCs w:val="22"/>
              </w:rPr>
            </w:pPr>
            <w:r w:rsidRPr="00866F16">
              <w:rPr>
                <w:kern w:val="22"/>
                <w:szCs w:val="22"/>
              </w:rPr>
              <w:t>Total number of internationally recognized certificates of compliance published in the ABS Clearing-House</w:t>
            </w:r>
          </w:p>
          <w:p w14:paraId="1301CBEB" w14:textId="0E2DF772" w:rsidR="00366AA7" w:rsidRPr="00866F16" w:rsidRDefault="00366AA7" w:rsidP="00866F16">
            <w:pPr>
              <w:pStyle w:val="ListParagraph"/>
              <w:numPr>
                <w:ilvl w:val="3"/>
                <w:numId w:val="67"/>
              </w:numPr>
              <w:suppressLineNumbers/>
              <w:tabs>
                <w:tab w:val="left" w:pos="926"/>
              </w:tabs>
              <w:suppressAutoHyphens/>
              <w:kinsoku w:val="0"/>
              <w:overflowPunct w:val="0"/>
              <w:autoSpaceDE w:val="0"/>
              <w:autoSpaceDN w:val="0"/>
              <w:adjustRightInd w:val="0"/>
              <w:snapToGrid w:val="0"/>
              <w:spacing w:before="60" w:after="60"/>
              <w:ind w:left="0" w:firstLine="0"/>
              <w:jc w:val="left"/>
              <w:rPr>
                <w:kern w:val="22"/>
                <w:szCs w:val="22"/>
              </w:rPr>
            </w:pPr>
            <w:r w:rsidRPr="00866F16">
              <w:rPr>
                <w:kern w:val="22"/>
                <w:szCs w:val="22"/>
              </w:rPr>
              <w:t xml:space="preserve">Number of countries that require prior informed consent that have published legislative, administrative or </w:t>
            </w:r>
            <w:r w:rsidRPr="00866F16">
              <w:rPr>
                <w:kern w:val="22"/>
                <w:szCs w:val="22"/>
              </w:rPr>
              <w:lastRenderedPageBreak/>
              <w:t>policy measures on access and benefit-sharing in the ABS Clearing-House</w:t>
            </w:r>
          </w:p>
          <w:p w14:paraId="46F8A534" w14:textId="147A8758" w:rsidR="00366AA7" w:rsidRPr="00866F16" w:rsidRDefault="00366AA7" w:rsidP="00866F16">
            <w:pPr>
              <w:pStyle w:val="ListParagraph"/>
              <w:numPr>
                <w:ilvl w:val="3"/>
                <w:numId w:val="67"/>
              </w:numPr>
              <w:suppressLineNumbers/>
              <w:tabs>
                <w:tab w:val="left" w:pos="926"/>
              </w:tabs>
              <w:suppressAutoHyphens/>
              <w:kinsoku w:val="0"/>
              <w:overflowPunct w:val="0"/>
              <w:autoSpaceDE w:val="0"/>
              <w:autoSpaceDN w:val="0"/>
              <w:adjustRightInd w:val="0"/>
              <w:snapToGrid w:val="0"/>
              <w:spacing w:before="60" w:after="60"/>
              <w:ind w:left="0" w:firstLine="0"/>
              <w:jc w:val="left"/>
              <w:rPr>
                <w:kern w:val="22"/>
                <w:szCs w:val="22"/>
              </w:rPr>
            </w:pPr>
            <w:r w:rsidRPr="00866F16">
              <w:rPr>
                <w:kern w:val="22"/>
                <w:szCs w:val="22"/>
              </w:rPr>
              <w:t>Number of countries that require prior informed consent that have published information on ABS procedures in the ABS Clearing-House</w:t>
            </w:r>
          </w:p>
          <w:p w14:paraId="4BE68386" w14:textId="77777777" w:rsidR="00366AA7" w:rsidRPr="00866F16" w:rsidRDefault="00366AA7" w:rsidP="00866F16">
            <w:pPr>
              <w:pStyle w:val="ListParagraph"/>
              <w:numPr>
                <w:ilvl w:val="3"/>
                <w:numId w:val="67"/>
              </w:numPr>
              <w:suppressLineNumbers/>
              <w:tabs>
                <w:tab w:val="left" w:pos="926"/>
              </w:tabs>
              <w:suppressAutoHyphens/>
              <w:kinsoku w:val="0"/>
              <w:overflowPunct w:val="0"/>
              <w:autoSpaceDE w:val="0"/>
              <w:autoSpaceDN w:val="0"/>
              <w:adjustRightInd w:val="0"/>
              <w:snapToGrid w:val="0"/>
              <w:spacing w:before="60" w:after="60"/>
              <w:ind w:left="0" w:firstLine="0"/>
              <w:jc w:val="left"/>
              <w:rPr>
                <w:kern w:val="22"/>
                <w:szCs w:val="22"/>
              </w:rPr>
            </w:pPr>
            <w:r w:rsidRPr="00866F16">
              <w:rPr>
                <w:kern w:val="22"/>
                <w:szCs w:val="22"/>
              </w:rPr>
              <w:t>Number of countries that have adopted legislative, administrative and policy frameworks to ensure fair and equitable sharing of benefits (SDG Indicator 15.6.1)</w:t>
            </w:r>
          </w:p>
          <w:p w14:paraId="5B19A844" w14:textId="3BA6E48E" w:rsidR="00366AA7" w:rsidRPr="00866F16" w:rsidRDefault="00366AA7" w:rsidP="00866F16">
            <w:pPr>
              <w:pStyle w:val="ListParagraph"/>
              <w:numPr>
                <w:ilvl w:val="3"/>
                <w:numId w:val="67"/>
              </w:numPr>
              <w:suppressLineNumbers/>
              <w:tabs>
                <w:tab w:val="left" w:pos="926"/>
              </w:tabs>
              <w:suppressAutoHyphens/>
              <w:kinsoku w:val="0"/>
              <w:overflowPunct w:val="0"/>
              <w:autoSpaceDE w:val="0"/>
              <w:autoSpaceDN w:val="0"/>
              <w:adjustRightInd w:val="0"/>
              <w:snapToGrid w:val="0"/>
              <w:spacing w:before="60" w:after="60"/>
              <w:ind w:left="0" w:firstLine="0"/>
              <w:jc w:val="left"/>
              <w:rPr>
                <w:kern w:val="22"/>
                <w:szCs w:val="22"/>
              </w:rPr>
            </w:pPr>
            <w:r w:rsidRPr="00866F16">
              <w:rPr>
                <w:kern w:val="22"/>
                <w:szCs w:val="22"/>
              </w:rPr>
              <w:t>Estimated % of monetary and non- monetary benefits directed towards conservation and sustainable use of biodiversity</w:t>
            </w:r>
          </w:p>
        </w:tc>
      </w:tr>
      <w:tr w:rsidR="00366AA7" w:rsidRPr="00B324FA" w14:paraId="7ED264DC" w14:textId="77777777" w:rsidTr="0099764F">
        <w:trPr>
          <w:jc w:val="center"/>
        </w:trPr>
        <w:tc>
          <w:tcPr>
            <w:tcW w:w="14170" w:type="dxa"/>
            <w:gridSpan w:val="5"/>
            <w:shd w:val="clear" w:color="auto" w:fill="FFFFFF" w:themeFill="background1"/>
          </w:tcPr>
          <w:p w14:paraId="30065AB3" w14:textId="77777777" w:rsidR="00366AA7" w:rsidRPr="00866F16" w:rsidRDefault="00366AA7" w:rsidP="00866F16">
            <w:pPr>
              <w:suppressLineNumbers/>
              <w:suppressAutoHyphens/>
              <w:kinsoku w:val="0"/>
              <w:overflowPunct w:val="0"/>
              <w:autoSpaceDE w:val="0"/>
              <w:autoSpaceDN w:val="0"/>
              <w:adjustRightInd w:val="0"/>
              <w:snapToGrid w:val="0"/>
              <w:spacing w:before="120" w:after="120"/>
              <w:jc w:val="center"/>
              <w:rPr>
                <w:b/>
                <w:bCs/>
                <w:kern w:val="22"/>
                <w:szCs w:val="22"/>
              </w:rPr>
            </w:pPr>
            <w:r w:rsidRPr="00866F16">
              <w:rPr>
                <w:b/>
                <w:bCs/>
                <w:kern w:val="22"/>
                <w:szCs w:val="22"/>
              </w:rPr>
              <w:lastRenderedPageBreak/>
              <w:t>Tools and solutions for implementation and mainstreaming</w:t>
            </w:r>
          </w:p>
        </w:tc>
      </w:tr>
      <w:tr w:rsidR="00366AA7" w:rsidRPr="00B324FA" w14:paraId="6FC7E5A1" w14:textId="77777777" w:rsidTr="0099764F">
        <w:trPr>
          <w:jc w:val="center"/>
        </w:trPr>
        <w:tc>
          <w:tcPr>
            <w:tcW w:w="2447" w:type="dxa"/>
            <w:shd w:val="clear" w:color="auto" w:fill="FFFFFF" w:themeFill="background1"/>
          </w:tcPr>
          <w:p w14:paraId="687448FA" w14:textId="77777777" w:rsidR="00366AA7" w:rsidRPr="00866F16"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866F16">
              <w:rPr>
                <w:b/>
                <w:bCs/>
                <w:kern w:val="22"/>
                <w:szCs w:val="22"/>
              </w:rPr>
              <w:t>Target 13.</w:t>
            </w:r>
            <w:r w:rsidRPr="00866F16">
              <w:rPr>
                <w:kern w:val="22"/>
                <w:szCs w:val="22"/>
              </w:rPr>
              <w:t xml:space="preserve"> By 2030, integrate biodiversity values into policies, regulations, planning, development processes, poverty reduction strategies and accounts at all levels, ensuring that biodiversity values are mainstreamed across all sectors and integrated into assessments of environmental impacts.</w:t>
            </w:r>
          </w:p>
        </w:tc>
        <w:tc>
          <w:tcPr>
            <w:tcW w:w="1959" w:type="dxa"/>
            <w:shd w:val="clear" w:color="auto" w:fill="FFFFFF" w:themeFill="background1"/>
          </w:tcPr>
          <w:p w14:paraId="50207ECE" w14:textId="04134D9D" w:rsidR="00366AA7" w:rsidRPr="00866F16"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866F16">
              <w:rPr>
                <w:kern w:val="22"/>
                <w:szCs w:val="22"/>
              </w:rPr>
              <w:t xml:space="preserve">13.0.1 Extent to which national targets </w:t>
            </w:r>
            <w:r w:rsidR="00AD2DAE">
              <w:rPr>
                <w:kern w:val="22"/>
                <w:szCs w:val="22"/>
              </w:rPr>
              <w:t xml:space="preserve">have been adopted </w:t>
            </w:r>
            <w:r w:rsidRPr="00866F16">
              <w:rPr>
                <w:kern w:val="22"/>
                <w:szCs w:val="22"/>
              </w:rPr>
              <w:t xml:space="preserve">for integrating biodiversity values into policies, regulations, planning, development processes, poverty reduction strategies and accounts at all levels, ensuring that biodiversity values are </w:t>
            </w:r>
            <w:r w:rsidRPr="00866F16">
              <w:rPr>
                <w:kern w:val="22"/>
                <w:szCs w:val="22"/>
              </w:rPr>
              <w:lastRenderedPageBreak/>
              <w:t>mainstreamed across all sectors and integrated into assessments of environmental impacts*</w:t>
            </w:r>
          </w:p>
          <w:p w14:paraId="09AD7277" w14:textId="0C9AEE29" w:rsidR="00366AA7" w:rsidRPr="00866F16"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866F16">
              <w:rPr>
                <w:kern w:val="22"/>
                <w:szCs w:val="22"/>
              </w:rPr>
              <w:t>13.0.2 Integration of biodiversity into national accounting and reporting systems, defined as implementation of the System of Environmental</w:t>
            </w:r>
            <w:r w:rsidR="003347D0">
              <w:rPr>
                <w:kern w:val="22"/>
                <w:szCs w:val="22"/>
              </w:rPr>
              <w:t>-</w:t>
            </w:r>
            <w:r w:rsidRPr="00866F16">
              <w:rPr>
                <w:kern w:val="22"/>
                <w:szCs w:val="22"/>
              </w:rPr>
              <w:t>Economic Accounting</w:t>
            </w:r>
          </w:p>
        </w:tc>
        <w:tc>
          <w:tcPr>
            <w:tcW w:w="2369" w:type="dxa"/>
            <w:shd w:val="clear" w:color="auto" w:fill="FFFFFF" w:themeFill="background1"/>
          </w:tcPr>
          <w:p w14:paraId="5E0CF999" w14:textId="77777777" w:rsidR="00366AA7" w:rsidRPr="00866F16" w:rsidRDefault="00366AA7" w:rsidP="00866F16">
            <w:pPr>
              <w:pStyle w:val="ListParagraph"/>
              <w:numPr>
                <w:ilvl w:val="1"/>
                <w:numId w:val="68"/>
              </w:numPr>
              <w:suppressLineNumbers/>
              <w:tabs>
                <w:tab w:val="left" w:pos="553"/>
              </w:tabs>
              <w:suppressAutoHyphens/>
              <w:kinsoku w:val="0"/>
              <w:overflowPunct w:val="0"/>
              <w:autoSpaceDE w:val="0"/>
              <w:autoSpaceDN w:val="0"/>
              <w:adjustRightInd w:val="0"/>
              <w:snapToGrid w:val="0"/>
              <w:spacing w:before="60" w:after="60"/>
              <w:ind w:left="0" w:hanging="14"/>
              <w:jc w:val="left"/>
              <w:rPr>
                <w:kern w:val="22"/>
                <w:szCs w:val="22"/>
              </w:rPr>
            </w:pPr>
            <w:r w:rsidRPr="00866F16">
              <w:rPr>
                <w:kern w:val="22"/>
                <w:szCs w:val="22"/>
              </w:rPr>
              <w:lastRenderedPageBreak/>
              <w:t>Biodiversity reflected in policies and planning at all levels</w:t>
            </w:r>
          </w:p>
          <w:p w14:paraId="32D04F87" w14:textId="77777777" w:rsidR="00366AA7" w:rsidRPr="00866F16" w:rsidRDefault="00366AA7" w:rsidP="00866F16">
            <w:pPr>
              <w:pStyle w:val="ListParagraph"/>
              <w:numPr>
                <w:ilvl w:val="1"/>
                <w:numId w:val="68"/>
              </w:numPr>
              <w:suppressLineNumbers/>
              <w:tabs>
                <w:tab w:val="left" w:pos="553"/>
              </w:tabs>
              <w:suppressAutoHyphens/>
              <w:kinsoku w:val="0"/>
              <w:overflowPunct w:val="0"/>
              <w:autoSpaceDE w:val="0"/>
              <w:autoSpaceDN w:val="0"/>
              <w:adjustRightInd w:val="0"/>
              <w:snapToGrid w:val="0"/>
              <w:spacing w:before="60" w:after="60"/>
              <w:ind w:left="0" w:hanging="14"/>
              <w:jc w:val="left"/>
              <w:rPr>
                <w:kern w:val="22"/>
                <w:szCs w:val="22"/>
              </w:rPr>
            </w:pPr>
            <w:r w:rsidRPr="00866F16">
              <w:rPr>
                <w:kern w:val="22"/>
                <w:szCs w:val="22"/>
              </w:rPr>
              <w:t>Biodiversity reflected in national and other accounts</w:t>
            </w:r>
          </w:p>
          <w:p w14:paraId="7C87CBED" w14:textId="77777777" w:rsidR="00366AA7" w:rsidRPr="00866F16" w:rsidRDefault="00366AA7" w:rsidP="00866F16">
            <w:pPr>
              <w:pStyle w:val="ListParagraph"/>
              <w:numPr>
                <w:ilvl w:val="1"/>
                <w:numId w:val="68"/>
              </w:numPr>
              <w:suppressLineNumbers/>
              <w:tabs>
                <w:tab w:val="left" w:pos="553"/>
              </w:tabs>
              <w:suppressAutoHyphens/>
              <w:kinsoku w:val="0"/>
              <w:overflowPunct w:val="0"/>
              <w:autoSpaceDE w:val="0"/>
              <w:autoSpaceDN w:val="0"/>
              <w:adjustRightInd w:val="0"/>
              <w:snapToGrid w:val="0"/>
              <w:spacing w:before="60" w:after="60"/>
              <w:ind w:left="0" w:hanging="14"/>
              <w:jc w:val="left"/>
              <w:rPr>
                <w:kern w:val="22"/>
                <w:szCs w:val="22"/>
              </w:rPr>
            </w:pPr>
            <w:r w:rsidRPr="00866F16">
              <w:rPr>
                <w:kern w:val="22"/>
                <w:szCs w:val="22"/>
              </w:rPr>
              <w:t>Biodiversity values are reflected in policies and regulations, including on biodiversity inclusive environmental impact assessments and strategic environmental assessments</w:t>
            </w:r>
          </w:p>
        </w:tc>
        <w:tc>
          <w:tcPr>
            <w:tcW w:w="3568" w:type="dxa"/>
            <w:shd w:val="clear" w:color="auto" w:fill="FFFFFF" w:themeFill="background1"/>
          </w:tcPr>
          <w:p w14:paraId="00A733CB" w14:textId="77777777" w:rsidR="00366AA7" w:rsidRPr="00866F16" w:rsidRDefault="00366AA7" w:rsidP="00866F16">
            <w:pPr>
              <w:pStyle w:val="ListParagraph"/>
              <w:suppressLineNumbers/>
              <w:suppressAutoHyphens/>
              <w:kinsoku w:val="0"/>
              <w:overflowPunct w:val="0"/>
              <w:autoSpaceDE w:val="0"/>
              <w:autoSpaceDN w:val="0"/>
              <w:adjustRightInd w:val="0"/>
              <w:snapToGrid w:val="0"/>
              <w:spacing w:before="60" w:after="60"/>
              <w:ind w:left="26"/>
              <w:jc w:val="left"/>
              <w:rPr>
                <w:i/>
                <w:iCs/>
                <w:kern w:val="22"/>
                <w:szCs w:val="22"/>
              </w:rPr>
            </w:pPr>
            <w:r w:rsidRPr="00866F16">
              <w:rPr>
                <w:i/>
                <w:iCs/>
                <w:kern w:val="22"/>
                <w:szCs w:val="22"/>
              </w:rPr>
              <w:t>Headline indicators for Target 13</w:t>
            </w:r>
          </w:p>
          <w:p w14:paraId="297AAD6B" w14:textId="77777777" w:rsidR="00366AA7" w:rsidRPr="00866F16" w:rsidRDefault="00366AA7" w:rsidP="00866F16">
            <w:pPr>
              <w:pStyle w:val="ListParagraph"/>
              <w:numPr>
                <w:ilvl w:val="2"/>
                <w:numId w:val="69"/>
              </w:numPr>
              <w:suppressLineNumbers/>
              <w:suppressAutoHyphens/>
              <w:kinsoku w:val="0"/>
              <w:overflowPunct w:val="0"/>
              <w:autoSpaceDE w:val="0"/>
              <w:autoSpaceDN w:val="0"/>
              <w:adjustRightInd w:val="0"/>
              <w:snapToGrid w:val="0"/>
              <w:spacing w:before="60" w:after="60"/>
              <w:ind w:left="26" w:hanging="26"/>
              <w:jc w:val="left"/>
              <w:rPr>
                <w:kern w:val="22"/>
                <w:szCs w:val="22"/>
              </w:rPr>
            </w:pPr>
            <w:r w:rsidRPr="00866F16">
              <w:rPr>
                <w:kern w:val="22"/>
                <w:szCs w:val="22"/>
              </w:rPr>
              <w:t xml:space="preserve">The number of countries that have incorporated the </w:t>
            </w:r>
            <w:proofErr w:type="spellStart"/>
            <w:r w:rsidRPr="00866F16">
              <w:rPr>
                <w:kern w:val="22"/>
                <w:szCs w:val="22"/>
              </w:rPr>
              <w:t>BioTrade</w:t>
            </w:r>
            <w:proofErr w:type="spellEnd"/>
            <w:r w:rsidRPr="00866F16">
              <w:rPr>
                <w:kern w:val="22"/>
                <w:szCs w:val="22"/>
              </w:rPr>
              <w:t xml:space="preserve"> Principles and Criteria</w:t>
            </w:r>
          </w:p>
        </w:tc>
        <w:tc>
          <w:tcPr>
            <w:tcW w:w="3827" w:type="dxa"/>
            <w:shd w:val="clear" w:color="auto" w:fill="FFFFFF" w:themeFill="background1"/>
          </w:tcPr>
          <w:p w14:paraId="625B9DF7" w14:textId="77777777" w:rsidR="00366AA7" w:rsidRPr="00866F16" w:rsidRDefault="00366AA7" w:rsidP="00866F16">
            <w:pPr>
              <w:suppressLineNumbers/>
              <w:tabs>
                <w:tab w:val="left" w:pos="218"/>
                <w:tab w:val="left" w:pos="359"/>
              </w:tabs>
              <w:suppressAutoHyphens/>
              <w:kinsoku w:val="0"/>
              <w:overflowPunct w:val="0"/>
              <w:autoSpaceDE w:val="0"/>
              <w:autoSpaceDN w:val="0"/>
              <w:adjustRightInd w:val="0"/>
              <w:snapToGrid w:val="0"/>
              <w:spacing w:before="60" w:after="60"/>
              <w:rPr>
                <w:kern w:val="22"/>
                <w:szCs w:val="22"/>
              </w:rPr>
            </w:pPr>
          </w:p>
        </w:tc>
      </w:tr>
      <w:tr w:rsidR="00366AA7" w:rsidRPr="00B324FA" w14:paraId="5822A601" w14:textId="77777777" w:rsidTr="0099764F">
        <w:trPr>
          <w:jc w:val="center"/>
        </w:trPr>
        <w:tc>
          <w:tcPr>
            <w:tcW w:w="2447" w:type="dxa"/>
            <w:shd w:val="clear" w:color="auto" w:fill="BFBFBF" w:themeFill="background1" w:themeFillShade="BF"/>
          </w:tcPr>
          <w:p w14:paraId="62C1525D" w14:textId="77777777" w:rsidR="00366AA7" w:rsidRPr="00866F16" w:rsidRDefault="00366AA7" w:rsidP="00866F16">
            <w:pPr>
              <w:suppressLineNumbers/>
              <w:suppressAutoHyphens/>
              <w:kinsoku w:val="0"/>
              <w:overflowPunct w:val="0"/>
              <w:autoSpaceDE w:val="0"/>
              <w:autoSpaceDN w:val="0"/>
              <w:adjustRightInd w:val="0"/>
              <w:snapToGrid w:val="0"/>
              <w:spacing w:before="60" w:after="60"/>
              <w:jc w:val="left"/>
              <w:rPr>
                <w:b/>
                <w:bCs/>
                <w:kern w:val="22"/>
                <w:szCs w:val="22"/>
              </w:rPr>
            </w:pPr>
            <w:r w:rsidRPr="00866F16">
              <w:rPr>
                <w:b/>
                <w:bCs/>
                <w:kern w:val="22"/>
                <w:szCs w:val="22"/>
              </w:rPr>
              <w:t>Target 14.</w:t>
            </w:r>
            <w:r w:rsidRPr="00866F16">
              <w:rPr>
                <w:kern w:val="22"/>
                <w:szCs w:val="22"/>
              </w:rPr>
              <w:t xml:space="preserve"> By 2030, achieve reduction of at least [50%] in negative impacts on biodiversity by ensuring production practices and supply chains are sustainable.</w:t>
            </w:r>
          </w:p>
        </w:tc>
        <w:tc>
          <w:tcPr>
            <w:tcW w:w="1959" w:type="dxa"/>
            <w:shd w:val="clear" w:color="auto" w:fill="BFBFBF" w:themeFill="background1" w:themeFillShade="BF"/>
          </w:tcPr>
          <w:p w14:paraId="2D81A3CF" w14:textId="77777777" w:rsidR="00366AA7" w:rsidRPr="00866F16"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866F16">
              <w:rPr>
                <w:kern w:val="22"/>
                <w:szCs w:val="22"/>
              </w:rPr>
              <w:t>14.0.1 Potential population and species loss from terrestrial and marine human modification*</w:t>
            </w:r>
          </w:p>
          <w:p w14:paraId="617616DC" w14:textId="77777777" w:rsidR="00366AA7" w:rsidRPr="00866F16"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866F16">
              <w:rPr>
                <w:kern w:val="22"/>
                <w:szCs w:val="22"/>
              </w:rPr>
              <w:t>14.0.2 Corporate sustainability reporting includes impacts on biodiversity*</w:t>
            </w:r>
          </w:p>
        </w:tc>
        <w:tc>
          <w:tcPr>
            <w:tcW w:w="2369" w:type="dxa"/>
            <w:shd w:val="clear" w:color="auto" w:fill="BFBFBF" w:themeFill="background1" w:themeFillShade="BF"/>
          </w:tcPr>
          <w:p w14:paraId="0A57EDE3" w14:textId="77777777" w:rsidR="00366AA7" w:rsidRPr="00866F16" w:rsidRDefault="00366AA7" w:rsidP="00866F16">
            <w:pPr>
              <w:pStyle w:val="ListParagraph"/>
              <w:numPr>
                <w:ilvl w:val="1"/>
                <w:numId w:val="70"/>
              </w:numPr>
              <w:suppressLineNumbers/>
              <w:tabs>
                <w:tab w:val="left" w:pos="553"/>
              </w:tabs>
              <w:suppressAutoHyphens/>
              <w:kinsoku w:val="0"/>
              <w:overflowPunct w:val="0"/>
              <w:autoSpaceDE w:val="0"/>
              <w:autoSpaceDN w:val="0"/>
              <w:adjustRightInd w:val="0"/>
              <w:snapToGrid w:val="0"/>
              <w:spacing w:before="60" w:after="60"/>
              <w:ind w:left="0" w:firstLine="0"/>
              <w:jc w:val="left"/>
              <w:rPr>
                <w:kern w:val="22"/>
                <w:szCs w:val="22"/>
              </w:rPr>
            </w:pPr>
            <w:r w:rsidRPr="00866F16">
              <w:rPr>
                <w:kern w:val="22"/>
                <w:szCs w:val="22"/>
              </w:rPr>
              <w:t>Reduction of at least [50%] in negative impacts on biodiversity</w:t>
            </w:r>
          </w:p>
          <w:p w14:paraId="6A4DC985" w14:textId="77777777" w:rsidR="00366AA7" w:rsidRPr="00866F16" w:rsidRDefault="00366AA7" w:rsidP="00866F16">
            <w:pPr>
              <w:pStyle w:val="ListParagraph"/>
              <w:numPr>
                <w:ilvl w:val="1"/>
                <w:numId w:val="70"/>
              </w:numPr>
              <w:suppressLineNumbers/>
              <w:tabs>
                <w:tab w:val="left" w:pos="553"/>
              </w:tabs>
              <w:suppressAutoHyphens/>
              <w:kinsoku w:val="0"/>
              <w:overflowPunct w:val="0"/>
              <w:autoSpaceDE w:val="0"/>
              <w:autoSpaceDN w:val="0"/>
              <w:adjustRightInd w:val="0"/>
              <w:snapToGrid w:val="0"/>
              <w:spacing w:before="60" w:after="60"/>
              <w:ind w:left="0" w:firstLine="0"/>
              <w:jc w:val="left"/>
              <w:rPr>
                <w:kern w:val="22"/>
                <w:szCs w:val="22"/>
              </w:rPr>
            </w:pPr>
            <w:r w:rsidRPr="00866F16">
              <w:rPr>
                <w:kern w:val="22"/>
                <w:szCs w:val="22"/>
              </w:rPr>
              <w:t>Sustainable production practices, including circular economy and waste management and sustainable supply chains at national and international levels</w:t>
            </w:r>
          </w:p>
          <w:p w14:paraId="4538EC07" w14:textId="77777777" w:rsidR="00366AA7" w:rsidRPr="00866F16" w:rsidRDefault="00366AA7" w:rsidP="00866F16">
            <w:pPr>
              <w:pStyle w:val="ListParagraph"/>
              <w:numPr>
                <w:ilvl w:val="1"/>
                <w:numId w:val="70"/>
              </w:numPr>
              <w:suppressLineNumbers/>
              <w:tabs>
                <w:tab w:val="left" w:pos="553"/>
              </w:tabs>
              <w:suppressAutoHyphens/>
              <w:kinsoku w:val="0"/>
              <w:overflowPunct w:val="0"/>
              <w:autoSpaceDE w:val="0"/>
              <w:autoSpaceDN w:val="0"/>
              <w:adjustRightInd w:val="0"/>
              <w:snapToGrid w:val="0"/>
              <w:spacing w:before="60" w:after="60"/>
              <w:ind w:left="0" w:firstLine="0"/>
              <w:jc w:val="left"/>
              <w:rPr>
                <w:kern w:val="22"/>
                <w:szCs w:val="22"/>
              </w:rPr>
            </w:pPr>
            <w:r w:rsidRPr="00866F16">
              <w:rPr>
                <w:kern w:val="22"/>
                <w:szCs w:val="22"/>
              </w:rPr>
              <w:t>Sustainable supply chains at national and international levels</w:t>
            </w:r>
          </w:p>
        </w:tc>
        <w:tc>
          <w:tcPr>
            <w:tcW w:w="3568" w:type="dxa"/>
            <w:shd w:val="clear" w:color="auto" w:fill="BFBFBF" w:themeFill="background1" w:themeFillShade="BF"/>
          </w:tcPr>
          <w:p w14:paraId="33C393EC" w14:textId="77777777" w:rsidR="00366AA7" w:rsidRPr="00866F16" w:rsidRDefault="00366AA7" w:rsidP="00866F16">
            <w:pPr>
              <w:pStyle w:val="ListParagraph"/>
              <w:numPr>
                <w:ilvl w:val="2"/>
                <w:numId w:val="71"/>
              </w:numPr>
              <w:suppressLineNumbers/>
              <w:tabs>
                <w:tab w:val="left" w:pos="735"/>
              </w:tabs>
              <w:suppressAutoHyphens/>
              <w:kinsoku w:val="0"/>
              <w:overflowPunct w:val="0"/>
              <w:autoSpaceDE w:val="0"/>
              <w:autoSpaceDN w:val="0"/>
              <w:adjustRightInd w:val="0"/>
              <w:snapToGrid w:val="0"/>
              <w:spacing w:before="60" w:after="60"/>
              <w:ind w:left="26" w:hanging="26"/>
              <w:jc w:val="left"/>
              <w:rPr>
                <w:kern w:val="22"/>
                <w:szCs w:val="22"/>
              </w:rPr>
            </w:pPr>
            <w:r w:rsidRPr="00866F16">
              <w:rPr>
                <w:kern w:val="22"/>
                <w:szCs w:val="22"/>
              </w:rPr>
              <w:t>Potential population and species loss from terrestrial and marine human modification (14.0.1) by type of modification</w:t>
            </w:r>
          </w:p>
          <w:p w14:paraId="710E943B" w14:textId="2EAF54D1" w:rsidR="00366AA7" w:rsidRPr="00866F16" w:rsidRDefault="00366AA7" w:rsidP="00866F16">
            <w:pPr>
              <w:pStyle w:val="ListParagraph"/>
              <w:numPr>
                <w:ilvl w:val="2"/>
                <w:numId w:val="71"/>
              </w:numPr>
              <w:suppressLineNumbers/>
              <w:tabs>
                <w:tab w:val="left" w:pos="735"/>
              </w:tabs>
              <w:suppressAutoHyphens/>
              <w:kinsoku w:val="0"/>
              <w:overflowPunct w:val="0"/>
              <w:autoSpaceDE w:val="0"/>
              <w:autoSpaceDN w:val="0"/>
              <w:adjustRightInd w:val="0"/>
              <w:snapToGrid w:val="0"/>
              <w:spacing w:before="60" w:after="60"/>
              <w:ind w:left="26" w:hanging="26"/>
              <w:jc w:val="left"/>
              <w:rPr>
                <w:kern w:val="22"/>
                <w:szCs w:val="22"/>
              </w:rPr>
            </w:pPr>
            <w:r w:rsidRPr="00866F16">
              <w:rPr>
                <w:kern w:val="22"/>
                <w:szCs w:val="22"/>
              </w:rPr>
              <w:t>Corporate sustainability reporting includes impacts on biodiversity by industrial (International Standard Industrial Classification of All Economic Activities) classification</w:t>
            </w:r>
          </w:p>
          <w:p w14:paraId="575990EC" w14:textId="77777777" w:rsidR="00366AA7" w:rsidRPr="00866F16" w:rsidRDefault="00366AA7" w:rsidP="00866F16">
            <w:pPr>
              <w:pStyle w:val="ListParagraph"/>
              <w:numPr>
                <w:ilvl w:val="2"/>
                <w:numId w:val="71"/>
              </w:numPr>
              <w:suppressLineNumbers/>
              <w:tabs>
                <w:tab w:val="left" w:pos="735"/>
              </w:tabs>
              <w:suppressAutoHyphens/>
              <w:kinsoku w:val="0"/>
              <w:overflowPunct w:val="0"/>
              <w:autoSpaceDE w:val="0"/>
              <w:autoSpaceDN w:val="0"/>
              <w:adjustRightInd w:val="0"/>
              <w:snapToGrid w:val="0"/>
              <w:spacing w:before="60" w:after="60"/>
              <w:ind w:left="26" w:hanging="26"/>
              <w:jc w:val="left"/>
              <w:rPr>
                <w:kern w:val="22"/>
                <w:szCs w:val="22"/>
              </w:rPr>
            </w:pPr>
            <w:r w:rsidRPr="00866F16">
              <w:rPr>
                <w:kern w:val="22"/>
                <w:szCs w:val="22"/>
              </w:rPr>
              <w:t xml:space="preserve">Number of countries developing, </w:t>
            </w:r>
            <w:proofErr w:type="gramStart"/>
            <w:r w:rsidRPr="00866F16">
              <w:rPr>
                <w:kern w:val="22"/>
                <w:szCs w:val="22"/>
              </w:rPr>
              <w:t>adopting</w:t>
            </w:r>
            <w:proofErr w:type="gramEnd"/>
            <w:r w:rsidRPr="00866F16">
              <w:rPr>
                <w:kern w:val="22"/>
                <w:szCs w:val="22"/>
              </w:rPr>
              <w:t xml:space="preserve"> or implementing policy instruments aimed at supporting the shift to sustainable consumption and production (SDG indicator 12.1.1)</w:t>
            </w:r>
          </w:p>
        </w:tc>
        <w:tc>
          <w:tcPr>
            <w:tcW w:w="3827" w:type="dxa"/>
            <w:shd w:val="clear" w:color="auto" w:fill="BFBFBF" w:themeFill="background1" w:themeFillShade="BF"/>
          </w:tcPr>
          <w:p w14:paraId="22198062" w14:textId="5A52711F" w:rsidR="00366AA7" w:rsidRPr="00866F16" w:rsidRDefault="00B147C0" w:rsidP="00866F16">
            <w:pPr>
              <w:pStyle w:val="ListParagraph"/>
              <w:numPr>
                <w:ilvl w:val="3"/>
                <w:numId w:val="78"/>
              </w:numPr>
              <w:suppressLineNumbers/>
              <w:tabs>
                <w:tab w:val="left" w:pos="885"/>
              </w:tabs>
              <w:suppressAutoHyphens/>
              <w:kinsoku w:val="0"/>
              <w:overflowPunct w:val="0"/>
              <w:autoSpaceDE w:val="0"/>
              <w:autoSpaceDN w:val="0"/>
              <w:adjustRightInd w:val="0"/>
              <w:snapToGrid w:val="0"/>
              <w:spacing w:before="60" w:after="60"/>
              <w:jc w:val="left"/>
              <w:rPr>
                <w:kern w:val="22"/>
                <w:szCs w:val="22"/>
              </w:rPr>
            </w:pPr>
            <w:r w:rsidRPr="00866F16">
              <w:rPr>
                <w:kern w:val="22"/>
                <w:szCs w:val="22"/>
              </w:rPr>
              <w:tab/>
            </w:r>
            <w:r w:rsidR="00366AA7" w:rsidRPr="00866F16">
              <w:rPr>
                <w:kern w:val="22"/>
                <w:szCs w:val="22"/>
              </w:rPr>
              <w:t>Ecological Footprint</w:t>
            </w:r>
          </w:p>
          <w:p w14:paraId="475EF07D" w14:textId="0FBA159D" w:rsidR="00366AA7" w:rsidRPr="00866F16" w:rsidRDefault="00B147C0" w:rsidP="00866F16">
            <w:pPr>
              <w:pStyle w:val="ListParagraph"/>
              <w:suppressLineNumbers/>
              <w:tabs>
                <w:tab w:val="left" w:pos="885"/>
              </w:tabs>
              <w:suppressAutoHyphens/>
              <w:kinsoku w:val="0"/>
              <w:overflowPunct w:val="0"/>
              <w:autoSpaceDE w:val="0"/>
              <w:autoSpaceDN w:val="0"/>
              <w:adjustRightInd w:val="0"/>
              <w:snapToGrid w:val="0"/>
              <w:spacing w:before="60" w:after="60"/>
              <w:ind w:left="-66"/>
              <w:jc w:val="left"/>
              <w:rPr>
                <w:kern w:val="22"/>
                <w:szCs w:val="22"/>
              </w:rPr>
            </w:pPr>
            <w:r w:rsidRPr="00866F16">
              <w:rPr>
                <w:kern w:val="22"/>
                <w:szCs w:val="22"/>
              </w:rPr>
              <w:t>14.1.1.2.</w:t>
            </w:r>
            <w:r w:rsidRPr="00866F16">
              <w:rPr>
                <w:kern w:val="22"/>
                <w:szCs w:val="22"/>
              </w:rPr>
              <w:tab/>
            </w:r>
            <w:r w:rsidR="00366AA7" w:rsidRPr="00866F16">
              <w:rPr>
                <w:kern w:val="22"/>
                <w:szCs w:val="22"/>
              </w:rPr>
              <w:t>Human Appropriation of Net Primary Production (HANPP)</w:t>
            </w:r>
          </w:p>
          <w:p w14:paraId="203CD0CA" w14:textId="79893102" w:rsidR="00366AA7" w:rsidRPr="00866F16" w:rsidRDefault="00B147C0" w:rsidP="00866F16">
            <w:pPr>
              <w:pStyle w:val="ListParagraph"/>
              <w:suppressLineNumbers/>
              <w:tabs>
                <w:tab w:val="left" w:pos="885"/>
              </w:tabs>
              <w:suppressAutoHyphens/>
              <w:kinsoku w:val="0"/>
              <w:overflowPunct w:val="0"/>
              <w:autoSpaceDE w:val="0"/>
              <w:autoSpaceDN w:val="0"/>
              <w:adjustRightInd w:val="0"/>
              <w:snapToGrid w:val="0"/>
              <w:spacing w:before="60" w:after="60"/>
              <w:ind w:left="-66"/>
              <w:jc w:val="left"/>
              <w:rPr>
                <w:kern w:val="22"/>
                <w:szCs w:val="22"/>
              </w:rPr>
            </w:pPr>
            <w:r w:rsidRPr="00866F16">
              <w:rPr>
                <w:kern w:val="22"/>
                <w:szCs w:val="22"/>
              </w:rPr>
              <w:t>14.1.1.3.</w:t>
            </w:r>
            <w:r w:rsidRPr="00866F16">
              <w:rPr>
                <w:kern w:val="22"/>
                <w:szCs w:val="22"/>
              </w:rPr>
              <w:tab/>
            </w:r>
            <w:r w:rsidR="00366AA7" w:rsidRPr="00866F16">
              <w:rPr>
                <w:kern w:val="22"/>
                <w:szCs w:val="22"/>
              </w:rPr>
              <w:t>Number of MSC Chain of Custody Certification holders by distribution country</w:t>
            </w:r>
          </w:p>
        </w:tc>
      </w:tr>
      <w:tr w:rsidR="00366AA7" w:rsidRPr="00B324FA" w14:paraId="33CF018A" w14:textId="77777777" w:rsidTr="0099764F">
        <w:trPr>
          <w:jc w:val="center"/>
        </w:trPr>
        <w:tc>
          <w:tcPr>
            <w:tcW w:w="2447" w:type="dxa"/>
            <w:shd w:val="clear" w:color="auto" w:fill="FFFFFF" w:themeFill="background1"/>
          </w:tcPr>
          <w:p w14:paraId="44475F49" w14:textId="77777777" w:rsidR="00366AA7" w:rsidRPr="00800629"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88214B">
              <w:rPr>
                <w:b/>
                <w:bCs/>
                <w:kern w:val="22"/>
                <w:szCs w:val="22"/>
              </w:rPr>
              <w:lastRenderedPageBreak/>
              <w:t>Target 15.</w:t>
            </w:r>
            <w:r w:rsidRPr="0088214B">
              <w:rPr>
                <w:kern w:val="22"/>
                <w:szCs w:val="22"/>
              </w:rPr>
              <w:t xml:space="preserve"> By 2030, eliminate unsustainable consumption patterns, ensuring people everywhere understand and appreciate the value of biodiversity, and thus make responsible choices commensurate with 2050 biodiversity vision, </w:t>
            </w:r>
            <w:proofErr w:type="gramStart"/>
            <w:r w:rsidRPr="0088214B">
              <w:rPr>
                <w:kern w:val="22"/>
                <w:szCs w:val="22"/>
              </w:rPr>
              <w:t>taking into account</w:t>
            </w:r>
            <w:proofErr w:type="gramEnd"/>
            <w:r w:rsidRPr="0088214B">
              <w:rPr>
                <w:kern w:val="22"/>
                <w:szCs w:val="22"/>
              </w:rPr>
              <w:t xml:space="preserve"> individual and national cultural and socioeconomic conditions.</w:t>
            </w:r>
          </w:p>
        </w:tc>
        <w:tc>
          <w:tcPr>
            <w:tcW w:w="1959" w:type="dxa"/>
            <w:shd w:val="clear" w:color="auto" w:fill="FFFFFF" w:themeFill="background1"/>
          </w:tcPr>
          <w:p w14:paraId="011F5515" w14:textId="77777777" w:rsidR="00366AA7" w:rsidRPr="00866F16"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866F16">
              <w:rPr>
                <w:kern w:val="22"/>
                <w:szCs w:val="22"/>
              </w:rPr>
              <w:t>15.0.1 Biomass material footprint per capita</w:t>
            </w:r>
          </w:p>
        </w:tc>
        <w:tc>
          <w:tcPr>
            <w:tcW w:w="2369" w:type="dxa"/>
            <w:shd w:val="clear" w:color="auto" w:fill="FFFFFF" w:themeFill="background1"/>
          </w:tcPr>
          <w:p w14:paraId="2A0FA6C6" w14:textId="77777777" w:rsidR="00366AA7" w:rsidRPr="00866F16" w:rsidRDefault="00366AA7" w:rsidP="00866F16">
            <w:pPr>
              <w:pStyle w:val="ListParagraph"/>
              <w:numPr>
                <w:ilvl w:val="1"/>
                <w:numId w:val="72"/>
              </w:numPr>
              <w:suppressLineNumbers/>
              <w:tabs>
                <w:tab w:val="left" w:pos="553"/>
              </w:tabs>
              <w:suppressAutoHyphens/>
              <w:kinsoku w:val="0"/>
              <w:overflowPunct w:val="0"/>
              <w:autoSpaceDE w:val="0"/>
              <w:autoSpaceDN w:val="0"/>
              <w:adjustRightInd w:val="0"/>
              <w:snapToGrid w:val="0"/>
              <w:spacing w:before="60" w:after="60"/>
              <w:ind w:left="0" w:firstLine="0"/>
              <w:jc w:val="left"/>
              <w:rPr>
                <w:kern w:val="22"/>
                <w:szCs w:val="22"/>
              </w:rPr>
            </w:pPr>
            <w:r w:rsidRPr="00866F16">
              <w:rPr>
                <w:kern w:val="22"/>
                <w:szCs w:val="22"/>
              </w:rPr>
              <w:t>Sustainable consumption patterns</w:t>
            </w:r>
          </w:p>
          <w:p w14:paraId="357DD0D9" w14:textId="77777777" w:rsidR="00366AA7" w:rsidRPr="00866F16" w:rsidRDefault="00366AA7" w:rsidP="00866F16">
            <w:pPr>
              <w:pStyle w:val="ListParagraph"/>
              <w:numPr>
                <w:ilvl w:val="1"/>
                <w:numId w:val="72"/>
              </w:numPr>
              <w:suppressLineNumbers/>
              <w:tabs>
                <w:tab w:val="left" w:pos="553"/>
              </w:tabs>
              <w:suppressAutoHyphens/>
              <w:kinsoku w:val="0"/>
              <w:overflowPunct w:val="0"/>
              <w:autoSpaceDE w:val="0"/>
              <w:autoSpaceDN w:val="0"/>
              <w:adjustRightInd w:val="0"/>
              <w:snapToGrid w:val="0"/>
              <w:spacing w:before="60" w:after="60"/>
              <w:ind w:left="0" w:firstLine="0"/>
              <w:jc w:val="left"/>
              <w:rPr>
                <w:kern w:val="22"/>
                <w:szCs w:val="22"/>
              </w:rPr>
            </w:pPr>
            <w:r w:rsidRPr="00866F16">
              <w:rPr>
                <w:kern w:val="22"/>
                <w:szCs w:val="22"/>
              </w:rPr>
              <w:t>New vision of good quality of life based on sustainability and new social norms for sustainability</w:t>
            </w:r>
          </w:p>
          <w:p w14:paraId="36C1EEC9" w14:textId="77777777" w:rsidR="00366AA7" w:rsidRPr="00866F16" w:rsidRDefault="00366AA7" w:rsidP="00866F16">
            <w:pPr>
              <w:pStyle w:val="ListParagraph"/>
              <w:numPr>
                <w:ilvl w:val="1"/>
                <w:numId w:val="72"/>
              </w:numPr>
              <w:suppressLineNumbers/>
              <w:tabs>
                <w:tab w:val="left" w:pos="553"/>
              </w:tabs>
              <w:suppressAutoHyphens/>
              <w:kinsoku w:val="0"/>
              <w:overflowPunct w:val="0"/>
              <w:autoSpaceDE w:val="0"/>
              <w:autoSpaceDN w:val="0"/>
              <w:adjustRightInd w:val="0"/>
              <w:snapToGrid w:val="0"/>
              <w:spacing w:before="60" w:after="60"/>
              <w:ind w:left="0" w:firstLine="0"/>
              <w:jc w:val="left"/>
              <w:rPr>
                <w:kern w:val="22"/>
                <w:szCs w:val="22"/>
              </w:rPr>
            </w:pPr>
            <w:r w:rsidRPr="00866F16">
              <w:rPr>
                <w:kern w:val="22"/>
                <w:szCs w:val="22"/>
              </w:rPr>
              <w:t>Peoples’ responsibility for their choices</w:t>
            </w:r>
          </w:p>
        </w:tc>
        <w:tc>
          <w:tcPr>
            <w:tcW w:w="3568" w:type="dxa"/>
            <w:shd w:val="clear" w:color="auto" w:fill="FFFFFF" w:themeFill="background1"/>
          </w:tcPr>
          <w:p w14:paraId="48F25E00" w14:textId="77777777" w:rsidR="00366AA7" w:rsidRPr="00866F16" w:rsidRDefault="00366AA7" w:rsidP="00866F16">
            <w:pPr>
              <w:pStyle w:val="ListParagraph"/>
              <w:numPr>
                <w:ilvl w:val="2"/>
                <w:numId w:val="73"/>
              </w:numPr>
              <w:suppressLineNumbers/>
              <w:tabs>
                <w:tab w:val="left" w:pos="735"/>
              </w:tabs>
              <w:suppressAutoHyphens/>
              <w:kinsoku w:val="0"/>
              <w:overflowPunct w:val="0"/>
              <w:autoSpaceDE w:val="0"/>
              <w:autoSpaceDN w:val="0"/>
              <w:adjustRightInd w:val="0"/>
              <w:snapToGrid w:val="0"/>
              <w:spacing w:before="60" w:after="60"/>
              <w:ind w:left="26" w:hanging="26"/>
              <w:jc w:val="left"/>
              <w:rPr>
                <w:kern w:val="22"/>
                <w:szCs w:val="22"/>
              </w:rPr>
            </w:pPr>
            <w:r w:rsidRPr="00866F16">
              <w:rPr>
                <w:kern w:val="22"/>
                <w:szCs w:val="22"/>
              </w:rPr>
              <w:t>Material footprint by type (biomass, fossil fuels, metal ores non-metallic minerals) (SDG indicators 8.4.1 and 12.2.1)</w:t>
            </w:r>
          </w:p>
          <w:p w14:paraId="150CFCB2" w14:textId="77777777" w:rsidR="00366AA7" w:rsidRPr="00866F16" w:rsidRDefault="00366AA7" w:rsidP="00866F16">
            <w:pPr>
              <w:pStyle w:val="ListParagraph"/>
              <w:numPr>
                <w:ilvl w:val="2"/>
                <w:numId w:val="73"/>
              </w:numPr>
              <w:suppressLineNumbers/>
              <w:tabs>
                <w:tab w:val="left" w:pos="735"/>
              </w:tabs>
              <w:suppressAutoHyphens/>
              <w:kinsoku w:val="0"/>
              <w:overflowPunct w:val="0"/>
              <w:autoSpaceDE w:val="0"/>
              <w:autoSpaceDN w:val="0"/>
              <w:adjustRightInd w:val="0"/>
              <w:snapToGrid w:val="0"/>
              <w:spacing w:before="60" w:after="60"/>
              <w:ind w:left="26" w:hanging="26"/>
              <w:jc w:val="left"/>
              <w:rPr>
                <w:kern w:val="22"/>
                <w:szCs w:val="22"/>
              </w:rPr>
            </w:pPr>
            <w:r w:rsidRPr="00866F16">
              <w:rPr>
                <w:kern w:val="22"/>
                <w:szCs w:val="22"/>
              </w:rPr>
              <w:t>Domestic material consumption by type (biomass, fossil fuels, metal ores non-metallic minerals) (SDG indicators 8.4.2 and 12.2.2)</w:t>
            </w:r>
          </w:p>
          <w:p w14:paraId="2E46F236" w14:textId="77777777" w:rsidR="00366AA7" w:rsidRPr="00866F16" w:rsidRDefault="00366AA7" w:rsidP="00866F16">
            <w:pPr>
              <w:pStyle w:val="ListParagraph"/>
              <w:numPr>
                <w:ilvl w:val="2"/>
                <w:numId w:val="73"/>
              </w:numPr>
              <w:suppressLineNumbers/>
              <w:tabs>
                <w:tab w:val="left" w:pos="735"/>
              </w:tabs>
              <w:suppressAutoHyphens/>
              <w:kinsoku w:val="0"/>
              <w:overflowPunct w:val="0"/>
              <w:autoSpaceDE w:val="0"/>
              <w:autoSpaceDN w:val="0"/>
              <w:adjustRightInd w:val="0"/>
              <w:snapToGrid w:val="0"/>
              <w:spacing w:before="60" w:after="60"/>
              <w:ind w:left="26" w:hanging="26"/>
              <w:jc w:val="left"/>
              <w:rPr>
                <w:kern w:val="22"/>
                <w:szCs w:val="22"/>
              </w:rPr>
            </w:pPr>
            <w:r w:rsidRPr="00866F16">
              <w:rPr>
                <w:kern w:val="22"/>
                <w:szCs w:val="22"/>
              </w:rPr>
              <w:t>(a) Food loss index and (b) food waste index (SDG indicator 12.3.1)</w:t>
            </w:r>
          </w:p>
          <w:p w14:paraId="72C6C846" w14:textId="77777777" w:rsidR="00366AA7" w:rsidRPr="00866F16" w:rsidRDefault="00366AA7" w:rsidP="00866F16">
            <w:pPr>
              <w:pStyle w:val="ListParagraph"/>
              <w:numPr>
                <w:ilvl w:val="2"/>
                <w:numId w:val="73"/>
              </w:numPr>
              <w:suppressLineNumbers/>
              <w:tabs>
                <w:tab w:val="left" w:pos="735"/>
              </w:tabs>
              <w:suppressAutoHyphens/>
              <w:kinsoku w:val="0"/>
              <w:overflowPunct w:val="0"/>
              <w:autoSpaceDE w:val="0"/>
              <w:autoSpaceDN w:val="0"/>
              <w:adjustRightInd w:val="0"/>
              <w:snapToGrid w:val="0"/>
              <w:spacing w:before="60" w:after="60"/>
              <w:ind w:left="26" w:hanging="26"/>
              <w:jc w:val="left"/>
              <w:rPr>
                <w:kern w:val="22"/>
                <w:szCs w:val="22"/>
              </w:rPr>
            </w:pPr>
            <w:r w:rsidRPr="00866F16">
              <w:rPr>
                <w:kern w:val="22"/>
                <w:szCs w:val="22"/>
              </w:rPr>
              <w:t>Biodiversity Engagement Indicator</w:t>
            </w:r>
          </w:p>
          <w:p w14:paraId="4EFE0A48" w14:textId="77777777" w:rsidR="00366AA7" w:rsidRPr="00866F16" w:rsidRDefault="00366AA7" w:rsidP="00866F16">
            <w:pPr>
              <w:pStyle w:val="ListParagraph"/>
              <w:suppressLineNumbers/>
              <w:tabs>
                <w:tab w:val="left" w:pos="735"/>
              </w:tabs>
              <w:suppressAutoHyphens/>
              <w:kinsoku w:val="0"/>
              <w:overflowPunct w:val="0"/>
              <w:autoSpaceDE w:val="0"/>
              <w:autoSpaceDN w:val="0"/>
              <w:adjustRightInd w:val="0"/>
              <w:snapToGrid w:val="0"/>
              <w:spacing w:before="60" w:after="60"/>
              <w:ind w:left="26"/>
              <w:jc w:val="left"/>
              <w:rPr>
                <w:i/>
                <w:iCs/>
                <w:kern w:val="22"/>
                <w:szCs w:val="22"/>
              </w:rPr>
            </w:pPr>
            <w:r w:rsidRPr="00866F16">
              <w:rPr>
                <w:i/>
                <w:iCs/>
                <w:kern w:val="22"/>
                <w:szCs w:val="22"/>
              </w:rPr>
              <w:t>Headline indicators captured in Target 19</w:t>
            </w:r>
          </w:p>
        </w:tc>
        <w:tc>
          <w:tcPr>
            <w:tcW w:w="3827" w:type="dxa"/>
            <w:shd w:val="clear" w:color="auto" w:fill="FFFFFF" w:themeFill="background1"/>
          </w:tcPr>
          <w:p w14:paraId="02DD58E2" w14:textId="77777777" w:rsidR="00366AA7" w:rsidRPr="00866F16" w:rsidRDefault="00366AA7" w:rsidP="00866F16">
            <w:pPr>
              <w:pStyle w:val="ListParagraph"/>
              <w:numPr>
                <w:ilvl w:val="3"/>
                <w:numId w:val="74"/>
              </w:numPr>
              <w:suppressLineNumbers/>
              <w:tabs>
                <w:tab w:val="left" w:pos="926"/>
              </w:tabs>
              <w:suppressAutoHyphens/>
              <w:kinsoku w:val="0"/>
              <w:overflowPunct w:val="0"/>
              <w:autoSpaceDE w:val="0"/>
              <w:autoSpaceDN w:val="0"/>
              <w:adjustRightInd w:val="0"/>
              <w:snapToGrid w:val="0"/>
              <w:spacing w:before="60" w:after="60"/>
              <w:ind w:left="0" w:firstLine="0"/>
              <w:jc w:val="left"/>
              <w:rPr>
                <w:kern w:val="22"/>
                <w:szCs w:val="22"/>
              </w:rPr>
            </w:pPr>
            <w:r w:rsidRPr="00866F16">
              <w:rPr>
                <w:kern w:val="22"/>
                <w:szCs w:val="22"/>
              </w:rPr>
              <w:t>CO</w:t>
            </w:r>
            <w:r w:rsidRPr="00800629">
              <w:rPr>
                <w:kern w:val="22"/>
                <w:szCs w:val="22"/>
                <w:vertAlign w:val="subscript"/>
              </w:rPr>
              <w:t>2</w:t>
            </w:r>
            <w:r w:rsidRPr="00866F16">
              <w:rPr>
                <w:kern w:val="22"/>
                <w:szCs w:val="22"/>
              </w:rPr>
              <w:t xml:space="preserve"> emission per unit of value added (SDG indicator 9.4.1)</w:t>
            </w:r>
          </w:p>
          <w:p w14:paraId="00A778B9" w14:textId="77777777" w:rsidR="00366AA7" w:rsidRPr="00866F16" w:rsidRDefault="00366AA7" w:rsidP="00866F16">
            <w:pPr>
              <w:pStyle w:val="ListParagraph"/>
              <w:numPr>
                <w:ilvl w:val="3"/>
                <w:numId w:val="74"/>
              </w:numPr>
              <w:suppressLineNumbers/>
              <w:tabs>
                <w:tab w:val="left" w:pos="926"/>
              </w:tabs>
              <w:suppressAutoHyphens/>
              <w:kinsoku w:val="0"/>
              <w:overflowPunct w:val="0"/>
              <w:autoSpaceDE w:val="0"/>
              <w:autoSpaceDN w:val="0"/>
              <w:adjustRightInd w:val="0"/>
              <w:snapToGrid w:val="0"/>
              <w:spacing w:before="60" w:after="60"/>
              <w:ind w:left="0" w:firstLine="0"/>
              <w:jc w:val="left"/>
              <w:rPr>
                <w:kern w:val="22"/>
                <w:szCs w:val="22"/>
              </w:rPr>
            </w:pPr>
            <w:r w:rsidRPr="00866F16">
              <w:rPr>
                <w:kern w:val="22"/>
                <w:szCs w:val="22"/>
              </w:rPr>
              <w:t>Change in water-use efficiency over time (SDG indicator 6.4.1)</w:t>
            </w:r>
          </w:p>
        </w:tc>
      </w:tr>
      <w:tr w:rsidR="00366AA7" w:rsidRPr="00B324FA" w14:paraId="6846A634" w14:textId="77777777" w:rsidTr="0099764F">
        <w:trPr>
          <w:jc w:val="center"/>
        </w:trPr>
        <w:tc>
          <w:tcPr>
            <w:tcW w:w="2447" w:type="dxa"/>
            <w:shd w:val="clear" w:color="auto" w:fill="BFBFBF" w:themeFill="background1" w:themeFillShade="BF"/>
          </w:tcPr>
          <w:p w14:paraId="277ADBAD" w14:textId="77777777" w:rsidR="00366AA7" w:rsidRPr="00800629" w:rsidRDefault="00366AA7" w:rsidP="00866F16">
            <w:pPr>
              <w:suppressLineNumbers/>
              <w:suppressAutoHyphens/>
              <w:kinsoku w:val="0"/>
              <w:overflowPunct w:val="0"/>
              <w:autoSpaceDE w:val="0"/>
              <w:autoSpaceDN w:val="0"/>
              <w:adjustRightInd w:val="0"/>
              <w:snapToGrid w:val="0"/>
              <w:jc w:val="left"/>
              <w:rPr>
                <w:kern w:val="22"/>
                <w:szCs w:val="22"/>
              </w:rPr>
            </w:pPr>
            <w:r w:rsidRPr="00214660">
              <w:rPr>
                <w:b/>
                <w:bCs/>
                <w:kern w:val="22"/>
                <w:szCs w:val="22"/>
              </w:rPr>
              <w:t>Target 16.</w:t>
            </w:r>
            <w:r w:rsidRPr="00214660">
              <w:rPr>
                <w:kern w:val="22"/>
                <w:szCs w:val="22"/>
              </w:rPr>
              <w:t xml:space="preserve"> By 2030, establish and implement measures to prevent, manage or control potential adverse impacts of biotechnology on biodiversity and human health reducing these impacts by [X].</w:t>
            </w:r>
          </w:p>
        </w:tc>
        <w:tc>
          <w:tcPr>
            <w:tcW w:w="1959" w:type="dxa"/>
            <w:shd w:val="clear" w:color="auto" w:fill="BFBFBF" w:themeFill="background1" w:themeFillShade="BF"/>
          </w:tcPr>
          <w:p w14:paraId="2F4A4CA9" w14:textId="77777777" w:rsidR="00366AA7" w:rsidRPr="00866F16"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866F16">
              <w:rPr>
                <w:kern w:val="22"/>
                <w:szCs w:val="22"/>
              </w:rPr>
              <w:t xml:space="preserve">16.0.1 Extent to which necessary legal, administrative, </w:t>
            </w:r>
            <w:proofErr w:type="gramStart"/>
            <w:r w:rsidRPr="00866F16">
              <w:rPr>
                <w:kern w:val="22"/>
                <w:szCs w:val="22"/>
              </w:rPr>
              <w:t>technical</w:t>
            </w:r>
            <w:proofErr w:type="gramEnd"/>
            <w:r w:rsidRPr="00866F16">
              <w:rPr>
                <w:kern w:val="22"/>
                <w:szCs w:val="22"/>
              </w:rPr>
              <w:t xml:space="preserve"> and other biosafety measures are in place to prevent, manage and control potential adverse impacts of biotechnology on biodiversity*</w:t>
            </w:r>
          </w:p>
        </w:tc>
        <w:tc>
          <w:tcPr>
            <w:tcW w:w="2369" w:type="dxa"/>
            <w:shd w:val="clear" w:color="auto" w:fill="BFBFBF" w:themeFill="background1" w:themeFillShade="BF"/>
          </w:tcPr>
          <w:p w14:paraId="506BB231" w14:textId="18E8A178" w:rsidR="00366AA7" w:rsidRPr="00866F16" w:rsidRDefault="00366AA7" w:rsidP="00866F16">
            <w:pPr>
              <w:pStyle w:val="ListParagraph"/>
              <w:suppressLineNumbers/>
              <w:tabs>
                <w:tab w:val="left" w:pos="270"/>
              </w:tabs>
              <w:suppressAutoHyphens/>
              <w:kinsoku w:val="0"/>
              <w:overflowPunct w:val="0"/>
              <w:autoSpaceDE w:val="0"/>
              <w:autoSpaceDN w:val="0"/>
              <w:adjustRightInd w:val="0"/>
              <w:snapToGrid w:val="0"/>
              <w:spacing w:before="60" w:after="60"/>
              <w:ind w:left="-14"/>
              <w:jc w:val="left"/>
              <w:rPr>
                <w:kern w:val="22"/>
                <w:szCs w:val="22"/>
              </w:rPr>
            </w:pPr>
            <w:r w:rsidRPr="00866F16">
              <w:rPr>
                <w:kern w:val="22"/>
                <w:szCs w:val="22"/>
              </w:rPr>
              <w:t>16.1. Measures to prevent potential adverse impacts of biotechnology on biodiversity and human health</w:t>
            </w:r>
          </w:p>
          <w:p w14:paraId="4E9FEC3C" w14:textId="77777777" w:rsidR="00366AA7" w:rsidRPr="00866F16" w:rsidRDefault="00366AA7" w:rsidP="00866F16">
            <w:pPr>
              <w:pStyle w:val="ListParagraph"/>
              <w:suppressLineNumbers/>
              <w:tabs>
                <w:tab w:val="left" w:pos="270"/>
              </w:tabs>
              <w:suppressAutoHyphens/>
              <w:kinsoku w:val="0"/>
              <w:overflowPunct w:val="0"/>
              <w:autoSpaceDE w:val="0"/>
              <w:autoSpaceDN w:val="0"/>
              <w:adjustRightInd w:val="0"/>
              <w:snapToGrid w:val="0"/>
              <w:spacing w:before="60" w:after="60"/>
              <w:ind w:left="-14"/>
              <w:jc w:val="left"/>
              <w:rPr>
                <w:kern w:val="22"/>
                <w:szCs w:val="22"/>
              </w:rPr>
            </w:pPr>
            <w:r w:rsidRPr="00866F16">
              <w:rPr>
                <w:kern w:val="22"/>
                <w:szCs w:val="22"/>
              </w:rPr>
              <w:t>16.2. Measures to manage adverse impacts of biotechnology on biodiversity and human health</w:t>
            </w:r>
          </w:p>
          <w:p w14:paraId="6836A7A4" w14:textId="77777777" w:rsidR="00366AA7" w:rsidRPr="00866F16" w:rsidRDefault="00366AA7" w:rsidP="00866F16">
            <w:pPr>
              <w:pStyle w:val="ListParagraph"/>
              <w:suppressLineNumbers/>
              <w:tabs>
                <w:tab w:val="left" w:pos="270"/>
              </w:tabs>
              <w:suppressAutoHyphens/>
              <w:kinsoku w:val="0"/>
              <w:overflowPunct w:val="0"/>
              <w:autoSpaceDE w:val="0"/>
              <w:autoSpaceDN w:val="0"/>
              <w:adjustRightInd w:val="0"/>
              <w:snapToGrid w:val="0"/>
              <w:spacing w:before="60" w:after="60"/>
              <w:ind w:left="-14"/>
              <w:jc w:val="left"/>
              <w:rPr>
                <w:kern w:val="22"/>
                <w:szCs w:val="22"/>
              </w:rPr>
            </w:pPr>
            <w:r w:rsidRPr="00866F16">
              <w:rPr>
                <w:kern w:val="22"/>
                <w:szCs w:val="22"/>
              </w:rPr>
              <w:t>16.3. Measures to control adverse impacts of biotechnology on biodiversity and human health</w:t>
            </w:r>
          </w:p>
          <w:p w14:paraId="4CBB3FA9" w14:textId="49DDCB0F" w:rsidR="00366AA7" w:rsidRPr="00D45BE8" w:rsidRDefault="00366AA7" w:rsidP="00866F16">
            <w:pPr>
              <w:pStyle w:val="ListParagraph"/>
              <w:suppressLineNumbers/>
              <w:tabs>
                <w:tab w:val="left" w:pos="270"/>
              </w:tabs>
              <w:suppressAutoHyphens/>
              <w:kinsoku w:val="0"/>
              <w:overflowPunct w:val="0"/>
              <w:autoSpaceDE w:val="0"/>
              <w:autoSpaceDN w:val="0"/>
              <w:adjustRightInd w:val="0"/>
              <w:snapToGrid w:val="0"/>
              <w:spacing w:before="60" w:after="60"/>
              <w:ind w:left="-14"/>
              <w:jc w:val="left"/>
            </w:pPr>
            <w:r w:rsidRPr="00866F16">
              <w:rPr>
                <w:kern w:val="22"/>
                <w:szCs w:val="22"/>
              </w:rPr>
              <w:lastRenderedPageBreak/>
              <w:t xml:space="preserve">16.4. Restoration and compensation for damage to biodiversity caused by </w:t>
            </w:r>
            <w:r w:rsidR="0003434A">
              <w:rPr>
                <w:kern w:val="22"/>
                <w:szCs w:val="22"/>
              </w:rPr>
              <w:t>living modified organisms</w:t>
            </w:r>
          </w:p>
        </w:tc>
        <w:tc>
          <w:tcPr>
            <w:tcW w:w="3568" w:type="dxa"/>
            <w:shd w:val="clear" w:color="auto" w:fill="BFBFBF" w:themeFill="background1" w:themeFillShade="BF"/>
          </w:tcPr>
          <w:p w14:paraId="46861BEC" w14:textId="77777777" w:rsidR="00366AA7" w:rsidRPr="00866F16" w:rsidRDefault="00366AA7" w:rsidP="00866F16">
            <w:pPr>
              <w:pStyle w:val="ListParagraph"/>
              <w:suppressLineNumbers/>
              <w:tabs>
                <w:tab w:val="left" w:pos="310"/>
              </w:tabs>
              <w:suppressAutoHyphens/>
              <w:kinsoku w:val="0"/>
              <w:overflowPunct w:val="0"/>
              <w:autoSpaceDE w:val="0"/>
              <w:autoSpaceDN w:val="0"/>
              <w:adjustRightInd w:val="0"/>
              <w:snapToGrid w:val="0"/>
              <w:spacing w:before="60" w:after="60"/>
              <w:ind w:left="0"/>
              <w:jc w:val="left"/>
              <w:rPr>
                <w:i/>
                <w:iCs/>
                <w:kern w:val="22"/>
                <w:szCs w:val="22"/>
              </w:rPr>
            </w:pPr>
            <w:r w:rsidRPr="00866F16">
              <w:rPr>
                <w:i/>
                <w:iCs/>
                <w:kern w:val="22"/>
                <w:szCs w:val="22"/>
              </w:rPr>
              <w:lastRenderedPageBreak/>
              <w:t>Captured in headline indicator for Target 16</w:t>
            </w:r>
          </w:p>
        </w:tc>
        <w:tc>
          <w:tcPr>
            <w:tcW w:w="3827" w:type="dxa"/>
            <w:shd w:val="clear" w:color="auto" w:fill="BFBFBF" w:themeFill="background1" w:themeFillShade="BF"/>
          </w:tcPr>
          <w:p w14:paraId="73D2F13E" w14:textId="34D5A9BF" w:rsidR="00366AA7" w:rsidRPr="00866F16" w:rsidRDefault="00C142B1" w:rsidP="00866F16">
            <w:pPr>
              <w:pStyle w:val="ListParagraph"/>
              <w:suppressLineNumbers/>
              <w:tabs>
                <w:tab w:val="left" w:pos="926"/>
              </w:tabs>
              <w:suppressAutoHyphens/>
              <w:kinsoku w:val="0"/>
              <w:overflowPunct w:val="0"/>
              <w:autoSpaceDE w:val="0"/>
              <w:autoSpaceDN w:val="0"/>
              <w:adjustRightInd w:val="0"/>
              <w:snapToGrid w:val="0"/>
              <w:spacing w:before="60" w:after="60"/>
              <w:ind w:left="0"/>
              <w:jc w:val="left"/>
              <w:rPr>
                <w:kern w:val="22"/>
                <w:szCs w:val="22"/>
              </w:rPr>
            </w:pPr>
            <w:r>
              <w:rPr>
                <w:kern w:val="22"/>
                <w:szCs w:val="22"/>
              </w:rPr>
              <w:t>16.1.1.1.</w:t>
            </w:r>
            <w:r>
              <w:rPr>
                <w:kern w:val="22"/>
                <w:szCs w:val="22"/>
              </w:rPr>
              <w:tab/>
            </w:r>
            <w:r w:rsidR="00366AA7" w:rsidRPr="00866F16">
              <w:rPr>
                <w:kern w:val="22"/>
                <w:szCs w:val="22"/>
              </w:rPr>
              <w:t>Number of countries that have the necessary biosafety legal and administrative measures in place</w:t>
            </w:r>
          </w:p>
          <w:p w14:paraId="7E7DD1F4" w14:textId="386005E1" w:rsidR="00366AA7" w:rsidRPr="00866F16" w:rsidRDefault="003076A4" w:rsidP="00866F16">
            <w:pPr>
              <w:pStyle w:val="ListParagraph"/>
              <w:suppressLineNumbers/>
              <w:tabs>
                <w:tab w:val="left" w:pos="926"/>
              </w:tabs>
              <w:suppressAutoHyphens/>
              <w:kinsoku w:val="0"/>
              <w:overflowPunct w:val="0"/>
              <w:autoSpaceDE w:val="0"/>
              <w:autoSpaceDN w:val="0"/>
              <w:adjustRightInd w:val="0"/>
              <w:snapToGrid w:val="0"/>
              <w:spacing w:before="60" w:after="60"/>
              <w:ind w:left="0"/>
              <w:jc w:val="left"/>
              <w:rPr>
                <w:kern w:val="22"/>
                <w:szCs w:val="22"/>
              </w:rPr>
            </w:pPr>
            <w:r w:rsidRPr="00866F16">
              <w:rPr>
                <w:kern w:val="22"/>
                <w:szCs w:val="22"/>
              </w:rPr>
              <w:t>16.1.1.2.</w:t>
            </w:r>
            <w:r w:rsidRPr="00866F16">
              <w:rPr>
                <w:kern w:val="22"/>
                <w:szCs w:val="22"/>
              </w:rPr>
              <w:tab/>
            </w:r>
            <w:r w:rsidR="00366AA7" w:rsidRPr="00866F16">
              <w:rPr>
                <w:kern w:val="22"/>
                <w:szCs w:val="22"/>
              </w:rPr>
              <w:t>Number of countries that implement their biosafety measures</w:t>
            </w:r>
          </w:p>
          <w:p w14:paraId="3BEC765A" w14:textId="5CC3ECE4" w:rsidR="00366AA7" w:rsidRPr="00866F16" w:rsidRDefault="00621832" w:rsidP="00866F16">
            <w:pPr>
              <w:pStyle w:val="ListParagraph"/>
              <w:suppressLineNumbers/>
              <w:tabs>
                <w:tab w:val="left" w:pos="926"/>
              </w:tabs>
              <w:suppressAutoHyphens/>
              <w:kinsoku w:val="0"/>
              <w:overflowPunct w:val="0"/>
              <w:autoSpaceDE w:val="0"/>
              <w:autoSpaceDN w:val="0"/>
              <w:adjustRightInd w:val="0"/>
              <w:snapToGrid w:val="0"/>
              <w:spacing w:before="60" w:after="60"/>
              <w:ind w:left="0"/>
              <w:jc w:val="left"/>
              <w:rPr>
                <w:kern w:val="22"/>
                <w:szCs w:val="22"/>
              </w:rPr>
            </w:pPr>
            <w:r w:rsidRPr="00866F16">
              <w:rPr>
                <w:kern w:val="22"/>
                <w:szCs w:val="22"/>
              </w:rPr>
              <w:t>16.1.1.3.</w:t>
            </w:r>
            <w:r w:rsidRPr="00866F16">
              <w:rPr>
                <w:kern w:val="22"/>
                <w:szCs w:val="22"/>
              </w:rPr>
              <w:tab/>
            </w:r>
            <w:r w:rsidR="00366AA7" w:rsidRPr="00866F16">
              <w:rPr>
                <w:kern w:val="22"/>
                <w:szCs w:val="22"/>
              </w:rPr>
              <w:t>Number of countries that have the necessary measures and means for detection and identification of products of biotechnology</w:t>
            </w:r>
          </w:p>
          <w:p w14:paraId="79852625" w14:textId="518226AF" w:rsidR="00366AA7" w:rsidRPr="00866F16" w:rsidRDefault="00621832" w:rsidP="00866F16">
            <w:pPr>
              <w:pStyle w:val="ListParagraph"/>
              <w:suppressLineNumbers/>
              <w:tabs>
                <w:tab w:val="left" w:pos="926"/>
              </w:tabs>
              <w:suppressAutoHyphens/>
              <w:kinsoku w:val="0"/>
              <w:overflowPunct w:val="0"/>
              <w:autoSpaceDE w:val="0"/>
              <w:autoSpaceDN w:val="0"/>
              <w:adjustRightInd w:val="0"/>
              <w:snapToGrid w:val="0"/>
              <w:spacing w:before="60" w:after="60"/>
              <w:ind w:left="0"/>
              <w:jc w:val="left"/>
              <w:rPr>
                <w:kern w:val="22"/>
                <w:szCs w:val="22"/>
              </w:rPr>
            </w:pPr>
            <w:r w:rsidRPr="00866F16">
              <w:rPr>
                <w:kern w:val="22"/>
                <w:szCs w:val="22"/>
              </w:rPr>
              <w:t>16.1.1.</w:t>
            </w:r>
            <w:r w:rsidR="00227310" w:rsidRPr="00866F16">
              <w:rPr>
                <w:kern w:val="22"/>
                <w:szCs w:val="22"/>
              </w:rPr>
              <w:t>4</w:t>
            </w:r>
            <w:r w:rsidRPr="00866F16">
              <w:rPr>
                <w:kern w:val="22"/>
                <w:szCs w:val="22"/>
              </w:rPr>
              <w:t>.</w:t>
            </w:r>
            <w:r w:rsidRPr="00866F16">
              <w:rPr>
                <w:kern w:val="22"/>
                <w:szCs w:val="22"/>
              </w:rPr>
              <w:tab/>
            </w:r>
            <w:r w:rsidR="00366AA7" w:rsidRPr="00866F16">
              <w:rPr>
                <w:kern w:val="22"/>
                <w:szCs w:val="22"/>
              </w:rPr>
              <w:t>Number of countries that carry out scientifically sound risk assessments to support biosafety decision-making</w:t>
            </w:r>
          </w:p>
          <w:p w14:paraId="04155647" w14:textId="7C16E30C" w:rsidR="00366AA7" w:rsidRPr="00866F16" w:rsidRDefault="00621832" w:rsidP="00866F16">
            <w:pPr>
              <w:pStyle w:val="ListParagraph"/>
              <w:suppressLineNumbers/>
              <w:tabs>
                <w:tab w:val="left" w:pos="926"/>
              </w:tabs>
              <w:suppressAutoHyphens/>
              <w:kinsoku w:val="0"/>
              <w:overflowPunct w:val="0"/>
              <w:autoSpaceDE w:val="0"/>
              <w:autoSpaceDN w:val="0"/>
              <w:adjustRightInd w:val="0"/>
              <w:snapToGrid w:val="0"/>
              <w:spacing w:before="60" w:after="60"/>
              <w:ind w:left="0"/>
              <w:jc w:val="left"/>
              <w:rPr>
                <w:kern w:val="22"/>
                <w:szCs w:val="22"/>
              </w:rPr>
            </w:pPr>
            <w:r w:rsidRPr="00866F16">
              <w:rPr>
                <w:kern w:val="22"/>
                <w:szCs w:val="22"/>
              </w:rPr>
              <w:t>16.1.1.</w:t>
            </w:r>
            <w:r w:rsidR="00227310" w:rsidRPr="00866F16">
              <w:rPr>
                <w:kern w:val="22"/>
                <w:szCs w:val="22"/>
              </w:rPr>
              <w:t>5.</w:t>
            </w:r>
            <w:r w:rsidR="00227310" w:rsidRPr="00866F16">
              <w:rPr>
                <w:kern w:val="22"/>
                <w:szCs w:val="22"/>
              </w:rPr>
              <w:tab/>
            </w:r>
            <w:r w:rsidR="00366AA7" w:rsidRPr="00866F16">
              <w:rPr>
                <w:kern w:val="22"/>
                <w:szCs w:val="22"/>
              </w:rPr>
              <w:t>Number of countries that establish and implement risk management measures</w:t>
            </w:r>
          </w:p>
          <w:p w14:paraId="419B8695" w14:textId="6363DCFD" w:rsidR="00366AA7" w:rsidRPr="00866F16" w:rsidRDefault="00227310" w:rsidP="00866F16">
            <w:pPr>
              <w:pStyle w:val="ListParagraph"/>
              <w:suppressLineNumbers/>
              <w:tabs>
                <w:tab w:val="left" w:pos="926"/>
              </w:tabs>
              <w:suppressAutoHyphens/>
              <w:kinsoku w:val="0"/>
              <w:overflowPunct w:val="0"/>
              <w:autoSpaceDE w:val="0"/>
              <w:autoSpaceDN w:val="0"/>
              <w:adjustRightInd w:val="0"/>
              <w:snapToGrid w:val="0"/>
              <w:spacing w:before="60" w:after="60"/>
              <w:ind w:left="0"/>
              <w:jc w:val="left"/>
              <w:rPr>
                <w:kern w:val="22"/>
                <w:szCs w:val="22"/>
              </w:rPr>
            </w:pPr>
            <w:r w:rsidRPr="00866F16">
              <w:rPr>
                <w:kern w:val="22"/>
                <w:szCs w:val="22"/>
              </w:rPr>
              <w:lastRenderedPageBreak/>
              <w:t>16.1.1.6.</w:t>
            </w:r>
            <w:r w:rsidRPr="00866F16">
              <w:rPr>
                <w:kern w:val="22"/>
                <w:szCs w:val="22"/>
              </w:rPr>
              <w:tab/>
            </w:r>
            <w:r w:rsidR="00366AA7" w:rsidRPr="00866F16">
              <w:rPr>
                <w:kern w:val="22"/>
                <w:szCs w:val="22"/>
              </w:rPr>
              <w:t>Percentage of Parties to the Cartagena Protocol on Biosafety implementing the relevant provisions of the Protocol</w:t>
            </w:r>
          </w:p>
          <w:p w14:paraId="0686E317" w14:textId="0921C0E9" w:rsidR="00366AA7" w:rsidRPr="00866F16" w:rsidRDefault="00BE4007" w:rsidP="00866F16">
            <w:pPr>
              <w:pStyle w:val="ListParagraph"/>
              <w:suppressLineNumbers/>
              <w:tabs>
                <w:tab w:val="left" w:pos="926"/>
              </w:tabs>
              <w:suppressAutoHyphens/>
              <w:kinsoku w:val="0"/>
              <w:overflowPunct w:val="0"/>
              <w:autoSpaceDE w:val="0"/>
              <w:autoSpaceDN w:val="0"/>
              <w:adjustRightInd w:val="0"/>
              <w:snapToGrid w:val="0"/>
              <w:spacing w:before="60" w:after="60"/>
              <w:ind w:left="0"/>
              <w:jc w:val="left"/>
              <w:rPr>
                <w:kern w:val="22"/>
                <w:szCs w:val="22"/>
              </w:rPr>
            </w:pPr>
            <w:r w:rsidRPr="00866F16">
              <w:rPr>
                <w:kern w:val="22"/>
                <w:szCs w:val="22"/>
              </w:rPr>
              <w:t>16.1.1.7.</w:t>
            </w:r>
            <w:r w:rsidRPr="00866F16">
              <w:rPr>
                <w:kern w:val="22"/>
                <w:szCs w:val="22"/>
              </w:rPr>
              <w:tab/>
            </w:r>
            <w:r w:rsidR="00366AA7" w:rsidRPr="00866F16">
              <w:rPr>
                <w:kern w:val="22"/>
                <w:szCs w:val="22"/>
              </w:rPr>
              <w:t>Number of countries with legal and technical measures for restoration and compensation</w:t>
            </w:r>
          </w:p>
          <w:p w14:paraId="7FC29E7A" w14:textId="6EF26CCE" w:rsidR="00366AA7" w:rsidRPr="00866F16" w:rsidRDefault="00BE4007" w:rsidP="00866F16">
            <w:pPr>
              <w:pStyle w:val="ListParagraph"/>
              <w:suppressLineNumbers/>
              <w:tabs>
                <w:tab w:val="left" w:pos="926"/>
              </w:tabs>
              <w:suppressAutoHyphens/>
              <w:kinsoku w:val="0"/>
              <w:overflowPunct w:val="0"/>
              <w:autoSpaceDE w:val="0"/>
              <w:autoSpaceDN w:val="0"/>
              <w:adjustRightInd w:val="0"/>
              <w:snapToGrid w:val="0"/>
              <w:spacing w:before="60" w:after="60"/>
              <w:ind w:left="0"/>
              <w:jc w:val="left"/>
              <w:rPr>
                <w:kern w:val="22"/>
                <w:szCs w:val="22"/>
              </w:rPr>
            </w:pPr>
            <w:r w:rsidRPr="00866F16">
              <w:rPr>
                <w:kern w:val="22"/>
                <w:szCs w:val="22"/>
              </w:rPr>
              <w:t>16.1.1.8.</w:t>
            </w:r>
            <w:r w:rsidRPr="00866F16">
              <w:rPr>
                <w:kern w:val="22"/>
                <w:szCs w:val="22"/>
              </w:rPr>
              <w:tab/>
            </w:r>
            <w:r w:rsidR="00366AA7" w:rsidRPr="00866F16">
              <w:rPr>
                <w:kern w:val="22"/>
                <w:szCs w:val="22"/>
              </w:rPr>
              <w:t>Percentage of Parties to the Nagoya – Kuala Lumpur Supplementary Protocol implementing the relevant provisions of the Supplementary Protocol</w:t>
            </w:r>
          </w:p>
        </w:tc>
      </w:tr>
      <w:tr w:rsidR="00366AA7" w:rsidRPr="00B324FA" w14:paraId="40F2B6CC" w14:textId="77777777" w:rsidTr="0099764F">
        <w:trPr>
          <w:jc w:val="center"/>
        </w:trPr>
        <w:tc>
          <w:tcPr>
            <w:tcW w:w="2447" w:type="dxa"/>
            <w:shd w:val="clear" w:color="auto" w:fill="FFFFFF" w:themeFill="background1"/>
          </w:tcPr>
          <w:p w14:paraId="79630AB4" w14:textId="77777777" w:rsidR="00366AA7" w:rsidRPr="00800629" w:rsidRDefault="00366AA7" w:rsidP="00866F16">
            <w:pPr>
              <w:suppressLineNumbers/>
              <w:suppressAutoHyphens/>
              <w:kinsoku w:val="0"/>
              <w:overflowPunct w:val="0"/>
              <w:autoSpaceDE w:val="0"/>
              <w:autoSpaceDN w:val="0"/>
              <w:adjustRightInd w:val="0"/>
              <w:snapToGrid w:val="0"/>
              <w:jc w:val="left"/>
              <w:rPr>
                <w:kern w:val="22"/>
                <w:szCs w:val="22"/>
              </w:rPr>
            </w:pPr>
            <w:r w:rsidRPr="00214660">
              <w:rPr>
                <w:b/>
                <w:bCs/>
                <w:kern w:val="22"/>
                <w:szCs w:val="22"/>
              </w:rPr>
              <w:lastRenderedPageBreak/>
              <w:t>Target 17.</w:t>
            </w:r>
            <w:r w:rsidRPr="00214660">
              <w:rPr>
                <w:kern w:val="22"/>
                <w:szCs w:val="22"/>
              </w:rPr>
              <w:t xml:space="preserve"> By 2030, redirect, repurpose, </w:t>
            </w:r>
            <w:proofErr w:type="gramStart"/>
            <w:r w:rsidRPr="00214660">
              <w:rPr>
                <w:kern w:val="22"/>
                <w:szCs w:val="22"/>
              </w:rPr>
              <w:t>reform</w:t>
            </w:r>
            <w:proofErr w:type="gramEnd"/>
            <w:r w:rsidRPr="00214660">
              <w:rPr>
                <w:kern w:val="22"/>
                <w:szCs w:val="22"/>
              </w:rPr>
              <w:t xml:space="preserve"> or eliminate incentives harmful for biodiversity, including [X] reduction in the most harmful subsidies, ensuring that incentives, including public and private economic and regulatory incentives, are either positive or neutral for biodiversity.</w:t>
            </w:r>
          </w:p>
        </w:tc>
        <w:tc>
          <w:tcPr>
            <w:tcW w:w="1959" w:type="dxa"/>
            <w:shd w:val="clear" w:color="auto" w:fill="FFFFFF" w:themeFill="background1"/>
          </w:tcPr>
          <w:p w14:paraId="679E9838" w14:textId="77777777" w:rsidR="00366AA7" w:rsidRPr="00866F16"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866F16">
              <w:rPr>
                <w:kern w:val="22"/>
                <w:szCs w:val="22"/>
              </w:rPr>
              <w:t xml:space="preserve">17.0.1 Biodiversity relevant taxes, </w:t>
            </w:r>
            <w:proofErr w:type="gramStart"/>
            <w:r w:rsidRPr="00866F16">
              <w:rPr>
                <w:kern w:val="22"/>
                <w:szCs w:val="22"/>
              </w:rPr>
              <w:t>charges</w:t>
            </w:r>
            <w:proofErr w:type="gramEnd"/>
            <w:r w:rsidRPr="00866F16">
              <w:rPr>
                <w:kern w:val="22"/>
                <w:szCs w:val="22"/>
              </w:rPr>
              <w:t xml:space="preserve"> and fees on payments for ecosystem services and on biodiversity relevant tradable permit schemes as a percentage of GDP</w:t>
            </w:r>
          </w:p>
          <w:p w14:paraId="4A428DDC" w14:textId="77777777" w:rsidR="00366AA7" w:rsidRPr="00866F16"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866F16">
              <w:rPr>
                <w:kern w:val="22"/>
                <w:szCs w:val="22"/>
              </w:rPr>
              <w:t xml:space="preserve">17.0.2 Potentially harmful elements of government support to agriculture, </w:t>
            </w:r>
            <w:proofErr w:type="gramStart"/>
            <w:r w:rsidRPr="00866F16">
              <w:rPr>
                <w:kern w:val="22"/>
                <w:szCs w:val="22"/>
              </w:rPr>
              <w:t>fisheries</w:t>
            </w:r>
            <w:proofErr w:type="gramEnd"/>
            <w:r w:rsidRPr="00866F16">
              <w:rPr>
                <w:kern w:val="22"/>
                <w:szCs w:val="22"/>
              </w:rPr>
              <w:t xml:space="preserve"> and other sectors (environmentally harmful subsidies) as a percentage of GDP</w:t>
            </w:r>
          </w:p>
        </w:tc>
        <w:tc>
          <w:tcPr>
            <w:tcW w:w="2369" w:type="dxa"/>
            <w:shd w:val="clear" w:color="auto" w:fill="FFFFFF" w:themeFill="background1"/>
          </w:tcPr>
          <w:p w14:paraId="764911E0" w14:textId="1F1B0ACE" w:rsidR="00366AA7" w:rsidRPr="00866F16" w:rsidRDefault="00D410B3" w:rsidP="00866F16">
            <w:pPr>
              <w:pStyle w:val="ListParagraph"/>
              <w:suppressLineNumbers/>
              <w:tabs>
                <w:tab w:val="left" w:pos="583"/>
              </w:tabs>
              <w:suppressAutoHyphens/>
              <w:kinsoku w:val="0"/>
              <w:overflowPunct w:val="0"/>
              <w:autoSpaceDE w:val="0"/>
              <w:autoSpaceDN w:val="0"/>
              <w:adjustRightInd w:val="0"/>
              <w:snapToGrid w:val="0"/>
              <w:spacing w:before="60" w:after="60"/>
              <w:ind w:left="17"/>
              <w:jc w:val="left"/>
              <w:rPr>
                <w:kern w:val="22"/>
                <w:szCs w:val="22"/>
              </w:rPr>
            </w:pPr>
            <w:r w:rsidRPr="00866F16">
              <w:rPr>
                <w:kern w:val="22"/>
                <w:szCs w:val="22"/>
              </w:rPr>
              <w:t>17.1.</w:t>
            </w:r>
            <w:r w:rsidRPr="00866F16">
              <w:rPr>
                <w:kern w:val="22"/>
                <w:szCs w:val="22"/>
              </w:rPr>
              <w:tab/>
            </w:r>
            <w:r w:rsidR="00366AA7" w:rsidRPr="00866F16">
              <w:rPr>
                <w:kern w:val="22"/>
                <w:szCs w:val="22"/>
              </w:rPr>
              <w:t>Increase in positive public and private economic and regulatory incentives</w:t>
            </w:r>
          </w:p>
          <w:p w14:paraId="72106C9D" w14:textId="1769235E" w:rsidR="00366AA7" w:rsidRPr="00BC5354" w:rsidRDefault="00D410B3" w:rsidP="00BC5354">
            <w:pPr>
              <w:pStyle w:val="ListParagraph"/>
              <w:suppressLineNumbers/>
              <w:tabs>
                <w:tab w:val="left" w:pos="583"/>
              </w:tabs>
              <w:suppressAutoHyphens/>
              <w:kinsoku w:val="0"/>
              <w:overflowPunct w:val="0"/>
              <w:autoSpaceDE w:val="0"/>
              <w:autoSpaceDN w:val="0"/>
              <w:adjustRightInd w:val="0"/>
              <w:snapToGrid w:val="0"/>
              <w:spacing w:before="60" w:after="60"/>
              <w:ind w:left="17"/>
              <w:jc w:val="left"/>
              <w:rPr>
                <w:kern w:val="22"/>
              </w:rPr>
            </w:pPr>
            <w:r w:rsidRPr="00866F16">
              <w:rPr>
                <w:kern w:val="22"/>
                <w:szCs w:val="22"/>
              </w:rPr>
              <w:t>17.2.</w:t>
            </w:r>
            <w:r w:rsidRPr="00866F16">
              <w:rPr>
                <w:kern w:val="22"/>
                <w:szCs w:val="22"/>
              </w:rPr>
              <w:tab/>
            </w:r>
            <w:r w:rsidR="00366AA7" w:rsidRPr="00866F16">
              <w:rPr>
                <w:kern w:val="22"/>
                <w:szCs w:val="22"/>
              </w:rPr>
              <w:t>Elimination, phasing out or reform of incentives and subsidies the most harmful to biodiversity</w:t>
            </w:r>
          </w:p>
        </w:tc>
        <w:tc>
          <w:tcPr>
            <w:tcW w:w="3568" w:type="dxa"/>
            <w:shd w:val="clear" w:color="auto" w:fill="FFFFFF" w:themeFill="background1"/>
          </w:tcPr>
          <w:p w14:paraId="43A2FB9C" w14:textId="77777777" w:rsidR="00366AA7" w:rsidRPr="00866F16" w:rsidRDefault="00366AA7" w:rsidP="00866F16">
            <w:pPr>
              <w:suppressLineNumbers/>
              <w:suppressAutoHyphens/>
              <w:kinsoku w:val="0"/>
              <w:overflowPunct w:val="0"/>
              <w:autoSpaceDE w:val="0"/>
              <w:autoSpaceDN w:val="0"/>
              <w:adjustRightInd w:val="0"/>
              <w:snapToGrid w:val="0"/>
              <w:rPr>
                <w:i/>
                <w:iCs/>
                <w:kern w:val="22"/>
              </w:rPr>
            </w:pPr>
            <w:r w:rsidRPr="00866F16">
              <w:rPr>
                <w:i/>
                <w:iCs/>
                <w:kern w:val="22"/>
              </w:rPr>
              <w:t>Captured in headline indicator for Target 17</w:t>
            </w:r>
          </w:p>
        </w:tc>
        <w:tc>
          <w:tcPr>
            <w:tcW w:w="3827" w:type="dxa"/>
            <w:shd w:val="clear" w:color="auto" w:fill="FFFFFF" w:themeFill="background1"/>
          </w:tcPr>
          <w:p w14:paraId="5E9B623E" w14:textId="6E2BDAD4" w:rsidR="00366AA7" w:rsidRPr="00866F16" w:rsidRDefault="00BE4007" w:rsidP="00866F16">
            <w:pPr>
              <w:pStyle w:val="ListParagraph"/>
              <w:suppressLineNumbers/>
              <w:tabs>
                <w:tab w:val="left" w:pos="946"/>
              </w:tabs>
              <w:suppressAutoHyphens/>
              <w:kinsoku w:val="0"/>
              <w:overflowPunct w:val="0"/>
              <w:autoSpaceDE w:val="0"/>
              <w:autoSpaceDN w:val="0"/>
              <w:adjustRightInd w:val="0"/>
              <w:snapToGrid w:val="0"/>
              <w:spacing w:before="60" w:after="60"/>
              <w:ind w:left="0"/>
              <w:jc w:val="left"/>
              <w:rPr>
                <w:kern w:val="22"/>
                <w:szCs w:val="22"/>
              </w:rPr>
            </w:pPr>
            <w:r w:rsidRPr="00866F16">
              <w:rPr>
                <w:kern w:val="22"/>
                <w:szCs w:val="22"/>
              </w:rPr>
              <w:t>17.1.1.1.</w:t>
            </w:r>
            <w:r w:rsidRPr="00866F16">
              <w:rPr>
                <w:kern w:val="22"/>
                <w:szCs w:val="22"/>
              </w:rPr>
              <w:tab/>
            </w:r>
            <w:r w:rsidR="00366AA7" w:rsidRPr="00866F16">
              <w:rPr>
                <w:kern w:val="22"/>
                <w:szCs w:val="22"/>
              </w:rPr>
              <w:t>Number of countries with biodiversity-relevant taxes</w:t>
            </w:r>
          </w:p>
          <w:p w14:paraId="0A14C4CF" w14:textId="402A63B0" w:rsidR="00366AA7" w:rsidRPr="00866F16" w:rsidRDefault="00BE4007" w:rsidP="00866F16">
            <w:pPr>
              <w:pStyle w:val="ListParagraph"/>
              <w:suppressLineNumbers/>
              <w:tabs>
                <w:tab w:val="left" w:pos="946"/>
              </w:tabs>
              <w:suppressAutoHyphens/>
              <w:kinsoku w:val="0"/>
              <w:overflowPunct w:val="0"/>
              <w:autoSpaceDE w:val="0"/>
              <w:autoSpaceDN w:val="0"/>
              <w:adjustRightInd w:val="0"/>
              <w:snapToGrid w:val="0"/>
              <w:spacing w:before="60" w:after="60"/>
              <w:ind w:left="0"/>
              <w:jc w:val="left"/>
              <w:rPr>
                <w:kern w:val="22"/>
                <w:szCs w:val="22"/>
              </w:rPr>
            </w:pPr>
            <w:r w:rsidRPr="00866F16">
              <w:rPr>
                <w:kern w:val="22"/>
                <w:szCs w:val="22"/>
              </w:rPr>
              <w:t>17.1.1.2.</w:t>
            </w:r>
            <w:r w:rsidRPr="00866F16">
              <w:rPr>
                <w:kern w:val="22"/>
                <w:szCs w:val="22"/>
              </w:rPr>
              <w:tab/>
            </w:r>
            <w:r w:rsidR="00366AA7" w:rsidRPr="00866F16">
              <w:rPr>
                <w:kern w:val="22"/>
                <w:szCs w:val="22"/>
              </w:rPr>
              <w:t>Number of countries with biodiversity-relevant charges and fees</w:t>
            </w:r>
          </w:p>
          <w:p w14:paraId="59CEFC55" w14:textId="3C0A0473" w:rsidR="00366AA7" w:rsidRPr="00866F16" w:rsidRDefault="00BE4007" w:rsidP="00866F16">
            <w:pPr>
              <w:pStyle w:val="ListParagraph"/>
              <w:suppressLineNumbers/>
              <w:tabs>
                <w:tab w:val="left" w:pos="946"/>
              </w:tabs>
              <w:suppressAutoHyphens/>
              <w:kinsoku w:val="0"/>
              <w:overflowPunct w:val="0"/>
              <w:autoSpaceDE w:val="0"/>
              <w:autoSpaceDN w:val="0"/>
              <w:adjustRightInd w:val="0"/>
              <w:snapToGrid w:val="0"/>
              <w:spacing w:before="60" w:after="60"/>
              <w:ind w:left="0"/>
              <w:jc w:val="left"/>
              <w:rPr>
                <w:kern w:val="22"/>
                <w:szCs w:val="22"/>
              </w:rPr>
            </w:pPr>
            <w:r w:rsidRPr="00866F16">
              <w:rPr>
                <w:kern w:val="22"/>
                <w:szCs w:val="22"/>
              </w:rPr>
              <w:t>17.1.1.3.</w:t>
            </w:r>
            <w:r w:rsidRPr="00866F16">
              <w:rPr>
                <w:kern w:val="22"/>
                <w:szCs w:val="22"/>
              </w:rPr>
              <w:tab/>
            </w:r>
            <w:r w:rsidR="00366AA7" w:rsidRPr="00866F16">
              <w:rPr>
                <w:kern w:val="22"/>
                <w:szCs w:val="22"/>
              </w:rPr>
              <w:t>Number of countries with biodiversity-relevant tradable permit schemes</w:t>
            </w:r>
          </w:p>
          <w:p w14:paraId="74B33F7D" w14:textId="002B8C63" w:rsidR="00366AA7" w:rsidRPr="00866F16" w:rsidRDefault="00BE4007" w:rsidP="00866F16">
            <w:pPr>
              <w:pStyle w:val="ListParagraph"/>
              <w:suppressLineNumbers/>
              <w:tabs>
                <w:tab w:val="left" w:pos="946"/>
              </w:tabs>
              <w:suppressAutoHyphens/>
              <w:kinsoku w:val="0"/>
              <w:overflowPunct w:val="0"/>
              <w:autoSpaceDE w:val="0"/>
              <w:autoSpaceDN w:val="0"/>
              <w:adjustRightInd w:val="0"/>
              <w:snapToGrid w:val="0"/>
              <w:spacing w:before="60" w:after="60"/>
              <w:ind w:left="0"/>
              <w:jc w:val="left"/>
              <w:rPr>
                <w:kern w:val="22"/>
                <w:szCs w:val="22"/>
              </w:rPr>
            </w:pPr>
            <w:r w:rsidRPr="00866F16">
              <w:rPr>
                <w:kern w:val="22"/>
                <w:szCs w:val="22"/>
              </w:rPr>
              <w:t>17.1.1.4.</w:t>
            </w:r>
            <w:r w:rsidRPr="00866F16">
              <w:rPr>
                <w:kern w:val="22"/>
                <w:szCs w:val="22"/>
              </w:rPr>
              <w:tab/>
            </w:r>
            <w:r w:rsidR="00366AA7" w:rsidRPr="00866F16">
              <w:rPr>
                <w:kern w:val="22"/>
                <w:szCs w:val="22"/>
              </w:rPr>
              <w:t>Trends in potentially environmentally harmful elements of government support to agriculture (producer support estimate)</w:t>
            </w:r>
          </w:p>
          <w:p w14:paraId="1B978CDB" w14:textId="7B57DDA9" w:rsidR="00366AA7" w:rsidRPr="00866F16" w:rsidRDefault="00BE4007" w:rsidP="00866F16">
            <w:pPr>
              <w:pStyle w:val="ListParagraph"/>
              <w:suppressLineNumbers/>
              <w:tabs>
                <w:tab w:val="left" w:pos="946"/>
              </w:tabs>
              <w:suppressAutoHyphens/>
              <w:kinsoku w:val="0"/>
              <w:overflowPunct w:val="0"/>
              <w:autoSpaceDE w:val="0"/>
              <w:autoSpaceDN w:val="0"/>
              <w:adjustRightInd w:val="0"/>
              <w:snapToGrid w:val="0"/>
              <w:spacing w:before="60" w:after="60"/>
              <w:ind w:left="0"/>
              <w:jc w:val="left"/>
              <w:rPr>
                <w:kern w:val="22"/>
                <w:szCs w:val="22"/>
              </w:rPr>
            </w:pPr>
            <w:r w:rsidRPr="00866F16">
              <w:rPr>
                <w:kern w:val="22"/>
                <w:szCs w:val="22"/>
              </w:rPr>
              <w:t>17.1.1.5.</w:t>
            </w:r>
            <w:r w:rsidRPr="00866F16">
              <w:rPr>
                <w:kern w:val="22"/>
                <w:szCs w:val="22"/>
              </w:rPr>
              <w:tab/>
              <w:t>T</w:t>
            </w:r>
            <w:r w:rsidR="00366AA7" w:rsidRPr="00866F16">
              <w:rPr>
                <w:kern w:val="22"/>
                <w:szCs w:val="22"/>
              </w:rPr>
              <w:t>rends in the number and value of government fossil fuel support measures</w:t>
            </w:r>
          </w:p>
          <w:p w14:paraId="20037D82" w14:textId="65450395" w:rsidR="00366AA7" w:rsidRPr="00866F16" w:rsidRDefault="00BE4007" w:rsidP="00866F16">
            <w:pPr>
              <w:pStyle w:val="ListParagraph"/>
              <w:suppressLineNumbers/>
              <w:tabs>
                <w:tab w:val="left" w:pos="946"/>
              </w:tabs>
              <w:suppressAutoHyphens/>
              <w:kinsoku w:val="0"/>
              <w:overflowPunct w:val="0"/>
              <w:autoSpaceDE w:val="0"/>
              <w:autoSpaceDN w:val="0"/>
              <w:adjustRightInd w:val="0"/>
              <w:snapToGrid w:val="0"/>
              <w:spacing w:before="60" w:after="60"/>
              <w:ind w:left="0"/>
              <w:jc w:val="left"/>
              <w:rPr>
                <w:kern w:val="22"/>
                <w:szCs w:val="22"/>
              </w:rPr>
            </w:pPr>
            <w:r w:rsidRPr="00866F16">
              <w:rPr>
                <w:kern w:val="22"/>
                <w:szCs w:val="22"/>
              </w:rPr>
              <w:t>17.1.1.6.</w:t>
            </w:r>
            <w:r w:rsidRPr="00866F16">
              <w:rPr>
                <w:kern w:val="22"/>
                <w:szCs w:val="22"/>
              </w:rPr>
              <w:tab/>
            </w:r>
            <w:proofErr w:type="gramStart"/>
            <w:r w:rsidR="00366AA7" w:rsidRPr="00866F16">
              <w:rPr>
                <w:kern w:val="22"/>
                <w:szCs w:val="22"/>
              </w:rPr>
              <w:t>Amount</w:t>
            </w:r>
            <w:proofErr w:type="gramEnd"/>
            <w:r w:rsidR="00366AA7" w:rsidRPr="00866F16">
              <w:rPr>
                <w:kern w:val="22"/>
                <w:szCs w:val="22"/>
              </w:rPr>
              <w:t xml:space="preserve"> of fossil-fuel subsidies per unit of GDP (production and consumption)</w:t>
            </w:r>
            <w:r w:rsidR="00D410B3" w:rsidRPr="00866F16">
              <w:rPr>
                <w:kern w:val="22"/>
                <w:szCs w:val="22"/>
              </w:rPr>
              <w:t xml:space="preserve"> </w:t>
            </w:r>
            <w:r w:rsidR="00366AA7" w:rsidRPr="00866F16">
              <w:rPr>
                <w:kern w:val="22"/>
                <w:szCs w:val="22"/>
              </w:rPr>
              <w:t>(SDG indicator 12.c.1)</w:t>
            </w:r>
          </w:p>
        </w:tc>
      </w:tr>
      <w:tr w:rsidR="00366AA7" w:rsidRPr="00B324FA" w14:paraId="46DE1973" w14:textId="77777777" w:rsidTr="0099764F">
        <w:trPr>
          <w:jc w:val="center"/>
        </w:trPr>
        <w:tc>
          <w:tcPr>
            <w:tcW w:w="2447" w:type="dxa"/>
            <w:shd w:val="clear" w:color="auto" w:fill="BFBFBF" w:themeFill="background1" w:themeFillShade="BF"/>
          </w:tcPr>
          <w:p w14:paraId="3A5B9065" w14:textId="77777777" w:rsidR="00366AA7" w:rsidRPr="00800629" w:rsidRDefault="00366AA7" w:rsidP="00866F16">
            <w:pPr>
              <w:suppressLineNumbers/>
              <w:suppressAutoHyphens/>
              <w:kinsoku w:val="0"/>
              <w:overflowPunct w:val="0"/>
              <w:autoSpaceDE w:val="0"/>
              <w:autoSpaceDN w:val="0"/>
              <w:adjustRightInd w:val="0"/>
              <w:snapToGrid w:val="0"/>
              <w:jc w:val="left"/>
              <w:rPr>
                <w:kern w:val="22"/>
                <w:szCs w:val="22"/>
              </w:rPr>
            </w:pPr>
            <w:r w:rsidRPr="00214660">
              <w:rPr>
                <w:b/>
                <w:bCs/>
                <w:kern w:val="22"/>
                <w:szCs w:val="22"/>
              </w:rPr>
              <w:lastRenderedPageBreak/>
              <w:t>Target 18.</w:t>
            </w:r>
            <w:r w:rsidRPr="00214660">
              <w:rPr>
                <w:kern w:val="22"/>
                <w:szCs w:val="22"/>
              </w:rPr>
              <w:t xml:space="preserve"> By 2030, increase by [X%] financial resources from all international and domestic sources, through new, additional and effective financial resources commensurate with the ambition of the goals and targets of the framework and implement the strategy for capacity-building and technology transfer and scientific cooperation to meet the needs for implementing the post-2020 global biodiversity framework.</w:t>
            </w:r>
          </w:p>
        </w:tc>
        <w:tc>
          <w:tcPr>
            <w:tcW w:w="1959" w:type="dxa"/>
            <w:shd w:val="clear" w:color="auto" w:fill="BFBFBF" w:themeFill="background1" w:themeFillShade="BF"/>
          </w:tcPr>
          <w:p w14:paraId="65BF35D3" w14:textId="77777777" w:rsidR="00366AA7" w:rsidRPr="00866F16" w:rsidRDefault="00366AA7" w:rsidP="00866F16">
            <w:pPr>
              <w:suppressLineNumbers/>
              <w:suppressAutoHyphens/>
              <w:kinsoku w:val="0"/>
              <w:overflowPunct w:val="0"/>
              <w:autoSpaceDE w:val="0"/>
              <w:autoSpaceDN w:val="0"/>
              <w:adjustRightInd w:val="0"/>
              <w:snapToGrid w:val="0"/>
              <w:jc w:val="left"/>
              <w:rPr>
                <w:kern w:val="22"/>
                <w:szCs w:val="22"/>
              </w:rPr>
            </w:pPr>
            <w:r w:rsidRPr="00866F16">
              <w:rPr>
                <w:kern w:val="22"/>
                <w:szCs w:val="22"/>
              </w:rPr>
              <w:t>18.0.1 Official development assistance, public expenditure and private expenditure on conservation and sustainable use of biodiversity and ecosystems*</w:t>
            </w:r>
          </w:p>
        </w:tc>
        <w:tc>
          <w:tcPr>
            <w:tcW w:w="2369" w:type="dxa"/>
            <w:shd w:val="clear" w:color="auto" w:fill="BFBFBF" w:themeFill="background1" w:themeFillShade="BF"/>
          </w:tcPr>
          <w:p w14:paraId="30A8B6C9" w14:textId="36F19173" w:rsidR="00366AA7" w:rsidRPr="00866F16" w:rsidRDefault="00F924C5" w:rsidP="00F924C5">
            <w:pPr>
              <w:pStyle w:val="ListParagraph"/>
              <w:suppressLineNumbers/>
              <w:tabs>
                <w:tab w:val="left" w:pos="583"/>
              </w:tabs>
              <w:suppressAutoHyphens/>
              <w:kinsoku w:val="0"/>
              <w:overflowPunct w:val="0"/>
              <w:autoSpaceDE w:val="0"/>
              <w:autoSpaceDN w:val="0"/>
              <w:adjustRightInd w:val="0"/>
              <w:snapToGrid w:val="0"/>
              <w:spacing w:before="60" w:after="60"/>
              <w:ind w:left="0"/>
              <w:jc w:val="left"/>
              <w:rPr>
                <w:kern w:val="22"/>
              </w:rPr>
            </w:pPr>
            <w:r>
              <w:rPr>
                <w:kern w:val="22"/>
              </w:rPr>
              <w:t>18.1.</w:t>
            </w:r>
            <w:r>
              <w:rPr>
                <w:kern w:val="22"/>
              </w:rPr>
              <w:tab/>
            </w:r>
            <w:r w:rsidR="00366AA7" w:rsidRPr="00866F16">
              <w:rPr>
                <w:kern w:val="22"/>
              </w:rPr>
              <w:t>Identification of funding needs to meet ambition of the goals and targets of the Framework</w:t>
            </w:r>
          </w:p>
          <w:p w14:paraId="53790CF8" w14:textId="41592F7F" w:rsidR="00366AA7" w:rsidRPr="00866F16" w:rsidRDefault="0004168D" w:rsidP="00866F16">
            <w:pPr>
              <w:pStyle w:val="ListParagraph"/>
              <w:suppressLineNumbers/>
              <w:tabs>
                <w:tab w:val="left" w:pos="583"/>
              </w:tabs>
              <w:suppressAutoHyphens/>
              <w:kinsoku w:val="0"/>
              <w:overflowPunct w:val="0"/>
              <w:autoSpaceDE w:val="0"/>
              <w:autoSpaceDN w:val="0"/>
              <w:adjustRightInd w:val="0"/>
              <w:snapToGrid w:val="0"/>
              <w:spacing w:before="60" w:after="60"/>
              <w:ind w:left="0"/>
              <w:jc w:val="left"/>
              <w:rPr>
                <w:kern w:val="22"/>
                <w:szCs w:val="22"/>
              </w:rPr>
            </w:pPr>
            <w:r w:rsidRPr="00866F16">
              <w:rPr>
                <w:kern w:val="22"/>
                <w:szCs w:val="22"/>
              </w:rPr>
              <w:t>18</w:t>
            </w:r>
            <w:r w:rsidR="0063108D" w:rsidRPr="00866F16">
              <w:rPr>
                <w:kern w:val="22"/>
                <w:szCs w:val="22"/>
              </w:rPr>
              <w:t>.2.</w:t>
            </w:r>
            <w:r w:rsidR="0063108D" w:rsidRPr="00866F16">
              <w:rPr>
                <w:kern w:val="22"/>
                <w:szCs w:val="22"/>
              </w:rPr>
              <w:tab/>
            </w:r>
            <w:r w:rsidR="00366AA7" w:rsidRPr="00866F16">
              <w:rPr>
                <w:kern w:val="22"/>
                <w:szCs w:val="22"/>
              </w:rPr>
              <w:t>Increase in financial resources from international sources</w:t>
            </w:r>
          </w:p>
          <w:p w14:paraId="65F358AA" w14:textId="64AFECA7" w:rsidR="00366AA7" w:rsidRPr="00866F16" w:rsidRDefault="0063108D" w:rsidP="00866F16">
            <w:pPr>
              <w:pStyle w:val="ListParagraph"/>
              <w:suppressLineNumbers/>
              <w:tabs>
                <w:tab w:val="left" w:pos="583"/>
              </w:tabs>
              <w:suppressAutoHyphens/>
              <w:kinsoku w:val="0"/>
              <w:overflowPunct w:val="0"/>
              <w:autoSpaceDE w:val="0"/>
              <w:autoSpaceDN w:val="0"/>
              <w:adjustRightInd w:val="0"/>
              <w:snapToGrid w:val="0"/>
              <w:spacing w:before="60" w:after="60"/>
              <w:ind w:left="0"/>
              <w:jc w:val="left"/>
              <w:rPr>
                <w:kern w:val="22"/>
                <w:szCs w:val="22"/>
              </w:rPr>
            </w:pPr>
            <w:r w:rsidRPr="00866F16">
              <w:rPr>
                <w:kern w:val="22"/>
                <w:szCs w:val="22"/>
              </w:rPr>
              <w:t>18.3.</w:t>
            </w:r>
            <w:r w:rsidRPr="00866F16">
              <w:rPr>
                <w:kern w:val="22"/>
                <w:szCs w:val="22"/>
              </w:rPr>
              <w:tab/>
            </w:r>
            <w:r w:rsidR="00366AA7" w:rsidRPr="00866F16">
              <w:rPr>
                <w:kern w:val="22"/>
                <w:szCs w:val="22"/>
              </w:rPr>
              <w:t>Increase in financial resources from domestic sources</w:t>
            </w:r>
          </w:p>
          <w:p w14:paraId="439D520A" w14:textId="23A768F0" w:rsidR="00366AA7" w:rsidRPr="00866F16" w:rsidRDefault="0063108D" w:rsidP="00866F16">
            <w:pPr>
              <w:pStyle w:val="ListParagraph"/>
              <w:suppressLineNumbers/>
              <w:tabs>
                <w:tab w:val="left" w:pos="583"/>
              </w:tabs>
              <w:suppressAutoHyphens/>
              <w:kinsoku w:val="0"/>
              <w:overflowPunct w:val="0"/>
              <w:autoSpaceDE w:val="0"/>
              <w:autoSpaceDN w:val="0"/>
              <w:adjustRightInd w:val="0"/>
              <w:snapToGrid w:val="0"/>
              <w:spacing w:before="60" w:after="60"/>
              <w:ind w:left="0"/>
              <w:jc w:val="left"/>
              <w:rPr>
                <w:kern w:val="22"/>
                <w:szCs w:val="22"/>
              </w:rPr>
            </w:pPr>
            <w:r w:rsidRPr="00866F16">
              <w:rPr>
                <w:kern w:val="22"/>
                <w:szCs w:val="22"/>
              </w:rPr>
              <w:t>18.4.</w:t>
            </w:r>
            <w:r w:rsidRPr="00866F16">
              <w:rPr>
                <w:kern w:val="22"/>
                <w:szCs w:val="22"/>
              </w:rPr>
              <w:tab/>
            </w:r>
            <w:r w:rsidR="00366AA7" w:rsidRPr="00866F16">
              <w:rPr>
                <w:kern w:val="22"/>
                <w:szCs w:val="22"/>
              </w:rPr>
              <w:t>Implementation of the strategy for capacity-building</w:t>
            </w:r>
          </w:p>
          <w:p w14:paraId="05613323" w14:textId="7E6CE079" w:rsidR="00366AA7" w:rsidRPr="00866F16" w:rsidRDefault="0063108D" w:rsidP="00866F16">
            <w:pPr>
              <w:pStyle w:val="ListParagraph"/>
              <w:suppressLineNumbers/>
              <w:tabs>
                <w:tab w:val="left" w:pos="583"/>
              </w:tabs>
              <w:suppressAutoHyphens/>
              <w:kinsoku w:val="0"/>
              <w:overflowPunct w:val="0"/>
              <w:autoSpaceDE w:val="0"/>
              <w:autoSpaceDN w:val="0"/>
              <w:adjustRightInd w:val="0"/>
              <w:snapToGrid w:val="0"/>
              <w:spacing w:before="60" w:after="60"/>
              <w:ind w:left="0"/>
              <w:jc w:val="left"/>
              <w:rPr>
                <w:kern w:val="22"/>
                <w:szCs w:val="22"/>
              </w:rPr>
            </w:pPr>
            <w:r w:rsidRPr="00866F16">
              <w:rPr>
                <w:kern w:val="22"/>
                <w:szCs w:val="22"/>
              </w:rPr>
              <w:t>18.5.</w:t>
            </w:r>
            <w:r w:rsidRPr="00866F16">
              <w:rPr>
                <w:kern w:val="22"/>
                <w:szCs w:val="22"/>
              </w:rPr>
              <w:tab/>
            </w:r>
            <w:r w:rsidR="00366AA7" w:rsidRPr="00866F16">
              <w:rPr>
                <w:kern w:val="22"/>
                <w:szCs w:val="22"/>
              </w:rPr>
              <w:t>Implementation of the strategy for technology transfer and scientific cooperation</w:t>
            </w:r>
          </w:p>
        </w:tc>
        <w:tc>
          <w:tcPr>
            <w:tcW w:w="3568" w:type="dxa"/>
            <w:shd w:val="clear" w:color="auto" w:fill="BFBFBF" w:themeFill="background1" w:themeFillShade="BF"/>
          </w:tcPr>
          <w:p w14:paraId="7CF36F99" w14:textId="77777777" w:rsidR="00366AA7" w:rsidRPr="00866F16" w:rsidRDefault="00366AA7" w:rsidP="00866F16">
            <w:pPr>
              <w:pStyle w:val="ListParagraph"/>
              <w:numPr>
                <w:ilvl w:val="2"/>
                <w:numId w:val="75"/>
              </w:numPr>
              <w:suppressLineNumbers/>
              <w:tabs>
                <w:tab w:val="left" w:pos="765"/>
              </w:tabs>
              <w:suppressAutoHyphens/>
              <w:kinsoku w:val="0"/>
              <w:overflowPunct w:val="0"/>
              <w:autoSpaceDE w:val="0"/>
              <w:autoSpaceDN w:val="0"/>
              <w:adjustRightInd w:val="0"/>
              <w:snapToGrid w:val="0"/>
              <w:spacing w:before="60" w:after="60"/>
              <w:ind w:left="0" w:firstLine="0"/>
              <w:jc w:val="left"/>
              <w:rPr>
                <w:kern w:val="22"/>
                <w:szCs w:val="22"/>
              </w:rPr>
            </w:pPr>
            <w:r w:rsidRPr="00866F16">
              <w:rPr>
                <w:kern w:val="22"/>
                <w:szCs w:val="22"/>
              </w:rPr>
              <w:t>Number of countries with a nationally determined target for increasing the level of domestic resources, reported to the Convention</w:t>
            </w:r>
          </w:p>
          <w:p w14:paraId="220D2F07" w14:textId="77777777" w:rsidR="00366AA7" w:rsidRPr="00866F16" w:rsidRDefault="00366AA7" w:rsidP="00866F16">
            <w:pPr>
              <w:pStyle w:val="ListParagraph"/>
              <w:numPr>
                <w:ilvl w:val="2"/>
                <w:numId w:val="75"/>
              </w:numPr>
              <w:suppressLineNumbers/>
              <w:tabs>
                <w:tab w:val="left" w:pos="765"/>
              </w:tabs>
              <w:suppressAutoHyphens/>
              <w:kinsoku w:val="0"/>
              <w:overflowPunct w:val="0"/>
              <w:autoSpaceDE w:val="0"/>
              <w:autoSpaceDN w:val="0"/>
              <w:adjustRightInd w:val="0"/>
              <w:snapToGrid w:val="0"/>
              <w:spacing w:before="60" w:after="60"/>
              <w:ind w:left="0" w:firstLine="0"/>
              <w:jc w:val="left"/>
              <w:rPr>
                <w:kern w:val="22"/>
                <w:szCs w:val="22"/>
              </w:rPr>
            </w:pPr>
            <w:r w:rsidRPr="00866F16">
              <w:rPr>
                <w:kern w:val="22"/>
                <w:szCs w:val="22"/>
              </w:rPr>
              <w:t>Official development assistance for the conservation and sustainable use of biodiversity and ecosystems*</w:t>
            </w:r>
          </w:p>
          <w:p w14:paraId="6ED1EF7D" w14:textId="77777777" w:rsidR="00366AA7" w:rsidRPr="00866F16" w:rsidRDefault="00366AA7" w:rsidP="00866F16">
            <w:pPr>
              <w:pStyle w:val="ListParagraph"/>
              <w:numPr>
                <w:ilvl w:val="2"/>
                <w:numId w:val="75"/>
              </w:numPr>
              <w:suppressLineNumbers/>
              <w:tabs>
                <w:tab w:val="left" w:pos="765"/>
              </w:tabs>
              <w:suppressAutoHyphens/>
              <w:kinsoku w:val="0"/>
              <w:overflowPunct w:val="0"/>
              <w:autoSpaceDE w:val="0"/>
              <w:autoSpaceDN w:val="0"/>
              <w:adjustRightInd w:val="0"/>
              <w:snapToGrid w:val="0"/>
              <w:spacing w:before="60" w:after="60"/>
              <w:ind w:left="0" w:firstLine="0"/>
              <w:jc w:val="left"/>
              <w:rPr>
                <w:kern w:val="22"/>
                <w:szCs w:val="22"/>
              </w:rPr>
            </w:pPr>
            <w:r w:rsidRPr="00866F16">
              <w:rPr>
                <w:kern w:val="22"/>
                <w:szCs w:val="22"/>
              </w:rPr>
              <w:t>Public expenditure on the conservation and sustainable use of biodiversity and ecosystems*</w:t>
            </w:r>
          </w:p>
          <w:p w14:paraId="06DD8759" w14:textId="77777777" w:rsidR="00366AA7" w:rsidRPr="00866F16" w:rsidRDefault="00366AA7" w:rsidP="00866F16">
            <w:pPr>
              <w:pStyle w:val="ListParagraph"/>
              <w:numPr>
                <w:ilvl w:val="2"/>
                <w:numId w:val="75"/>
              </w:numPr>
              <w:suppressLineNumbers/>
              <w:tabs>
                <w:tab w:val="left" w:pos="765"/>
              </w:tabs>
              <w:suppressAutoHyphens/>
              <w:kinsoku w:val="0"/>
              <w:overflowPunct w:val="0"/>
              <w:autoSpaceDE w:val="0"/>
              <w:autoSpaceDN w:val="0"/>
              <w:adjustRightInd w:val="0"/>
              <w:snapToGrid w:val="0"/>
              <w:spacing w:before="60" w:after="60"/>
              <w:ind w:left="0" w:firstLine="0"/>
              <w:jc w:val="left"/>
              <w:rPr>
                <w:kern w:val="22"/>
                <w:szCs w:val="22"/>
              </w:rPr>
            </w:pPr>
            <w:r w:rsidRPr="00866F16">
              <w:rPr>
                <w:kern w:val="22"/>
                <w:szCs w:val="22"/>
              </w:rPr>
              <w:t>Private expenditure on the conservation and sustainable use of biodiversity and ecosystems*</w:t>
            </w:r>
          </w:p>
          <w:p w14:paraId="7B9E1B66" w14:textId="70894477" w:rsidR="00366AA7" w:rsidRPr="00866F16" w:rsidRDefault="00366AA7" w:rsidP="00866F16">
            <w:pPr>
              <w:pStyle w:val="ListParagraph"/>
              <w:numPr>
                <w:ilvl w:val="2"/>
                <w:numId w:val="75"/>
              </w:numPr>
              <w:suppressLineNumbers/>
              <w:tabs>
                <w:tab w:val="left" w:pos="765"/>
              </w:tabs>
              <w:suppressAutoHyphens/>
              <w:kinsoku w:val="0"/>
              <w:overflowPunct w:val="0"/>
              <w:autoSpaceDE w:val="0"/>
              <w:autoSpaceDN w:val="0"/>
              <w:adjustRightInd w:val="0"/>
              <w:snapToGrid w:val="0"/>
              <w:spacing w:before="60" w:after="60"/>
              <w:ind w:left="0" w:firstLine="0"/>
              <w:jc w:val="left"/>
              <w:rPr>
                <w:kern w:val="22"/>
                <w:szCs w:val="22"/>
              </w:rPr>
            </w:pPr>
            <w:r w:rsidRPr="00866F16">
              <w:rPr>
                <w:kern w:val="22"/>
                <w:szCs w:val="22"/>
              </w:rPr>
              <w:t>Dollar value of all resources made available to strengthen statistical capacity in developing countries (SDG indicator 17.</w:t>
            </w:r>
            <w:r w:rsidR="00373F02">
              <w:rPr>
                <w:kern w:val="22"/>
                <w:szCs w:val="22"/>
              </w:rPr>
              <w:t>1</w:t>
            </w:r>
            <w:r w:rsidRPr="00866F16">
              <w:rPr>
                <w:kern w:val="22"/>
                <w:szCs w:val="22"/>
              </w:rPr>
              <w:t>9.1)</w:t>
            </w:r>
          </w:p>
          <w:p w14:paraId="7B8E0F7D" w14:textId="77777777" w:rsidR="00366AA7" w:rsidRPr="00866F16" w:rsidRDefault="00366AA7" w:rsidP="00866F16">
            <w:pPr>
              <w:pStyle w:val="ListParagraph"/>
              <w:numPr>
                <w:ilvl w:val="2"/>
                <w:numId w:val="75"/>
              </w:numPr>
              <w:suppressLineNumbers/>
              <w:tabs>
                <w:tab w:val="left" w:pos="765"/>
              </w:tabs>
              <w:suppressAutoHyphens/>
              <w:kinsoku w:val="0"/>
              <w:overflowPunct w:val="0"/>
              <w:autoSpaceDE w:val="0"/>
              <w:autoSpaceDN w:val="0"/>
              <w:adjustRightInd w:val="0"/>
              <w:snapToGrid w:val="0"/>
              <w:spacing w:before="60" w:after="60"/>
              <w:ind w:left="0" w:firstLine="0"/>
              <w:jc w:val="left"/>
              <w:rPr>
                <w:kern w:val="22"/>
                <w:szCs w:val="22"/>
              </w:rPr>
            </w:pPr>
            <w:r w:rsidRPr="00866F16">
              <w:rPr>
                <w:kern w:val="22"/>
                <w:szCs w:val="22"/>
              </w:rPr>
              <w:t>Volume of official development assistance flows for scholarships by sector and type of study</w:t>
            </w:r>
          </w:p>
        </w:tc>
        <w:tc>
          <w:tcPr>
            <w:tcW w:w="3827" w:type="dxa"/>
            <w:shd w:val="clear" w:color="auto" w:fill="BFBFBF" w:themeFill="background1" w:themeFillShade="BF"/>
          </w:tcPr>
          <w:p w14:paraId="71B546B4" w14:textId="7D1FC422" w:rsidR="00366AA7" w:rsidRPr="00866F16" w:rsidRDefault="00F924C5" w:rsidP="00866F16">
            <w:pPr>
              <w:suppressLineNumbers/>
              <w:tabs>
                <w:tab w:val="left" w:pos="885"/>
              </w:tabs>
              <w:suppressAutoHyphens/>
              <w:kinsoku w:val="0"/>
              <w:overflowPunct w:val="0"/>
              <w:autoSpaceDE w:val="0"/>
              <w:autoSpaceDN w:val="0"/>
              <w:adjustRightInd w:val="0"/>
              <w:snapToGrid w:val="0"/>
              <w:spacing w:before="60" w:after="60"/>
              <w:jc w:val="left"/>
              <w:rPr>
                <w:kern w:val="22"/>
              </w:rPr>
            </w:pPr>
            <w:r>
              <w:rPr>
                <w:kern w:val="22"/>
              </w:rPr>
              <w:t>18.1.1.1.</w:t>
            </w:r>
            <w:r>
              <w:rPr>
                <w:kern w:val="22"/>
              </w:rPr>
              <w:tab/>
            </w:r>
            <w:r w:rsidR="00366AA7" w:rsidRPr="00866F16">
              <w:rPr>
                <w:kern w:val="22"/>
              </w:rPr>
              <w:t>Amount of funding provided through the Global Environment Facility and allocated to the biodiversity focal area (decision X/3)</w:t>
            </w:r>
          </w:p>
          <w:p w14:paraId="52664CFE" w14:textId="544396B8" w:rsidR="00366AA7" w:rsidRPr="00866F16" w:rsidRDefault="00B913DF" w:rsidP="00866F16">
            <w:pPr>
              <w:suppressLineNumbers/>
              <w:tabs>
                <w:tab w:val="left" w:pos="946"/>
              </w:tabs>
              <w:suppressAutoHyphens/>
              <w:kinsoku w:val="0"/>
              <w:overflowPunct w:val="0"/>
              <w:autoSpaceDE w:val="0"/>
              <w:autoSpaceDN w:val="0"/>
              <w:adjustRightInd w:val="0"/>
              <w:snapToGrid w:val="0"/>
              <w:spacing w:before="60" w:after="60"/>
              <w:jc w:val="left"/>
              <w:rPr>
                <w:kern w:val="22"/>
                <w:szCs w:val="22"/>
              </w:rPr>
            </w:pPr>
            <w:r w:rsidRPr="00866F16">
              <w:rPr>
                <w:kern w:val="22"/>
                <w:szCs w:val="22"/>
              </w:rPr>
              <w:t>18.1.1.2.</w:t>
            </w:r>
            <w:r w:rsidRPr="00866F16">
              <w:rPr>
                <w:kern w:val="22"/>
                <w:szCs w:val="22"/>
              </w:rPr>
              <w:tab/>
            </w:r>
            <w:r w:rsidR="00366AA7" w:rsidRPr="00866F16">
              <w:rPr>
                <w:kern w:val="22"/>
                <w:szCs w:val="22"/>
              </w:rPr>
              <w:t>Amount and composition of biodiversity-related finance reported to the OECD Creditor reporting system</w:t>
            </w:r>
          </w:p>
          <w:p w14:paraId="39A491CD" w14:textId="74514640" w:rsidR="00366AA7" w:rsidRPr="00866F16" w:rsidRDefault="00B913DF" w:rsidP="00866F16">
            <w:pPr>
              <w:suppressLineNumbers/>
              <w:tabs>
                <w:tab w:val="left" w:pos="946"/>
              </w:tabs>
              <w:suppressAutoHyphens/>
              <w:kinsoku w:val="0"/>
              <w:overflowPunct w:val="0"/>
              <w:autoSpaceDE w:val="0"/>
              <w:autoSpaceDN w:val="0"/>
              <w:adjustRightInd w:val="0"/>
              <w:snapToGrid w:val="0"/>
              <w:spacing w:before="60" w:after="60"/>
              <w:jc w:val="left"/>
              <w:rPr>
                <w:kern w:val="22"/>
                <w:szCs w:val="22"/>
              </w:rPr>
            </w:pPr>
            <w:r w:rsidRPr="00866F16">
              <w:rPr>
                <w:kern w:val="22"/>
                <w:szCs w:val="22"/>
              </w:rPr>
              <w:t>18.1.1.3.</w:t>
            </w:r>
            <w:r w:rsidRPr="00866F16">
              <w:rPr>
                <w:kern w:val="22"/>
                <w:szCs w:val="22"/>
              </w:rPr>
              <w:tab/>
            </w:r>
            <w:r w:rsidR="00366AA7" w:rsidRPr="00866F16">
              <w:rPr>
                <w:kern w:val="22"/>
                <w:szCs w:val="22"/>
              </w:rPr>
              <w:t xml:space="preserve">Dollar value of financial and technical assistance (including through North-South, South-South and triangular cooperation) committed to developing countries </w:t>
            </w:r>
          </w:p>
          <w:p w14:paraId="6290C996" w14:textId="710F9E7A" w:rsidR="00366AA7" w:rsidRPr="00866F16" w:rsidRDefault="00B913DF" w:rsidP="00866F16">
            <w:pPr>
              <w:suppressLineNumbers/>
              <w:tabs>
                <w:tab w:val="left" w:pos="946"/>
              </w:tabs>
              <w:suppressAutoHyphens/>
              <w:kinsoku w:val="0"/>
              <w:overflowPunct w:val="0"/>
              <w:autoSpaceDE w:val="0"/>
              <w:autoSpaceDN w:val="0"/>
              <w:adjustRightInd w:val="0"/>
              <w:snapToGrid w:val="0"/>
              <w:spacing w:before="60" w:after="60"/>
              <w:jc w:val="left"/>
              <w:rPr>
                <w:kern w:val="22"/>
                <w:szCs w:val="22"/>
              </w:rPr>
            </w:pPr>
            <w:r w:rsidRPr="00866F16">
              <w:rPr>
                <w:kern w:val="22"/>
                <w:szCs w:val="22"/>
              </w:rPr>
              <w:t>18.1.1.4.</w:t>
            </w:r>
            <w:r w:rsidRPr="00866F16">
              <w:rPr>
                <w:kern w:val="22"/>
                <w:szCs w:val="22"/>
              </w:rPr>
              <w:tab/>
            </w:r>
            <w:r w:rsidR="00366AA7" w:rsidRPr="00866F16">
              <w:rPr>
                <w:kern w:val="22"/>
                <w:szCs w:val="22"/>
              </w:rPr>
              <w:t>Dollar value of all resources made available to strengthen statistical capacity in developing countries (SDG indicator 17.19.1)</w:t>
            </w:r>
          </w:p>
          <w:p w14:paraId="679261DF" w14:textId="1843FAB3" w:rsidR="00366AA7" w:rsidRPr="00866F16" w:rsidRDefault="00B913DF" w:rsidP="00866F16">
            <w:pPr>
              <w:suppressLineNumbers/>
              <w:tabs>
                <w:tab w:val="left" w:pos="946"/>
              </w:tabs>
              <w:suppressAutoHyphens/>
              <w:kinsoku w:val="0"/>
              <w:overflowPunct w:val="0"/>
              <w:autoSpaceDE w:val="0"/>
              <w:autoSpaceDN w:val="0"/>
              <w:adjustRightInd w:val="0"/>
              <w:snapToGrid w:val="0"/>
              <w:spacing w:before="60" w:after="60"/>
              <w:jc w:val="left"/>
              <w:rPr>
                <w:kern w:val="22"/>
                <w:szCs w:val="22"/>
              </w:rPr>
            </w:pPr>
            <w:r w:rsidRPr="00866F16">
              <w:rPr>
                <w:kern w:val="22"/>
                <w:szCs w:val="22"/>
              </w:rPr>
              <w:t>18.1.1.5.</w:t>
            </w:r>
            <w:r w:rsidRPr="00866F16">
              <w:rPr>
                <w:kern w:val="22"/>
                <w:szCs w:val="22"/>
              </w:rPr>
              <w:tab/>
            </w:r>
            <w:r w:rsidR="00366AA7" w:rsidRPr="00866F16">
              <w:rPr>
                <w:kern w:val="22"/>
                <w:szCs w:val="22"/>
              </w:rPr>
              <w:t>Amount of biodiversity-related philanthropic funding</w:t>
            </w:r>
          </w:p>
          <w:p w14:paraId="75C194CE" w14:textId="1F56FD61" w:rsidR="00366AA7" w:rsidRPr="00866F16" w:rsidRDefault="00B913DF" w:rsidP="00866F16">
            <w:pPr>
              <w:suppressLineNumbers/>
              <w:tabs>
                <w:tab w:val="left" w:pos="946"/>
              </w:tabs>
              <w:suppressAutoHyphens/>
              <w:kinsoku w:val="0"/>
              <w:overflowPunct w:val="0"/>
              <w:autoSpaceDE w:val="0"/>
              <w:autoSpaceDN w:val="0"/>
              <w:adjustRightInd w:val="0"/>
              <w:snapToGrid w:val="0"/>
              <w:spacing w:before="60" w:after="60"/>
              <w:jc w:val="left"/>
              <w:rPr>
                <w:kern w:val="22"/>
                <w:szCs w:val="22"/>
              </w:rPr>
            </w:pPr>
            <w:r w:rsidRPr="00866F16">
              <w:rPr>
                <w:kern w:val="22"/>
                <w:szCs w:val="22"/>
              </w:rPr>
              <w:t>18.1.1.6.</w:t>
            </w:r>
            <w:r w:rsidRPr="00866F16">
              <w:rPr>
                <w:kern w:val="22"/>
                <w:szCs w:val="22"/>
              </w:rPr>
              <w:tab/>
            </w:r>
            <w:r w:rsidR="00366AA7" w:rsidRPr="00866F16">
              <w:rPr>
                <w:kern w:val="22"/>
                <w:szCs w:val="22"/>
              </w:rPr>
              <w:t>Proportion of total research budget allocated to research in the field of marine technology</w:t>
            </w:r>
          </w:p>
          <w:p w14:paraId="1E769926" w14:textId="2576DD6A" w:rsidR="00366AA7" w:rsidRPr="00866F16" w:rsidRDefault="00B913DF" w:rsidP="00866F16">
            <w:pPr>
              <w:suppressLineNumbers/>
              <w:tabs>
                <w:tab w:val="left" w:pos="946"/>
              </w:tabs>
              <w:suppressAutoHyphens/>
              <w:kinsoku w:val="0"/>
              <w:overflowPunct w:val="0"/>
              <w:autoSpaceDE w:val="0"/>
              <w:autoSpaceDN w:val="0"/>
              <w:adjustRightInd w:val="0"/>
              <w:snapToGrid w:val="0"/>
              <w:spacing w:before="60" w:after="60"/>
              <w:jc w:val="left"/>
              <w:rPr>
                <w:kern w:val="22"/>
                <w:szCs w:val="22"/>
              </w:rPr>
            </w:pPr>
            <w:r w:rsidRPr="00866F16">
              <w:rPr>
                <w:kern w:val="22"/>
                <w:szCs w:val="22"/>
              </w:rPr>
              <w:t>18.1.1.7.</w:t>
            </w:r>
            <w:r w:rsidRPr="00866F16">
              <w:rPr>
                <w:kern w:val="22"/>
                <w:szCs w:val="22"/>
              </w:rPr>
              <w:tab/>
            </w:r>
            <w:r w:rsidR="00366AA7" w:rsidRPr="00866F16">
              <w:rPr>
                <w:kern w:val="22"/>
                <w:szCs w:val="22"/>
              </w:rPr>
              <w:t xml:space="preserve">Total amount of approved funding for developing countries to promote the development, transfer, </w:t>
            </w:r>
            <w:proofErr w:type="gramStart"/>
            <w:r w:rsidR="00366AA7" w:rsidRPr="00866F16">
              <w:rPr>
                <w:kern w:val="22"/>
                <w:szCs w:val="22"/>
              </w:rPr>
              <w:t>dissemination</w:t>
            </w:r>
            <w:proofErr w:type="gramEnd"/>
            <w:r w:rsidR="00366AA7" w:rsidRPr="00866F16">
              <w:rPr>
                <w:kern w:val="22"/>
                <w:szCs w:val="22"/>
              </w:rPr>
              <w:t xml:space="preserve"> and diffusion of environmentally sound technologies (SDG indicator 17.7.1)</w:t>
            </w:r>
          </w:p>
        </w:tc>
      </w:tr>
      <w:tr w:rsidR="00366AA7" w:rsidRPr="00B324FA" w14:paraId="2BE78699" w14:textId="77777777" w:rsidTr="0099764F">
        <w:trPr>
          <w:jc w:val="center"/>
        </w:trPr>
        <w:tc>
          <w:tcPr>
            <w:tcW w:w="2447" w:type="dxa"/>
            <w:shd w:val="clear" w:color="auto" w:fill="FFFFFF" w:themeFill="background1"/>
          </w:tcPr>
          <w:p w14:paraId="51833807" w14:textId="687171B0" w:rsidR="00366AA7" w:rsidRPr="00866F16" w:rsidRDefault="00366AA7" w:rsidP="00866F16">
            <w:pPr>
              <w:suppressLineNumbers/>
              <w:suppressAutoHyphens/>
              <w:kinsoku w:val="0"/>
              <w:overflowPunct w:val="0"/>
              <w:autoSpaceDE w:val="0"/>
              <w:autoSpaceDN w:val="0"/>
              <w:adjustRightInd w:val="0"/>
              <w:snapToGrid w:val="0"/>
              <w:jc w:val="left"/>
              <w:rPr>
                <w:kern w:val="22"/>
                <w:szCs w:val="22"/>
              </w:rPr>
            </w:pPr>
            <w:r w:rsidRPr="00866F16">
              <w:rPr>
                <w:b/>
                <w:bCs/>
                <w:kern w:val="22"/>
                <w:szCs w:val="22"/>
              </w:rPr>
              <w:t>Target 19</w:t>
            </w:r>
            <w:r w:rsidR="002C3319" w:rsidRPr="00866F16">
              <w:rPr>
                <w:b/>
                <w:bCs/>
                <w:kern w:val="22"/>
                <w:szCs w:val="22"/>
              </w:rPr>
              <w:t>.</w:t>
            </w:r>
            <w:r w:rsidRPr="00866F16">
              <w:rPr>
                <w:kern w:val="22"/>
                <w:szCs w:val="22"/>
              </w:rPr>
              <w:t xml:space="preserve"> By 2030, ensure that quality information, including traditional knowledge, is available to decision makers and public for </w:t>
            </w:r>
            <w:r w:rsidRPr="00866F16">
              <w:rPr>
                <w:kern w:val="22"/>
                <w:szCs w:val="22"/>
              </w:rPr>
              <w:lastRenderedPageBreak/>
              <w:t xml:space="preserve">the effective management of biodiversity through promoting awareness, </w:t>
            </w:r>
            <w:proofErr w:type="gramStart"/>
            <w:r w:rsidRPr="00866F16">
              <w:rPr>
                <w:kern w:val="22"/>
                <w:szCs w:val="22"/>
              </w:rPr>
              <w:t>education</w:t>
            </w:r>
            <w:proofErr w:type="gramEnd"/>
            <w:r w:rsidRPr="00866F16">
              <w:rPr>
                <w:kern w:val="22"/>
                <w:szCs w:val="22"/>
              </w:rPr>
              <w:t xml:space="preserve"> and research.</w:t>
            </w:r>
          </w:p>
        </w:tc>
        <w:tc>
          <w:tcPr>
            <w:tcW w:w="1959" w:type="dxa"/>
            <w:shd w:val="clear" w:color="auto" w:fill="FFFFFF" w:themeFill="background1"/>
          </w:tcPr>
          <w:p w14:paraId="5B25A0E8" w14:textId="6323571C" w:rsidR="00B913DF" w:rsidRPr="00866F16"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866F16">
              <w:rPr>
                <w:kern w:val="22"/>
                <w:szCs w:val="22"/>
              </w:rPr>
              <w:lastRenderedPageBreak/>
              <w:t>19.0.1 Biodiversity information index*</w:t>
            </w:r>
          </w:p>
          <w:p w14:paraId="320949EC" w14:textId="141EBB1E" w:rsidR="00366AA7" w:rsidRPr="00866F16"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866F16">
              <w:rPr>
                <w:kern w:val="22"/>
                <w:szCs w:val="22"/>
              </w:rPr>
              <w:t>19.0.2 Extent to which (</w:t>
            </w:r>
            <w:proofErr w:type="spellStart"/>
            <w:r w:rsidRPr="00866F16">
              <w:rPr>
                <w:kern w:val="22"/>
                <w:szCs w:val="22"/>
              </w:rPr>
              <w:t>i</w:t>
            </w:r>
            <w:proofErr w:type="spellEnd"/>
            <w:r w:rsidRPr="00866F16">
              <w:rPr>
                <w:kern w:val="22"/>
                <w:szCs w:val="22"/>
              </w:rPr>
              <w:t xml:space="preserve">) global citizenship </w:t>
            </w:r>
            <w:r w:rsidRPr="00866F16">
              <w:rPr>
                <w:kern w:val="22"/>
                <w:szCs w:val="22"/>
              </w:rPr>
              <w:lastRenderedPageBreak/>
              <w:t>education and (ii) education for sustainable development, including gender equality and human rights, are mainstreamed at all levels in: (a) national education policies, (b) curricula, (c) teacher education and (d) student assessments</w:t>
            </w:r>
          </w:p>
        </w:tc>
        <w:tc>
          <w:tcPr>
            <w:tcW w:w="2369" w:type="dxa"/>
            <w:shd w:val="clear" w:color="auto" w:fill="FFFFFF" w:themeFill="background1"/>
          </w:tcPr>
          <w:p w14:paraId="3D9E94FB" w14:textId="1005AC2D" w:rsidR="00366AA7" w:rsidRPr="00866F16" w:rsidRDefault="00F924C5" w:rsidP="00866F16">
            <w:pPr>
              <w:pStyle w:val="ListParagraph"/>
              <w:suppressLineNumbers/>
              <w:tabs>
                <w:tab w:val="left" w:pos="583"/>
              </w:tabs>
              <w:suppressAutoHyphens/>
              <w:kinsoku w:val="0"/>
              <w:overflowPunct w:val="0"/>
              <w:autoSpaceDE w:val="0"/>
              <w:autoSpaceDN w:val="0"/>
              <w:adjustRightInd w:val="0"/>
              <w:snapToGrid w:val="0"/>
              <w:spacing w:before="60" w:after="60"/>
              <w:ind w:left="17"/>
              <w:jc w:val="left"/>
              <w:rPr>
                <w:kern w:val="22"/>
                <w:szCs w:val="22"/>
              </w:rPr>
            </w:pPr>
            <w:r>
              <w:rPr>
                <w:kern w:val="22"/>
                <w:szCs w:val="22"/>
              </w:rPr>
              <w:lastRenderedPageBreak/>
              <w:t>19.1.</w:t>
            </w:r>
            <w:r>
              <w:rPr>
                <w:kern w:val="22"/>
                <w:szCs w:val="22"/>
              </w:rPr>
              <w:tab/>
            </w:r>
            <w:r w:rsidR="00366AA7" w:rsidRPr="00866F16">
              <w:rPr>
                <w:kern w:val="22"/>
                <w:szCs w:val="22"/>
              </w:rPr>
              <w:t>Availability of reliable and up-to-date biodiversity related information</w:t>
            </w:r>
          </w:p>
          <w:p w14:paraId="07C642BE" w14:textId="295BBE84" w:rsidR="00366AA7" w:rsidRPr="00866F16" w:rsidRDefault="00453FCA" w:rsidP="00866F16">
            <w:pPr>
              <w:pStyle w:val="ListParagraph"/>
              <w:suppressLineNumbers/>
              <w:tabs>
                <w:tab w:val="left" w:pos="583"/>
              </w:tabs>
              <w:suppressAutoHyphens/>
              <w:kinsoku w:val="0"/>
              <w:overflowPunct w:val="0"/>
              <w:autoSpaceDE w:val="0"/>
              <w:autoSpaceDN w:val="0"/>
              <w:adjustRightInd w:val="0"/>
              <w:snapToGrid w:val="0"/>
              <w:spacing w:before="60" w:after="60"/>
              <w:ind w:left="17"/>
              <w:jc w:val="left"/>
              <w:rPr>
                <w:kern w:val="22"/>
                <w:szCs w:val="22"/>
              </w:rPr>
            </w:pPr>
            <w:r w:rsidRPr="00866F16">
              <w:rPr>
                <w:kern w:val="22"/>
                <w:szCs w:val="22"/>
              </w:rPr>
              <w:lastRenderedPageBreak/>
              <w:t>19.2.</w:t>
            </w:r>
            <w:r w:rsidRPr="00866F16">
              <w:rPr>
                <w:kern w:val="22"/>
                <w:szCs w:val="22"/>
              </w:rPr>
              <w:tab/>
            </w:r>
            <w:r w:rsidR="00366AA7" w:rsidRPr="00866F16">
              <w:rPr>
                <w:kern w:val="22"/>
                <w:szCs w:val="22"/>
              </w:rPr>
              <w:t>Promotion of awareness of values of biodiversity</w:t>
            </w:r>
          </w:p>
          <w:p w14:paraId="5BFB3988" w14:textId="2101E409" w:rsidR="00366AA7" w:rsidRPr="00866F16" w:rsidRDefault="00453FCA" w:rsidP="00866F16">
            <w:pPr>
              <w:pStyle w:val="ListParagraph"/>
              <w:suppressLineNumbers/>
              <w:tabs>
                <w:tab w:val="left" w:pos="583"/>
              </w:tabs>
              <w:suppressAutoHyphens/>
              <w:kinsoku w:val="0"/>
              <w:overflowPunct w:val="0"/>
              <w:autoSpaceDE w:val="0"/>
              <w:autoSpaceDN w:val="0"/>
              <w:adjustRightInd w:val="0"/>
              <w:snapToGrid w:val="0"/>
              <w:spacing w:before="60" w:after="60"/>
              <w:ind w:left="17"/>
              <w:jc w:val="left"/>
              <w:rPr>
                <w:kern w:val="22"/>
                <w:szCs w:val="22"/>
              </w:rPr>
            </w:pPr>
            <w:r w:rsidRPr="00866F16">
              <w:rPr>
                <w:kern w:val="22"/>
                <w:szCs w:val="22"/>
              </w:rPr>
              <w:t>19.3</w:t>
            </w:r>
            <w:r w:rsidR="00F924C5">
              <w:rPr>
                <w:kern w:val="22"/>
                <w:szCs w:val="22"/>
              </w:rPr>
              <w:t>.</w:t>
            </w:r>
            <w:r w:rsidRPr="00866F16">
              <w:rPr>
                <w:kern w:val="22"/>
                <w:szCs w:val="22"/>
              </w:rPr>
              <w:tab/>
            </w:r>
            <w:r w:rsidR="00366AA7" w:rsidRPr="00866F16">
              <w:rPr>
                <w:kern w:val="22"/>
                <w:szCs w:val="22"/>
              </w:rPr>
              <w:t>Promotion of biodiversity in education</w:t>
            </w:r>
          </w:p>
          <w:p w14:paraId="4FDAED53" w14:textId="6095EC6F" w:rsidR="00366AA7" w:rsidRPr="00866F16" w:rsidRDefault="00453FCA" w:rsidP="00866F16">
            <w:pPr>
              <w:pStyle w:val="ListParagraph"/>
              <w:suppressLineNumbers/>
              <w:tabs>
                <w:tab w:val="left" w:pos="583"/>
              </w:tabs>
              <w:suppressAutoHyphens/>
              <w:kinsoku w:val="0"/>
              <w:overflowPunct w:val="0"/>
              <w:autoSpaceDE w:val="0"/>
              <w:autoSpaceDN w:val="0"/>
              <w:adjustRightInd w:val="0"/>
              <w:snapToGrid w:val="0"/>
              <w:spacing w:before="60" w:after="60"/>
              <w:ind w:left="17"/>
              <w:jc w:val="left"/>
              <w:rPr>
                <w:kern w:val="22"/>
                <w:szCs w:val="22"/>
              </w:rPr>
            </w:pPr>
            <w:r w:rsidRPr="00866F16">
              <w:rPr>
                <w:kern w:val="22"/>
                <w:szCs w:val="22"/>
              </w:rPr>
              <w:t>19.4</w:t>
            </w:r>
            <w:r w:rsidR="00F924C5">
              <w:rPr>
                <w:kern w:val="22"/>
                <w:szCs w:val="22"/>
              </w:rPr>
              <w:t>.</w:t>
            </w:r>
            <w:r w:rsidRPr="00866F16">
              <w:rPr>
                <w:kern w:val="22"/>
                <w:szCs w:val="22"/>
              </w:rPr>
              <w:tab/>
            </w:r>
            <w:r w:rsidR="00366AA7" w:rsidRPr="00866F16">
              <w:rPr>
                <w:kern w:val="22"/>
                <w:szCs w:val="22"/>
              </w:rPr>
              <w:t xml:space="preserve">Availability of research and knowledge, including traditional knowledge, innovations and practices of indigenous peoples and local communities with their free, </w:t>
            </w:r>
            <w:proofErr w:type="gramStart"/>
            <w:r w:rsidR="00366AA7" w:rsidRPr="00866F16">
              <w:rPr>
                <w:kern w:val="22"/>
                <w:szCs w:val="22"/>
              </w:rPr>
              <w:t>prior</w:t>
            </w:r>
            <w:proofErr w:type="gramEnd"/>
            <w:r w:rsidR="00366AA7" w:rsidRPr="00866F16">
              <w:rPr>
                <w:kern w:val="22"/>
                <w:szCs w:val="22"/>
              </w:rPr>
              <w:t xml:space="preserve"> and informed consent</w:t>
            </w:r>
          </w:p>
        </w:tc>
        <w:tc>
          <w:tcPr>
            <w:tcW w:w="3568" w:type="dxa"/>
            <w:shd w:val="clear" w:color="auto" w:fill="FFFFFF" w:themeFill="background1"/>
          </w:tcPr>
          <w:p w14:paraId="1CCF579B" w14:textId="77777777" w:rsidR="00366AA7" w:rsidRPr="00866F16" w:rsidRDefault="00366AA7" w:rsidP="00866F16">
            <w:pPr>
              <w:pStyle w:val="ListParagraph"/>
              <w:numPr>
                <w:ilvl w:val="2"/>
                <w:numId w:val="76"/>
              </w:numPr>
              <w:suppressLineNumbers/>
              <w:tabs>
                <w:tab w:val="left" w:pos="765"/>
              </w:tabs>
              <w:suppressAutoHyphens/>
              <w:kinsoku w:val="0"/>
              <w:overflowPunct w:val="0"/>
              <w:autoSpaceDE w:val="0"/>
              <w:autoSpaceDN w:val="0"/>
              <w:adjustRightInd w:val="0"/>
              <w:snapToGrid w:val="0"/>
              <w:spacing w:before="60" w:after="60"/>
              <w:ind w:left="57" w:firstLine="0"/>
              <w:jc w:val="left"/>
              <w:rPr>
                <w:kern w:val="22"/>
                <w:szCs w:val="22"/>
              </w:rPr>
            </w:pPr>
            <w:r w:rsidRPr="00866F16">
              <w:rPr>
                <w:kern w:val="22"/>
                <w:szCs w:val="22"/>
              </w:rPr>
              <w:lastRenderedPageBreak/>
              <w:t>Biodiversity information index by type of information</w:t>
            </w:r>
          </w:p>
          <w:p w14:paraId="59608F9A" w14:textId="77777777" w:rsidR="00366AA7" w:rsidRPr="00866F16" w:rsidRDefault="00366AA7" w:rsidP="00866F16">
            <w:pPr>
              <w:pStyle w:val="ListParagraph"/>
              <w:numPr>
                <w:ilvl w:val="2"/>
                <w:numId w:val="76"/>
              </w:numPr>
              <w:suppressLineNumbers/>
              <w:tabs>
                <w:tab w:val="left" w:pos="765"/>
              </w:tabs>
              <w:suppressAutoHyphens/>
              <w:kinsoku w:val="0"/>
              <w:overflowPunct w:val="0"/>
              <w:autoSpaceDE w:val="0"/>
              <w:autoSpaceDN w:val="0"/>
              <w:adjustRightInd w:val="0"/>
              <w:snapToGrid w:val="0"/>
              <w:spacing w:before="60" w:after="60"/>
              <w:ind w:left="57" w:firstLine="0"/>
              <w:jc w:val="left"/>
              <w:rPr>
                <w:kern w:val="22"/>
                <w:szCs w:val="22"/>
              </w:rPr>
            </w:pPr>
            <w:r w:rsidRPr="00866F16">
              <w:rPr>
                <w:kern w:val="22"/>
                <w:szCs w:val="22"/>
              </w:rPr>
              <w:t>Species Status Information Index</w:t>
            </w:r>
          </w:p>
          <w:p w14:paraId="6871ECEC" w14:textId="77777777" w:rsidR="00366AA7" w:rsidRPr="00866F16" w:rsidRDefault="00366AA7" w:rsidP="00866F16">
            <w:pPr>
              <w:pStyle w:val="ListParagraph"/>
              <w:numPr>
                <w:ilvl w:val="2"/>
                <w:numId w:val="76"/>
              </w:numPr>
              <w:suppressLineNumbers/>
              <w:tabs>
                <w:tab w:val="left" w:pos="765"/>
              </w:tabs>
              <w:suppressAutoHyphens/>
              <w:kinsoku w:val="0"/>
              <w:overflowPunct w:val="0"/>
              <w:autoSpaceDE w:val="0"/>
              <w:autoSpaceDN w:val="0"/>
              <w:adjustRightInd w:val="0"/>
              <w:snapToGrid w:val="0"/>
              <w:spacing w:before="60" w:after="60"/>
              <w:ind w:left="57" w:firstLine="0"/>
              <w:jc w:val="left"/>
              <w:rPr>
                <w:kern w:val="22"/>
                <w:szCs w:val="22"/>
              </w:rPr>
            </w:pPr>
            <w:r w:rsidRPr="00866F16">
              <w:rPr>
                <w:kern w:val="22"/>
                <w:szCs w:val="22"/>
              </w:rPr>
              <w:t>Biodiversity Barometer</w:t>
            </w:r>
          </w:p>
          <w:p w14:paraId="759AFBBD" w14:textId="77777777" w:rsidR="00366AA7" w:rsidRPr="00866F16" w:rsidRDefault="00366AA7" w:rsidP="00866F16">
            <w:pPr>
              <w:pStyle w:val="ListParagraph"/>
              <w:numPr>
                <w:ilvl w:val="2"/>
                <w:numId w:val="76"/>
              </w:numPr>
              <w:suppressLineNumbers/>
              <w:tabs>
                <w:tab w:val="left" w:pos="765"/>
              </w:tabs>
              <w:suppressAutoHyphens/>
              <w:kinsoku w:val="0"/>
              <w:overflowPunct w:val="0"/>
              <w:autoSpaceDE w:val="0"/>
              <w:autoSpaceDN w:val="0"/>
              <w:adjustRightInd w:val="0"/>
              <w:snapToGrid w:val="0"/>
              <w:spacing w:before="60" w:after="60"/>
              <w:ind w:left="57" w:firstLine="0"/>
              <w:jc w:val="left"/>
              <w:rPr>
                <w:kern w:val="22"/>
                <w:szCs w:val="22"/>
              </w:rPr>
            </w:pPr>
            <w:r w:rsidRPr="00866F16">
              <w:rPr>
                <w:kern w:val="22"/>
                <w:szCs w:val="22"/>
              </w:rPr>
              <w:lastRenderedPageBreak/>
              <w:t>Growth in Species Occurrence Records Accessible Through GBIF</w:t>
            </w:r>
          </w:p>
          <w:p w14:paraId="55B871FA" w14:textId="77777777" w:rsidR="00366AA7" w:rsidRPr="00866F16" w:rsidRDefault="00366AA7" w:rsidP="00866F16">
            <w:pPr>
              <w:pStyle w:val="ListParagraph"/>
              <w:numPr>
                <w:ilvl w:val="2"/>
                <w:numId w:val="76"/>
              </w:numPr>
              <w:suppressLineNumbers/>
              <w:tabs>
                <w:tab w:val="left" w:pos="765"/>
              </w:tabs>
              <w:suppressAutoHyphens/>
              <w:kinsoku w:val="0"/>
              <w:overflowPunct w:val="0"/>
              <w:autoSpaceDE w:val="0"/>
              <w:autoSpaceDN w:val="0"/>
              <w:adjustRightInd w:val="0"/>
              <w:snapToGrid w:val="0"/>
              <w:spacing w:before="60" w:after="60"/>
              <w:ind w:left="57" w:firstLine="0"/>
              <w:jc w:val="left"/>
              <w:rPr>
                <w:kern w:val="22"/>
                <w:szCs w:val="22"/>
              </w:rPr>
            </w:pPr>
            <w:r w:rsidRPr="00866F16">
              <w:rPr>
                <w:kern w:val="22"/>
                <w:szCs w:val="22"/>
              </w:rPr>
              <w:t>Trends of linguistic diversity and numbers of speakers of indigenous languages (B) (decision VII/30 and VIII/15)</w:t>
            </w:r>
          </w:p>
        </w:tc>
        <w:tc>
          <w:tcPr>
            <w:tcW w:w="3827" w:type="dxa"/>
            <w:shd w:val="clear" w:color="auto" w:fill="FFFFFF" w:themeFill="background1"/>
          </w:tcPr>
          <w:p w14:paraId="40703519" w14:textId="44AAE4AF" w:rsidR="00366AA7" w:rsidRPr="00866F16" w:rsidRDefault="00F924C5" w:rsidP="00866F16">
            <w:pPr>
              <w:pStyle w:val="ListParagraph"/>
              <w:suppressLineNumbers/>
              <w:tabs>
                <w:tab w:val="left" w:pos="946"/>
              </w:tabs>
              <w:suppressAutoHyphens/>
              <w:kinsoku w:val="0"/>
              <w:overflowPunct w:val="0"/>
              <w:autoSpaceDE w:val="0"/>
              <w:autoSpaceDN w:val="0"/>
              <w:adjustRightInd w:val="0"/>
              <w:snapToGrid w:val="0"/>
              <w:spacing w:before="0" w:after="0"/>
              <w:ind w:left="0"/>
              <w:jc w:val="left"/>
              <w:rPr>
                <w:kern w:val="22"/>
                <w:szCs w:val="22"/>
              </w:rPr>
            </w:pPr>
            <w:r>
              <w:rPr>
                <w:kern w:val="22"/>
                <w:szCs w:val="22"/>
              </w:rPr>
              <w:lastRenderedPageBreak/>
              <w:t>19.1.1.1.</w:t>
            </w:r>
            <w:r>
              <w:rPr>
                <w:kern w:val="22"/>
                <w:szCs w:val="22"/>
              </w:rPr>
              <w:tab/>
            </w:r>
            <w:r w:rsidR="00366AA7" w:rsidRPr="00866F16">
              <w:rPr>
                <w:kern w:val="22"/>
                <w:szCs w:val="22"/>
              </w:rPr>
              <w:t>Growth in number of records and species in the Living Planet Index database</w:t>
            </w:r>
          </w:p>
          <w:p w14:paraId="2BB1E9CF" w14:textId="4CE41CDF" w:rsidR="00366AA7" w:rsidRPr="00866F16" w:rsidRDefault="00453FCA" w:rsidP="00866F16">
            <w:pPr>
              <w:pStyle w:val="ListParagraph"/>
              <w:suppressLineNumbers/>
              <w:tabs>
                <w:tab w:val="left" w:pos="946"/>
              </w:tabs>
              <w:suppressAutoHyphens/>
              <w:kinsoku w:val="0"/>
              <w:overflowPunct w:val="0"/>
              <w:autoSpaceDE w:val="0"/>
              <w:autoSpaceDN w:val="0"/>
              <w:adjustRightInd w:val="0"/>
              <w:snapToGrid w:val="0"/>
              <w:spacing w:before="60" w:after="60"/>
              <w:ind w:left="0"/>
              <w:jc w:val="left"/>
              <w:rPr>
                <w:kern w:val="22"/>
                <w:szCs w:val="22"/>
              </w:rPr>
            </w:pPr>
            <w:r w:rsidRPr="00866F16">
              <w:rPr>
                <w:kern w:val="22"/>
                <w:szCs w:val="22"/>
              </w:rPr>
              <w:lastRenderedPageBreak/>
              <w:t>19.1.1.2.</w:t>
            </w:r>
            <w:r w:rsidRPr="00866F16">
              <w:rPr>
                <w:kern w:val="22"/>
                <w:szCs w:val="22"/>
              </w:rPr>
              <w:tab/>
            </w:r>
            <w:r w:rsidR="00366AA7" w:rsidRPr="00866F16">
              <w:rPr>
                <w:kern w:val="22"/>
                <w:szCs w:val="22"/>
              </w:rPr>
              <w:t>Growth in marine species occurrence records accessible through OBIS*</w:t>
            </w:r>
          </w:p>
          <w:p w14:paraId="636368FD" w14:textId="27391AFB" w:rsidR="00366AA7" w:rsidRPr="00866F16" w:rsidRDefault="00453FCA" w:rsidP="00866F16">
            <w:pPr>
              <w:pStyle w:val="ListParagraph"/>
              <w:suppressLineNumbers/>
              <w:tabs>
                <w:tab w:val="left" w:pos="946"/>
              </w:tabs>
              <w:suppressAutoHyphens/>
              <w:kinsoku w:val="0"/>
              <w:overflowPunct w:val="0"/>
              <w:autoSpaceDE w:val="0"/>
              <w:autoSpaceDN w:val="0"/>
              <w:adjustRightInd w:val="0"/>
              <w:snapToGrid w:val="0"/>
              <w:spacing w:before="60" w:after="60"/>
              <w:ind w:left="0"/>
              <w:jc w:val="left"/>
              <w:rPr>
                <w:kern w:val="22"/>
                <w:szCs w:val="22"/>
              </w:rPr>
            </w:pPr>
            <w:r w:rsidRPr="00866F16">
              <w:rPr>
                <w:kern w:val="22"/>
                <w:szCs w:val="22"/>
              </w:rPr>
              <w:t>19.1.1.3.</w:t>
            </w:r>
            <w:r w:rsidRPr="00866F16">
              <w:rPr>
                <w:kern w:val="22"/>
                <w:szCs w:val="22"/>
              </w:rPr>
              <w:tab/>
            </w:r>
            <w:r w:rsidR="00366AA7" w:rsidRPr="00866F16">
              <w:rPr>
                <w:kern w:val="22"/>
                <w:szCs w:val="22"/>
              </w:rPr>
              <w:t>Proportion of known species assessed through the IUCN Red List.</w:t>
            </w:r>
          </w:p>
          <w:p w14:paraId="77BF93FD" w14:textId="277E5DD6" w:rsidR="00366AA7" w:rsidRPr="00866F16" w:rsidRDefault="00453FCA" w:rsidP="00866F16">
            <w:pPr>
              <w:pStyle w:val="ListParagraph"/>
              <w:suppressLineNumbers/>
              <w:tabs>
                <w:tab w:val="left" w:pos="946"/>
              </w:tabs>
              <w:suppressAutoHyphens/>
              <w:kinsoku w:val="0"/>
              <w:overflowPunct w:val="0"/>
              <w:autoSpaceDE w:val="0"/>
              <w:autoSpaceDN w:val="0"/>
              <w:adjustRightInd w:val="0"/>
              <w:snapToGrid w:val="0"/>
              <w:spacing w:before="60" w:after="60"/>
              <w:ind w:left="0"/>
              <w:jc w:val="left"/>
              <w:rPr>
                <w:kern w:val="22"/>
                <w:szCs w:val="22"/>
              </w:rPr>
            </w:pPr>
            <w:r w:rsidRPr="00866F16">
              <w:rPr>
                <w:kern w:val="22"/>
                <w:szCs w:val="22"/>
              </w:rPr>
              <w:t>19.1.1.</w:t>
            </w:r>
            <w:r w:rsidR="002536AE" w:rsidRPr="00866F16">
              <w:rPr>
                <w:kern w:val="22"/>
                <w:szCs w:val="22"/>
              </w:rPr>
              <w:t>4</w:t>
            </w:r>
            <w:r w:rsidRPr="00866F16">
              <w:rPr>
                <w:kern w:val="22"/>
                <w:szCs w:val="22"/>
              </w:rPr>
              <w:t>.</w:t>
            </w:r>
            <w:r w:rsidRPr="00866F16">
              <w:rPr>
                <w:kern w:val="22"/>
                <w:szCs w:val="22"/>
              </w:rPr>
              <w:tab/>
            </w:r>
            <w:r w:rsidR="00612A56">
              <w:rPr>
                <w:rStyle w:val="preferred"/>
              </w:rPr>
              <w:t>World Association of Zoos and Aquariums (</w:t>
            </w:r>
            <w:r w:rsidR="00366AA7" w:rsidRPr="00866F16">
              <w:rPr>
                <w:kern w:val="22"/>
                <w:szCs w:val="22"/>
              </w:rPr>
              <w:t>WAZA</w:t>
            </w:r>
            <w:r w:rsidR="00612A56">
              <w:rPr>
                <w:kern w:val="22"/>
                <w:szCs w:val="22"/>
              </w:rPr>
              <w:t>)</w:t>
            </w:r>
            <w:r w:rsidR="00366AA7" w:rsidRPr="00866F16">
              <w:rPr>
                <w:kern w:val="22"/>
                <w:szCs w:val="22"/>
              </w:rPr>
              <w:t xml:space="preserve"> bio-literacy survey (Biodiversity literacy in global zoo and aquarium visitors)</w:t>
            </w:r>
          </w:p>
          <w:p w14:paraId="0B9D4833" w14:textId="2534D824" w:rsidR="00366AA7" w:rsidRPr="00866F16" w:rsidRDefault="00453FCA" w:rsidP="00866F16">
            <w:pPr>
              <w:pStyle w:val="ListParagraph"/>
              <w:suppressLineNumbers/>
              <w:tabs>
                <w:tab w:val="left" w:pos="946"/>
              </w:tabs>
              <w:suppressAutoHyphens/>
              <w:kinsoku w:val="0"/>
              <w:overflowPunct w:val="0"/>
              <w:autoSpaceDE w:val="0"/>
              <w:autoSpaceDN w:val="0"/>
              <w:adjustRightInd w:val="0"/>
              <w:snapToGrid w:val="0"/>
              <w:spacing w:before="60" w:after="60"/>
              <w:ind w:left="0"/>
              <w:jc w:val="left"/>
              <w:rPr>
                <w:kern w:val="22"/>
                <w:szCs w:val="22"/>
              </w:rPr>
            </w:pPr>
            <w:r w:rsidRPr="00866F16">
              <w:rPr>
                <w:kern w:val="22"/>
                <w:szCs w:val="22"/>
              </w:rPr>
              <w:t>19.1.1.</w:t>
            </w:r>
            <w:r w:rsidR="002536AE" w:rsidRPr="00866F16">
              <w:rPr>
                <w:kern w:val="22"/>
                <w:szCs w:val="22"/>
              </w:rPr>
              <w:t>5</w:t>
            </w:r>
            <w:r w:rsidRPr="00866F16">
              <w:rPr>
                <w:kern w:val="22"/>
                <w:szCs w:val="22"/>
              </w:rPr>
              <w:t>.</w:t>
            </w:r>
            <w:r w:rsidRPr="00866F16">
              <w:rPr>
                <w:kern w:val="22"/>
                <w:szCs w:val="22"/>
              </w:rPr>
              <w:tab/>
            </w:r>
            <w:r w:rsidR="00366AA7" w:rsidRPr="00866F16">
              <w:rPr>
                <w:kern w:val="22"/>
                <w:szCs w:val="22"/>
              </w:rPr>
              <w:t>Number of assessments on the IUCN Red List of threatened species</w:t>
            </w:r>
          </w:p>
        </w:tc>
      </w:tr>
      <w:tr w:rsidR="00366AA7" w:rsidRPr="00B324FA" w14:paraId="6D4CF9C2" w14:textId="77777777" w:rsidTr="0099764F">
        <w:trPr>
          <w:jc w:val="center"/>
        </w:trPr>
        <w:tc>
          <w:tcPr>
            <w:tcW w:w="2447" w:type="dxa"/>
            <w:shd w:val="clear" w:color="auto" w:fill="BFBFBF" w:themeFill="background1" w:themeFillShade="BF"/>
          </w:tcPr>
          <w:p w14:paraId="6C236CA7" w14:textId="5DD1B5C5" w:rsidR="00366AA7" w:rsidRPr="00866F16" w:rsidRDefault="00366AA7" w:rsidP="00866F16">
            <w:pPr>
              <w:suppressLineNumbers/>
              <w:suppressAutoHyphens/>
              <w:kinsoku w:val="0"/>
              <w:overflowPunct w:val="0"/>
              <w:autoSpaceDE w:val="0"/>
              <w:autoSpaceDN w:val="0"/>
              <w:adjustRightInd w:val="0"/>
              <w:snapToGrid w:val="0"/>
              <w:jc w:val="left"/>
              <w:rPr>
                <w:kern w:val="22"/>
                <w:szCs w:val="22"/>
              </w:rPr>
            </w:pPr>
            <w:r w:rsidRPr="00866F16">
              <w:rPr>
                <w:b/>
                <w:bCs/>
                <w:kern w:val="22"/>
                <w:szCs w:val="22"/>
              </w:rPr>
              <w:lastRenderedPageBreak/>
              <w:t>Target 20</w:t>
            </w:r>
            <w:r w:rsidR="00BE23A1" w:rsidRPr="00866F16">
              <w:rPr>
                <w:b/>
                <w:bCs/>
                <w:kern w:val="22"/>
                <w:szCs w:val="22"/>
              </w:rPr>
              <w:t>.</w:t>
            </w:r>
            <w:r w:rsidRPr="00866F16">
              <w:rPr>
                <w:kern w:val="22"/>
                <w:szCs w:val="22"/>
              </w:rPr>
              <w:t xml:space="preserve"> By 2030, ensure equitable participation in decision-making related to biodiversity and ensure rights over relevant resources of indigenous peoples and local communities, </w:t>
            </w:r>
            <w:proofErr w:type="gramStart"/>
            <w:r w:rsidRPr="00866F16">
              <w:rPr>
                <w:kern w:val="22"/>
                <w:szCs w:val="22"/>
              </w:rPr>
              <w:t>women</w:t>
            </w:r>
            <w:proofErr w:type="gramEnd"/>
            <w:r w:rsidRPr="00866F16">
              <w:rPr>
                <w:kern w:val="22"/>
                <w:szCs w:val="22"/>
              </w:rPr>
              <w:t xml:space="preserve"> and girls as well as youth, in accordance with national circumstances.</w:t>
            </w:r>
          </w:p>
        </w:tc>
        <w:tc>
          <w:tcPr>
            <w:tcW w:w="1959" w:type="dxa"/>
            <w:shd w:val="clear" w:color="auto" w:fill="BFBFBF" w:themeFill="background1" w:themeFillShade="BF"/>
          </w:tcPr>
          <w:p w14:paraId="260C310A" w14:textId="18E96222" w:rsidR="00366AA7" w:rsidRPr="00866F16"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866F16">
              <w:rPr>
                <w:kern w:val="22"/>
                <w:szCs w:val="22"/>
              </w:rPr>
              <w:t xml:space="preserve">20.0.1 Land tenure in the traditional territories of indigenous </w:t>
            </w:r>
            <w:r w:rsidR="00000EDF">
              <w:rPr>
                <w:kern w:val="22"/>
                <w:szCs w:val="22"/>
              </w:rPr>
              <w:t xml:space="preserve">peoples </w:t>
            </w:r>
            <w:r w:rsidRPr="00866F16">
              <w:rPr>
                <w:kern w:val="22"/>
                <w:szCs w:val="22"/>
              </w:rPr>
              <w:t>and local communities</w:t>
            </w:r>
          </w:p>
          <w:p w14:paraId="3CC2158A" w14:textId="77777777" w:rsidR="00366AA7" w:rsidRPr="00866F16"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866F16">
              <w:rPr>
                <w:kern w:val="22"/>
                <w:szCs w:val="22"/>
              </w:rPr>
              <w:t>20.0.2 Population with secure tenure rights to land</w:t>
            </w:r>
          </w:p>
          <w:p w14:paraId="7CC11EDA" w14:textId="51373649" w:rsidR="00366AA7" w:rsidRPr="00866F16"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866F16">
              <w:rPr>
                <w:kern w:val="22"/>
                <w:szCs w:val="22"/>
              </w:rPr>
              <w:t xml:space="preserve">20.0.3 Extent to which indigenous peoples and local communities, </w:t>
            </w:r>
            <w:proofErr w:type="gramStart"/>
            <w:r w:rsidRPr="00866F16">
              <w:rPr>
                <w:kern w:val="22"/>
                <w:szCs w:val="22"/>
              </w:rPr>
              <w:t>women</w:t>
            </w:r>
            <w:proofErr w:type="gramEnd"/>
            <w:r w:rsidRPr="00866F16">
              <w:rPr>
                <w:kern w:val="22"/>
                <w:szCs w:val="22"/>
              </w:rPr>
              <w:t xml:space="preserve"> and girls as well as youth participate in decision-making </w:t>
            </w:r>
            <w:r w:rsidRPr="00866F16">
              <w:rPr>
                <w:kern w:val="22"/>
                <w:szCs w:val="22"/>
              </w:rPr>
              <w:lastRenderedPageBreak/>
              <w:t>related to biodiversity*</w:t>
            </w:r>
          </w:p>
        </w:tc>
        <w:tc>
          <w:tcPr>
            <w:tcW w:w="2369" w:type="dxa"/>
            <w:shd w:val="clear" w:color="auto" w:fill="BFBFBF" w:themeFill="background1" w:themeFillShade="BF"/>
          </w:tcPr>
          <w:p w14:paraId="2C62B637" w14:textId="4E2A61B0" w:rsidR="00366AA7" w:rsidRPr="00866F16" w:rsidRDefault="00366AA7" w:rsidP="00866F16">
            <w:pPr>
              <w:pStyle w:val="ListParagraph"/>
              <w:numPr>
                <w:ilvl w:val="1"/>
                <w:numId w:val="79"/>
              </w:numPr>
              <w:suppressLineNumbers/>
              <w:tabs>
                <w:tab w:val="left" w:pos="583"/>
              </w:tabs>
              <w:suppressAutoHyphens/>
              <w:kinsoku w:val="0"/>
              <w:overflowPunct w:val="0"/>
              <w:autoSpaceDE w:val="0"/>
              <w:autoSpaceDN w:val="0"/>
              <w:adjustRightInd w:val="0"/>
              <w:snapToGrid w:val="0"/>
              <w:spacing w:before="60" w:after="60"/>
              <w:ind w:left="17"/>
              <w:jc w:val="left"/>
              <w:rPr>
                <w:kern w:val="22"/>
                <w:szCs w:val="22"/>
              </w:rPr>
            </w:pPr>
            <w:r w:rsidRPr="00866F16">
              <w:rPr>
                <w:kern w:val="22"/>
                <w:szCs w:val="22"/>
              </w:rPr>
              <w:lastRenderedPageBreak/>
              <w:t>Equitable participation of indigenous peoples and local communities in decision-making related to biodiversity and rights over relevant resources</w:t>
            </w:r>
          </w:p>
          <w:p w14:paraId="61F524F5" w14:textId="4AF28E9A" w:rsidR="00366AA7" w:rsidRPr="00866F16" w:rsidRDefault="00366AA7" w:rsidP="00866F16">
            <w:pPr>
              <w:pStyle w:val="ListParagraph"/>
              <w:numPr>
                <w:ilvl w:val="1"/>
                <w:numId w:val="79"/>
              </w:numPr>
              <w:suppressLineNumbers/>
              <w:tabs>
                <w:tab w:val="left" w:pos="583"/>
              </w:tabs>
              <w:suppressAutoHyphens/>
              <w:kinsoku w:val="0"/>
              <w:overflowPunct w:val="0"/>
              <w:autoSpaceDE w:val="0"/>
              <w:autoSpaceDN w:val="0"/>
              <w:adjustRightInd w:val="0"/>
              <w:snapToGrid w:val="0"/>
              <w:spacing w:before="60" w:after="60"/>
              <w:ind w:left="17" w:hanging="16"/>
              <w:jc w:val="left"/>
              <w:rPr>
                <w:kern w:val="22"/>
                <w:szCs w:val="22"/>
              </w:rPr>
            </w:pPr>
            <w:r w:rsidRPr="00866F16">
              <w:rPr>
                <w:kern w:val="22"/>
                <w:szCs w:val="22"/>
              </w:rPr>
              <w:t>Equitable participation of women and girls in decision-making related to biodiversity and rights over relevant resources</w:t>
            </w:r>
          </w:p>
          <w:p w14:paraId="1497C810" w14:textId="77777777" w:rsidR="00366AA7" w:rsidRPr="00866F16" w:rsidRDefault="00366AA7" w:rsidP="00866F16">
            <w:pPr>
              <w:pStyle w:val="ListParagraph"/>
              <w:numPr>
                <w:ilvl w:val="1"/>
                <w:numId w:val="79"/>
              </w:numPr>
              <w:suppressLineNumbers/>
              <w:tabs>
                <w:tab w:val="left" w:pos="583"/>
              </w:tabs>
              <w:suppressAutoHyphens/>
              <w:kinsoku w:val="0"/>
              <w:overflowPunct w:val="0"/>
              <w:autoSpaceDE w:val="0"/>
              <w:autoSpaceDN w:val="0"/>
              <w:adjustRightInd w:val="0"/>
              <w:snapToGrid w:val="0"/>
              <w:spacing w:before="60" w:after="60"/>
              <w:ind w:left="17" w:hanging="16"/>
              <w:jc w:val="left"/>
              <w:rPr>
                <w:kern w:val="22"/>
                <w:szCs w:val="22"/>
              </w:rPr>
            </w:pPr>
            <w:r w:rsidRPr="00866F16">
              <w:rPr>
                <w:kern w:val="22"/>
                <w:szCs w:val="22"/>
              </w:rPr>
              <w:t xml:space="preserve">Equitable participation of youth in decision-making related </w:t>
            </w:r>
            <w:r w:rsidRPr="00866F16">
              <w:rPr>
                <w:kern w:val="22"/>
                <w:szCs w:val="22"/>
              </w:rPr>
              <w:lastRenderedPageBreak/>
              <w:t>to biodiversity and rights over relevant resources</w:t>
            </w:r>
          </w:p>
        </w:tc>
        <w:tc>
          <w:tcPr>
            <w:tcW w:w="3568" w:type="dxa"/>
            <w:shd w:val="clear" w:color="auto" w:fill="BFBFBF" w:themeFill="background1" w:themeFillShade="BF"/>
          </w:tcPr>
          <w:p w14:paraId="1DE2C75C" w14:textId="77777777" w:rsidR="00366AA7" w:rsidRPr="00866F16" w:rsidRDefault="00366AA7" w:rsidP="00866F16">
            <w:pPr>
              <w:pStyle w:val="ListParagraph"/>
              <w:suppressLineNumbers/>
              <w:tabs>
                <w:tab w:val="left" w:pos="310"/>
                <w:tab w:val="left" w:pos="451"/>
              </w:tabs>
              <w:suppressAutoHyphens/>
              <w:kinsoku w:val="0"/>
              <w:overflowPunct w:val="0"/>
              <w:autoSpaceDE w:val="0"/>
              <w:autoSpaceDN w:val="0"/>
              <w:adjustRightInd w:val="0"/>
              <w:snapToGrid w:val="0"/>
              <w:ind w:left="0"/>
              <w:jc w:val="left"/>
              <w:rPr>
                <w:i/>
                <w:iCs/>
                <w:kern w:val="22"/>
                <w:szCs w:val="22"/>
              </w:rPr>
            </w:pPr>
            <w:r w:rsidRPr="00866F16">
              <w:rPr>
                <w:i/>
                <w:iCs/>
                <w:kern w:val="22"/>
                <w:szCs w:val="22"/>
              </w:rPr>
              <w:lastRenderedPageBreak/>
              <w:t>Captured in headline indicator for target 20</w:t>
            </w:r>
          </w:p>
        </w:tc>
        <w:tc>
          <w:tcPr>
            <w:tcW w:w="3827" w:type="dxa"/>
            <w:shd w:val="clear" w:color="auto" w:fill="BFBFBF" w:themeFill="background1" w:themeFillShade="BF"/>
          </w:tcPr>
          <w:p w14:paraId="195D0701" w14:textId="664BC743" w:rsidR="00366AA7" w:rsidRPr="00866F16" w:rsidRDefault="00E75811" w:rsidP="00866F16">
            <w:pPr>
              <w:pStyle w:val="ListParagraph"/>
              <w:suppressLineNumbers/>
              <w:tabs>
                <w:tab w:val="left" w:pos="946"/>
              </w:tabs>
              <w:suppressAutoHyphens/>
              <w:kinsoku w:val="0"/>
              <w:overflowPunct w:val="0"/>
              <w:autoSpaceDE w:val="0"/>
              <w:autoSpaceDN w:val="0"/>
              <w:adjustRightInd w:val="0"/>
              <w:snapToGrid w:val="0"/>
              <w:spacing w:before="60" w:after="60"/>
              <w:ind w:left="0"/>
              <w:jc w:val="left"/>
              <w:rPr>
                <w:kern w:val="22"/>
                <w:szCs w:val="22"/>
              </w:rPr>
            </w:pPr>
            <w:r>
              <w:rPr>
                <w:kern w:val="22"/>
                <w:szCs w:val="22"/>
              </w:rPr>
              <w:t>20.1.1.1.</w:t>
            </w:r>
            <w:r>
              <w:rPr>
                <w:kern w:val="22"/>
                <w:szCs w:val="22"/>
              </w:rPr>
              <w:tab/>
            </w:r>
            <w:r w:rsidR="00366AA7" w:rsidRPr="00866F16">
              <w:rPr>
                <w:kern w:val="22"/>
                <w:szCs w:val="22"/>
              </w:rPr>
              <w:t xml:space="preserve">Percentage of population who believe decision making is inclusive and responsive, by sex, age, </w:t>
            </w:r>
            <w:proofErr w:type="gramStart"/>
            <w:r w:rsidR="00366AA7" w:rsidRPr="00866F16">
              <w:rPr>
                <w:kern w:val="22"/>
                <w:szCs w:val="22"/>
              </w:rPr>
              <w:t>disability</w:t>
            </w:r>
            <w:proofErr w:type="gramEnd"/>
            <w:r w:rsidR="00366AA7" w:rsidRPr="00866F16">
              <w:rPr>
                <w:kern w:val="22"/>
                <w:szCs w:val="22"/>
              </w:rPr>
              <w:t xml:space="preserve"> and population group (SDG indicator 16.7.2).</w:t>
            </w:r>
            <w:bookmarkStart w:id="3" w:name="_GoBack"/>
            <w:bookmarkEnd w:id="3"/>
          </w:p>
          <w:p w14:paraId="20E269F0" w14:textId="1FF4D218" w:rsidR="00366AA7" w:rsidRPr="00866F16" w:rsidRDefault="002536AE" w:rsidP="00866F16">
            <w:pPr>
              <w:pStyle w:val="ListParagraph"/>
              <w:suppressLineNumbers/>
              <w:tabs>
                <w:tab w:val="left" w:pos="946"/>
              </w:tabs>
              <w:suppressAutoHyphens/>
              <w:kinsoku w:val="0"/>
              <w:overflowPunct w:val="0"/>
              <w:autoSpaceDE w:val="0"/>
              <w:autoSpaceDN w:val="0"/>
              <w:adjustRightInd w:val="0"/>
              <w:snapToGrid w:val="0"/>
              <w:spacing w:before="60" w:after="60"/>
              <w:ind w:left="0"/>
              <w:jc w:val="left"/>
              <w:rPr>
                <w:kern w:val="22"/>
                <w:szCs w:val="22"/>
              </w:rPr>
            </w:pPr>
            <w:r w:rsidRPr="00866F16">
              <w:rPr>
                <w:kern w:val="22"/>
                <w:szCs w:val="22"/>
              </w:rPr>
              <w:t>20.1.1.2.</w:t>
            </w:r>
            <w:r w:rsidRPr="00866F16">
              <w:rPr>
                <w:kern w:val="22"/>
                <w:szCs w:val="22"/>
              </w:rPr>
              <w:tab/>
            </w:r>
            <w:r w:rsidR="00366AA7" w:rsidRPr="00866F16">
              <w:rPr>
                <w:kern w:val="22"/>
                <w:szCs w:val="22"/>
              </w:rPr>
              <w:t>Percentage of positions in national and local institutions, including (a) the legislatures; (b) the public service; and (c) the judiciary, compared to national distributions, by sex, age, persons with disabilities and population groups</w:t>
            </w:r>
          </w:p>
          <w:p w14:paraId="2906D4FC" w14:textId="134D6AEA" w:rsidR="00366AA7" w:rsidRPr="00866F16" w:rsidRDefault="002536AE" w:rsidP="00866F16">
            <w:pPr>
              <w:pStyle w:val="ListParagraph"/>
              <w:suppressLineNumbers/>
              <w:tabs>
                <w:tab w:val="left" w:pos="946"/>
              </w:tabs>
              <w:suppressAutoHyphens/>
              <w:kinsoku w:val="0"/>
              <w:overflowPunct w:val="0"/>
              <w:autoSpaceDE w:val="0"/>
              <w:autoSpaceDN w:val="0"/>
              <w:adjustRightInd w:val="0"/>
              <w:snapToGrid w:val="0"/>
              <w:spacing w:before="60" w:after="60"/>
              <w:ind w:left="0"/>
              <w:jc w:val="left"/>
              <w:rPr>
                <w:kern w:val="22"/>
                <w:szCs w:val="22"/>
              </w:rPr>
            </w:pPr>
            <w:r w:rsidRPr="00866F16">
              <w:rPr>
                <w:kern w:val="22"/>
                <w:szCs w:val="22"/>
              </w:rPr>
              <w:t>20.1.1.3.</w:t>
            </w:r>
            <w:r w:rsidRPr="00866F16">
              <w:rPr>
                <w:kern w:val="22"/>
                <w:szCs w:val="22"/>
              </w:rPr>
              <w:tab/>
            </w:r>
            <w:r w:rsidR="00366AA7" w:rsidRPr="00866F16">
              <w:rPr>
                <w:kern w:val="22"/>
                <w:szCs w:val="22"/>
              </w:rPr>
              <w:t>Proportion of seats held by women in (a) national parliaments and (b) local governments (SDG indicator 5.5.1)</w:t>
            </w:r>
          </w:p>
          <w:p w14:paraId="06259540" w14:textId="065726B7" w:rsidR="00366AA7" w:rsidRPr="00866F16" w:rsidRDefault="002536AE" w:rsidP="00866F16">
            <w:pPr>
              <w:pStyle w:val="ListParagraph"/>
              <w:suppressLineNumbers/>
              <w:tabs>
                <w:tab w:val="left" w:pos="946"/>
              </w:tabs>
              <w:suppressAutoHyphens/>
              <w:kinsoku w:val="0"/>
              <w:overflowPunct w:val="0"/>
              <w:autoSpaceDE w:val="0"/>
              <w:autoSpaceDN w:val="0"/>
              <w:adjustRightInd w:val="0"/>
              <w:snapToGrid w:val="0"/>
              <w:spacing w:before="60" w:after="60"/>
              <w:ind w:left="0"/>
              <w:jc w:val="left"/>
              <w:rPr>
                <w:kern w:val="22"/>
                <w:szCs w:val="22"/>
              </w:rPr>
            </w:pPr>
            <w:r w:rsidRPr="00866F16">
              <w:rPr>
                <w:kern w:val="22"/>
                <w:szCs w:val="22"/>
              </w:rPr>
              <w:lastRenderedPageBreak/>
              <w:t>20.1.1.4.</w:t>
            </w:r>
            <w:r w:rsidRPr="00866F16">
              <w:rPr>
                <w:kern w:val="22"/>
                <w:szCs w:val="22"/>
              </w:rPr>
              <w:tab/>
            </w:r>
            <w:r w:rsidR="00366AA7" w:rsidRPr="00866F16">
              <w:rPr>
                <w:kern w:val="22"/>
                <w:szCs w:val="22"/>
              </w:rPr>
              <w:t>Number of countries with systems to track and make public allocations for gender equality and women’s empowerment (SDG indicator 5.c.1)</w:t>
            </w:r>
          </w:p>
          <w:p w14:paraId="6ADB7996" w14:textId="4FF47FB5" w:rsidR="00366AA7" w:rsidRPr="00866F16" w:rsidRDefault="002536AE" w:rsidP="00866F16">
            <w:pPr>
              <w:pStyle w:val="ListParagraph"/>
              <w:suppressLineNumbers/>
              <w:tabs>
                <w:tab w:val="left" w:pos="946"/>
              </w:tabs>
              <w:suppressAutoHyphens/>
              <w:kinsoku w:val="0"/>
              <w:overflowPunct w:val="0"/>
              <w:autoSpaceDE w:val="0"/>
              <w:autoSpaceDN w:val="0"/>
              <w:adjustRightInd w:val="0"/>
              <w:snapToGrid w:val="0"/>
              <w:spacing w:before="60" w:after="60"/>
              <w:ind w:left="0"/>
              <w:jc w:val="left"/>
              <w:rPr>
                <w:kern w:val="22"/>
                <w:szCs w:val="22"/>
              </w:rPr>
            </w:pPr>
            <w:r w:rsidRPr="00866F16">
              <w:rPr>
                <w:kern w:val="22"/>
                <w:szCs w:val="22"/>
              </w:rPr>
              <w:t>20.1.1.5.</w:t>
            </w:r>
            <w:r w:rsidRPr="00866F16">
              <w:rPr>
                <w:kern w:val="22"/>
                <w:szCs w:val="22"/>
              </w:rPr>
              <w:tab/>
            </w:r>
            <w:r w:rsidR="00366AA7" w:rsidRPr="00866F16">
              <w:rPr>
                <w:kern w:val="22"/>
                <w:szCs w:val="22"/>
              </w:rPr>
              <w:t>Proportion of total agricultural population with ownership or secure rights over agricultural land, by sex; and (b) share of women among owners or rights-bearers of agricultural land, by type of tenure</w:t>
            </w:r>
          </w:p>
          <w:p w14:paraId="00D45852" w14:textId="6F47712D" w:rsidR="00366AA7" w:rsidRPr="00866F16" w:rsidRDefault="002536AE" w:rsidP="00866F16">
            <w:pPr>
              <w:pStyle w:val="ListParagraph"/>
              <w:suppressLineNumbers/>
              <w:tabs>
                <w:tab w:val="left" w:pos="946"/>
              </w:tabs>
              <w:suppressAutoHyphens/>
              <w:kinsoku w:val="0"/>
              <w:overflowPunct w:val="0"/>
              <w:autoSpaceDE w:val="0"/>
              <w:autoSpaceDN w:val="0"/>
              <w:adjustRightInd w:val="0"/>
              <w:snapToGrid w:val="0"/>
              <w:spacing w:before="60" w:after="60"/>
              <w:ind w:left="0"/>
              <w:jc w:val="left"/>
              <w:rPr>
                <w:kern w:val="22"/>
                <w:szCs w:val="22"/>
              </w:rPr>
            </w:pPr>
            <w:r w:rsidRPr="00866F16">
              <w:rPr>
                <w:kern w:val="22"/>
                <w:szCs w:val="22"/>
              </w:rPr>
              <w:t>20.1.1.6.</w:t>
            </w:r>
            <w:r w:rsidRPr="00866F16">
              <w:rPr>
                <w:kern w:val="22"/>
                <w:szCs w:val="22"/>
              </w:rPr>
              <w:tab/>
            </w:r>
            <w:r w:rsidR="00366AA7" w:rsidRPr="00866F16">
              <w:rPr>
                <w:kern w:val="22"/>
                <w:szCs w:val="22"/>
              </w:rPr>
              <w:t>Number of countries where the legal framework (including customary law) guarantees women’s equal rights to land ownership and/or control</w:t>
            </w:r>
          </w:p>
        </w:tc>
      </w:tr>
    </w:tbl>
    <w:bookmarkEnd w:id="2"/>
    <w:p w14:paraId="7B1EA1DF" w14:textId="78DD81DE" w:rsidR="00CD40A1" w:rsidRPr="00B324FA" w:rsidRDefault="004D167D" w:rsidP="00866F16">
      <w:pPr>
        <w:pStyle w:val="Para1"/>
        <w:numPr>
          <w:ilvl w:val="0"/>
          <w:numId w:val="0"/>
        </w:numPr>
        <w:suppressLineNumbers/>
        <w:suppressAutoHyphens/>
        <w:kinsoku w:val="0"/>
        <w:overflowPunct w:val="0"/>
        <w:autoSpaceDE w:val="0"/>
        <w:autoSpaceDN w:val="0"/>
        <w:adjustRightInd w:val="0"/>
        <w:snapToGrid w:val="0"/>
        <w:spacing w:before="240" w:after="0"/>
        <w:jc w:val="center"/>
        <w:rPr>
          <w:kern w:val="22"/>
        </w:rPr>
      </w:pPr>
      <w:r w:rsidRPr="00B324FA">
        <w:rPr>
          <w:bCs/>
          <w:kern w:val="22"/>
          <w:szCs w:val="22"/>
        </w:rPr>
        <w:lastRenderedPageBreak/>
        <w:t>__________</w:t>
      </w:r>
    </w:p>
    <w:sectPr w:rsidR="00CD40A1" w:rsidRPr="00B324FA" w:rsidSect="00BC5354">
      <w:pgSz w:w="15840" w:h="12240" w:orient="landscape"/>
      <w:pgMar w:top="1389" w:right="567" w:bottom="1389"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ED646" w16cex:dateUtc="2020-09-30T13:02:00Z"/>
  <w16cex:commentExtensible w16cex:durableId="231ED6DD" w16cex:dateUtc="2020-09-30T13:05:00Z"/>
  <w16cex:commentExtensible w16cex:durableId="231ED719" w16cex:dateUtc="2020-09-30T13:06:00Z"/>
  <w16cex:commentExtensible w16cex:durableId="231ED80B" w16cex:dateUtc="2020-09-30T13:10:00Z"/>
  <w16cex:commentExtensible w16cex:durableId="231ED88F" w16cex:dateUtc="2020-09-30T13:12:00Z"/>
  <w16cex:commentExtensible w16cex:durableId="231D7BD4" w16cex:dateUtc="2020-09-29T12:24:00Z"/>
  <w16cex:commentExtensible w16cex:durableId="231D7C36" w16cex:dateUtc="2020-09-29T12:26:00Z"/>
  <w16cex:commentExtensible w16cex:durableId="231EDB4F" w16cex:dateUtc="2020-09-30T13:24:00Z"/>
  <w16cex:commentExtensible w16cex:durableId="231EDBCC" w16cex:dateUtc="2020-09-30T13:26:00Z"/>
  <w16cex:commentExtensible w16cex:durableId="231D7C8F" w16cex:dateUtc="2020-09-29T12:27:00Z"/>
  <w16cex:commentExtensible w16cex:durableId="231D7CD0" w16cex:dateUtc="2020-09-29T12:28:00Z"/>
  <w16cex:commentExtensible w16cex:durableId="231D7CFC" w16cex:dateUtc="2020-09-29T12:29:00Z"/>
  <w16cex:commentExtensible w16cex:durableId="231EEC7E" w16cex:dateUtc="2020-09-30T14:37:00Z"/>
  <w16cex:commentExtensible w16cex:durableId="231D7D2D" w16cex:dateUtc="2020-09-29T12:30:00Z"/>
  <w16cex:commentExtensible w16cex:durableId="231EECA9" w16cex:dateUtc="2020-09-30T14:38:00Z"/>
  <w16cex:commentExtensible w16cex:durableId="231EEDC5" w16cex:dateUtc="2020-09-30T14:43:00Z"/>
  <w16cex:commentExtensible w16cex:durableId="231EEE62" w16cex:dateUtc="2020-09-30T14: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7B410" w14:textId="77777777" w:rsidR="008D4FDB" w:rsidRDefault="008D4FDB" w:rsidP="00CF1848">
      <w:r>
        <w:separator/>
      </w:r>
    </w:p>
  </w:endnote>
  <w:endnote w:type="continuationSeparator" w:id="0">
    <w:p w14:paraId="4C35F03F" w14:textId="77777777" w:rsidR="008D4FDB" w:rsidRDefault="008D4FDB" w:rsidP="00CF1848">
      <w:r>
        <w:continuationSeparator/>
      </w:r>
    </w:p>
  </w:endnote>
  <w:endnote w:type="continuationNotice" w:id="1">
    <w:p w14:paraId="7848B470" w14:textId="77777777" w:rsidR="008D4FDB" w:rsidRDefault="008D4F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66007" w14:textId="77777777" w:rsidR="00114FFF" w:rsidRDefault="00114FFF" w:rsidP="00567C85">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44A2D" w14:textId="77777777" w:rsidR="00114FFF" w:rsidRDefault="00114FFF" w:rsidP="00E90BA0">
    <w:pPr>
      <w:pStyle w:val="Footer"/>
      <w:tabs>
        <w:tab w:val="clear" w:pos="4320"/>
        <w:tab w:val="clear" w:pos="8640"/>
      </w:tabs>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3EF8B" w14:textId="77777777" w:rsidR="00114FFF" w:rsidRDefault="00114FFF" w:rsidP="00567C85">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8411C" w14:textId="77777777" w:rsidR="008D4FDB" w:rsidRDefault="008D4FDB" w:rsidP="00CF1848">
      <w:r>
        <w:separator/>
      </w:r>
    </w:p>
  </w:footnote>
  <w:footnote w:type="continuationSeparator" w:id="0">
    <w:p w14:paraId="6B800A17" w14:textId="77777777" w:rsidR="008D4FDB" w:rsidRDefault="008D4FDB" w:rsidP="00CF1848">
      <w:r>
        <w:continuationSeparator/>
      </w:r>
    </w:p>
  </w:footnote>
  <w:footnote w:type="continuationNotice" w:id="1">
    <w:p w14:paraId="450B8E0B" w14:textId="77777777" w:rsidR="008D4FDB" w:rsidRDefault="008D4FDB"/>
  </w:footnote>
  <w:footnote w:id="2">
    <w:p w14:paraId="36A4DF64" w14:textId="34E202C9" w:rsidR="00114FFF" w:rsidRPr="00866F16" w:rsidRDefault="00114FFF" w:rsidP="00866F16">
      <w:pPr>
        <w:pStyle w:val="FootnoteText"/>
        <w:suppressLineNumbers/>
        <w:suppressAutoHyphens/>
        <w:kinsoku w:val="0"/>
        <w:overflowPunct w:val="0"/>
        <w:autoSpaceDE w:val="0"/>
        <w:autoSpaceDN w:val="0"/>
        <w:snapToGrid w:val="0"/>
        <w:ind w:firstLine="0"/>
        <w:jc w:val="left"/>
        <w:rPr>
          <w:snapToGrid w:val="0"/>
          <w:kern w:val="18"/>
          <w:szCs w:val="18"/>
        </w:rPr>
      </w:pPr>
      <w:r w:rsidRPr="00866F16">
        <w:rPr>
          <w:rStyle w:val="FootnoteReference"/>
          <w:snapToGrid w:val="0"/>
          <w:kern w:val="18"/>
          <w:sz w:val="18"/>
          <w:szCs w:val="18"/>
        </w:rPr>
        <w:t xml:space="preserve">* </w:t>
      </w:r>
      <w:r w:rsidRPr="00866F16">
        <w:rPr>
          <w:snapToGrid w:val="0"/>
          <w:kern w:val="18"/>
          <w:szCs w:val="18"/>
        </w:rPr>
        <w:t>CBD/SBSTTA/24/1.</w:t>
      </w:r>
    </w:p>
  </w:footnote>
  <w:footnote w:id="3">
    <w:p w14:paraId="06EF940A" w14:textId="550401BC" w:rsidR="00114FFF" w:rsidRPr="00866F16" w:rsidRDefault="00114FFF" w:rsidP="00866F16">
      <w:pPr>
        <w:pStyle w:val="FootnoteText"/>
        <w:suppressLineNumbers/>
        <w:suppressAutoHyphens/>
        <w:kinsoku w:val="0"/>
        <w:overflowPunct w:val="0"/>
        <w:autoSpaceDE w:val="0"/>
        <w:autoSpaceDN w:val="0"/>
        <w:snapToGrid w:val="0"/>
        <w:ind w:firstLine="0"/>
        <w:jc w:val="left"/>
        <w:rPr>
          <w:snapToGrid w:val="0"/>
          <w:kern w:val="18"/>
          <w:szCs w:val="18"/>
        </w:rPr>
      </w:pPr>
      <w:r w:rsidRPr="00866F16">
        <w:rPr>
          <w:rStyle w:val="FootnoteReference"/>
          <w:snapToGrid w:val="0"/>
          <w:kern w:val="18"/>
          <w:sz w:val="18"/>
          <w:szCs w:val="18"/>
        </w:rPr>
        <w:footnoteRef/>
      </w:r>
      <w:r w:rsidRPr="00866F16">
        <w:rPr>
          <w:snapToGrid w:val="0"/>
          <w:kern w:val="18"/>
          <w:szCs w:val="18"/>
        </w:rPr>
        <w:t xml:space="preserve"> See notification </w:t>
      </w:r>
      <w:r w:rsidRPr="00866F16">
        <w:rPr>
          <w:rFonts w:eastAsia="Malgun Gothic"/>
          <w:snapToGrid w:val="0"/>
          <w:kern w:val="18"/>
          <w:szCs w:val="18"/>
          <w:lang w:eastAsia="x-none"/>
        </w:rPr>
        <w:t>2019-108.</w:t>
      </w:r>
    </w:p>
  </w:footnote>
  <w:footnote w:id="4">
    <w:p w14:paraId="55BC3B6B" w14:textId="2742717C" w:rsidR="00114FFF" w:rsidRPr="00866F16" w:rsidRDefault="00114FFF" w:rsidP="00866F16">
      <w:pPr>
        <w:pStyle w:val="FootnoteText"/>
        <w:suppressLineNumbers/>
        <w:suppressAutoHyphens/>
        <w:kinsoku w:val="0"/>
        <w:overflowPunct w:val="0"/>
        <w:autoSpaceDE w:val="0"/>
        <w:autoSpaceDN w:val="0"/>
        <w:snapToGrid w:val="0"/>
        <w:ind w:firstLine="0"/>
        <w:jc w:val="left"/>
        <w:rPr>
          <w:snapToGrid w:val="0"/>
          <w:kern w:val="18"/>
          <w:szCs w:val="18"/>
        </w:rPr>
      </w:pPr>
      <w:r w:rsidRPr="00866F16">
        <w:rPr>
          <w:rStyle w:val="FootnoteReference"/>
          <w:snapToGrid w:val="0"/>
          <w:kern w:val="18"/>
          <w:sz w:val="18"/>
          <w:szCs w:val="18"/>
        </w:rPr>
        <w:footnoteRef/>
      </w:r>
      <w:r w:rsidRPr="00866F16">
        <w:rPr>
          <w:snapToGrid w:val="0"/>
          <w:kern w:val="18"/>
          <w:szCs w:val="18"/>
        </w:rPr>
        <w:t xml:space="preserve"> All of the peer review comments are accessible from </w:t>
      </w:r>
      <w:hyperlink r:id="rId1" w:history="1">
        <w:r w:rsidRPr="00866F16">
          <w:rPr>
            <w:rStyle w:val="Hyperlink"/>
            <w:snapToGrid w:val="0"/>
            <w:kern w:val="18"/>
            <w:szCs w:val="18"/>
          </w:rPr>
          <w:t>https://www.cbd.int/conferences/post2020/submissions/2020-045</w:t>
        </w:r>
      </w:hyperlink>
    </w:p>
  </w:footnote>
  <w:footnote w:id="5">
    <w:p w14:paraId="30D11FDB" w14:textId="532B46A1" w:rsidR="00114FFF" w:rsidRPr="00866F16" w:rsidRDefault="00114FFF" w:rsidP="00866F16">
      <w:pPr>
        <w:pStyle w:val="FootnoteText"/>
        <w:suppressLineNumbers/>
        <w:suppressAutoHyphens/>
        <w:kinsoku w:val="0"/>
        <w:overflowPunct w:val="0"/>
        <w:autoSpaceDE w:val="0"/>
        <w:autoSpaceDN w:val="0"/>
        <w:snapToGrid w:val="0"/>
        <w:ind w:firstLine="0"/>
        <w:jc w:val="left"/>
        <w:rPr>
          <w:snapToGrid w:val="0"/>
          <w:kern w:val="18"/>
          <w:szCs w:val="18"/>
        </w:rPr>
      </w:pPr>
      <w:r w:rsidRPr="00866F16">
        <w:rPr>
          <w:rStyle w:val="FootnoteReference"/>
          <w:snapToGrid w:val="0"/>
          <w:kern w:val="18"/>
          <w:sz w:val="18"/>
          <w:szCs w:val="18"/>
        </w:rPr>
        <w:footnoteRef/>
      </w:r>
      <w:r w:rsidRPr="00866F16">
        <w:rPr>
          <w:snapToGrid w:val="0"/>
          <w:kern w:val="18"/>
          <w:szCs w:val="18"/>
        </w:rPr>
        <w:t xml:space="preserve"> The analysis was conducted by </w:t>
      </w:r>
      <w:proofErr w:type="spellStart"/>
      <w:r w:rsidRPr="00866F16">
        <w:rPr>
          <w:snapToGrid w:val="0"/>
          <w:kern w:val="18"/>
          <w:szCs w:val="18"/>
        </w:rPr>
        <w:t>Nature</w:t>
      </w:r>
      <w:r w:rsidR="00006811">
        <w:rPr>
          <w:snapToGrid w:val="0"/>
          <w:kern w:val="18"/>
          <w:szCs w:val="18"/>
        </w:rPr>
        <w:t>S</w:t>
      </w:r>
      <w:r w:rsidRPr="00866F16">
        <w:rPr>
          <w:snapToGrid w:val="0"/>
          <w:kern w:val="18"/>
          <w:szCs w:val="18"/>
        </w:rPr>
        <w:t>erve</w:t>
      </w:r>
      <w:proofErr w:type="spellEnd"/>
      <w:r w:rsidRPr="00866F16">
        <w:rPr>
          <w:snapToGrid w:val="0"/>
          <w:kern w:val="18"/>
          <w:szCs w:val="18"/>
        </w:rPr>
        <w:t xml:space="preserve"> with funding from the </w:t>
      </w:r>
      <w:r w:rsidR="00EC73EE">
        <w:rPr>
          <w:snapToGrid w:val="0"/>
          <w:kern w:val="18"/>
          <w:szCs w:val="18"/>
        </w:rPr>
        <w:t>G</w:t>
      </w:r>
      <w:r w:rsidRPr="00866F16">
        <w:rPr>
          <w:snapToGrid w:val="0"/>
          <w:kern w:val="18"/>
          <w:szCs w:val="18"/>
        </w:rPr>
        <w:t>overnment of the United Kingdom of Great Britain and Northern Ireland.</w:t>
      </w:r>
    </w:p>
  </w:footnote>
  <w:footnote w:id="6">
    <w:p w14:paraId="46E9C88F" w14:textId="3E4177EA" w:rsidR="00114FFF" w:rsidRPr="00866F16" w:rsidRDefault="00114FFF" w:rsidP="00866F16">
      <w:pPr>
        <w:pStyle w:val="FootnoteText"/>
        <w:suppressLineNumbers/>
        <w:suppressAutoHyphens/>
        <w:kinsoku w:val="0"/>
        <w:overflowPunct w:val="0"/>
        <w:autoSpaceDE w:val="0"/>
        <w:autoSpaceDN w:val="0"/>
        <w:snapToGrid w:val="0"/>
        <w:ind w:firstLine="0"/>
        <w:jc w:val="left"/>
        <w:rPr>
          <w:snapToGrid w:val="0"/>
          <w:kern w:val="18"/>
          <w:szCs w:val="18"/>
        </w:rPr>
      </w:pPr>
      <w:r w:rsidRPr="00866F16">
        <w:rPr>
          <w:snapToGrid w:val="0"/>
          <w:kern w:val="18"/>
          <w:szCs w:val="18"/>
          <w:vertAlign w:val="superscript"/>
        </w:rPr>
        <w:footnoteRef/>
      </w:r>
      <w:r w:rsidRPr="00866F16">
        <w:rPr>
          <w:snapToGrid w:val="0"/>
          <w:kern w:val="18"/>
          <w:szCs w:val="18"/>
        </w:rPr>
        <w:t xml:space="preserve"> </w:t>
      </w:r>
      <w:hyperlink r:id="rId2" w:history="1">
        <w:r w:rsidR="00062AAA">
          <w:rPr>
            <w:rStyle w:val="Hyperlink"/>
            <w:snapToGrid w:val="0"/>
            <w:kern w:val="18"/>
            <w:szCs w:val="18"/>
          </w:rPr>
          <w:t>See</w:t>
        </w:r>
      </w:hyperlink>
      <w:r w:rsidR="00062AAA">
        <w:rPr>
          <w:rStyle w:val="Hyperlink"/>
          <w:snapToGrid w:val="0"/>
          <w:kern w:val="18"/>
          <w:szCs w:val="18"/>
        </w:rPr>
        <w:t xml:space="preserve"> </w:t>
      </w:r>
      <w:hyperlink r:id="rId3" w:history="1">
        <w:r w:rsidR="00062AAA" w:rsidRPr="00604EC6">
          <w:rPr>
            <w:rStyle w:val="Hyperlink"/>
          </w:rPr>
          <w:t>UNEP/CBD/</w:t>
        </w:r>
        <w:proofErr w:type="spellStart"/>
        <w:r w:rsidR="00062AAA" w:rsidRPr="00604EC6">
          <w:rPr>
            <w:rStyle w:val="Hyperlink"/>
          </w:rPr>
          <w:t>SBSTTA</w:t>
        </w:r>
        <w:proofErr w:type="spellEnd"/>
        <w:r w:rsidR="00062AAA" w:rsidRPr="00604EC6">
          <w:rPr>
            <w:rStyle w:val="Hyperlink"/>
          </w:rPr>
          <w:t>/19/INF/5</w:t>
        </w:r>
      </w:hyperlink>
      <w:r w:rsidR="00062AAA">
        <w:t>.</w:t>
      </w:r>
    </w:p>
  </w:footnote>
  <w:footnote w:id="7">
    <w:p w14:paraId="659D844E" w14:textId="77777777" w:rsidR="00114FFF" w:rsidRPr="00866F16" w:rsidRDefault="00114FFF" w:rsidP="00866F16">
      <w:pPr>
        <w:pStyle w:val="FootnoteText"/>
        <w:suppressLineNumbers/>
        <w:suppressAutoHyphens/>
        <w:kinsoku w:val="0"/>
        <w:overflowPunct w:val="0"/>
        <w:autoSpaceDE w:val="0"/>
        <w:autoSpaceDN w:val="0"/>
        <w:snapToGrid w:val="0"/>
        <w:ind w:firstLine="0"/>
        <w:jc w:val="left"/>
        <w:rPr>
          <w:snapToGrid w:val="0"/>
          <w:kern w:val="18"/>
          <w:szCs w:val="18"/>
        </w:rPr>
      </w:pPr>
      <w:r w:rsidRPr="00866F16">
        <w:rPr>
          <w:rStyle w:val="FootnoteReference"/>
          <w:snapToGrid w:val="0"/>
          <w:kern w:val="18"/>
          <w:sz w:val="18"/>
          <w:szCs w:val="18"/>
        </w:rPr>
        <w:footnoteRef/>
      </w:r>
      <w:r w:rsidRPr="00866F16">
        <w:rPr>
          <w:snapToGrid w:val="0"/>
          <w:kern w:val="18"/>
          <w:szCs w:val="18"/>
        </w:rPr>
        <w:t xml:space="preserve"> The submissions received are accessible from </w:t>
      </w:r>
      <w:hyperlink r:id="rId4" w:history="1">
        <w:r w:rsidRPr="00866F16">
          <w:rPr>
            <w:rStyle w:val="Hyperlink"/>
            <w:snapToGrid w:val="0"/>
            <w:kern w:val="18"/>
            <w:szCs w:val="18"/>
          </w:rPr>
          <w:t>https://www.cbd.int/conferences/post2020/submissions/2019-108</w:t>
        </w:r>
      </w:hyperlink>
    </w:p>
  </w:footnote>
  <w:footnote w:id="8">
    <w:p w14:paraId="5BC03F89" w14:textId="16BAF790" w:rsidR="00114FFF" w:rsidRPr="00866F16" w:rsidRDefault="00114FFF" w:rsidP="00866F16">
      <w:pPr>
        <w:pStyle w:val="FootnoteText"/>
        <w:suppressLineNumbers/>
        <w:suppressAutoHyphens/>
        <w:kinsoku w:val="0"/>
        <w:overflowPunct w:val="0"/>
        <w:autoSpaceDE w:val="0"/>
        <w:autoSpaceDN w:val="0"/>
        <w:snapToGrid w:val="0"/>
        <w:ind w:firstLine="0"/>
        <w:jc w:val="left"/>
        <w:rPr>
          <w:snapToGrid w:val="0"/>
          <w:kern w:val="18"/>
          <w:szCs w:val="18"/>
        </w:rPr>
      </w:pPr>
      <w:r w:rsidRPr="00866F16">
        <w:rPr>
          <w:rStyle w:val="FootnoteReference"/>
          <w:snapToGrid w:val="0"/>
          <w:kern w:val="18"/>
          <w:sz w:val="18"/>
          <w:szCs w:val="18"/>
        </w:rPr>
        <w:footnoteRef/>
      </w:r>
      <w:r w:rsidRPr="00866F16">
        <w:rPr>
          <w:snapToGrid w:val="0"/>
          <w:kern w:val="18"/>
          <w:szCs w:val="18"/>
        </w:rPr>
        <w:t xml:space="preserve"> CBD/WG2020/2/4</w:t>
      </w:r>
      <w:r w:rsidR="000658D6" w:rsidRPr="00866F16">
        <w:rPr>
          <w:snapToGrid w:val="0"/>
          <w:kern w:val="18"/>
          <w:szCs w:val="18"/>
        </w:rPr>
        <w:t>.</w:t>
      </w:r>
    </w:p>
  </w:footnote>
  <w:footnote w:id="9">
    <w:p w14:paraId="5C76D373" w14:textId="0FBC0FB7" w:rsidR="00366AA7" w:rsidRPr="0099764F" w:rsidRDefault="00366AA7" w:rsidP="00866F16">
      <w:pPr>
        <w:pStyle w:val="FootnoteText"/>
        <w:suppressLineNumbers/>
        <w:suppressAutoHyphens/>
        <w:kinsoku w:val="0"/>
        <w:overflowPunct w:val="0"/>
        <w:autoSpaceDE w:val="0"/>
        <w:autoSpaceDN w:val="0"/>
        <w:snapToGrid w:val="0"/>
        <w:ind w:firstLine="0"/>
        <w:jc w:val="left"/>
        <w:rPr>
          <w:snapToGrid w:val="0"/>
          <w:kern w:val="18"/>
          <w:szCs w:val="18"/>
        </w:rPr>
      </w:pPr>
      <w:r w:rsidRPr="0099764F">
        <w:rPr>
          <w:rStyle w:val="FootnoteReference"/>
          <w:snapToGrid w:val="0"/>
          <w:kern w:val="18"/>
          <w:sz w:val="18"/>
          <w:szCs w:val="18"/>
        </w:rPr>
        <w:footnoteRef/>
      </w:r>
      <w:r w:rsidRPr="0099764F">
        <w:rPr>
          <w:snapToGrid w:val="0"/>
          <w:kern w:val="18"/>
          <w:szCs w:val="18"/>
        </w:rPr>
        <w:t xml:space="preserve"> The 2050 goals and 2030 milestones and targets are as proposed in document CBD/POST2020/PREP/2/1</w:t>
      </w:r>
      <w:r w:rsidR="0060509D" w:rsidRPr="00866F16">
        <w:rPr>
          <w:snapToGrid w:val="0"/>
          <w:kern w:val="18"/>
          <w:szCs w:val="18"/>
        </w:rPr>
        <w:t>.</w:t>
      </w:r>
    </w:p>
  </w:footnote>
  <w:footnote w:id="10">
    <w:p w14:paraId="559AD92A" w14:textId="6CF1B510" w:rsidR="00366AA7" w:rsidRPr="00866F16" w:rsidRDefault="00366AA7" w:rsidP="00866F16">
      <w:pPr>
        <w:pStyle w:val="FootnoteText"/>
        <w:suppressLineNumbers/>
        <w:suppressAutoHyphens/>
        <w:kinsoku w:val="0"/>
        <w:overflowPunct w:val="0"/>
        <w:autoSpaceDE w:val="0"/>
        <w:autoSpaceDN w:val="0"/>
        <w:snapToGrid w:val="0"/>
        <w:ind w:firstLine="0"/>
        <w:jc w:val="left"/>
        <w:rPr>
          <w:snapToGrid w:val="0"/>
          <w:kern w:val="18"/>
          <w:szCs w:val="18"/>
        </w:rPr>
      </w:pPr>
      <w:r w:rsidRPr="00866F16">
        <w:rPr>
          <w:rStyle w:val="FootnoteReference"/>
          <w:snapToGrid w:val="0"/>
          <w:kern w:val="18"/>
          <w:sz w:val="18"/>
          <w:szCs w:val="18"/>
        </w:rPr>
        <w:footnoteRef/>
      </w:r>
      <w:r w:rsidRPr="00866F16">
        <w:rPr>
          <w:snapToGrid w:val="0"/>
          <w:kern w:val="18"/>
          <w:szCs w:val="18"/>
        </w:rPr>
        <w:t xml:space="preserve"> The headlines indicators are the same as in document CBD/SBSTTA/24/3</w:t>
      </w:r>
      <w:r w:rsidR="0060509D" w:rsidRPr="00866F16">
        <w:rPr>
          <w:snapToGrid w:val="0"/>
          <w:kern w:val="18"/>
          <w:szCs w:val="18"/>
        </w:rPr>
        <w:t>.</w:t>
      </w:r>
    </w:p>
  </w:footnote>
  <w:footnote w:id="11">
    <w:p w14:paraId="3651277A" w14:textId="54CF4F53" w:rsidR="00366AA7" w:rsidRPr="00866F16" w:rsidRDefault="00366AA7" w:rsidP="00866F16">
      <w:pPr>
        <w:pStyle w:val="Para1"/>
        <w:keepLines/>
        <w:numPr>
          <w:ilvl w:val="0"/>
          <w:numId w:val="0"/>
        </w:numPr>
        <w:suppressLineNumbers/>
        <w:suppressAutoHyphens/>
        <w:kinsoku w:val="0"/>
        <w:overflowPunct w:val="0"/>
        <w:autoSpaceDE w:val="0"/>
        <w:autoSpaceDN w:val="0"/>
        <w:snapToGrid w:val="0"/>
        <w:spacing w:before="0" w:after="60"/>
        <w:jc w:val="left"/>
        <w:rPr>
          <w:rFonts w:eastAsia="MS Mincho"/>
          <w:i/>
          <w:iCs/>
          <w:kern w:val="18"/>
          <w:sz w:val="18"/>
        </w:rPr>
      </w:pPr>
      <w:r w:rsidRPr="0099764F">
        <w:rPr>
          <w:rStyle w:val="FootnoteReference"/>
          <w:kern w:val="18"/>
          <w:sz w:val="18"/>
        </w:rPr>
        <w:footnoteRef/>
      </w:r>
      <w:r w:rsidRPr="00866F16">
        <w:rPr>
          <w:kern w:val="18"/>
          <w:sz w:val="18"/>
        </w:rPr>
        <w:t xml:space="preserve"> These components are unchanged from those presented in the documentation related to </w:t>
      </w:r>
      <w:hyperlink r:id="rId5" w:history="1">
        <w:r w:rsidRPr="00866F16">
          <w:rPr>
            <w:rStyle w:val="Hyperlink"/>
            <w:kern w:val="18"/>
          </w:rPr>
          <w:t>notification 020-024</w:t>
        </w:r>
      </w:hyperlink>
      <w:r w:rsidR="0057652E">
        <w:rPr>
          <w:rStyle w:val="Hyperlink"/>
          <w:kern w:val="18"/>
        </w:rPr>
        <w:t>.</w:t>
      </w:r>
    </w:p>
  </w:footnote>
  <w:footnote w:id="12">
    <w:p w14:paraId="3089F9CC" w14:textId="2E28C3F1" w:rsidR="00366AA7" w:rsidRPr="00866F16" w:rsidRDefault="00366AA7" w:rsidP="00866F16">
      <w:pPr>
        <w:pStyle w:val="FootnoteText"/>
        <w:suppressLineNumbers/>
        <w:suppressAutoHyphens/>
        <w:kinsoku w:val="0"/>
        <w:overflowPunct w:val="0"/>
        <w:autoSpaceDE w:val="0"/>
        <w:autoSpaceDN w:val="0"/>
        <w:snapToGrid w:val="0"/>
        <w:ind w:firstLine="0"/>
        <w:jc w:val="left"/>
        <w:rPr>
          <w:snapToGrid w:val="0"/>
          <w:kern w:val="18"/>
          <w:szCs w:val="18"/>
        </w:rPr>
      </w:pPr>
      <w:r w:rsidRPr="00866F16">
        <w:rPr>
          <w:rStyle w:val="FootnoteReference"/>
          <w:snapToGrid w:val="0"/>
          <w:kern w:val="18"/>
          <w:sz w:val="18"/>
          <w:szCs w:val="18"/>
        </w:rPr>
        <w:footnoteRef/>
      </w:r>
      <w:r w:rsidRPr="00866F16">
        <w:rPr>
          <w:snapToGrid w:val="0"/>
          <w:kern w:val="18"/>
          <w:szCs w:val="18"/>
        </w:rPr>
        <w:t xml:space="preserve"> Links to relevant headline indicators as well as to indicators for the Sustainable Development Goals have been noted where relevant</w:t>
      </w:r>
      <w:r w:rsidR="0060509D" w:rsidRPr="00866F16">
        <w:rPr>
          <w:snapToGrid w:val="0"/>
          <w:kern w:val="18"/>
          <w:szCs w:val="18"/>
        </w:rPr>
        <w:t>.</w:t>
      </w:r>
    </w:p>
  </w:footnote>
  <w:footnote w:id="13">
    <w:p w14:paraId="3840E346" w14:textId="79FB062C" w:rsidR="00366AA7" w:rsidRPr="00866F16" w:rsidRDefault="00366AA7" w:rsidP="00866F16">
      <w:pPr>
        <w:pStyle w:val="FootnoteText"/>
        <w:suppressLineNumbers/>
        <w:suppressAutoHyphens/>
        <w:kinsoku w:val="0"/>
        <w:overflowPunct w:val="0"/>
        <w:autoSpaceDE w:val="0"/>
        <w:autoSpaceDN w:val="0"/>
        <w:snapToGrid w:val="0"/>
        <w:ind w:firstLine="0"/>
        <w:jc w:val="left"/>
        <w:rPr>
          <w:snapToGrid w:val="0"/>
          <w:kern w:val="18"/>
          <w:szCs w:val="18"/>
        </w:rPr>
      </w:pPr>
      <w:r w:rsidRPr="00866F16">
        <w:rPr>
          <w:rStyle w:val="FootnoteReference"/>
          <w:snapToGrid w:val="0"/>
          <w:kern w:val="18"/>
          <w:sz w:val="18"/>
          <w:szCs w:val="18"/>
        </w:rPr>
        <w:footnoteRef/>
      </w:r>
      <w:r w:rsidRPr="00866F16">
        <w:rPr>
          <w:snapToGrid w:val="0"/>
          <w:kern w:val="18"/>
          <w:szCs w:val="18"/>
        </w:rPr>
        <w:t xml:space="preserve"> Links to relevant headline indicators as well as to indicators for the Sustainable Development Goals have been noted where relevant</w:t>
      </w:r>
      <w:r w:rsidR="0060509D" w:rsidRPr="00866F16">
        <w:rPr>
          <w:snapToGrid w:val="0"/>
          <w:kern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65104529" w:rsidR="00114FFF" w:rsidRPr="00E90BA0" w:rsidRDefault="006F1597" w:rsidP="00E90BA0">
        <w:pPr>
          <w:pStyle w:val="Header"/>
          <w:keepLines/>
          <w:suppressLineNumbers/>
          <w:tabs>
            <w:tab w:val="clear" w:pos="4320"/>
            <w:tab w:val="clear" w:pos="8640"/>
          </w:tabs>
          <w:suppressAutoHyphens/>
          <w:jc w:val="left"/>
          <w:rPr>
            <w:noProof/>
            <w:kern w:val="22"/>
          </w:rPr>
        </w:pPr>
        <w:r>
          <w:rPr>
            <w:noProof/>
            <w:kern w:val="22"/>
          </w:rPr>
          <w:t>CBD/SBSTTA/24/3Add.1</w:t>
        </w:r>
      </w:p>
    </w:sdtContent>
  </w:sdt>
  <w:p w14:paraId="61C60697" w14:textId="32FE8A92" w:rsidR="00114FFF" w:rsidRPr="00E90BA0" w:rsidRDefault="00114FFF" w:rsidP="00E15315">
    <w:pPr>
      <w:pStyle w:val="Header"/>
      <w:keepLines/>
      <w:suppressLineNumbers/>
      <w:tabs>
        <w:tab w:val="clear" w:pos="4320"/>
        <w:tab w:val="clear" w:pos="8640"/>
      </w:tabs>
      <w:suppressAutoHyphens/>
      <w:spacing w:after="240"/>
      <w:jc w:val="left"/>
      <w:rPr>
        <w:noProof/>
        <w:kern w:val="22"/>
      </w:rPr>
    </w:pPr>
    <w:r w:rsidRPr="00E90BA0">
      <w:rPr>
        <w:noProof/>
        <w:kern w:val="22"/>
      </w:rPr>
      <w:t xml:space="preserve">Page </w:t>
    </w:r>
    <w:r w:rsidRPr="00E90BA0">
      <w:rPr>
        <w:noProof/>
        <w:kern w:val="22"/>
      </w:rPr>
      <w:fldChar w:fldCharType="begin"/>
    </w:r>
    <w:r w:rsidRPr="00E90BA0">
      <w:rPr>
        <w:noProof/>
        <w:kern w:val="22"/>
      </w:rPr>
      <w:instrText xml:space="preserve"> PAGE   \* MERGEFORMAT </w:instrText>
    </w:r>
    <w:r w:rsidRPr="00E90BA0">
      <w:rPr>
        <w:noProof/>
        <w:kern w:val="22"/>
      </w:rPr>
      <w:fldChar w:fldCharType="separate"/>
    </w:r>
    <w:r w:rsidRPr="00E90BA0">
      <w:rPr>
        <w:noProof/>
        <w:kern w:val="22"/>
      </w:rPr>
      <w:t>4</w:t>
    </w:r>
    <w:r w:rsidRPr="00E90BA0">
      <w:rPr>
        <w:noProof/>
        <w:kern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2C4EC37E" w14:textId="6F71D07B" w:rsidR="00114FFF" w:rsidRPr="00E90BA0" w:rsidRDefault="006F1597" w:rsidP="00E90BA0">
        <w:pPr>
          <w:pStyle w:val="Header"/>
          <w:keepLines/>
          <w:suppressLineNumbers/>
          <w:tabs>
            <w:tab w:val="clear" w:pos="4320"/>
            <w:tab w:val="clear" w:pos="8640"/>
          </w:tabs>
          <w:suppressAutoHyphens/>
          <w:jc w:val="right"/>
          <w:rPr>
            <w:noProof/>
            <w:kern w:val="22"/>
          </w:rPr>
        </w:pPr>
        <w:r>
          <w:rPr>
            <w:noProof/>
            <w:kern w:val="22"/>
          </w:rPr>
          <w:t>CBD/SBSTTA/24/3Add.1</w:t>
        </w:r>
      </w:p>
    </w:sdtContent>
  </w:sdt>
  <w:p w14:paraId="16137B8A" w14:textId="72508FCF" w:rsidR="00114FFF" w:rsidRPr="00E90BA0" w:rsidRDefault="00114FFF" w:rsidP="00E15315">
    <w:pPr>
      <w:pStyle w:val="Header"/>
      <w:keepLines/>
      <w:suppressLineNumbers/>
      <w:tabs>
        <w:tab w:val="clear" w:pos="4320"/>
        <w:tab w:val="clear" w:pos="8640"/>
      </w:tabs>
      <w:suppressAutoHyphens/>
      <w:spacing w:after="240"/>
      <w:jc w:val="right"/>
      <w:rPr>
        <w:noProof/>
        <w:kern w:val="22"/>
      </w:rPr>
    </w:pPr>
    <w:r w:rsidRPr="00E90BA0">
      <w:rPr>
        <w:noProof/>
        <w:kern w:val="22"/>
      </w:rPr>
      <w:t xml:space="preserve">Page </w:t>
    </w:r>
    <w:r w:rsidRPr="00E90BA0">
      <w:rPr>
        <w:noProof/>
        <w:kern w:val="22"/>
      </w:rPr>
      <w:fldChar w:fldCharType="begin"/>
    </w:r>
    <w:r w:rsidRPr="00E90BA0">
      <w:rPr>
        <w:noProof/>
        <w:kern w:val="22"/>
      </w:rPr>
      <w:instrText xml:space="preserve"> PAGE   \* MERGEFORMAT </w:instrText>
    </w:r>
    <w:r w:rsidRPr="00E90BA0">
      <w:rPr>
        <w:noProof/>
        <w:kern w:val="22"/>
      </w:rPr>
      <w:fldChar w:fldCharType="separate"/>
    </w:r>
    <w:r w:rsidRPr="00E90BA0">
      <w:rPr>
        <w:noProof/>
        <w:kern w:val="22"/>
      </w:rPr>
      <w:t>5</w:t>
    </w:r>
    <w:r w:rsidRPr="00E90BA0">
      <w:rPr>
        <w:noProof/>
        <w:kern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3A53"/>
    <w:multiLevelType w:val="hybridMultilevel"/>
    <w:tmpl w:val="54D042D0"/>
    <w:lvl w:ilvl="0" w:tplc="89AE5E18">
      <w:start w:val="1"/>
      <w:numFmt w:val="upperRoman"/>
      <w:lvlText w:val="%1."/>
      <w:lvlJc w:val="left"/>
      <w:pPr>
        <w:ind w:left="3556"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DB6207"/>
    <w:multiLevelType w:val="multilevel"/>
    <w:tmpl w:val="9E2CAF4A"/>
    <w:lvl w:ilvl="0">
      <w:start w:val="2"/>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283EF9"/>
    <w:multiLevelType w:val="multilevel"/>
    <w:tmpl w:val="226E4A78"/>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340B7D"/>
    <w:multiLevelType w:val="multilevel"/>
    <w:tmpl w:val="DC0439B2"/>
    <w:lvl w:ilvl="0">
      <w:start w:val="15"/>
      <w:numFmt w:val="decimal"/>
      <w:lvlText w:val="%1."/>
      <w:lvlJc w:val="left"/>
      <w:pPr>
        <w:ind w:left="790" w:hanging="790"/>
      </w:pPr>
      <w:rPr>
        <w:rFonts w:hint="default"/>
      </w:rPr>
    </w:lvl>
    <w:lvl w:ilvl="1">
      <w:start w:val="1"/>
      <w:numFmt w:val="decimal"/>
      <w:lvlText w:val="%1.%2."/>
      <w:lvlJc w:val="left"/>
      <w:pPr>
        <w:ind w:left="790" w:hanging="790"/>
      </w:pPr>
      <w:rPr>
        <w:rFonts w:hint="default"/>
      </w:rPr>
    </w:lvl>
    <w:lvl w:ilvl="2">
      <w:start w:val="1"/>
      <w:numFmt w:val="decimal"/>
      <w:lvlText w:val="%1.%2.%3."/>
      <w:lvlJc w:val="left"/>
      <w:pPr>
        <w:ind w:left="790" w:hanging="790"/>
      </w:pPr>
      <w:rPr>
        <w:rFonts w:hint="default"/>
      </w:rPr>
    </w:lvl>
    <w:lvl w:ilvl="3">
      <w:start w:val="1"/>
      <w:numFmt w:val="decimal"/>
      <w:lvlText w:val="%1.%2.%3.%4."/>
      <w:lvlJc w:val="left"/>
      <w:pPr>
        <w:ind w:left="790" w:hanging="7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DD763A"/>
    <w:multiLevelType w:val="multilevel"/>
    <w:tmpl w:val="9DB6CEBC"/>
    <w:lvl w:ilvl="0">
      <w:start w:val="10"/>
      <w:numFmt w:val="decimal"/>
      <w:lvlText w:val="%1."/>
      <w:lvlJc w:val="left"/>
      <w:pPr>
        <w:ind w:left="450" w:hanging="450"/>
      </w:pPr>
      <w:rPr>
        <w:rFonts w:hint="default"/>
      </w:rPr>
    </w:lvl>
    <w:lvl w:ilvl="1">
      <w:start w:val="1"/>
      <w:numFmt w:val="decimal"/>
      <w:lvlText w:val="%1.%2."/>
      <w:lvlJc w:val="left"/>
      <w:pPr>
        <w:ind w:left="436" w:hanging="45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5" w15:restartNumberingAfterBreak="0">
    <w:nsid w:val="0B8A6047"/>
    <w:multiLevelType w:val="multilevel"/>
    <w:tmpl w:val="A1908E86"/>
    <w:lvl w:ilvl="0">
      <w:start w:val="3"/>
      <w:numFmt w:val="decimal"/>
      <w:lvlText w:val="%1."/>
      <w:lvlJc w:val="left"/>
      <w:pPr>
        <w:ind w:left="680" w:hanging="680"/>
      </w:pPr>
      <w:rPr>
        <w:rFonts w:hint="default"/>
      </w:rPr>
    </w:lvl>
    <w:lvl w:ilvl="1">
      <w:start w:val="1"/>
      <w:numFmt w:val="decimal"/>
      <w:lvlText w:val="%1.%2."/>
      <w:lvlJc w:val="left"/>
      <w:pPr>
        <w:ind w:left="658" w:hanging="68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6" w15:restartNumberingAfterBreak="0">
    <w:nsid w:val="0BB95EEE"/>
    <w:multiLevelType w:val="multilevel"/>
    <w:tmpl w:val="2B466242"/>
    <w:lvl w:ilvl="0">
      <w:start w:val="19"/>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3B3CD1"/>
    <w:multiLevelType w:val="multilevel"/>
    <w:tmpl w:val="9B604340"/>
    <w:lvl w:ilvl="0">
      <w:start w:val="6"/>
      <w:numFmt w:val="decimal"/>
      <w:lvlText w:val="%1."/>
      <w:lvlJc w:val="left"/>
      <w:pPr>
        <w:ind w:left="680" w:hanging="680"/>
      </w:pPr>
      <w:rPr>
        <w:rFonts w:hint="default"/>
      </w:rPr>
    </w:lvl>
    <w:lvl w:ilvl="1">
      <w:start w:val="1"/>
      <w:numFmt w:val="decimal"/>
      <w:lvlText w:val="%1.%2."/>
      <w:lvlJc w:val="left"/>
      <w:pPr>
        <w:ind w:left="658" w:hanging="68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8" w15:restartNumberingAfterBreak="0">
    <w:nsid w:val="0D4417EB"/>
    <w:multiLevelType w:val="hybridMultilevel"/>
    <w:tmpl w:val="7D8AA190"/>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E3E464E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FE3346B"/>
    <w:multiLevelType w:val="hybridMultilevel"/>
    <w:tmpl w:val="63DA332E"/>
    <w:lvl w:ilvl="0" w:tplc="B63CAE44">
      <w:start w:val="1"/>
      <w:numFmt w:val="decimal"/>
      <w:lvlText w:val="%1."/>
      <w:lvlJc w:val="left"/>
      <w:pPr>
        <w:ind w:left="720" w:hanging="360"/>
      </w:pPr>
      <w:rPr>
        <w:rFonts w:asciiTheme="minorHAnsi" w:eastAsiaTheme="minorHAnsi" w:hAnsiTheme="minorHAnsi" w:cstheme="minorBidi"/>
        <w:i w:val="0"/>
        <w:iCs/>
      </w:rPr>
    </w:lvl>
    <w:lvl w:ilvl="1" w:tplc="E3E464E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6795C40"/>
    <w:multiLevelType w:val="multilevel"/>
    <w:tmpl w:val="A170EECE"/>
    <w:lvl w:ilvl="0">
      <w:start w:val="5"/>
      <w:numFmt w:val="decimal"/>
      <w:lvlText w:val="%1."/>
      <w:lvlJc w:val="left"/>
      <w:pPr>
        <w:ind w:left="680" w:hanging="680"/>
      </w:pPr>
      <w:rPr>
        <w:rFonts w:hint="default"/>
      </w:rPr>
    </w:lvl>
    <w:lvl w:ilvl="1">
      <w:start w:val="1"/>
      <w:numFmt w:val="decimal"/>
      <w:lvlText w:val="%1.%2."/>
      <w:lvlJc w:val="left"/>
      <w:pPr>
        <w:ind w:left="658" w:hanging="68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11" w15:restartNumberingAfterBreak="0">
    <w:nsid w:val="180523D5"/>
    <w:multiLevelType w:val="multilevel"/>
    <w:tmpl w:val="B6D210C4"/>
    <w:lvl w:ilvl="0">
      <w:start w:val="13"/>
      <w:numFmt w:val="decimal"/>
      <w:lvlText w:val="%1."/>
      <w:lvlJc w:val="left"/>
      <w:pPr>
        <w:ind w:left="450" w:hanging="450"/>
      </w:pPr>
      <w:rPr>
        <w:rFonts w:hint="default"/>
      </w:rPr>
    </w:lvl>
    <w:lvl w:ilvl="1">
      <w:start w:val="1"/>
      <w:numFmt w:val="decimal"/>
      <w:lvlText w:val="%1.%2."/>
      <w:lvlJc w:val="left"/>
      <w:pPr>
        <w:ind w:left="436" w:hanging="45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12" w15:restartNumberingAfterBreak="0">
    <w:nsid w:val="1D131E83"/>
    <w:multiLevelType w:val="multilevel"/>
    <w:tmpl w:val="9E2CAF4A"/>
    <w:lvl w:ilvl="0">
      <w:start w:val="3"/>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D533032"/>
    <w:multiLevelType w:val="hybridMultilevel"/>
    <w:tmpl w:val="76A287A6"/>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E764B0A"/>
    <w:multiLevelType w:val="multilevel"/>
    <w:tmpl w:val="2B466242"/>
    <w:lvl w:ilvl="0">
      <w:start w:val="14"/>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04350C8"/>
    <w:multiLevelType w:val="multilevel"/>
    <w:tmpl w:val="8CCC07EA"/>
    <w:lvl w:ilvl="0">
      <w:start w:val="14"/>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1B84AE4"/>
    <w:multiLevelType w:val="multilevel"/>
    <w:tmpl w:val="7F86A076"/>
    <w:lvl w:ilvl="0">
      <w:start w:val="10"/>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4754FA2"/>
    <w:multiLevelType w:val="multilevel"/>
    <w:tmpl w:val="70F83E5C"/>
    <w:lvl w:ilvl="0">
      <w:start w:val="14"/>
      <w:numFmt w:val="decimal"/>
      <w:lvlText w:val="%1."/>
      <w:lvlJc w:val="left"/>
      <w:pPr>
        <w:ind w:left="780" w:hanging="780"/>
      </w:pPr>
      <w:rPr>
        <w:rFonts w:hint="default"/>
      </w:rPr>
    </w:lvl>
    <w:lvl w:ilvl="1">
      <w:start w:val="1"/>
      <w:numFmt w:val="decimal"/>
      <w:lvlText w:val="%1.%2."/>
      <w:lvlJc w:val="left"/>
      <w:pPr>
        <w:ind w:left="758" w:hanging="780"/>
      </w:pPr>
      <w:rPr>
        <w:rFonts w:hint="default"/>
      </w:rPr>
    </w:lvl>
    <w:lvl w:ilvl="2">
      <w:start w:val="1"/>
      <w:numFmt w:val="decimal"/>
      <w:lvlText w:val="%1.%2.%3."/>
      <w:lvlJc w:val="left"/>
      <w:pPr>
        <w:ind w:left="736" w:hanging="780"/>
      </w:pPr>
      <w:rPr>
        <w:rFonts w:hint="default"/>
      </w:rPr>
    </w:lvl>
    <w:lvl w:ilvl="3">
      <w:start w:val="1"/>
      <w:numFmt w:val="decimal"/>
      <w:lvlText w:val="%1.%2.%3.%4."/>
      <w:lvlJc w:val="left"/>
      <w:pPr>
        <w:ind w:left="714" w:hanging="78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18" w15:restartNumberingAfterBreak="0">
    <w:nsid w:val="250611BE"/>
    <w:multiLevelType w:val="multilevel"/>
    <w:tmpl w:val="BEF2D78A"/>
    <w:lvl w:ilvl="0">
      <w:start w:val="4"/>
      <w:numFmt w:val="decimal"/>
      <w:lvlText w:val="%1."/>
      <w:lvlJc w:val="left"/>
      <w:pPr>
        <w:ind w:left="680" w:hanging="680"/>
      </w:pPr>
      <w:rPr>
        <w:rFonts w:hint="default"/>
      </w:rPr>
    </w:lvl>
    <w:lvl w:ilvl="1">
      <w:start w:val="1"/>
      <w:numFmt w:val="decimal"/>
      <w:lvlText w:val="%1.%2."/>
      <w:lvlJc w:val="left"/>
      <w:pPr>
        <w:ind w:left="658" w:hanging="68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19" w15:restartNumberingAfterBreak="0">
    <w:nsid w:val="25822846"/>
    <w:multiLevelType w:val="multilevel"/>
    <w:tmpl w:val="7E5C2EF2"/>
    <w:lvl w:ilvl="0">
      <w:start w:val="6"/>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20" w15:restartNumberingAfterBreak="0">
    <w:nsid w:val="283242D4"/>
    <w:multiLevelType w:val="hybridMultilevel"/>
    <w:tmpl w:val="277C0F54"/>
    <w:lvl w:ilvl="0" w:tplc="0409000F">
      <w:start w:val="1"/>
      <w:numFmt w:val="decimal"/>
      <w:lvlText w:val="%1."/>
      <w:lvlJc w:val="left"/>
      <w:pPr>
        <w:ind w:left="720" w:hanging="360"/>
      </w:pPr>
    </w:lvl>
    <w:lvl w:ilvl="1" w:tplc="E3E464E0">
      <w:start w:val="1"/>
      <w:numFmt w:val="lowerLetter"/>
      <w:lvlText w:val="(%2)"/>
      <w:lvlJc w:val="left"/>
      <w:pPr>
        <w:ind w:left="1440" w:hanging="360"/>
      </w:pPr>
      <w:rPr>
        <w:rFonts w:hint="default"/>
      </w:rPr>
    </w:lvl>
    <w:lvl w:ilvl="2" w:tplc="CDF83AD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E66218"/>
    <w:multiLevelType w:val="multilevel"/>
    <w:tmpl w:val="1EE0F42A"/>
    <w:lvl w:ilvl="0">
      <w:start w:val="15"/>
      <w:numFmt w:val="decimal"/>
      <w:lvlText w:val="%1."/>
      <w:lvlJc w:val="left"/>
      <w:pPr>
        <w:ind w:left="620" w:hanging="620"/>
      </w:pPr>
      <w:rPr>
        <w:rFonts w:hint="default"/>
      </w:rPr>
    </w:lvl>
    <w:lvl w:ilvl="1">
      <w:start w:val="1"/>
      <w:numFmt w:val="decimal"/>
      <w:lvlText w:val="%1.%2."/>
      <w:lvlJc w:val="left"/>
      <w:pPr>
        <w:ind w:left="613" w:hanging="620"/>
      </w:pPr>
      <w:rPr>
        <w:rFonts w:hint="default"/>
      </w:rPr>
    </w:lvl>
    <w:lvl w:ilvl="2">
      <w:start w:val="1"/>
      <w:numFmt w:val="decimal"/>
      <w:lvlText w:val="%1.%2.%3."/>
      <w:lvlJc w:val="left"/>
      <w:pPr>
        <w:ind w:left="706" w:hanging="720"/>
      </w:pPr>
      <w:rPr>
        <w:rFonts w:hint="default"/>
      </w:rPr>
    </w:lvl>
    <w:lvl w:ilvl="3">
      <w:start w:val="1"/>
      <w:numFmt w:val="decimal"/>
      <w:lvlText w:val="%1.%2.%3.%4."/>
      <w:lvlJc w:val="left"/>
      <w:pPr>
        <w:ind w:left="699" w:hanging="720"/>
      </w:pPr>
      <w:rPr>
        <w:rFonts w:hint="default"/>
      </w:rPr>
    </w:lvl>
    <w:lvl w:ilvl="4">
      <w:start w:val="1"/>
      <w:numFmt w:val="decimal"/>
      <w:lvlText w:val="%1.%2.%3.%4.%5."/>
      <w:lvlJc w:val="left"/>
      <w:pPr>
        <w:ind w:left="1052" w:hanging="1080"/>
      </w:pPr>
      <w:rPr>
        <w:rFonts w:hint="default"/>
      </w:rPr>
    </w:lvl>
    <w:lvl w:ilvl="5">
      <w:start w:val="1"/>
      <w:numFmt w:val="decimal"/>
      <w:lvlText w:val="%1.%2.%3.%4.%5.%6."/>
      <w:lvlJc w:val="left"/>
      <w:pPr>
        <w:ind w:left="1045" w:hanging="1080"/>
      </w:pPr>
      <w:rPr>
        <w:rFonts w:hint="default"/>
      </w:rPr>
    </w:lvl>
    <w:lvl w:ilvl="6">
      <w:start w:val="1"/>
      <w:numFmt w:val="decimal"/>
      <w:lvlText w:val="%1.%2.%3.%4.%5.%6.%7."/>
      <w:lvlJc w:val="left"/>
      <w:pPr>
        <w:ind w:left="1398" w:hanging="1440"/>
      </w:pPr>
      <w:rPr>
        <w:rFonts w:hint="default"/>
      </w:rPr>
    </w:lvl>
    <w:lvl w:ilvl="7">
      <w:start w:val="1"/>
      <w:numFmt w:val="decimal"/>
      <w:lvlText w:val="%1.%2.%3.%4.%5.%6.%7.%8."/>
      <w:lvlJc w:val="left"/>
      <w:pPr>
        <w:ind w:left="1391" w:hanging="1440"/>
      </w:pPr>
      <w:rPr>
        <w:rFonts w:hint="default"/>
      </w:rPr>
    </w:lvl>
    <w:lvl w:ilvl="8">
      <w:start w:val="1"/>
      <w:numFmt w:val="decimal"/>
      <w:lvlText w:val="%1.%2.%3.%4.%5.%6.%7.%8.%9."/>
      <w:lvlJc w:val="left"/>
      <w:pPr>
        <w:ind w:left="1744" w:hanging="1800"/>
      </w:pPr>
      <w:rPr>
        <w:rFonts w:hint="default"/>
      </w:rPr>
    </w:lvl>
  </w:abstractNum>
  <w:abstractNum w:abstractNumId="22" w15:restartNumberingAfterBreak="0">
    <w:nsid w:val="2DEF5992"/>
    <w:multiLevelType w:val="multilevel"/>
    <w:tmpl w:val="F43AF9F0"/>
    <w:lvl w:ilvl="0">
      <w:start w:val="12"/>
      <w:numFmt w:val="decimal"/>
      <w:lvlText w:val="%1."/>
      <w:lvlJc w:val="left"/>
      <w:pPr>
        <w:ind w:left="790" w:hanging="790"/>
      </w:pPr>
      <w:rPr>
        <w:rFonts w:hint="default"/>
      </w:rPr>
    </w:lvl>
    <w:lvl w:ilvl="1">
      <w:start w:val="1"/>
      <w:numFmt w:val="decimal"/>
      <w:lvlText w:val="%1.%2."/>
      <w:lvlJc w:val="left"/>
      <w:pPr>
        <w:ind w:left="790" w:hanging="790"/>
      </w:pPr>
      <w:rPr>
        <w:rFonts w:hint="default"/>
      </w:rPr>
    </w:lvl>
    <w:lvl w:ilvl="2">
      <w:start w:val="1"/>
      <w:numFmt w:val="decimal"/>
      <w:lvlText w:val="%1.%2.%3."/>
      <w:lvlJc w:val="left"/>
      <w:pPr>
        <w:ind w:left="790" w:hanging="790"/>
      </w:pPr>
      <w:rPr>
        <w:rFonts w:hint="default"/>
      </w:rPr>
    </w:lvl>
    <w:lvl w:ilvl="3">
      <w:start w:val="1"/>
      <w:numFmt w:val="decimal"/>
      <w:lvlText w:val="%1.%2.%3.%4."/>
      <w:lvlJc w:val="left"/>
      <w:pPr>
        <w:ind w:left="790" w:hanging="7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4" w15:restartNumberingAfterBreak="0">
    <w:nsid w:val="31E026EA"/>
    <w:multiLevelType w:val="multilevel"/>
    <w:tmpl w:val="1AB01D80"/>
    <w:lvl w:ilvl="0">
      <w:start w:val="13"/>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2872972"/>
    <w:multiLevelType w:val="multilevel"/>
    <w:tmpl w:val="226E4A78"/>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2FB0749"/>
    <w:multiLevelType w:val="hybridMultilevel"/>
    <w:tmpl w:val="6C72E744"/>
    <w:lvl w:ilvl="0" w:tplc="1009000F">
      <w:start w:val="1"/>
      <w:numFmt w:val="decimal"/>
      <w:lvlText w:val="%1."/>
      <w:lvlJc w:val="left"/>
      <w:pPr>
        <w:ind w:left="2520" w:hanging="360"/>
      </w:pPr>
    </w:lvl>
    <w:lvl w:ilvl="1" w:tplc="10090019">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7" w15:restartNumberingAfterBreak="0">
    <w:nsid w:val="33EA5E47"/>
    <w:multiLevelType w:val="multilevel"/>
    <w:tmpl w:val="36CA3F90"/>
    <w:lvl w:ilvl="0">
      <w:start w:val="12"/>
      <w:numFmt w:val="decimal"/>
      <w:lvlText w:val="%1."/>
      <w:lvlJc w:val="left"/>
      <w:pPr>
        <w:ind w:left="790" w:hanging="790"/>
      </w:pPr>
      <w:rPr>
        <w:rFonts w:hint="default"/>
      </w:rPr>
    </w:lvl>
    <w:lvl w:ilvl="1">
      <w:start w:val="1"/>
      <w:numFmt w:val="decimal"/>
      <w:lvlText w:val="%1.%2."/>
      <w:lvlJc w:val="left"/>
      <w:pPr>
        <w:ind w:left="790" w:hanging="790"/>
      </w:pPr>
      <w:rPr>
        <w:rFonts w:hint="default"/>
      </w:rPr>
    </w:lvl>
    <w:lvl w:ilvl="2">
      <w:start w:val="1"/>
      <w:numFmt w:val="decimal"/>
      <w:lvlText w:val="%1.%2.%3."/>
      <w:lvlJc w:val="left"/>
      <w:pPr>
        <w:ind w:left="790" w:hanging="790"/>
      </w:pPr>
      <w:rPr>
        <w:rFonts w:hint="default"/>
      </w:rPr>
    </w:lvl>
    <w:lvl w:ilvl="3">
      <w:start w:val="1"/>
      <w:numFmt w:val="decimal"/>
      <w:lvlText w:val="%1.%2.%3.%4."/>
      <w:lvlJc w:val="left"/>
      <w:pPr>
        <w:ind w:left="790" w:hanging="7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67B542A"/>
    <w:multiLevelType w:val="hybridMultilevel"/>
    <w:tmpl w:val="A44C6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DF83AD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3B215B"/>
    <w:multiLevelType w:val="multilevel"/>
    <w:tmpl w:val="B296CEA8"/>
    <w:lvl w:ilvl="0">
      <w:start w:val="5"/>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30" w15:restartNumberingAfterBreak="0">
    <w:nsid w:val="38F267CE"/>
    <w:multiLevelType w:val="multilevel"/>
    <w:tmpl w:val="B26C7EA0"/>
    <w:lvl w:ilvl="0">
      <w:start w:val="1"/>
      <w:numFmt w:val="decimal"/>
      <w:lvlText w:val="%1."/>
      <w:lvlJc w:val="left"/>
      <w:pPr>
        <w:ind w:left="720" w:hanging="360"/>
      </w:pPr>
    </w:lvl>
    <w:lvl w:ilvl="1">
      <w:start w:val="1"/>
      <w:numFmt w:val="decimal"/>
      <w:isLgl/>
      <w:lvlText w:val="%1.%2."/>
      <w:lvlJc w:val="left"/>
      <w:pPr>
        <w:ind w:left="1040" w:hanging="6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3E7B33B5"/>
    <w:multiLevelType w:val="multilevel"/>
    <w:tmpl w:val="B9A20E86"/>
    <w:lvl w:ilvl="0">
      <w:start w:val="7"/>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32" w15:restartNumberingAfterBreak="0">
    <w:nsid w:val="3F6D0816"/>
    <w:multiLevelType w:val="multilevel"/>
    <w:tmpl w:val="DCE61B34"/>
    <w:lvl w:ilvl="0">
      <w:start w:val="8"/>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33" w15:restartNumberingAfterBreak="0">
    <w:nsid w:val="3FBA10F7"/>
    <w:multiLevelType w:val="hybridMultilevel"/>
    <w:tmpl w:val="1ABA9B30"/>
    <w:lvl w:ilvl="0" w:tplc="1009000F">
      <w:start w:val="1"/>
      <w:numFmt w:val="decimal"/>
      <w:lvlText w:val="%1."/>
      <w:lvlJc w:val="left"/>
      <w:pPr>
        <w:ind w:left="2520" w:hanging="360"/>
      </w:pPr>
    </w:lvl>
    <w:lvl w:ilvl="1" w:tplc="E3E464E0">
      <w:start w:val="1"/>
      <w:numFmt w:val="lowerLetter"/>
      <w:lvlText w:val="(%2)"/>
      <w:lvlJc w:val="left"/>
      <w:pPr>
        <w:ind w:left="3240" w:hanging="360"/>
      </w:pPr>
      <w:rPr>
        <w:rFonts w:hint="default"/>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34" w15:restartNumberingAfterBreak="0">
    <w:nsid w:val="4476312A"/>
    <w:multiLevelType w:val="multilevel"/>
    <w:tmpl w:val="226E4A78"/>
    <w:lvl w:ilvl="0">
      <w:start w:val="8"/>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4907DFE"/>
    <w:multiLevelType w:val="multilevel"/>
    <w:tmpl w:val="788045FA"/>
    <w:lvl w:ilvl="0">
      <w:start w:val="10"/>
      <w:numFmt w:val="decimal"/>
      <w:lvlText w:val="%1."/>
      <w:lvlJc w:val="left"/>
      <w:pPr>
        <w:ind w:left="790" w:hanging="790"/>
      </w:pPr>
      <w:rPr>
        <w:rFonts w:hint="default"/>
      </w:rPr>
    </w:lvl>
    <w:lvl w:ilvl="1">
      <w:start w:val="1"/>
      <w:numFmt w:val="decimal"/>
      <w:lvlText w:val="%1.%2."/>
      <w:lvlJc w:val="left"/>
      <w:pPr>
        <w:ind w:left="768" w:hanging="790"/>
      </w:pPr>
      <w:rPr>
        <w:rFonts w:hint="default"/>
      </w:rPr>
    </w:lvl>
    <w:lvl w:ilvl="2">
      <w:start w:val="1"/>
      <w:numFmt w:val="decimal"/>
      <w:lvlText w:val="%1.%2.%3."/>
      <w:lvlJc w:val="left"/>
      <w:pPr>
        <w:ind w:left="746" w:hanging="790"/>
      </w:pPr>
      <w:rPr>
        <w:rFonts w:hint="default"/>
      </w:rPr>
    </w:lvl>
    <w:lvl w:ilvl="3">
      <w:start w:val="1"/>
      <w:numFmt w:val="decimal"/>
      <w:lvlText w:val="%1.%2.%3.%4."/>
      <w:lvlJc w:val="left"/>
      <w:pPr>
        <w:ind w:left="724" w:hanging="79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36" w15:restartNumberingAfterBreak="0">
    <w:nsid w:val="4661394E"/>
    <w:multiLevelType w:val="multilevel"/>
    <w:tmpl w:val="2B466242"/>
    <w:lvl w:ilvl="0">
      <w:start w:val="18"/>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4C517AD5"/>
    <w:multiLevelType w:val="multilevel"/>
    <w:tmpl w:val="3D7AF676"/>
    <w:lvl w:ilvl="0">
      <w:start w:val="9"/>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39" w15:restartNumberingAfterBreak="0">
    <w:nsid w:val="4CBD3ABA"/>
    <w:multiLevelType w:val="multilevel"/>
    <w:tmpl w:val="5E8CAE60"/>
    <w:lvl w:ilvl="0">
      <w:start w:val="9"/>
      <w:numFmt w:val="decimal"/>
      <w:lvlText w:val="%1."/>
      <w:lvlJc w:val="left"/>
      <w:pPr>
        <w:ind w:left="510" w:hanging="510"/>
      </w:pPr>
      <w:rPr>
        <w:rFonts w:hint="default"/>
      </w:rPr>
    </w:lvl>
    <w:lvl w:ilvl="1">
      <w:start w:val="1"/>
      <w:numFmt w:val="decimal"/>
      <w:lvlText w:val="%1.%2."/>
      <w:lvlJc w:val="left"/>
      <w:pPr>
        <w:ind w:left="477" w:hanging="510"/>
      </w:pPr>
      <w:rPr>
        <w:rFonts w:hint="default"/>
      </w:rPr>
    </w:lvl>
    <w:lvl w:ilvl="2">
      <w:start w:val="2"/>
      <w:numFmt w:val="decimal"/>
      <w:lvlText w:val="%1.%2.%3."/>
      <w:lvlJc w:val="left"/>
      <w:pPr>
        <w:ind w:left="654" w:hanging="720"/>
      </w:pPr>
      <w:rPr>
        <w:rFonts w:hint="default"/>
      </w:rPr>
    </w:lvl>
    <w:lvl w:ilvl="3">
      <w:start w:val="1"/>
      <w:numFmt w:val="decimal"/>
      <w:lvlText w:val="%1.%2.%3.%4."/>
      <w:lvlJc w:val="left"/>
      <w:pPr>
        <w:ind w:left="621" w:hanging="720"/>
      </w:pPr>
      <w:rPr>
        <w:rFonts w:hint="default"/>
      </w:rPr>
    </w:lvl>
    <w:lvl w:ilvl="4">
      <w:start w:val="1"/>
      <w:numFmt w:val="decimal"/>
      <w:lvlText w:val="%1.%2.%3.%4.%5."/>
      <w:lvlJc w:val="left"/>
      <w:pPr>
        <w:ind w:left="948" w:hanging="1080"/>
      </w:pPr>
      <w:rPr>
        <w:rFonts w:hint="default"/>
      </w:rPr>
    </w:lvl>
    <w:lvl w:ilvl="5">
      <w:start w:val="1"/>
      <w:numFmt w:val="decimal"/>
      <w:lvlText w:val="%1.%2.%3.%4.%5.%6."/>
      <w:lvlJc w:val="left"/>
      <w:pPr>
        <w:ind w:left="915" w:hanging="1080"/>
      </w:pPr>
      <w:rPr>
        <w:rFonts w:hint="default"/>
      </w:rPr>
    </w:lvl>
    <w:lvl w:ilvl="6">
      <w:start w:val="1"/>
      <w:numFmt w:val="decimal"/>
      <w:lvlText w:val="%1.%2.%3.%4.%5.%6.%7."/>
      <w:lvlJc w:val="left"/>
      <w:pPr>
        <w:ind w:left="1242" w:hanging="1440"/>
      </w:pPr>
      <w:rPr>
        <w:rFonts w:hint="default"/>
      </w:rPr>
    </w:lvl>
    <w:lvl w:ilvl="7">
      <w:start w:val="1"/>
      <w:numFmt w:val="decimal"/>
      <w:lvlText w:val="%1.%2.%3.%4.%5.%6.%7.%8."/>
      <w:lvlJc w:val="left"/>
      <w:pPr>
        <w:ind w:left="1209" w:hanging="1440"/>
      </w:pPr>
      <w:rPr>
        <w:rFonts w:hint="default"/>
      </w:rPr>
    </w:lvl>
    <w:lvl w:ilvl="8">
      <w:start w:val="1"/>
      <w:numFmt w:val="decimal"/>
      <w:lvlText w:val="%1.%2.%3.%4.%5.%6.%7.%8.%9."/>
      <w:lvlJc w:val="left"/>
      <w:pPr>
        <w:ind w:left="1536" w:hanging="1800"/>
      </w:pPr>
      <w:rPr>
        <w:rFonts w:hint="default"/>
      </w:rPr>
    </w:lvl>
  </w:abstractNum>
  <w:abstractNum w:abstractNumId="40" w15:restartNumberingAfterBreak="0">
    <w:nsid w:val="4E0442B4"/>
    <w:multiLevelType w:val="multilevel"/>
    <w:tmpl w:val="18A84F2E"/>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4F995BDE"/>
    <w:multiLevelType w:val="multilevel"/>
    <w:tmpl w:val="4BD46766"/>
    <w:lvl w:ilvl="0">
      <w:start w:val="15"/>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FC21B8A"/>
    <w:multiLevelType w:val="hybridMultilevel"/>
    <w:tmpl w:val="4D3C506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50C43710"/>
    <w:multiLevelType w:val="multilevel"/>
    <w:tmpl w:val="28D608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5154069"/>
    <w:multiLevelType w:val="multilevel"/>
    <w:tmpl w:val="7B726B9C"/>
    <w:lvl w:ilvl="0">
      <w:start w:val="12"/>
      <w:numFmt w:val="decimal"/>
      <w:lvlText w:val="%1."/>
      <w:lvlJc w:val="left"/>
      <w:pPr>
        <w:ind w:left="450" w:hanging="450"/>
      </w:pPr>
      <w:rPr>
        <w:rFonts w:hint="default"/>
      </w:rPr>
    </w:lvl>
    <w:lvl w:ilvl="1">
      <w:start w:val="1"/>
      <w:numFmt w:val="decimal"/>
      <w:lvlText w:val="%1.%2."/>
      <w:lvlJc w:val="left"/>
      <w:pPr>
        <w:ind w:left="436" w:hanging="45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45" w15:restartNumberingAfterBreak="0">
    <w:nsid w:val="56FE11AC"/>
    <w:multiLevelType w:val="multilevel"/>
    <w:tmpl w:val="818EAF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A2E6AC8"/>
    <w:multiLevelType w:val="hybridMultilevel"/>
    <w:tmpl w:val="30BE35B8"/>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47" w15:restartNumberingAfterBreak="0">
    <w:nsid w:val="5C975246"/>
    <w:multiLevelType w:val="hybridMultilevel"/>
    <w:tmpl w:val="E26A86A6"/>
    <w:lvl w:ilvl="0" w:tplc="2E20D0EE">
      <w:start w:val="1"/>
      <w:numFmt w:val="upperRoman"/>
      <w:lvlText w:val="%1."/>
      <w:lvlJc w:val="left"/>
      <w:pPr>
        <w:ind w:left="384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02A767A"/>
    <w:multiLevelType w:val="multilevel"/>
    <w:tmpl w:val="0F1C1B18"/>
    <w:lvl w:ilvl="0">
      <w:start w:val="11"/>
      <w:numFmt w:val="decimal"/>
      <w:lvlText w:val="%1."/>
      <w:lvlJc w:val="left"/>
      <w:pPr>
        <w:ind w:left="450" w:hanging="450"/>
      </w:pPr>
      <w:rPr>
        <w:rFonts w:hint="default"/>
      </w:rPr>
    </w:lvl>
    <w:lvl w:ilvl="1">
      <w:start w:val="1"/>
      <w:numFmt w:val="decimal"/>
      <w:lvlText w:val="%1.%2."/>
      <w:lvlJc w:val="left"/>
      <w:pPr>
        <w:ind w:left="436" w:hanging="45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49" w15:restartNumberingAfterBreak="0">
    <w:nsid w:val="65DB49AF"/>
    <w:multiLevelType w:val="multilevel"/>
    <w:tmpl w:val="184CA2FE"/>
    <w:lvl w:ilvl="0">
      <w:start w:val="11"/>
      <w:numFmt w:val="decimal"/>
      <w:lvlText w:val="%1"/>
      <w:lvlJc w:val="left"/>
      <w:pPr>
        <w:ind w:left="730" w:hanging="730"/>
      </w:pPr>
      <w:rPr>
        <w:rFonts w:hint="default"/>
      </w:rPr>
    </w:lvl>
    <w:lvl w:ilvl="1">
      <w:start w:val="1"/>
      <w:numFmt w:val="decimal"/>
      <w:lvlText w:val="%1.%2"/>
      <w:lvlJc w:val="left"/>
      <w:pPr>
        <w:ind w:left="730" w:hanging="730"/>
      </w:pPr>
      <w:rPr>
        <w:rFonts w:hint="default"/>
      </w:rPr>
    </w:lvl>
    <w:lvl w:ilvl="2">
      <w:start w:val="1"/>
      <w:numFmt w:val="decimal"/>
      <w:lvlText w:val="%1.%2.%3"/>
      <w:lvlJc w:val="left"/>
      <w:pPr>
        <w:ind w:left="730" w:hanging="730"/>
      </w:pPr>
      <w:rPr>
        <w:rFonts w:hint="default"/>
      </w:rPr>
    </w:lvl>
    <w:lvl w:ilvl="3">
      <w:start w:val="1"/>
      <w:numFmt w:val="decimal"/>
      <w:lvlText w:val="%1.%2.%3.%4"/>
      <w:lvlJc w:val="left"/>
      <w:pPr>
        <w:ind w:left="730" w:hanging="7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EE04F0F"/>
    <w:multiLevelType w:val="hybridMultilevel"/>
    <w:tmpl w:val="506CAA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2" w15:restartNumberingAfterBreak="0">
    <w:nsid w:val="6F6C3F25"/>
    <w:multiLevelType w:val="multilevel"/>
    <w:tmpl w:val="80744FB8"/>
    <w:lvl w:ilvl="0">
      <w:start w:val="7"/>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F7E0FA9"/>
    <w:multiLevelType w:val="multilevel"/>
    <w:tmpl w:val="D0AAA67C"/>
    <w:lvl w:ilvl="0">
      <w:start w:val="5"/>
      <w:numFmt w:val="decimal"/>
      <w:lvlText w:val="%1."/>
      <w:lvlJc w:val="left"/>
      <w:pPr>
        <w:ind w:left="510" w:hanging="510"/>
      </w:pPr>
      <w:rPr>
        <w:rFonts w:hint="default"/>
      </w:rPr>
    </w:lvl>
    <w:lvl w:ilvl="1">
      <w:start w:val="1"/>
      <w:numFmt w:val="decimal"/>
      <w:lvlText w:val="%1.%2."/>
      <w:lvlJc w:val="left"/>
      <w:pPr>
        <w:ind w:left="523" w:hanging="510"/>
      </w:pPr>
      <w:rPr>
        <w:rFonts w:hint="default"/>
      </w:rPr>
    </w:lvl>
    <w:lvl w:ilvl="2">
      <w:start w:val="1"/>
      <w:numFmt w:val="decimal"/>
      <w:lvlText w:val="%1.%2.%3."/>
      <w:lvlJc w:val="left"/>
      <w:pPr>
        <w:ind w:left="746" w:hanging="720"/>
      </w:pPr>
      <w:rPr>
        <w:rFonts w:hint="default"/>
      </w:rPr>
    </w:lvl>
    <w:lvl w:ilvl="3">
      <w:start w:val="1"/>
      <w:numFmt w:val="decimal"/>
      <w:lvlText w:val="%1.%2.%3.%4."/>
      <w:lvlJc w:val="left"/>
      <w:pPr>
        <w:ind w:left="759" w:hanging="720"/>
      </w:pPr>
      <w:rPr>
        <w:rFonts w:hint="default"/>
      </w:rPr>
    </w:lvl>
    <w:lvl w:ilvl="4">
      <w:start w:val="1"/>
      <w:numFmt w:val="decimal"/>
      <w:lvlText w:val="%1.%2.%3.%4.%5."/>
      <w:lvlJc w:val="left"/>
      <w:pPr>
        <w:ind w:left="1132" w:hanging="1080"/>
      </w:pPr>
      <w:rPr>
        <w:rFonts w:hint="default"/>
      </w:rPr>
    </w:lvl>
    <w:lvl w:ilvl="5">
      <w:start w:val="1"/>
      <w:numFmt w:val="decimal"/>
      <w:lvlText w:val="%1.%2.%3.%4.%5.%6."/>
      <w:lvlJc w:val="left"/>
      <w:pPr>
        <w:ind w:left="1145" w:hanging="1080"/>
      </w:pPr>
      <w:rPr>
        <w:rFonts w:hint="default"/>
      </w:rPr>
    </w:lvl>
    <w:lvl w:ilvl="6">
      <w:start w:val="1"/>
      <w:numFmt w:val="decimal"/>
      <w:lvlText w:val="%1.%2.%3.%4.%5.%6.%7."/>
      <w:lvlJc w:val="left"/>
      <w:pPr>
        <w:ind w:left="1518" w:hanging="1440"/>
      </w:pPr>
      <w:rPr>
        <w:rFonts w:hint="default"/>
      </w:rPr>
    </w:lvl>
    <w:lvl w:ilvl="7">
      <w:start w:val="1"/>
      <w:numFmt w:val="decimal"/>
      <w:lvlText w:val="%1.%2.%3.%4.%5.%6.%7.%8."/>
      <w:lvlJc w:val="left"/>
      <w:pPr>
        <w:ind w:left="1531" w:hanging="1440"/>
      </w:pPr>
      <w:rPr>
        <w:rFonts w:hint="default"/>
      </w:rPr>
    </w:lvl>
    <w:lvl w:ilvl="8">
      <w:start w:val="1"/>
      <w:numFmt w:val="decimal"/>
      <w:lvlText w:val="%1.%2.%3.%4.%5.%6.%7.%8.%9."/>
      <w:lvlJc w:val="left"/>
      <w:pPr>
        <w:ind w:left="1904" w:hanging="1800"/>
      </w:pPr>
      <w:rPr>
        <w:rFonts w:hint="default"/>
      </w:rPr>
    </w:lvl>
  </w:abstractNum>
  <w:abstractNum w:abstractNumId="54" w15:restartNumberingAfterBreak="0">
    <w:nsid w:val="7271302C"/>
    <w:multiLevelType w:val="multilevel"/>
    <w:tmpl w:val="226E4A78"/>
    <w:lvl w:ilvl="0">
      <w:start w:val="6"/>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54E0336"/>
    <w:multiLevelType w:val="multilevel"/>
    <w:tmpl w:val="D6B6C0B6"/>
    <w:lvl w:ilvl="0">
      <w:start w:val="2"/>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56" w15:restartNumberingAfterBreak="0">
    <w:nsid w:val="789128BF"/>
    <w:multiLevelType w:val="multilevel"/>
    <w:tmpl w:val="9E2CAF4A"/>
    <w:lvl w:ilvl="0">
      <w:start w:val="2"/>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AAF5FDB"/>
    <w:multiLevelType w:val="multilevel"/>
    <w:tmpl w:val="1A0EC962"/>
    <w:lvl w:ilvl="0">
      <w:start w:val="20"/>
      <w:numFmt w:val="decimal"/>
      <w:lvlText w:val="%1."/>
      <w:lvlJc w:val="left"/>
      <w:pPr>
        <w:ind w:left="0" w:firstLine="0"/>
      </w:pPr>
      <w:rPr>
        <w:rFonts w:hint="default"/>
      </w:rPr>
    </w:lvl>
    <w:lvl w:ilvl="1">
      <w:start w:val="1"/>
      <w:numFmt w:val="decimal"/>
      <w:lvlText w:val="%1.%2."/>
      <w:lvlJc w:val="left"/>
      <w:pPr>
        <w:ind w:left="16" w:firstLine="0"/>
      </w:pPr>
      <w:rPr>
        <w:rFonts w:hint="default"/>
      </w:rPr>
    </w:lvl>
    <w:lvl w:ilvl="2">
      <w:start w:val="1"/>
      <w:numFmt w:val="decimal"/>
      <w:lvlText w:val="%1.%2.%3."/>
      <w:lvlJc w:val="left"/>
      <w:pPr>
        <w:ind w:left="288" w:hanging="256"/>
      </w:pPr>
      <w:rPr>
        <w:rFonts w:hint="default"/>
      </w:rPr>
    </w:lvl>
    <w:lvl w:ilvl="3">
      <w:start w:val="1"/>
      <w:numFmt w:val="decimal"/>
      <w:lvlText w:val="%1.%2.%3.%4."/>
      <w:lvlJc w:val="left"/>
      <w:pPr>
        <w:ind w:left="304" w:hanging="256"/>
      </w:pPr>
      <w:rPr>
        <w:rFonts w:hint="default"/>
      </w:rPr>
    </w:lvl>
    <w:lvl w:ilvl="4">
      <w:start w:val="1"/>
      <w:numFmt w:val="decimal"/>
      <w:lvlText w:val="%1.%2.%3.%4.%5."/>
      <w:lvlJc w:val="left"/>
      <w:pPr>
        <w:ind w:left="680" w:hanging="616"/>
      </w:pPr>
      <w:rPr>
        <w:rFonts w:hint="default"/>
      </w:rPr>
    </w:lvl>
    <w:lvl w:ilvl="5">
      <w:start w:val="1"/>
      <w:numFmt w:val="decimal"/>
      <w:lvlText w:val="%1.%2.%3.%4.%5.%6."/>
      <w:lvlJc w:val="left"/>
      <w:pPr>
        <w:ind w:left="696" w:hanging="616"/>
      </w:pPr>
      <w:rPr>
        <w:rFonts w:hint="default"/>
      </w:rPr>
    </w:lvl>
    <w:lvl w:ilvl="6">
      <w:start w:val="1"/>
      <w:numFmt w:val="decimal"/>
      <w:lvlText w:val="%1.%2.%3.%4.%5.%6.%7."/>
      <w:lvlJc w:val="left"/>
      <w:pPr>
        <w:ind w:left="1072" w:hanging="976"/>
      </w:pPr>
      <w:rPr>
        <w:rFonts w:hint="default"/>
      </w:rPr>
    </w:lvl>
    <w:lvl w:ilvl="7">
      <w:start w:val="1"/>
      <w:numFmt w:val="decimal"/>
      <w:lvlText w:val="%1.%2.%3.%4.%5.%6.%7.%8."/>
      <w:lvlJc w:val="left"/>
      <w:pPr>
        <w:ind w:left="1088" w:hanging="976"/>
      </w:pPr>
      <w:rPr>
        <w:rFonts w:hint="default"/>
      </w:rPr>
    </w:lvl>
    <w:lvl w:ilvl="8">
      <w:start w:val="1"/>
      <w:numFmt w:val="decimal"/>
      <w:lvlText w:val="%1.%2.%3.%4.%5.%6.%7.%8.%9."/>
      <w:lvlJc w:val="left"/>
      <w:pPr>
        <w:ind w:left="1464" w:hanging="1336"/>
      </w:pPr>
      <w:rPr>
        <w:rFonts w:hint="default"/>
      </w:rPr>
    </w:lvl>
  </w:abstractNum>
  <w:abstractNum w:abstractNumId="58" w15:restartNumberingAfterBreak="0">
    <w:nsid w:val="7B617DFD"/>
    <w:multiLevelType w:val="hybridMultilevel"/>
    <w:tmpl w:val="1E38C768"/>
    <w:lvl w:ilvl="0" w:tplc="10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BE8525E"/>
    <w:multiLevelType w:val="multilevel"/>
    <w:tmpl w:val="4B1A9122"/>
    <w:lvl w:ilvl="0">
      <w:start w:val="1"/>
      <w:numFmt w:val="decimal"/>
      <w:lvlText w:val="%1."/>
      <w:lvlJc w:val="left"/>
      <w:pPr>
        <w:ind w:left="720" w:hanging="360"/>
      </w:p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7D5E4C08"/>
    <w:multiLevelType w:val="multilevel"/>
    <w:tmpl w:val="20943324"/>
    <w:lvl w:ilvl="0">
      <w:start w:val="1"/>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num w:numId="1">
    <w:abstractNumId w:val="23"/>
  </w:num>
  <w:num w:numId="2">
    <w:abstractNumId w:val="40"/>
  </w:num>
  <w:num w:numId="3">
    <w:abstractNumId w:val="40"/>
  </w:num>
  <w:num w:numId="4">
    <w:abstractNumId w:val="37"/>
  </w:num>
  <w:num w:numId="5">
    <w:abstractNumId w:val="50"/>
  </w:num>
  <w:num w:numId="6">
    <w:abstractNumId w:val="58"/>
  </w:num>
  <w:num w:numId="7">
    <w:abstractNumId w:val="42"/>
  </w:num>
  <w:num w:numId="8">
    <w:abstractNumId w:val="46"/>
  </w:num>
  <w:num w:numId="9">
    <w:abstractNumId w:val="0"/>
  </w:num>
  <w:num w:numId="10">
    <w:abstractNumId w:val="28"/>
  </w:num>
  <w:num w:numId="11">
    <w:abstractNumId w:val="26"/>
  </w:num>
  <w:num w:numId="12">
    <w:abstractNumId w:val="40"/>
  </w:num>
  <w:num w:numId="13">
    <w:abstractNumId w:val="40"/>
  </w:num>
  <w:num w:numId="14">
    <w:abstractNumId w:val="40"/>
  </w:num>
  <w:num w:numId="15">
    <w:abstractNumId w:val="40"/>
  </w:num>
  <w:num w:numId="16">
    <w:abstractNumId w:val="40"/>
  </w:num>
  <w:num w:numId="1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40"/>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40"/>
  </w:num>
  <w:num w:numId="23">
    <w:abstractNumId w:val="13"/>
  </w:num>
  <w:num w:numId="24">
    <w:abstractNumId w:val="40"/>
  </w:num>
  <w:num w:numId="25">
    <w:abstractNumId w:val="40"/>
  </w:num>
  <w:num w:numId="26">
    <w:abstractNumId w:val="40"/>
  </w:num>
  <w:num w:numId="27">
    <w:abstractNumId w:val="20"/>
  </w:num>
  <w:num w:numId="28">
    <w:abstractNumId w:val="40"/>
  </w:num>
  <w:num w:numId="29">
    <w:abstractNumId w:val="33"/>
  </w:num>
  <w:num w:numId="30">
    <w:abstractNumId w:val="9"/>
  </w:num>
  <w:num w:numId="31">
    <w:abstractNumId w:val="8"/>
  </w:num>
  <w:num w:numId="32">
    <w:abstractNumId w:val="47"/>
  </w:num>
  <w:num w:numId="33">
    <w:abstractNumId w:val="4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59"/>
  </w:num>
  <w:num w:numId="36">
    <w:abstractNumId w:val="30"/>
  </w:num>
  <w:num w:numId="37">
    <w:abstractNumId w:val="60"/>
  </w:num>
  <w:num w:numId="38">
    <w:abstractNumId w:val="55"/>
  </w:num>
  <w:num w:numId="39">
    <w:abstractNumId w:val="56"/>
  </w:num>
  <w:num w:numId="40">
    <w:abstractNumId w:val="1"/>
  </w:num>
  <w:num w:numId="41">
    <w:abstractNumId w:val="43"/>
  </w:num>
  <w:num w:numId="42">
    <w:abstractNumId w:val="12"/>
  </w:num>
  <w:num w:numId="43">
    <w:abstractNumId w:val="5"/>
  </w:num>
  <w:num w:numId="44">
    <w:abstractNumId w:val="45"/>
  </w:num>
  <w:num w:numId="45">
    <w:abstractNumId w:val="25"/>
  </w:num>
  <w:num w:numId="46">
    <w:abstractNumId w:val="18"/>
  </w:num>
  <w:num w:numId="47">
    <w:abstractNumId w:val="29"/>
  </w:num>
  <w:num w:numId="48">
    <w:abstractNumId w:val="53"/>
  </w:num>
  <w:num w:numId="49">
    <w:abstractNumId w:val="10"/>
  </w:num>
  <w:num w:numId="50">
    <w:abstractNumId w:val="19"/>
  </w:num>
  <w:num w:numId="51">
    <w:abstractNumId w:val="54"/>
  </w:num>
  <w:num w:numId="52">
    <w:abstractNumId w:val="7"/>
  </w:num>
  <w:num w:numId="53">
    <w:abstractNumId w:val="31"/>
  </w:num>
  <w:num w:numId="54">
    <w:abstractNumId w:val="52"/>
  </w:num>
  <w:num w:numId="55">
    <w:abstractNumId w:val="32"/>
  </w:num>
  <w:num w:numId="56">
    <w:abstractNumId w:val="34"/>
  </w:num>
  <w:num w:numId="57">
    <w:abstractNumId w:val="38"/>
  </w:num>
  <w:num w:numId="58">
    <w:abstractNumId w:val="2"/>
  </w:num>
  <w:num w:numId="59">
    <w:abstractNumId w:val="39"/>
  </w:num>
  <w:num w:numId="60">
    <w:abstractNumId w:val="4"/>
  </w:num>
  <w:num w:numId="61">
    <w:abstractNumId w:val="16"/>
  </w:num>
  <w:num w:numId="62">
    <w:abstractNumId w:val="35"/>
  </w:num>
  <w:num w:numId="63">
    <w:abstractNumId w:val="48"/>
  </w:num>
  <w:num w:numId="64">
    <w:abstractNumId w:val="49"/>
  </w:num>
  <w:num w:numId="65">
    <w:abstractNumId w:val="44"/>
  </w:num>
  <w:num w:numId="66">
    <w:abstractNumId w:val="22"/>
  </w:num>
  <w:num w:numId="67">
    <w:abstractNumId w:val="27"/>
  </w:num>
  <w:num w:numId="68">
    <w:abstractNumId w:val="11"/>
  </w:num>
  <w:num w:numId="69">
    <w:abstractNumId w:val="24"/>
  </w:num>
  <w:num w:numId="70">
    <w:abstractNumId w:val="15"/>
  </w:num>
  <w:num w:numId="71">
    <w:abstractNumId w:val="14"/>
  </w:num>
  <w:num w:numId="72">
    <w:abstractNumId w:val="21"/>
  </w:num>
  <w:num w:numId="73">
    <w:abstractNumId w:val="41"/>
  </w:num>
  <w:num w:numId="74">
    <w:abstractNumId w:val="3"/>
  </w:num>
  <w:num w:numId="75">
    <w:abstractNumId w:val="36"/>
  </w:num>
  <w:num w:numId="76">
    <w:abstractNumId w:val="6"/>
  </w:num>
  <w:num w:numId="77">
    <w:abstractNumId w:val="40"/>
  </w:num>
  <w:num w:numId="78">
    <w:abstractNumId w:val="17"/>
  </w:num>
  <w:num w:numId="79">
    <w:abstractNumId w:val="57"/>
  </w:num>
  <w:num w:numId="80">
    <w:abstractNumId w:val="4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004"/>
    <w:rsid w:val="000007A7"/>
    <w:rsid w:val="00000EDF"/>
    <w:rsid w:val="00001D60"/>
    <w:rsid w:val="00006811"/>
    <w:rsid w:val="00006E18"/>
    <w:rsid w:val="00007B38"/>
    <w:rsid w:val="00010A03"/>
    <w:rsid w:val="00010EAD"/>
    <w:rsid w:val="00011EC6"/>
    <w:rsid w:val="000123CB"/>
    <w:rsid w:val="00012468"/>
    <w:rsid w:val="00012C87"/>
    <w:rsid w:val="00014005"/>
    <w:rsid w:val="0001499D"/>
    <w:rsid w:val="00015999"/>
    <w:rsid w:val="00015BEF"/>
    <w:rsid w:val="00021DAF"/>
    <w:rsid w:val="00021F86"/>
    <w:rsid w:val="0002338D"/>
    <w:rsid w:val="00025252"/>
    <w:rsid w:val="00025868"/>
    <w:rsid w:val="00026A6C"/>
    <w:rsid w:val="00030CC2"/>
    <w:rsid w:val="00031943"/>
    <w:rsid w:val="000323E8"/>
    <w:rsid w:val="00032C5E"/>
    <w:rsid w:val="00032E03"/>
    <w:rsid w:val="000335A2"/>
    <w:rsid w:val="000338DB"/>
    <w:rsid w:val="000340D9"/>
    <w:rsid w:val="0003434A"/>
    <w:rsid w:val="00034DB8"/>
    <w:rsid w:val="00036AC9"/>
    <w:rsid w:val="00037190"/>
    <w:rsid w:val="00037E6A"/>
    <w:rsid w:val="000408B9"/>
    <w:rsid w:val="0004168D"/>
    <w:rsid w:val="00043A30"/>
    <w:rsid w:val="000471F5"/>
    <w:rsid w:val="00052548"/>
    <w:rsid w:val="00052A77"/>
    <w:rsid w:val="00052F2A"/>
    <w:rsid w:val="00053B07"/>
    <w:rsid w:val="00054725"/>
    <w:rsid w:val="000568AF"/>
    <w:rsid w:val="00057763"/>
    <w:rsid w:val="00057EBB"/>
    <w:rsid w:val="000624F8"/>
    <w:rsid w:val="00062AAA"/>
    <w:rsid w:val="00063130"/>
    <w:rsid w:val="00064B6F"/>
    <w:rsid w:val="000658D6"/>
    <w:rsid w:val="00065B8C"/>
    <w:rsid w:val="00070410"/>
    <w:rsid w:val="0007122B"/>
    <w:rsid w:val="00071288"/>
    <w:rsid w:val="0007171B"/>
    <w:rsid w:val="00074719"/>
    <w:rsid w:val="00076254"/>
    <w:rsid w:val="000764C2"/>
    <w:rsid w:val="000769BD"/>
    <w:rsid w:val="00077276"/>
    <w:rsid w:val="00080644"/>
    <w:rsid w:val="000808A2"/>
    <w:rsid w:val="00080D98"/>
    <w:rsid w:val="00080F8D"/>
    <w:rsid w:val="00081296"/>
    <w:rsid w:val="0008442A"/>
    <w:rsid w:val="00090081"/>
    <w:rsid w:val="000909C9"/>
    <w:rsid w:val="00093DC8"/>
    <w:rsid w:val="0009480A"/>
    <w:rsid w:val="000A0FF5"/>
    <w:rsid w:val="000A294E"/>
    <w:rsid w:val="000A2C1A"/>
    <w:rsid w:val="000A2DA8"/>
    <w:rsid w:val="000A7279"/>
    <w:rsid w:val="000B4C65"/>
    <w:rsid w:val="000B57EA"/>
    <w:rsid w:val="000C3016"/>
    <w:rsid w:val="000C3669"/>
    <w:rsid w:val="000C4835"/>
    <w:rsid w:val="000C75D2"/>
    <w:rsid w:val="000D2934"/>
    <w:rsid w:val="000D2EF5"/>
    <w:rsid w:val="000D306A"/>
    <w:rsid w:val="000D352F"/>
    <w:rsid w:val="000D47CB"/>
    <w:rsid w:val="000D48F2"/>
    <w:rsid w:val="000D5537"/>
    <w:rsid w:val="000D5A5B"/>
    <w:rsid w:val="000D5F22"/>
    <w:rsid w:val="000D604B"/>
    <w:rsid w:val="000D6674"/>
    <w:rsid w:val="000D7DD1"/>
    <w:rsid w:val="000E010E"/>
    <w:rsid w:val="000E2389"/>
    <w:rsid w:val="000E673A"/>
    <w:rsid w:val="000E6FC1"/>
    <w:rsid w:val="000E7EA6"/>
    <w:rsid w:val="000F31AC"/>
    <w:rsid w:val="000F35F1"/>
    <w:rsid w:val="000F406C"/>
    <w:rsid w:val="000F44C8"/>
    <w:rsid w:val="000F50C3"/>
    <w:rsid w:val="000F59BC"/>
    <w:rsid w:val="000F70D9"/>
    <w:rsid w:val="000F74F5"/>
    <w:rsid w:val="001003FB"/>
    <w:rsid w:val="00100ED7"/>
    <w:rsid w:val="00101016"/>
    <w:rsid w:val="00105372"/>
    <w:rsid w:val="0010649A"/>
    <w:rsid w:val="001069A5"/>
    <w:rsid w:val="00107B25"/>
    <w:rsid w:val="0011201A"/>
    <w:rsid w:val="0011209C"/>
    <w:rsid w:val="001121C1"/>
    <w:rsid w:val="00112904"/>
    <w:rsid w:val="0011340A"/>
    <w:rsid w:val="00113CB4"/>
    <w:rsid w:val="0011436A"/>
    <w:rsid w:val="00114BC5"/>
    <w:rsid w:val="00114FFF"/>
    <w:rsid w:val="00115D64"/>
    <w:rsid w:val="00117132"/>
    <w:rsid w:val="00122E1E"/>
    <w:rsid w:val="00125B89"/>
    <w:rsid w:val="00126862"/>
    <w:rsid w:val="00130A5F"/>
    <w:rsid w:val="00130BCD"/>
    <w:rsid w:val="00131156"/>
    <w:rsid w:val="001312AD"/>
    <w:rsid w:val="00131E7A"/>
    <w:rsid w:val="00132613"/>
    <w:rsid w:val="00133390"/>
    <w:rsid w:val="00133943"/>
    <w:rsid w:val="00133D21"/>
    <w:rsid w:val="0013473D"/>
    <w:rsid w:val="00134846"/>
    <w:rsid w:val="00134F3B"/>
    <w:rsid w:val="0013640B"/>
    <w:rsid w:val="00136953"/>
    <w:rsid w:val="001456AA"/>
    <w:rsid w:val="00146122"/>
    <w:rsid w:val="00147962"/>
    <w:rsid w:val="00147B3F"/>
    <w:rsid w:val="00150A4D"/>
    <w:rsid w:val="0015103A"/>
    <w:rsid w:val="001552B4"/>
    <w:rsid w:val="0015662C"/>
    <w:rsid w:val="001621F7"/>
    <w:rsid w:val="001627B6"/>
    <w:rsid w:val="00162C24"/>
    <w:rsid w:val="001634CD"/>
    <w:rsid w:val="00163F5E"/>
    <w:rsid w:val="001644C1"/>
    <w:rsid w:val="00164601"/>
    <w:rsid w:val="001648DB"/>
    <w:rsid w:val="0016533D"/>
    <w:rsid w:val="0016570F"/>
    <w:rsid w:val="00165778"/>
    <w:rsid w:val="00167916"/>
    <w:rsid w:val="00172AF6"/>
    <w:rsid w:val="00173F68"/>
    <w:rsid w:val="0017470C"/>
    <w:rsid w:val="0017497C"/>
    <w:rsid w:val="00174BBF"/>
    <w:rsid w:val="00176123"/>
    <w:rsid w:val="001764FF"/>
    <w:rsid w:val="00176890"/>
    <w:rsid w:val="00176CEE"/>
    <w:rsid w:val="00176D50"/>
    <w:rsid w:val="001773E3"/>
    <w:rsid w:val="001800D3"/>
    <w:rsid w:val="00181A6A"/>
    <w:rsid w:val="0018234F"/>
    <w:rsid w:val="001832AC"/>
    <w:rsid w:val="001849F9"/>
    <w:rsid w:val="00184EA4"/>
    <w:rsid w:val="001859FF"/>
    <w:rsid w:val="00185D9D"/>
    <w:rsid w:val="00186073"/>
    <w:rsid w:val="001860DC"/>
    <w:rsid w:val="00186474"/>
    <w:rsid w:val="00186C83"/>
    <w:rsid w:val="00186DD8"/>
    <w:rsid w:val="00186DFF"/>
    <w:rsid w:val="00187DF4"/>
    <w:rsid w:val="00190852"/>
    <w:rsid w:val="001930AD"/>
    <w:rsid w:val="00193570"/>
    <w:rsid w:val="0019379D"/>
    <w:rsid w:val="00195F8C"/>
    <w:rsid w:val="00196589"/>
    <w:rsid w:val="001A0884"/>
    <w:rsid w:val="001A3FA2"/>
    <w:rsid w:val="001A416D"/>
    <w:rsid w:val="001A7105"/>
    <w:rsid w:val="001A716F"/>
    <w:rsid w:val="001A7ECB"/>
    <w:rsid w:val="001B0AFC"/>
    <w:rsid w:val="001B13FE"/>
    <w:rsid w:val="001B1BB8"/>
    <w:rsid w:val="001B1E9E"/>
    <w:rsid w:val="001B2E65"/>
    <w:rsid w:val="001B70F0"/>
    <w:rsid w:val="001C6156"/>
    <w:rsid w:val="001C62D1"/>
    <w:rsid w:val="001D0B1D"/>
    <w:rsid w:val="001D26CE"/>
    <w:rsid w:val="001D34E6"/>
    <w:rsid w:val="001D3996"/>
    <w:rsid w:val="001D3F0D"/>
    <w:rsid w:val="001D4C1D"/>
    <w:rsid w:val="001D56BD"/>
    <w:rsid w:val="001D6F0B"/>
    <w:rsid w:val="001D77A0"/>
    <w:rsid w:val="001E048E"/>
    <w:rsid w:val="001E0562"/>
    <w:rsid w:val="001E2CFA"/>
    <w:rsid w:val="001E5050"/>
    <w:rsid w:val="001E699E"/>
    <w:rsid w:val="001E74D7"/>
    <w:rsid w:val="001F0073"/>
    <w:rsid w:val="001F334E"/>
    <w:rsid w:val="001F43B9"/>
    <w:rsid w:val="001F5C53"/>
    <w:rsid w:val="001F7248"/>
    <w:rsid w:val="001F7B48"/>
    <w:rsid w:val="002002E8"/>
    <w:rsid w:val="00200A34"/>
    <w:rsid w:val="00201B75"/>
    <w:rsid w:val="002023E0"/>
    <w:rsid w:val="00204252"/>
    <w:rsid w:val="00204F61"/>
    <w:rsid w:val="00205049"/>
    <w:rsid w:val="002051A7"/>
    <w:rsid w:val="00205562"/>
    <w:rsid w:val="00205668"/>
    <w:rsid w:val="002061C3"/>
    <w:rsid w:val="0020626D"/>
    <w:rsid w:val="00206819"/>
    <w:rsid w:val="00210055"/>
    <w:rsid w:val="002118B8"/>
    <w:rsid w:val="00214660"/>
    <w:rsid w:val="002154C0"/>
    <w:rsid w:val="002160DE"/>
    <w:rsid w:val="00220F5E"/>
    <w:rsid w:val="00221240"/>
    <w:rsid w:val="0022166E"/>
    <w:rsid w:val="00224295"/>
    <w:rsid w:val="002253F6"/>
    <w:rsid w:val="00227310"/>
    <w:rsid w:val="00230E58"/>
    <w:rsid w:val="0023190E"/>
    <w:rsid w:val="00231D9C"/>
    <w:rsid w:val="00232673"/>
    <w:rsid w:val="00232B3E"/>
    <w:rsid w:val="00235E0E"/>
    <w:rsid w:val="0023618A"/>
    <w:rsid w:val="002415B4"/>
    <w:rsid w:val="0024659F"/>
    <w:rsid w:val="00247041"/>
    <w:rsid w:val="002501BE"/>
    <w:rsid w:val="00251DBA"/>
    <w:rsid w:val="002536AE"/>
    <w:rsid w:val="0025679F"/>
    <w:rsid w:val="002569BF"/>
    <w:rsid w:val="002616CD"/>
    <w:rsid w:val="002619C7"/>
    <w:rsid w:val="00262757"/>
    <w:rsid w:val="00263484"/>
    <w:rsid w:val="00264986"/>
    <w:rsid w:val="00264C47"/>
    <w:rsid w:val="002712E6"/>
    <w:rsid w:val="00272191"/>
    <w:rsid w:val="002723AB"/>
    <w:rsid w:val="002732B8"/>
    <w:rsid w:val="00273607"/>
    <w:rsid w:val="00273EF7"/>
    <w:rsid w:val="002756B3"/>
    <w:rsid w:val="002760AB"/>
    <w:rsid w:val="002776B5"/>
    <w:rsid w:val="00281CB4"/>
    <w:rsid w:val="00284B0B"/>
    <w:rsid w:val="00286125"/>
    <w:rsid w:val="0028676F"/>
    <w:rsid w:val="00290AD0"/>
    <w:rsid w:val="00291094"/>
    <w:rsid w:val="00291121"/>
    <w:rsid w:val="002916C6"/>
    <w:rsid w:val="002927D5"/>
    <w:rsid w:val="0029282F"/>
    <w:rsid w:val="00292A85"/>
    <w:rsid w:val="00293E4D"/>
    <w:rsid w:val="0029406E"/>
    <w:rsid w:val="0029507D"/>
    <w:rsid w:val="00295C50"/>
    <w:rsid w:val="00296116"/>
    <w:rsid w:val="0029691B"/>
    <w:rsid w:val="002974BD"/>
    <w:rsid w:val="002A03D0"/>
    <w:rsid w:val="002A2029"/>
    <w:rsid w:val="002A3433"/>
    <w:rsid w:val="002A3542"/>
    <w:rsid w:val="002A3CDF"/>
    <w:rsid w:val="002A64C3"/>
    <w:rsid w:val="002B3AF5"/>
    <w:rsid w:val="002B493D"/>
    <w:rsid w:val="002B617F"/>
    <w:rsid w:val="002B63C1"/>
    <w:rsid w:val="002B63FE"/>
    <w:rsid w:val="002B6F31"/>
    <w:rsid w:val="002C0A15"/>
    <w:rsid w:val="002C17A7"/>
    <w:rsid w:val="002C3319"/>
    <w:rsid w:val="002C365C"/>
    <w:rsid w:val="002C38BF"/>
    <w:rsid w:val="002C577B"/>
    <w:rsid w:val="002C72F1"/>
    <w:rsid w:val="002C7AE0"/>
    <w:rsid w:val="002D009F"/>
    <w:rsid w:val="002D0172"/>
    <w:rsid w:val="002D12F3"/>
    <w:rsid w:val="002D68E5"/>
    <w:rsid w:val="002D7198"/>
    <w:rsid w:val="002E2838"/>
    <w:rsid w:val="002E43D4"/>
    <w:rsid w:val="002E522D"/>
    <w:rsid w:val="002F029C"/>
    <w:rsid w:val="002F1AB6"/>
    <w:rsid w:val="002F2756"/>
    <w:rsid w:val="002F698F"/>
    <w:rsid w:val="002F6D54"/>
    <w:rsid w:val="003005E9"/>
    <w:rsid w:val="0030169D"/>
    <w:rsid w:val="00302582"/>
    <w:rsid w:val="00303403"/>
    <w:rsid w:val="00303D27"/>
    <w:rsid w:val="00304587"/>
    <w:rsid w:val="00304874"/>
    <w:rsid w:val="003050AF"/>
    <w:rsid w:val="00305977"/>
    <w:rsid w:val="003060EB"/>
    <w:rsid w:val="0030668B"/>
    <w:rsid w:val="00306B74"/>
    <w:rsid w:val="003076A4"/>
    <w:rsid w:val="00307EA8"/>
    <w:rsid w:val="00311791"/>
    <w:rsid w:val="00311C94"/>
    <w:rsid w:val="00312C7C"/>
    <w:rsid w:val="0031375F"/>
    <w:rsid w:val="00313CF4"/>
    <w:rsid w:val="003153EB"/>
    <w:rsid w:val="0032014C"/>
    <w:rsid w:val="003203F8"/>
    <w:rsid w:val="00321002"/>
    <w:rsid w:val="003215C6"/>
    <w:rsid w:val="00321985"/>
    <w:rsid w:val="00321B70"/>
    <w:rsid w:val="00321EA2"/>
    <w:rsid w:val="00323A7C"/>
    <w:rsid w:val="0032420D"/>
    <w:rsid w:val="00325638"/>
    <w:rsid w:val="003273A3"/>
    <w:rsid w:val="003276E0"/>
    <w:rsid w:val="0032770E"/>
    <w:rsid w:val="00330F29"/>
    <w:rsid w:val="003317FA"/>
    <w:rsid w:val="00331805"/>
    <w:rsid w:val="00331A8C"/>
    <w:rsid w:val="00331FAB"/>
    <w:rsid w:val="0033374B"/>
    <w:rsid w:val="0033388A"/>
    <w:rsid w:val="00333ED5"/>
    <w:rsid w:val="003347D0"/>
    <w:rsid w:val="00336586"/>
    <w:rsid w:val="00340066"/>
    <w:rsid w:val="00340555"/>
    <w:rsid w:val="00340BBB"/>
    <w:rsid w:val="00340E6F"/>
    <w:rsid w:val="00342F7B"/>
    <w:rsid w:val="00345105"/>
    <w:rsid w:val="003455D0"/>
    <w:rsid w:val="00345F22"/>
    <w:rsid w:val="00350DC6"/>
    <w:rsid w:val="00350F43"/>
    <w:rsid w:val="003510DE"/>
    <w:rsid w:val="00351205"/>
    <w:rsid w:val="003517BA"/>
    <w:rsid w:val="003527C3"/>
    <w:rsid w:val="0035554C"/>
    <w:rsid w:val="00356385"/>
    <w:rsid w:val="0035785B"/>
    <w:rsid w:val="00357CA7"/>
    <w:rsid w:val="0036032F"/>
    <w:rsid w:val="00363651"/>
    <w:rsid w:val="00366AA7"/>
    <w:rsid w:val="0036722B"/>
    <w:rsid w:val="00371CA9"/>
    <w:rsid w:val="00372885"/>
    <w:rsid w:val="00372F74"/>
    <w:rsid w:val="003737EE"/>
    <w:rsid w:val="00373F02"/>
    <w:rsid w:val="0037499F"/>
    <w:rsid w:val="00375936"/>
    <w:rsid w:val="003763E2"/>
    <w:rsid w:val="0037657C"/>
    <w:rsid w:val="003818DB"/>
    <w:rsid w:val="003826EF"/>
    <w:rsid w:val="00383A62"/>
    <w:rsid w:val="0038773C"/>
    <w:rsid w:val="00387B55"/>
    <w:rsid w:val="003908B4"/>
    <w:rsid w:val="00391F3B"/>
    <w:rsid w:val="0039648B"/>
    <w:rsid w:val="0039648E"/>
    <w:rsid w:val="0039712A"/>
    <w:rsid w:val="0039785F"/>
    <w:rsid w:val="003A2F6C"/>
    <w:rsid w:val="003A4681"/>
    <w:rsid w:val="003A5952"/>
    <w:rsid w:val="003A696B"/>
    <w:rsid w:val="003B242B"/>
    <w:rsid w:val="003B315D"/>
    <w:rsid w:val="003B530C"/>
    <w:rsid w:val="003B589D"/>
    <w:rsid w:val="003B6595"/>
    <w:rsid w:val="003B663F"/>
    <w:rsid w:val="003B6F58"/>
    <w:rsid w:val="003B74C8"/>
    <w:rsid w:val="003C0967"/>
    <w:rsid w:val="003C1046"/>
    <w:rsid w:val="003C1C0A"/>
    <w:rsid w:val="003C65A8"/>
    <w:rsid w:val="003C776C"/>
    <w:rsid w:val="003C7EFF"/>
    <w:rsid w:val="003D1B0B"/>
    <w:rsid w:val="003D1E39"/>
    <w:rsid w:val="003D2C80"/>
    <w:rsid w:val="003D37DF"/>
    <w:rsid w:val="003D4511"/>
    <w:rsid w:val="003D4CF2"/>
    <w:rsid w:val="003D5A24"/>
    <w:rsid w:val="003D6667"/>
    <w:rsid w:val="003E0904"/>
    <w:rsid w:val="003E1277"/>
    <w:rsid w:val="003E15C6"/>
    <w:rsid w:val="003E1E13"/>
    <w:rsid w:val="003E2693"/>
    <w:rsid w:val="003E48D9"/>
    <w:rsid w:val="003E6C80"/>
    <w:rsid w:val="003E6F54"/>
    <w:rsid w:val="003F25D6"/>
    <w:rsid w:val="003F28A3"/>
    <w:rsid w:val="003F3299"/>
    <w:rsid w:val="003F7224"/>
    <w:rsid w:val="00400B2B"/>
    <w:rsid w:val="004014BD"/>
    <w:rsid w:val="0040279C"/>
    <w:rsid w:val="00402AC8"/>
    <w:rsid w:val="004034C7"/>
    <w:rsid w:val="00403C11"/>
    <w:rsid w:val="00404019"/>
    <w:rsid w:val="004040AD"/>
    <w:rsid w:val="00410171"/>
    <w:rsid w:val="00411C88"/>
    <w:rsid w:val="004121D1"/>
    <w:rsid w:val="00412F82"/>
    <w:rsid w:val="004161EF"/>
    <w:rsid w:val="004176F0"/>
    <w:rsid w:val="00421245"/>
    <w:rsid w:val="0042152B"/>
    <w:rsid w:val="00421BAA"/>
    <w:rsid w:val="00421C36"/>
    <w:rsid w:val="00423955"/>
    <w:rsid w:val="00424702"/>
    <w:rsid w:val="0042472B"/>
    <w:rsid w:val="0042546F"/>
    <w:rsid w:val="00425A94"/>
    <w:rsid w:val="00427406"/>
    <w:rsid w:val="00427D21"/>
    <w:rsid w:val="0043054E"/>
    <w:rsid w:val="00431921"/>
    <w:rsid w:val="0043199C"/>
    <w:rsid w:val="00431AB8"/>
    <w:rsid w:val="004334AE"/>
    <w:rsid w:val="004377E5"/>
    <w:rsid w:val="004417AD"/>
    <w:rsid w:val="004504EC"/>
    <w:rsid w:val="00451547"/>
    <w:rsid w:val="00451A2B"/>
    <w:rsid w:val="00453C1D"/>
    <w:rsid w:val="00453FCA"/>
    <w:rsid w:val="00454560"/>
    <w:rsid w:val="00457BFB"/>
    <w:rsid w:val="00460A07"/>
    <w:rsid w:val="004627D0"/>
    <w:rsid w:val="004644C2"/>
    <w:rsid w:val="00464983"/>
    <w:rsid w:val="00464EA9"/>
    <w:rsid w:val="00467A83"/>
    <w:rsid w:val="00467F9C"/>
    <w:rsid w:val="004713BE"/>
    <w:rsid w:val="004719C0"/>
    <w:rsid w:val="00472E2A"/>
    <w:rsid w:val="00473F18"/>
    <w:rsid w:val="00474579"/>
    <w:rsid w:val="00474881"/>
    <w:rsid w:val="00475344"/>
    <w:rsid w:val="00475A48"/>
    <w:rsid w:val="0047794B"/>
    <w:rsid w:val="00480BA3"/>
    <w:rsid w:val="00481A66"/>
    <w:rsid w:val="0048280C"/>
    <w:rsid w:val="004838A8"/>
    <w:rsid w:val="0048394B"/>
    <w:rsid w:val="00484134"/>
    <w:rsid w:val="00484C8D"/>
    <w:rsid w:val="00487985"/>
    <w:rsid w:val="00487FCD"/>
    <w:rsid w:val="00490C7E"/>
    <w:rsid w:val="00490F1D"/>
    <w:rsid w:val="00491D6D"/>
    <w:rsid w:val="00492C02"/>
    <w:rsid w:val="00493477"/>
    <w:rsid w:val="004A0A4A"/>
    <w:rsid w:val="004A0A52"/>
    <w:rsid w:val="004A24AD"/>
    <w:rsid w:val="004A32FD"/>
    <w:rsid w:val="004A453F"/>
    <w:rsid w:val="004A567E"/>
    <w:rsid w:val="004B2A6B"/>
    <w:rsid w:val="004B3E4A"/>
    <w:rsid w:val="004B42E7"/>
    <w:rsid w:val="004B5808"/>
    <w:rsid w:val="004B5AD9"/>
    <w:rsid w:val="004B69AA"/>
    <w:rsid w:val="004C047C"/>
    <w:rsid w:val="004C1BC4"/>
    <w:rsid w:val="004C3BC6"/>
    <w:rsid w:val="004C3E5F"/>
    <w:rsid w:val="004C3F74"/>
    <w:rsid w:val="004C51F6"/>
    <w:rsid w:val="004C57D1"/>
    <w:rsid w:val="004C5823"/>
    <w:rsid w:val="004C5D4B"/>
    <w:rsid w:val="004C6720"/>
    <w:rsid w:val="004D0012"/>
    <w:rsid w:val="004D0672"/>
    <w:rsid w:val="004D167D"/>
    <w:rsid w:val="004D1AA7"/>
    <w:rsid w:val="004D225C"/>
    <w:rsid w:val="004D227E"/>
    <w:rsid w:val="004D2D31"/>
    <w:rsid w:val="004D32DE"/>
    <w:rsid w:val="004D3EB9"/>
    <w:rsid w:val="004D4B6A"/>
    <w:rsid w:val="004D76D8"/>
    <w:rsid w:val="004E084E"/>
    <w:rsid w:val="004E0E85"/>
    <w:rsid w:val="004E1B50"/>
    <w:rsid w:val="004E1E12"/>
    <w:rsid w:val="004E324A"/>
    <w:rsid w:val="004E5E47"/>
    <w:rsid w:val="004E6EC8"/>
    <w:rsid w:val="004E7089"/>
    <w:rsid w:val="004F5A6C"/>
    <w:rsid w:val="004F79BC"/>
    <w:rsid w:val="004F7FA0"/>
    <w:rsid w:val="005010B3"/>
    <w:rsid w:val="00503375"/>
    <w:rsid w:val="0050524B"/>
    <w:rsid w:val="005060DA"/>
    <w:rsid w:val="0050612A"/>
    <w:rsid w:val="0050723B"/>
    <w:rsid w:val="00507F1A"/>
    <w:rsid w:val="005103A9"/>
    <w:rsid w:val="0051054A"/>
    <w:rsid w:val="00511C04"/>
    <w:rsid w:val="00512491"/>
    <w:rsid w:val="00513018"/>
    <w:rsid w:val="005132C5"/>
    <w:rsid w:val="00515A12"/>
    <w:rsid w:val="00515ADF"/>
    <w:rsid w:val="00515C13"/>
    <w:rsid w:val="00516309"/>
    <w:rsid w:val="00516EA0"/>
    <w:rsid w:val="00517044"/>
    <w:rsid w:val="00520A4F"/>
    <w:rsid w:val="00522239"/>
    <w:rsid w:val="00524E37"/>
    <w:rsid w:val="0052538E"/>
    <w:rsid w:val="00525F41"/>
    <w:rsid w:val="00526EF1"/>
    <w:rsid w:val="00527D9E"/>
    <w:rsid w:val="00530DB5"/>
    <w:rsid w:val="00531C6D"/>
    <w:rsid w:val="00534292"/>
    <w:rsid w:val="005344B8"/>
    <w:rsid w:val="00534681"/>
    <w:rsid w:val="00536DBD"/>
    <w:rsid w:val="00536EA2"/>
    <w:rsid w:val="005402C5"/>
    <w:rsid w:val="00545A7B"/>
    <w:rsid w:val="00550034"/>
    <w:rsid w:val="005505B6"/>
    <w:rsid w:val="00550824"/>
    <w:rsid w:val="005523B4"/>
    <w:rsid w:val="00552470"/>
    <w:rsid w:val="0055383B"/>
    <w:rsid w:val="0055395B"/>
    <w:rsid w:val="005546E6"/>
    <w:rsid w:val="005548F9"/>
    <w:rsid w:val="00554E28"/>
    <w:rsid w:val="005555CD"/>
    <w:rsid w:val="00556016"/>
    <w:rsid w:val="005561BA"/>
    <w:rsid w:val="005566FF"/>
    <w:rsid w:val="00557494"/>
    <w:rsid w:val="00561370"/>
    <w:rsid w:val="005632B9"/>
    <w:rsid w:val="00563442"/>
    <w:rsid w:val="0056434D"/>
    <w:rsid w:val="00564C59"/>
    <w:rsid w:val="0056587B"/>
    <w:rsid w:val="00565B42"/>
    <w:rsid w:val="00566089"/>
    <w:rsid w:val="005676EE"/>
    <w:rsid w:val="00567ABC"/>
    <w:rsid w:val="00567C85"/>
    <w:rsid w:val="0057052F"/>
    <w:rsid w:val="00570674"/>
    <w:rsid w:val="00570F53"/>
    <w:rsid w:val="0057158B"/>
    <w:rsid w:val="0057277E"/>
    <w:rsid w:val="005728EB"/>
    <w:rsid w:val="00572A85"/>
    <w:rsid w:val="0057380B"/>
    <w:rsid w:val="00573A52"/>
    <w:rsid w:val="00573D57"/>
    <w:rsid w:val="00575B9B"/>
    <w:rsid w:val="00575C41"/>
    <w:rsid w:val="0057652E"/>
    <w:rsid w:val="005773A4"/>
    <w:rsid w:val="00580C74"/>
    <w:rsid w:val="0058174E"/>
    <w:rsid w:val="00581B42"/>
    <w:rsid w:val="00581D79"/>
    <w:rsid w:val="0058469B"/>
    <w:rsid w:val="0058515D"/>
    <w:rsid w:val="00585690"/>
    <w:rsid w:val="0058580E"/>
    <w:rsid w:val="005864CF"/>
    <w:rsid w:val="00590794"/>
    <w:rsid w:val="00590B2B"/>
    <w:rsid w:val="00592BC3"/>
    <w:rsid w:val="0059441A"/>
    <w:rsid w:val="005948A5"/>
    <w:rsid w:val="005965C8"/>
    <w:rsid w:val="00596D1A"/>
    <w:rsid w:val="00597B9C"/>
    <w:rsid w:val="005A12C8"/>
    <w:rsid w:val="005A224E"/>
    <w:rsid w:val="005A2B0E"/>
    <w:rsid w:val="005A32B0"/>
    <w:rsid w:val="005A462A"/>
    <w:rsid w:val="005A4961"/>
    <w:rsid w:val="005B11CD"/>
    <w:rsid w:val="005B653B"/>
    <w:rsid w:val="005C02EB"/>
    <w:rsid w:val="005C1A9B"/>
    <w:rsid w:val="005C2C16"/>
    <w:rsid w:val="005C3E9A"/>
    <w:rsid w:val="005C4CE6"/>
    <w:rsid w:val="005C5A0A"/>
    <w:rsid w:val="005C5B01"/>
    <w:rsid w:val="005C61EA"/>
    <w:rsid w:val="005C7062"/>
    <w:rsid w:val="005D089E"/>
    <w:rsid w:val="005D2BB8"/>
    <w:rsid w:val="005D2F9F"/>
    <w:rsid w:val="005D3A38"/>
    <w:rsid w:val="005D3B03"/>
    <w:rsid w:val="005D49EE"/>
    <w:rsid w:val="005D52E1"/>
    <w:rsid w:val="005D5703"/>
    <w:rsid w:val="005D6A28"/>
    <w:rsid w:val="005D71A8"/>
    <w:rsid w:val="005E1199"/>
    <w:rsid w:val="005E1934"/>
    <w:rsid w:val="005E1B7B"/>
    <w:rsid w:val="005E2117"/>
    <w:rsid w:val="005E2728"/>
    <w:rsid w:val="005E3D6D"/>
    <w:rsid w:val="005E585E"/>
    <w:rsid w:val="005E5F4D"/>
    <w:rsid w:val="005E616B"/>
    <w:rsid w:val="005E6C43"/>
    <w:rsid w:val="005E7886"/>
    <w:rsid w:val="005F0402"/>
    <w:rsid w:val="005F0A18"/>
    <w:rsid w:val="005F2ABF"/>
    <w:rsid w:val="005F3636"/>
    <w:rsid w:val="005F376D"/>
    <w:rsid w:val="005F3D6C"/>
    <w:rsid w:val="005F5C8A"/>
    <w:rsid w:val="005F7079"/>
    <w:rsid w:val="005F7243"/>
    <w:rsid w:val="005F7431"/>
    <w:rsid w:val="005F796E"/>
    <w:rsid w:val="00601679"/>
    <w:rsid w:val="00604EC6"/>
    <w:rsid w:val="0060509D"/>
    <w:rsid w:val="006075BA"/>
    <w:rsid w:val="00607AF2"/>
    <w:rsid w:val="00610AAA"/>
    <w:rsid w:val="00610C07"/>
    <w:rsid w:val="00611694"/>
    <w:rsid w:val="006122BA"/>
    <w:rsid w:val="00612A56"/>
    <w:rsid w:val="006136DC"/>
    <w:rsid w:val="00614CDF"/>
    <w:rsid w:val="0061563F"/>
    <w:rsid w:val="00621832"/>
    <w:rsid w:val="00621FF8"/>
    <w:rsid w:val="00623898"/>
    <w:rsid w:val="00627E5F"/>
    <w:rsid w:val="0063108D"/>
    <w:rsid w:val="0063334A"/>
    <w:rsid w:val="00633CE5"/>
    <w:rsid w:val="00633F92"/>
    <w:rsid w:val="00634337"/>
    <w:rsid w:val="00634F47"/>
    <w:rsid w:val="0063502C"/>
    <w:rsid w:val="00635CA4"/>
    <w:rsid w:val="00635EEF"/>
    <w:rsid w:val="00636925"/>
    <w:rsid w:val="00637EAE"/>
    <w:rsid w:val="00640551"/>
    <w:rsid w:val="006409FB"/>
    <w:rsid w:val="00642EED"/>
    <w:rsid w:val="00643921"/>
    <w:rsid w:val="0064427B"/>
    <w:rsid w:val="00644782"/>
    <w:rsid w:val="0064533A"/>
    <w:rsid w:val="00645677"/>
    <w:rsid w:val="00653B41"/>
    <w:rsid w:val="00654CCD"/>
    <w:rsid w:val="0065542C"/>
    <w:rsid w:val="00656344"/>
    <w:rsid w:val="0065663F"/>
    <w:rsid w:val="006577D9"/>
    <w:rsid w:val="00660937"/>
    <w:rsid w:val="00660C2A"/>
    <w:rsid w:val="00661123"/>
    <w:rsid w:val="0066182D"/>
    <w:rsid w:val="00663EAC"/>
    <w:rsid w:val="00665076"/>
    <w:rsid w:val="0066577A"/>
    <w:rsid w:val="00665B06"/>
    <w:rsid w:val="00667D8A"/>
    <w:rsid w:val="006704D2"/>
    <w:rsid w:val="00670F09"/>
    <w:rsid w:val="00671A99"/>
    <w:rsid w:val="00671C24"/>
    <w:rsid w:val="00672D4A"/>
    <w:rsid w:val="006759D9"/>
    <w:rsid w:val="00676BC3"/>
    <w:rsid w:val="0067726B"/>
    <w:rsid w:val="0068074B"/>
    <w:rsid w:val="006809AC"/>
    <w:rsid w:val="006830DB"/>
    <w:rsid w:val="0068326C"/>
    <w:rsid w:val="00683F3E"/>
    <w:rsid w:val="00685331"/>
    <w:rsid w:val="006864A2"/>
    <w:rsid w:val="00686F55"/>
    <w:rsid w:val="00690159"/>
    <w:rsid w:val="00690CC1"/>
    <w:rsid w:val="006925E1"/>
    <w:rsid w:val="006969B8"/>
    <w:rsid w:val="006A08E8"/>
    <w:rsid w:val="006A0E3E"/>
    <w:rsid w:val="006A5243"/>
    <w:rsid w:val="006A54EA"/>
    <w:rsid w:val="006A5667"/>
    <w:rsid w:val="006A61B8"/>
    <w:rsid w:val="006A628E"/>
    <w:rsid w:val="006A6551"/>
    <w:rsid w:val="006B2290"/>
    <w:rsid w:val="006B33A2"/>
    <w:rsid w:val="006B3933"/>
    <w:rsid w:val="006B4D8F"/>
    <w:rsid w:val="006B6F3A"/>
    <w:rsid w:val="006C1364"/>
    <w:rsid w:val="006C1864"/>
    <w:rsid w:val="006C2A76"/>
    <w:rsid w:val="006C33FF"/>
    <w:rsid w:val="006C37DB"/>
    <w:rsid w:val="006C68B5"/>
    <w:rsid w:val="006C70D2"/>
    <w:rsid w:val="006C712E"/>
    <w:rsid w:val="006D2219"/>
    <w:rsid w:val="006D2CFA"/>
    <w:rsid w:val="006D3515"/>
    <w:rsid w:val="006D3D60"/>
    <w:rsid w:val="006D4FB1"/>
    <w:rsid w:val="006D57FE"/>
    <w:rsid w:val="006D61E2"/>
    <w:rsid w:val="006D623D"/>
    <w:rsid w:val="006D6590"/>
    <w:rsid w:val="006D6FBA"/>
    <w:rsid w:val="006E07AE"/>
    <w:rsid w:val="006E0EFF"/>
    <w:rsid w:val="006E2286"/>
    <w:rsid w:val="006E2790"/>
    <w:rsid w:val="006E3643"/>
    <w:rsid w:val="006E437C"/>
    <w:rsid w:val="006E54E7"/>
    <w:rsid w:val="006E7F4F"/>
    <w:rsid w:val="006F0226"/>
    <w:rsid w:val="006F034F"/>
    <w:rsid w:val="006F0579"/>
    <w:rsid w:val="006F07B6"/>
    <w:rsid w:val="006F082E"/>
    <w:rsid w:val="006F1597"/>
    <w:rsid w:val="006F1726"/>
    <w:rsid w:val="006F1BD8"/>
    <w:rsid w:val="006F2FFC"/>
    <w:rsid w:val="006F3B0A"/>
    <w:rsid w:val="006F400A"/>
    <w:rsid w:val="006F4D1A"/>
    <w:rsid w:val="006F4FCE"/>
    <w:rsid w:val="006F6D7E"/>
    <w:rsid w:val="00700380"/>
    <w:rsid w:val="00702585"/>
    <w:rsid w:val="00702E94"/>
    <w:rsid w:val="00703639"/>
    <w:rsid w:val="007062BC"/>
    <w:rsid w:val="00707A9C"/>
    <w:rsid w:val="00710225"/>
    <w:rsid w:val="00710CD4"/>
    <w:rsid w:val="00710FC9"/>
    <w:rsid w:val="0071221A"/>
    <w:rsid w:val="00717D88"/>
    <w:rsid w:val="00720D88"/>
    <w:rsid w:val="00722193"/>
    <w:rsid w:val="0072548C"/>
    <w:rsid w:val="00725CFC"/>
    <w:rsid w:val="0073041D"/>
    <w:rsid w:val="00730626"/>
    <w:rsid w:val="0073102A"/>
    <w:rsid w:val="007311DA"/>
    <w:rsid w:val="007317A1"/>
    <w:rsid w:val="00731BDD"/>
    <w:rsid w:val="00731EB9"/>
    <w:rsid w:val="00732A02"/>
    <w:rsid w:val="007330D7"/>
    <w:rsid w:val="00733A79"/>
    <w:rsid w:val="00733F3E"/>
    <w:rsid w:val="00734E21"/>
    <w:rsid w:val="007372F4"/>
    <w:rsid w:val="00737458"/>
    <w:rsid w:val="00741E73"/>
    <w:rsid w:val="00743B13"/>
    <w:rsid w:val="007466A3"/>
    <w:rsid w:val="007512EE"/>
    <w:rsid w:val="00751A8F"/>
    <w:rsid w:val="00752251"/>
    <w:rsid w:val="007543FE"/>
    <w:rsid w:val="00757636"/>
    <w:rsid w:val="007578E8"/>
    <w:rsid w:val="007601D3"/>
    <w:rsid w:val="007604A6"/>
    <w:rsid w:val="0076056E"/>
    <w:rsid w:val="007608B4"/>
    <w:rsid w:val="007640BA"/>
    <w:rsid w:val="00765532"/>
    <w:rsid w:val="00765BC9"/>
    <w:rsid w:val="00765D00"/>
    <w:rsid w:val="00767BF3"/>
    <w:rsid w:val="00771F4C"/>
    <w:rsid w:val="00772220"/>
    <w:rsid w:val="007763F1"/>
    <w:rsid w:val="00785816"/>
    <w:rsid w:val="00786056"/>
    <w:rsid w:val="007860D7"/>
    <w:rsid w:val="00786799"/>
    <w:rsid w:val="00786D2A"/>
    <w:rsid w:val="007873EB"/>
    <w:rsid w:val="0079011C"/>
    <w:rsid w:val="00791484"/>
    <w:rsid w:val="007921B0"/>
    <w:rsid w:val="00792928"/>
    <w:rsid w:val="007937D9"/>
    <w:rsid w:val="00793B7B"/>
    <w:rsid w:val="00794280"/>
    <w:rsid w:val="007942D3"/>
    <w:rsid w:val="00794BCD"/>
    <w:rsid w:val="0079649C"/>
    <w:rsid w:val="007A1390"/>
    <w:rsid w:val="007A1674"/>
    <w:rsid w:val="007A321D"/>
    <w:rsid w:val="007A3C8A"/>
    <w:rsid w:val="007A71BA"/>
    <w:rsid w:val="007B2099"/>
    <w:rsid w:val="007B4D82"/>
    <w:rsid w:val="007B6C09"/>
    <w:rsid w:val="007B7741"/>
    <w:rsid w:val="007B7AF1"/>
    <w:rsid w:val="007B7CC5"/>
    <w:rsid w:val="007B7EBB"/>
    <w:rsid w:val="007C179D"/>
    <w:rsid w:val="007C19A8"/>
    <w:rsid w:val="007C41BF"/>
    <w:rsid w:val="007C4B38"/>
    <w:rsid w:val="007C6D48"/>
    <w:rsid w:val="007C741A"/>
    <w:rsid w:val="007D0296"/>
    <w:rsid w:val="007D0D42"/>
    <w:rsid w:val="007D130E"/>
    <w:rsid w:val="007D1DD0"/>
    <w:rsid w:val="007D2EB2"/>
    <w:rsid w:val="007D3664"/>
    <w:rsid w:val="007D3775"/>
    <w:rsid w:val="007D385A"/>
    <w:rsid w:val="007D3CB3"/>
    <w:rsid w:val="007E09DA"/>
    <w:rsid w:val="007E1745"/>
    <w:rsid w:val="007E1EE0"/>
    <w:rsid w:val="007E1FD8"/>
    <w:rsid w:val="007E2E4F"/>
    <w:rsid w:val="007E5686"/>
    <w:rsid w:val="007E5F08"/>
    <w:rsid w:val="007E6EAA"/>
    <w:rsid w:val="007E7B77"/>
    <w:rsid w:val="007E7D62"/>
    <w:rsid w:val="007F1366"/>
    <w:rsid w:val="007F3DB4"/>
    <w:rsid w:val="007F45A5"/>
    <w:rsid w:val="007F6524"/>
    <w:rsid w:val="007F7F83"/>
    <w:rsid w:val="00800222"/>
    <w:rsid w:val="00800629"/>
    <w:rsid w:val="00800D27"/>
    <w:rsid w:val="00801C08"/>
    <w:rsid w:val="0080358C"/>
    <w:rsid w:val="00803EEF"/>
    <w:rsid w:val="008043AB"/>
    <w:rsid w:val="00807B80"/>
    <w:rsid w:val="00807E6F"/>
    <w:rsid w:val="00807F84"/>
    <w:rsid w:val="00810A78"/>
    <w:rsid w:val="008132D8"/>
    <w:rsid w:val="00813663"/>
    <w:rsid w:val="00815B8D"/>
    <w:rsid w:val="0081710D"/>
    <w:rsid w:val="008178B6"/>
    <w:rsid w:val="0082007D"/>
    <w:rsid w:val="0082064C"/>
    <w:rsid w:val="00822B68"/>
    <w:rsid w:val="00822DF8"/>
    <w:rsid w:val="008236FF"/>
    <w:rsid w:val="0082799C"/>
    <w:rsid w:val="00830651"/>
    <w:rsid w:val="00830656"/>
    <w:rsid w:val="00832981"/>
    <w:rsid w:val="00834AFE"/>
    <w:rsid w:val="008370A3"/>
    <w:rsid w:val="00842150"/>
    <w:rsid w:val="008437A8"/>
    <w:rsid w:val="0084402D"/>
    <w:rsid w:val="0084458A"/>
    <w:rsid w:val="00844A99"/>
    <w:rsid w:val="00850E21"/>
    <w:rsid w:val="00851D82"/>
    <w:rsid w:val="008543CD"/>
    <w:rsid w:val="00854742"/>
    <w:rsid w:val="00854978"/>
    <w:rsid w:val="008562F2"/>
    <w:rsid w:val="00857F39"/>
    <w:rsid w:val="00863519"/>
    <w:rsid w:val="00864663"/>
    <w:rsid w:val="00864A84"/>
    <w:rsid w:val="008652FA"/>
    <w:rsid w:val="00865B74"/>
    <w:rsid w:val="00866F16"/>
    <w:rsid w:val="0086760F"/>
    <w:rsid w:val="008679B7"/>
    <w:rsid w:val="00871E4B"/>
    <w:rsid w:val="008730A3"/>
    <w:rsid w:val="0087317A"/>
    <w:rsid w:val="008737CE"/>
    <w:rsid w:val="008773B7"/>
    <w:rsid w:val="008807F5"/>
    <w:rsid w:val="00881532"/>
    <w:rsid w:val="00881E94"/>
    <w:rsid w:val="0088214B"/>
    <w:rsid w:val="00883AA1"/>
    <w:rsid w:val="00883BF1"/>
    <w:rsid w:val="00884DC0"/>
    <w:rsid w:val="00885260"/>
    <w:rsid w:val="00885A67"/>
    <w:rsid w:val="00886172"/>
    <w:rsid w:val="00890964"/>
    <w:rsid w:val="00891E36"/>
    <w:rsid w:val="00894613"/>
    <w:rsid w:val="00894E01"/>
    <w:rsid w:val="008950F5"/>
    <w:rsid w:val="00895447"/>
    <w:rsid w:val="00895849"/>
    <w:rsid w:val="008961C3"/>
    <w:rsid w:val="008965CA"/>
    <w:rsid w:val="008974F0"/>
    <w:rsid w:val="008A0919"/>
    <w:rsid w:val="008A0C01"/>
    <w:rsid w:val="008A32C8"/>
    <w:rsid w:val="008A4507"/>
    <w:rsid w:val="008A49C2"/>
    <w:rsid w:val="008B012A"/>
    <w:rsid w:val="008B0367"/>
    <w:rsid w:val="008B264F"/>
    <w:rsid w:val="008B3120"/>
    <w:rsid w:val="008B3FFD"/>
    <w:rsid w:val="008B45F2"/>
    <w:rsid w:val="008B4658"/>
    <w:rsid w:val="008C152B"/>
    <w:rsid w:val="008C1635"/>
    <w:rsid w:val="008C1D63"/>
    <w:rsid w:val="008C1E50"/>
    <w:rsid w:val="008C2255"/>
    <w:rsid w:val="008C3D16"/>
    <w:rsid w:val="008C7F5A"/>
    <w:rsid w:val="008D06A7"/>
    <w:rsid w:val="008D33A7"/>
    <w:rsid w:val="008D33E8"/>
    <w:rsid w:val="008D4FDB"/>
    <w:rsid w:val="008D5737"/>
    <w:rsid w:val="008D5DFB"/>
    <w:rsid w:val="008D63E8"/>
    <w:rsid w:val="008D67F7"/>
    <w:rsid w:val="008D7C48"/>
    <w:rsid w:val="008E1214"/>
    <w:rsid w:val="008E1B6A"/>
    <w:rsid w:val="008E2532"/>
    <w:rsid w:val="008E2B9E"/>
    <w:rsid w:val="008E32E9"/>
    <w:rsid w:val="008E4634"/>
    <w:rsid w:val="008E4CE3"/>
    <w:rsid w:val="008E6691"/>
    <w:rsid w:val="008F0A1C"/>
    <w:rsid w:val="008F0F56"/>
    <w:rsid w:val="008F1092"/>
    <w:rsid w:val="008F2734"/>
    <w:rsid w:val="008F50FE"/>
    <w:rsid w:val="008F5F37"/>
    <w:rsid w:val="008F6BE9"/>
    <w:rsid w:val="009002D6"/>
    <w:rsid w:val="00901ADD"/>
    <w:rsid w:val="00902602"/>
    <w:rsid w:val="00903657"/>
    <w:rsid w:val="00903A6C"/>
    <w:rsid w:val="00904962"/>
    <w:rsid w:val="00905433"/>
    <w:rsid w:val="00906E17"/>
    <w:rsid w:val="009071E4"/>
    <w:rsid w:val="00907BF2"/>
    <w:rsid w:val="009124AF"/>
    <w:rsid w:val="00912A54"/>
    <w:rsid w:val="00914519"/>
    <w:rsid w:val="009172EE"/>
    <w:rsid w:val="009208DD"/>
    <w:rsid w:val="00921FB8"/>
    <w:rsid w:val="009241B4"/>
    <w:rsid w:val="00926625"/>
    <w:rsid w:val="009266AD"/>
    <w:rsid w:val="00927160"/>
    <w:rsid w:val="0093049F"/>
    <w:rsid w:val="00930BA1"/>
    <w:rsid w:val="0093169E"/>
    <w:rsid w:val="00933166"/>
    <w:rsid w:val="0093322B"/>
    <w:rsid w:val="00933CC6"/>
    <w:rsid w:val="0093419C"/>
    <w:rsid w:val="009349B5"/>
    <w:rsid w:val="00937336"/>
    <w:rsid w:val="009408A7"/>
    <w:rsid w:val="0094160B"/>
    <w:rsid w:val="00942DE4"/>
    <w:rsid w:val="00944FB9"/>
    <w:rsid w:val="00945561"/>
    <w:rsid w:val="009479D0"/>
    <w:rsid w:val="00947EF4"/>
    <w:rsid w:val="009505C9"/>
    <w:rsid w:val="00950752"/>
    <w:rsid w:val="00952AFA"/>
    <w:rsid w:val="00953DEC"/>
    <w:rsid w:val="00954AD6"/>
    <w:rsid w:val="00954E0F"/>
    <w:rsid w:val="00955F63"/>
    <w:rsid w:val="00956DD1"/>
    <w:rsid w:val="00957C04"/>
    <w:rsid w:val="009603E7"/>
    <w:rsid w:val="0096325F"/>
    <w:rsid w:val="00963403"/>
    <w:rsid w:val="00963BC9"/>
    <w:rsid w:val="0096422F"/>
    <w:rsid w:val="009646D9"/>
    <w:rsid w:val="00966424"/>
    <w:rsid w:val="00966AFC"/>
    <w:rsid w:val="009714F1"/>
    <w:rsid w:val="0097263C"/>
    <w:rsid w:val="00972687"/>
    <w:rsid w:val="009738C8"/>
    <w:rsid w:val="0097588D"/>
    <w:rsid w:val="0097595D"/>
    <w:rsid w:val="009777E7"/>
    <w:rsid w:val="00977DA5"/>
    <w:rsid w:val="00980A19"/>
    <w:rsid w:val="009814AC"/>
    <w:rsid w:val="0098264C"/>
    <w:rsid w:val="009838D7"/>
    <w:rsid w:val="00983EB7"/>
    <w:rsid w:val="009843D8"/>
    <w:rsid w:val="00986697"/>
    <w:rsid w:val="009908D8"/>
    <w:rsid w:val="0099213A"/>
    <w:rsid w:val="00995971"/>
    <w:rsid w:val="00996833"/>
    <w:rsid w:val="00997276"/>
    <w:rsid w:val="0099764F"/>
    <w:rsid w:val="009A3F46"/>
    <w:rsid w:val="009A4D80"/>
    <w:rsid w:val="009A4D9F"/>
    <w:rsid w:val="009A6783"/>
    <w:rsid w:val="009B1C74"/>
    <w:rsid w:val="009B40F9"/>
    <w:rsid w:val="009B5596"/>
    <w:rsid w:val="009B59E7"/>
    <w:rsid w:val="009C1B85"/>
    <w:rsid w:val="009C1F04"/>
    <w:rsid w:val="009C2DE6"/>
    <w:rsid w:val="009C494E"/>
    <w:rsid w:val="009C5717"/>
    <w:rsid w:val="009C60D0"/>
    <w:rsid w:val="009D02D1"/>
    <w:rsid w:val="009D0B42"/>
    <w:rsid w:val="009D0E5D"/>
    <w:rsid w:val="009D0FA7"/>
    <w:rsid w:val="009D3685"/>
    <w:rsid w:val="009D479B"/>
    <w:rsid w:val="009D534B"/>
    <w:rsid w:val="009D7FBD"/>
    <w:rsid w:val="009E077A"/>
    <w:rsid w:val="009E0D8F"/>
    <w:rsid w:val="009E12A0"/>
    <w:rsid w:val="009E4BEA"/>
    <w:rsid w:val="009E6AF7"/>
    <w:rsid w:val="009E6B66"/>
    <w:rsid w:val="009E7B09"/>
    <w:rsid w:val="009E7D19"/>
    <w:rsid w:val="009F043F"/>
    <w:rsid w:val="009F048C"/>
    <w:rsid w:val="009F0841"/>
    <w:rsid w:val="009F0AAA"/>
    <w:rsid w:val="009F1C06"/>
    <w:rsid w:val="009F2E5F"/>
    <w:rsid w:val="009F3346"/>
    <w:rsid w:val="009F33F3"/>
    <w:rsid w:val="009F3B18"/>
    <w:rsid w:val="009F3DB9"/>
    <w:rsid w:val="009F437C"/>
    <w:rsid w:val="009F45B9"/>
    <w:rsid w:val="009F7B35"/>
    <w:rsid w:val="00A00B26"/>
    <w:rsid w:val="00A03A5A"/>
    <w:rsid w:val="00A03CCB"/>
    <w:rsid w:val="00A131C8"/>
    <w:rsid w:val="00A13632"/>
    <w:rsid w:val="00A13695"/>
    <w:rsid w:val="00A136C5"/>
    <w:rsid w:val="00A15063"/>
    <w:rsid w:val="00A15142"/>
    <w:rsid w:val="00A15C8F"/>
    <w:rsid w:val="00A15D45"/>
    <w:rsid w:val="00A2119E"/>
    <w:rsid w:val="00A248D6"/>
    <w:rsid w:val="00A250E1"/>
    <w:rsid w:val="00A25FDA"/>
    <w:rsid w:val="00A2614C"/>
    <w:rsid w:val="00A26586"/>
    <w:rsid w:val="00A30CCB"/>
    <w:rsid w:val="00A32368"/>
    <w:rsid w:val="00A336C1"/>
    <w:rsid w:val="00A34991"/>
    <w:rsid w:val="00A363C5"/>
    <w:rsid w:val="00A36A4E"/>
    <w:rsid w:val="00A4058F"/>
    <w:rsid w:val="00A426EE"/>
    <w:rsid w:val="00A4300B"/>
    <w:rsid w:val="00A450FB"/>
    <w:rsid w:val="00A46F1F"/>
    <w:rsid w:val="00A47488"/>
    <w:rsid w:val="00A4768F"/>
    <w:rsid w:val="00A505D5"/>
    <w:rsid w:val="00A52138"/>
    <w:rsid w:val="00A5276B"/>
    <w:rsid w:val="00A5296D"/>
    <w:rsid w:val="00A55C0A"/>
    <w:rsid w:val="00A56A38"/>
    <w:rsid w:val="00A57736"/>
    <w:rsid w:val="00A57E50"/>
    <w:rsid w:val="00A60844"/>
    <w:rsid w:val="00A60B83"/>
    <w:rsid w:val="00A60E4B"/>
    <w:rsid w:val="00A62E3D"/>
    <w:rsid w:val="00A714EC"/>
    <w:rsid w:val="00A71AB9"/>
    <w:rsid w:val="00A72373"/>
    <w:rsid w:val="00A727FD"/>
    <w:rsid w:val="00A7760B"/>
    <w:rsid w:val="00A804AB"/>
    <w:rsid w:val="00A81491"/>
    <w:rsid w:val="00A8172F"/>
    <w:rsid w:val="00A85281"/>
    <w:rsid w:val="00A86A13"/>
    <w:rsid w:val="00A86ED7"/>
    <w:rsid w:val="00A8720D"/>
    <w:rsid w:val="00A877D5"/>
    <w:rsid w:val="00A877ED"/>
    <w:rsid w:val="00A8785E"/>
    <w:rsid w:val="00A90862"/>
    <w:rsid w:val="00A90EB2"/>
    <w:rsid w:val="00A92B0E"/>
    <w:rsid w:val="00A97553"/>
    <w:rsid w:val="00AA00C3"/>
    <w:rsid w:val="00AA1983"/>
    <w:rsid w:val="00AA1F50"/>
    <w:rsid w:val="00AA2935"/>
    <w:rsid w:val="00AA36F0"/>
    <w:rsid w:val="00AA4935"/>
    <w:rsid w:val="00AA5E98"/>
    <w:rsid w:val="00AA5F69"/>
    <w:rsid w:val="00AA6799"/>
    <w:rsid w:val="00AA68E2"/>
    <w:rsid w:val="00AA6AC7"/>
    <w:rsid w:val="00AA6F92"/>
    <w:rsid w:val="00AB0634"/>
    <w:rsid w:val="00AB0A35"/>
    <w:rsid w:val="00AB131D"/>
    <w:rsid w:val="00AB1C57"/>
    <w:rsid w:val="00AB28EF"/>
    <w:rsid w:val="00AB334A"/>
    <w:rsid w:val="00AB3F0D"/>
    <w:rsid w:val="00AB3F85"/>
    <w:rsid w:val="00AB5585"/>
    <w:rsid w:val="00AB6934"/>
    <w:rsid w:val="00AC0814"/>
    <w:rsid w:val="00AC08CB"/>
    <w:rsid w:val="00AC2955"/>
    <w:rsid w:val="00AC2DDF"/>
    <w:rsid w:val="00AC3250"/>
    <w:rsid w:val="00AC40F0"/>
    <w:rsid w:val="00AC5477"/>
    <w:rsid w:val="00AC608B"/>
    <w:rsid w:val="00AD02EE"/>
    <w:rsid w:val="00AD064E"/>
    <w:rsid w:val="00AD077A"/>
    <w:rsid w:val="00AD2DAE"/>
    <w:rsid w:val="00AD32AB"/>
    <w:rsid w:val="00AD39FE"/>
    <w:rsid w:val="00AD4CD0"/>
    <w:rsid w:val="00AD6B21"/>
    <w:rsid w:val="00AD73E3"/>
    <w:rsid w:val="00AE0D1D"/>
    <w:rsid w:val="00AE4D9F"/>
    <w:rsid w:val="00AE7657"/>
    <w:rsid w:val="00AE7C97"/>
    <w:rsid w:val="00AE7F53"/>
    <w:rsid w:val="00AF083B"/>
    <w:rsid w:val="00AF42DE"/>
    <w:rsid w:val="00AF5FB4"/>
    <w:rsid w:val="00AF6C88"/>
    <w:rsid w:val="00AF711E"/>
    <w:rsid w:val="00AF76AD"/>
    <w:rsid w:val="00AF76E6"/>
    <w:rsid w:val="00B0053B"/>
    <w:rsid w:val="00B00CAA"/>
    <w:rsid w:val="00B0105D"/>
    <w:rsid w:val="00B0462A"/>
    <w:rsid w:val="00B04ECC"/>
    <w:rsid w:val="00B13297"/>
    <w:rsid w:val="00B1330A"/>
    <w:rsid w:val="00B147C0"/>
    <w:rsid w:val="00B147EE"/>
    <w:rsid w:val="00B150A2"/>
    <w:rsid w:val="00B16F16"/>
    <w:rsid w:val="00B174D2"/>
    <w:rsid w:val="00B20B06"/>
    <w:rsid w:val="00B21301"/>
    <w:rsid w:val="00B2490A"/>
    <w:rsid w:val="00B250B9"/>
    <w:rsid w:val="00B25AA5"/>
    <w:rsid w:val="00B25CF9"/>
    <w:rsid w:val="00B26231"/>
    <w:rsid w:val="00B26750"/>
    <w:rsid w:val="00B26CB5"/>
    <w:rsid w:val="00B30DFA"/>
    <w:rsid w:val="00B324FA"/>
    <w:rsid w:val="00B3369F"/>
    <w:rsid w:val="00B336DC"/>
    <w:rsid w:val="00B33DB6"/>
    <w:rsid w:val="00B34BB1"/>
    <w:rsid w:val="00B35405"/>
    <w:rsid w:val="00B355A1"/>
    <w:rsid w:val="00B3682D"/>
    <w:rsid w:val="00B402D9"/>
    <w:rsid w:val="00B42BE0"/>
    <w:rsid w:val="00B43A08"/>
    <w:rsid w:val="00B50235"/>
    <w:rsid w:val="00B5118C"/>
    <w:rsid w:val="00B5232C"/>
    <w:rsid w:val="00B52C99"/>
    <w:rsid w:val="00B54054"/>
    <w:rsid w:val="00B544DD"/>
    <w:rsid w:val="00B548B0"/>
    <w:rsid w:val="00B54956"/>
    <w:rsid w:val="00B54D87"/>
    <w:rsid w:val="00B57B99"/>
    <w:rsid w:val="00B60D6B"/>
    <w:rsid w:val="00B6128C"/>
    <w:rsid w:val="00B61CFB"/>
    <w:rsid w:val="00B63811"/>
    <w:rsid w:val="00B65091"/>
    <w:rsid w:val="00B65CFE"/>
    <w:rsid w:val="00B66DFA"/>
    <w:rsid w:val="00B66EBE"/>
    <w:rsid w:val="00B6767B"/>
    <w:rsid w:val="00B7128C"/>
    <w:rsid w:val="00B71582"/>
    <w:rsid w:val="00B71656"/>
    <w:rsid w:val="00B72AFF"/>
    <w:rsid w:val="00B74957"/>
    <w:rsid w:val="00B771BD"/>
    <w:rsid w:val="00B8063A"/>
    <w:rsid w:val="00B81B83"/>
    <w:rsid w:val="00B82828"/>
    <w:rsid w:val="00B83D33"/>
    <w:rsid w:val="00B857C2"/>
    <w:rsid w:val="00B86C78"/>
    <w:rsid w:val="00B87093"/>
    <w:rsid w:val="00B91189"/>
    <w:rsid w:val="00B913DF"/>
    <w:rsid w:val="00B91567"/>
    <w:rsid w:val="00B94A39"/>
    <w:rsid w:val="00B94E6C"/>
    <w:rsid w:val="00BA1BE3"/>
    <w:rsid w:val="00BA1F96"/>
    <w:rsid w:val="00BA2B62"/>
    <w:rsid w:val="00BA2CAD"/>
    <w:rsid w:val="00BA2E07"/>
    <w:rsid w:val="00BA41FC"/>
    <w:rsid w:val="00BA42F2"/>
    <w:rsid w:val="00BA4C15"/>
    <w:rsid w:val="00BA4EB3"/>
    <w:rsid w:val="00BA59B3"/>
    <w:rsid w:val="00BB01F5"/>
    <w:rsid w:val="00BB0E81"/>
    <w:rsid w:val="00BB1B38"/>
    <w:rsid w:val="00BB4606"/>
    <w:rsid w:val="00BB4C6A"/>
    <w:rsid w:val="00BB57B6"/>
    <w:rsid w:val="00BB722E"/>
    <w:rsid w:val="00BC082E"/>
    <w:rsid w:val="00BC4CAD"/>
    <w:rsid w:val="00BC50F7"/>
    <w:rsid w:val="00BC5354"/>
    <w:rsid w:val="00BC563C"/>
    <w:rsid w:val="00BC5A15"/>
    <w:rsid w:val="00BC5CAA"/>
    <w:rsid w:val="00BD0B4D"/>
    <w:rsid w:val="00BD1746"/>
    <w:rsid w:val="00BD2736"/>
    <w:rsid w:val="00BD67CB"/>
    <w:rsid w:val="00BD67DA"/>
    <w:rsid w:val="00BD7464"/>
    <w:rsid w:val="00BE14C1"/>
    <w:rsid w:val="00BE23A1"/>
    <w:rsid w:val="00BE2408"/>
    <w:rsid w:val="00BE2B1B"/>
    <w:rsid w:val="00BE3129"/>
    <w:rsid w:val="00BE4007"/>
    <w:rsid w:val="00BE4804"/>
    <w:rsid w:val="00BE4BE9"/>
    <w:rsid w:val="00BE594D"/>
    <w:rsid w:val="00BE7074"/>
    <w:rsid w:val="00BE777B"/>
    <w:rsid w:val="00BF0748"/>
    <w:rsid w:val="00BF15C4"/>
    <w:rsid w:val="00BF3212"/>
    <w:rsid w:val="00BF3D10"/>
    <w:rsid w:val="00BF4486"/>
    <w:rsid w:val="00BF48EB"/>
    <w:rsid w:val="00BF6FD0"/>
    <w:rsid w:val="00BF7131"/>
    <w:rsid w:val="00BF7422"/>
    <w:rsid w:val="00C01183"/>
    <w:rsid w:val="00C02AC0"/>
    <w:rsid w:val="00C02D48"/>
    <w:rsid w:val="00C0330C"/>
    <w:rsid w:val="00C05216"/>
    <w:rsid w:val="00C07601"/>
    <w:rsid w:val="00C105E8"/>
    <w:rsid w:val="00C1191F"/>
    <w:rsid w:val="00C12A40"/>
    <w:rsid w:val="00C1311E"/>
    <w:rsid w:val="00C142B1"/>
    <w:rsid w:val="00C143BF"/>
    <w:rsid w:val="00C1581E"/>
    <w:rsid w:val="00C15902"/>
    <w:rsid w:val="00C16D85"/>
    <w:rsid w:val="00C17C8D"/>
    <w:rsid w:val="00C219AF"/>
    <w:rsid w:val="00C221CA"/>
    <w:rsid w:val="00C23100"/>
    <w:rsid w:val="00C23B81"/>
    <w:rsid w:val="00C23D2F"/>
    <w:rsid w:val="00C23E3E"/>
    <w:rsid w:val="00C24950"/>
    <w:rsid w:val="00C26E3A"/>
    <w:rsid w:val="00C32021"/>
    <w:rsid w:val="00C33ECF"/>
    <w:rsid w:val="00C34B18"/>
    <w:rsid w:val="00C35204"/>
    <w:rsid w:val="00C36176"/>
    <w:rsid w:val="00C363C6"/>
    <w:rsid w:val="00C36ACD"/>
    <w:rsid w:val="00C40F45"/>
    <w:rsid w:val="00C41E21"/>
    <w:rsid w:val="00C42397"/>
    <w:rsid w:val="00C42689"/>
    <w:rsid w:val="00C443BD"/>
    <w:rsid w:val="00C451C5"/>
    <w:rsid w:val="00C45F41"/>
    <w:rsid w:val="00C46E92"/>
    <w:rsid w:val="00C46F93"/>
    <w:rsid w:val="00C5190F"/>
    <w:rsid w:val="00C51D03"/>
    <w:rsid w:val="00C51F6B"/>
    <w:rsid w:val="00C52093"/>
    <w:rsid w:val="00C521A8"/>
    <w:rsid w:val="00C5276C"/>
    <w:rsid w:val="00C52AE5"/>
    <w:rsid w:val="00C544B1"/>
    <w:rsid w:val="00C54725"/>
    <w:rsid w:val="00C5564D"/>
    <w:rsid w:val="00C571A3"/>
    <w:rsid w:val="00C57B0A"/>
    <w:rsid w:val="00C60425"/>
    <w:rsid w:val="00C62AC7"/>
    <w:rsid w:val="00C63478"/>
    <w:rsid w:val="00C64AB2"/>
    <w:rsid w:val="00C65BC0"/>
    <w:rsid w:val="00C66BA4"/>
    <w:rsid w:val="00C70A36"/>
    <w:rsid w:val="00C70E64"/>
    <w:rsid w:val="00C735F0"/>
    <w:rsid w:val="00C737BD"/>
    <w:rsid w:val="00C74DC7"/>
    <w:rsid w:val="00C772CB"/>
    <w:rsid w:val="00C8165A"/>
    <w:rsid w:val="00C8289E"/>
    <w:rsid w:val="00C832C3"/>
    <w:rsid w:val="00C8491B"/>
    <w:rsid w:val="00C912F8"/>
    <w:rsid w:val="00C9161D"/>
    <w:rsid w:val="00C91726"/>
    <w:rsid w:val="00C92C5B"/>
    <w:rsid w:val="00C935A1"/>
    <w:rsid w:val="00C9424B"/>
    <w:rsid w:val="00C97267"/>
    <w:rsid w:val="00C97980"/>
    <w:rsid w:val="00CA0C1D"/>
    <w:rsid w:val="00CA1246"/>
    <w:rsid w:val="00CA15E0"/>
    <w:rsid w:val="00CA1A16"/>
    <w:rsid w:val="00CA2518"/>
    <w:rsid w:val="00CA3212"/>
    <w:rsid w:val="00CA3877"/>
    <w:rsid w:val="00CA498F"/>
    <w:rsid w:val="00CA65EE"/>
    <w:rsid w:val="00CA6731"/>
    <w:rsid w:val="00CA69C5"/>
    <w:rsid w:val="00CA7F60"/>
    <w:rsid w:val="00CB00EC"/>
    <w:rsid w:val="00CB0FFD"/>
    <w:rsid w:val="00CB1DDE"/>
    <w:rsid w:val="00CB50E5"/>
    <w:rsid w:val="00CB5DBB"/>
    <w:rsid w:val="00CB5F56"/>
    <w:rsid w:val="00CB6EB6"/>
    <w:rsid w:val="00CC0268"/>
    <w:rsid w:val="00CC0632"/>
    <w:rsid w:val="00CC0F92"/>
    <w:rsid w:val="00CC1391"/>
    <w:rsid w:val="00CC1483"/>
    <w:rsid w:val="00CC2E8B"/>
    <w:rsid w:val="00CC3BA5"/>
    <w:rsid w:val="00CC62F9"/>
    <w:rsid w:val="00CC645C"/>
    <w:rsid w:val="00CC7D26"/>
    <w:rsid w:val="00CD011E"/>
    <w:rsid w:val="00CD12E1"/>
    <w:rsid w:val="00CD13AB"/>
    <w:rsid w:val="00CD285B"/>
    <w:rsid w:val="00CD3287"/>
    <w:rsid w:val="00CD40A1"/>
    <w:rsid w:val="00CD41FD"/>
    <w:rsid w:val="00CD44C2"/>
    <w:rsid w:val="00CE08B1"/>
    <w:rsid w:val="00CE24B9"/>
    <w:rsid w:val="00CE32DF"/>
    <w:rsid w:val="00CF1848"/>
    <w:rsid w:val="00CF429E"/>
    <w:rsid w:val="00CF4531"/>
    <w:rsid w:val="00CF5E0D"/>
    <w:rsid w:val="00CF6088"/>
    <w:rsid w:val="00CF7A53"/>
    <w:rsid w:val="00D006A5"/>
    <w:rsid w:val="00D04754"/>
    <w:rsid w:val="00D052AA"/>
    <w:rsid w:val="00D06CBF"/>
    <w:rsid w:val="00D12044"/>
    <w:rsid w:val="00D1264A"/>
    <w:rsid w:val="00D126B0"/>
    <w:rsid w:val="00D1560D"/>
    <w:rsid w:val="00D15FD0"/>
    <w:rsid w:val="00D17489"/>
    <w:rsid w:val="00D17959"/>
    <w:rsid w:val="00D17A2C"/>
    <w:rsid w:val="00D20325"/>
    <w:rsid w:val="00D21595"/>
    <w:rsid w:val="00D2210E"/>
    <w:rsid w:val="00D22A07"/>
    <w:rsid w:val="00D24D1E"/>
    <w:rsid w:val="00D277BB"/>
    <w:rsid w:val="00D3210C"/>
    <w:rsid w:val="00D33EFC"/>
    <w:rsid w:val="00D35D2A"/>
    <w:rsid w:val="00D36142"/>
    <w:rsid w:val="00D40267"/>
    <w:rsid w:val="00D40330"/>
    <w:rsid w:val="00D40DBC"/>
    <w:rsid w:val="00D410B3"/>
    <w:rsid w:val="00D428DC"/>
    <w:rsid w:val="00D43846"/>
    <w:rsid w:val="00D45BE8"/>
    <w:rsid w:val="00D4711D"/>
    <w:rsid w:val="00D47887"/>
    <w:rsid w:val="00D47FD0"/>
    <w:rsid w:val="00D51313"/>
    <w:rsid w:val="00D522A0"/>
    <w:rsid w:val="00D52B44"/>
    <w:rsid w:val="00D55028"/>
    <w:rsid w:val="00D55591"/>
    <w:rsid w:val="00D5577F"/>
    <w:rsid w:val="00D5699B"/>
    <w:rsid w:val="00D57454"/>
    <w:rsid w:val="00D576A6"/>
    <w:rsid w:val="00D607A2"/>
    <w:rsid w:val="00D60BCC"/>
    <w:rsid w:val="00D61014"/>
    <w:rsid w:val="00D61474"/>
    <w:rsid w:val="00D61A04"/>
    <w:rsid w:val="00D62B28"/>
    <w:rsid w:val="00D62C14"/>
    <w:rsid w:val="00D63529"/>
    <w:rsid w:val="00D64895"/>
    <w:rsid w:val="00D64E85"/>
    <w:rsid w:val="00D66D8F"/>
    <w:rsid w:val="00D67DBE"/>
    <w:rsid w:val="00D725A8"/>
    <w:rsid w:val="00D72893"/>
    <w:rsid w:val="00D73087"/>
    <w:rsid w:val="00D73BBD"/>
    <w:rsid w:val="00D76A18"/>
    <w:rsid w:val="00D76B9E"/>
    <w:rsid w:val="00D76F59"/>
    <w:rsid w:val="00D80849"/>
    <w:rsid w:val="00D80EA8"/>
    <w:rsid w:val="00D80F3B"/>
    <w:rsid w:val="00D8119E"/>
    <w:rsid w:val="00D827FA"/>
    <w:rsid w:val="00D82E8F"/>
    <w:rsid w:val="00D91379"/>
    <w:rsid w:val="00D920F2"/>
    <w:rsid w:val="00D9487D"/>
    <w:rsid w:val="00D94938"/>
    <w:rsid w:val="00D96C60"/>
    <w:rsid w:val="00D97035"/>
    <w:rsid w:val="00D97281"/>
    <w:rsid w:val="00D973CF"/>
    <w:rsid w:val="00D97BAA"/>
    <w:rsid w:val="00DA1AB1"/>
    <w:rsid w:val="00DA2707"/>
    <w:rsid w:val="00DA33EA"/>
    <w:rsid w:val="00DA7757"/>
    <w:rsid w:val="00DA7904"/>
    <w:rsid w:val="00DB4176"/>
    <w:rsid w:val="00DB5790"/>
    <w:rsid w:val="00DB5BA7"/>
    <w:rsid w:val="00DB61C4"/>
    <w:rsid w:val="00DB77F5"/>
    <w:rsid w:val="00DC16AC"/>
    <w:rsid w:val="00DC1958"/>
    <w:rsid w:val="00DC2B94"/>
    <w:rsid w:val="00DC3770"/>
    <w:rsid w:val="00DC3B88"/>
    <w:rsid w:val="00DC3C00"/>
    <w:rsid w:val="00DC7834"/>
    <w:rsid w:val="00DD0BE2"/>
    <w:rsid w:val="00DD118C"/>
    <w:rsid w:val="00DD2E9D"/>
    <w:rsid w:val="00DD492F"/>
    <w:rsid w:val="00DD5B17"/>
    <w:rsid w:val="00DD6216"/>
    <w:rsid w:val="00DD78CF"/>
    <w:rsid w:val="00DE14DF"/>
    <w:rsid w:val="00DE1A56"/>
    <w:rsid w:val="00DE1ADD"/>
    <w:rsid w:val="00DE1E7F"/>
    <w:rsid w:val="00DE3AE6"/>
    <w:rsid w:val="00DE442E"/>
    <w:rsid w:val="00DE48CA"/>
    <w:rsid w:val="00DE4D8B"/>
    <w:rsid w:val="00DE5BB4"/>
    <w:rsid w:val="00DE7DF7"/>
    <w:rsid w:val="00DF0D32"/>
    <w:rsid w:val="00DF5882"/>
    <w:rsid w:val="00DF614E"/>
    <w:rsid w:val="00DF6370"/>
    <w:rsid w:val="00DF64AA"/>
    <w:rsid w:val="00DF7EF3"/>
    <w:rsid w:val="00E00720"/>
    <w:rsid w:val="00E0162D"/>
    <w:rsid w:val="00E01C88"/>
    <w:rsid w:val="00E029A9"/>
    <w:rsid w:val="00E03B2D"/>
    <w:rsid w:val="00E0616C"/>
    <w:rsid w:val="00E070C7"/>
    <w:rsid w:val="00E1137C"/>
    <w:rsid w:val="00E129FB"/>
    <w:rsid w:val="00E1524A"/>
    <w:rsid w:val="00E15315"/>
    <w:rsid w:val="00E167FA"/>
    <w:rsid w:val="00E16F03"/>
    <w:rsid w:val="00E1717D"/>
    <w:rsid w:val="00E176C0"/>
    <w:rsid w:val="00E17D4E"/>
    <w:rsid w:val="00E236E8"/>
    <w:rsid w:val="00E242B4"/>
    <w:rsid w:val="00E25896"/>
    <w:rsid w:val="00E32AE0"/>
    <w:rsid w:val="00E33126"/>
    <w:rsid w:val="00E339DA"/>
    <w:rsid w:val="00E343EB"/>
    <w:rsid w:val="00E344C3"/>
    <w:rsid w:val="00E35353"/>
    <w:rsid w:val="00E359B1"/>
    <w:rsid w:val="00E35E6E"/>
    <w:rsid w:val="00E3748B"/>
    <w:rsid w:val="00E379AA"/>
    <w:rsid w:val="00E37F17"/>
    <w:rsid w:val="00E37F19"/>
    <w:rsid w:val="00E40479"/>
    <w:rsid w:val="00E414EE"/>
    <w:rsid w:val="00E4155A"/>
    <w:rsid w:val="00E43C61"/>
    <w:rsid w:val="00E43D88"/>
    <w:rsid w:val="00E444EF"/>
    <w:rsid w:val="00E44718"/>
    <w:rsid w:val="00E454A4"/>
    <w:rsid w:val="00E46D25"/>
    <w:rsid w:val="00E47141"/>
    <w:rsid w:val="00E51C7F"/>
    <w:rsid w:val="00E51F49"/>
    <w:rsid w:val="00E526F9"/>
    <w:rsid w:val="00E5327F"/>
    <w:rsid w:val="00E53376"/>
    <w:rsid w:val="00E55750"/>
    <w:rsid w:val="00E55E25"/>
    <w:rsid w:val="00E601DD"/>
    <w:rsid w:val="00E6100A"/>
    <w:rsid w:val="00E61C61"/>
    <w:rsid w:val="00E64A87"/>
    <w:rsid w:val="00E66235"/>
    <w:rsid w:val="00E664AF"/>
    <w:rsid w:val="00E667F7"/>
    <w:rsid w:val="00E70EDC"/>
    <w:rsid w:val="00E723CE"/>
    <w:rsid w:val="00E7337D"/>
    <w:rsid w:val="00E73564"/>
    <w:rsid w:val="00E73F23"/>
    <w:rsid w:val="00E7439C"/>
    <w:rsid w:val="00E747AA"/>
    <w:rsid w:val="00E75811"/>
    <w:rsid w:val="00E76653"/>
    <w:rsid w:val="00E80203"/>
    <w:rsid w:val="00E80680"/>
    <w:rsid w:val="00E80F63"/>
    <w:rsid w:val="00E810E5"/>
    <w:rsid w:val="00E81D98"/>
    <w:rsid w:val="00E82470"/>
    <w:rsid w:val="00E83C24"/>
    <w:rsid w:val="00E843A4"/>
    <w:rsid w:val="00E84694"/>
    <w:rsid w:val="00E86954"/>
    <w:rsid w:val="00E876B9"/>
    <w:rsid w:val="00E87BCD"/>
    <w:rsid w:val="00E90509"/>
    <w:rsid w:val="00E909B5"/>
    <w:rsid w:val="00E90BA0"/>
    <w:rsid w:val="00E90F30"/>
    <w:rsid w:val="00E91A12"/>
    <w:rsid w:val="00E9216A"/>
    <w:rsid w:val="00E92228"/>
    <w:rsid w:val="00E9318D"/>
    <w:rsid w:val="00E94271"/>
    <w:rsid w:val="00EA032E"/>
    <w:rsid w:val="00EA04BF"/>
    <w:rsid w:val="00EA0B89"/>
    <w:rsid w:val="00EA23A7"/>
    <w:rsid w:val="00EA34B5"/>
    <w:rsid w:val="00EA37C3"/>
    <w:rsid w:val="00EA4572"/>
    <w:rsid w:val="00EA4818"/>
    <w:rsid w:val="00EA5786"/>
    <w:rsid w:val="00EA58F6"/>
    <w:rsid w:val="00EA59FC"/>
    <w:rsid w:val="00EA63E7"/>
    <w:rsid w:val="00EA77AB"/>
    <w:rsid w:val="00EB0015"/>
    <w:rsid w:val="00EB0CE8"/>
    <w:rsid w:val="00EB1B7C"/>
    <w:rsid w:val="00EB368B"/>
    <w:rsid w:val="00EB3945"/>
    <w:rsid w:val="00EB3A8C"/>
    <w:rsid w:val="00EB4D96"/>
    <w:rsid w:val="00EB5330"/>
    <w:rsid w:val="00EB59B3"/>
    <w:rsid w:val="00EB6B47"/>
    <w:rsid w:val="00EC0C8D"/>
    <w:rsid w:val="00EC2BCB"/>
    <w:rsid w:val="00EC3CEF"/>
    <w:rsid w:val="00EC4543"/>
    <w:rsid w:val="00EC6683"/>
    <w:rsid w:val="00EC6838"/>
    <w:rsid w:val="00EC6A9A"/>
    <w:rsid w:val="00EC73EE"/>
    <w:rsid w:val="00EC75DC"/>
    <w:rsid w:val="00ED13B3"/>
    <w:rsid w:val="00ED1A74"/>
    <w:rsid w:val="00ED2D6B"/>
    <w:rsid w:val="00ED371D"/>
    <w:rsid w:val="00ED4562"/>
    <w:rsid w:val="00ED4791"/>
    <w:rsid w:val="00ED61EC"/>
    <w:rsid w:val="00ED7DBD"/>
    <w:rsid w:val="00ED7E65"/>
    <w:rsid w:val="00EE04A1"/>
    <w:rsid w:val="00EE14A5"/>
    <w:rsid w:val="00EE219E"/>
    <w:rsid w:val="00EE41E0"/>
    <w:rsid w:val="00EE452C"/>
    <w:rsid w:val="00EE45C4"/>
    <w:rsid w:val="00EE4A8B"/>
    <w:rsid w:val="00EE4F62"/>
    <w:rsid w:val="00EE668A"/>
    <w:rsid w:val="00EE7E7F"/>
    <w:rsid w:val="00EF2BBB"/>
    <w:rsid w:val="00EF4B29"/>
    <w:rsid w:val="00EF7CEA"/>
    <w:rsid w:val="00F009E1"/>
    <w:rsid w:val="00F00FE0"/>
    <w:rsid w:val="00F0183E"/>
    <w:rsid w:val="00F021BC"/>
    <w:rsid w:val="00F02442"/>
    <w:rsid w:val="00F03144"/>
    <w:rsid w:val="00F03635"/>
    <w:rsid w:val="00F03C9E"/>
    <w:rsid w:val="00F04CB3"/>
    <w:rsid w:val="00F05678"/>
    <w:rsid w:val="00F0567B"/>
    <w:rsid w:val="00F06695"/>
    <w:rsid w:val="00F108F9"/>
    <w:rsid w:val="00F10D3E"/>
    <w:rsid w:val="00F12441"/>
    <w:rsid w:val="00F13D16"/>
    <w:rsid w:val="00F17A5F"/>
    <w:rsid w:val="00F208B0"/>
    <w:rsid w:val="00F23297"/>
    <w:rsid w:val="00F2599E"/>
    <w:rsid w:val="00F26969"/>
    <w:rsid w:val="00F271C3"/>
    <w:rsid w:val="00F302C1"/>
    <w:rsid w:val="00F30785"/>
    <w:rsid w:val="00F30EA2"/>
    <w:rsid w:val="00F32D42"/>
    <w:rsid w:val="00F34112"/>
    <w:rsid w:val="00F3615E"/>
    <w:rsid w:val="00F36436"/>
    <w:rsid w:val="00F365F4"/>
    <w:rsid w:val="00F36791"/>
    <w:rsid w:val="00F3735E"/>
    <w:rsid w:val="00F407C2"/>
    <w:rsid w:val="00F40C02"/>
    <w:rsid w:val="00F40E95"/>
    <w:rsid w:val="00F411EF"/>
    <w:rsid w:val="00F426A1"/>
    <w:rsid w:val="00F42972"/>
    <w:rsid w:val="00F43AD4"/>
    <w:rsid w:val="00F4465B"/>
    <w:rsid w:val="00F44F05"/>
    <w:rsid w:val="00F479B6"/>
    <w:rsid w:val="00F505FE"/>
    <w:rsid w:val="00F50DA9"/>
    <w:rsid w:val="00F5172B"/>
    <w:rsid w:val="00F51827"/>
    <w:rsid w:val="00F5219B"/>
    <w:rsid w:val="00F53193"/>
    <w:rsid w:val="00F5361C"/>
    <w:rsid w:val="00F54344"/>
    <w:rsid w:val="00F55843"/>
    <w:rsid w:val="00F57EE9"/>
    <w:rsid w:val="00F60035"/>
    <w:rsid w:val="00F611D3"/>
    <w:rsid w:val="00F61419"/>
    <w:rsid w:val="00F61BF1"/>
    <w:rsid w:val="00F6260C"/>
    <w:rsid w:val="00F63656"/>
    <w:rsid w:val="00F639ED"/>
    <w:rsid w:val="00F65683"/>
    <w:rsid w:val="00F6586C"/>
    <w:rsid w:val="00F660B9"/>
    <w:rsid w:val="00F66399"/>
    <w:rsid w:val="00F67887"/>
    <w:rsid w:val="00F679CE"/>
    <w:rsid w:val="00F70ECA"/>
    <w:rsid w:val="00F718A6"/>
    <w:rsid w:val="00F71F6E"/>
    <w:rsid w:val="00F722ED"/>
    <w:rsid w:val="00F749BF"/>
    <w:rsid w:val="00F77743"/>
    <w:rsid w:val="00F80F42"/>
    <w:rsid w:val="00F82151"/>
    <w:rsid w:val="00F84541"/>
    <w:rsid w:val="00F85257"/>
    <w:rsid w:val="00F856DB"/>
    <w:rsid w:val="00F861E3"/>
    <w:rsid w:val="00F86847"/>
    <w:rsid w:val="00F87382"/>
    <w:rsid w:val="00F90198"/>
    <w:rsid w:val="00F924C5"/>
    <w:rsid w:val="00F93F72"/>
    <w:rsid w:val="00F94072"/>
    <w:rsid w:val="00F94774"/>
    <w:rsid w:val="00FA016D"/>
    <w:rsid w:val="00FA0D41"/>
    <w:rsid w:val="00FA1CBE"/>
    <w:rsid w:val="00FA1F08"/>
    <w:rsid w:val="00FA2184"/>
    <w:rsid w:val="00FA2C39"/>
    <w:rsid w:val="00FA4F01"/>
    <w:rsid w:val="00FA663B"/>
    <w:rsid w:val="00FB0024"/>
    <w:rsid w:val="00FB0D01"/>
    <w:rsid w:val="00FB1843"/>
    <w:rsid w:val="00FB2A95"/>
    <w:rsid w:val="00FB2DD5"/>
    <w:rsid w:val="00FB485E"/>
    <w:rsid w:val="00FB65E4"/>
    <w:rsid w:val="00FB6708"/>
    <w:rsid w:val="00FB6CC0"/>
    <w:rsid w:val="00FB70A9"/>
    <w:rsid w:val="00FB7B5C"/>
    <w:rsid w:val="00FC04D6"/>
    <w:rsid w:val="00FC0513"/>
    <w:rsid w:val="00FC0B60"/>
    <w:rsid w:val="00FC4A32"/>
    <w:rsid w:val="00FC4C3E"/>
    <w:rsid w:val="00FC53DB"/>
    <w:rsid w:val="00FC5780"/>
    <w:rsid w:val="00FC6565"/>
    <w:rsid w:val="00FC65F8"/>
    <w:rsid w:val="00FC754D"/>
    <w:rsid w:val="00FD1BAB"/>
    <w:rsid w:val="00FD1E98"/>
    <w:rsid w:val="00FD2FFC"/>
    <w:rsid w:val="00FD5E27"/>
    <w:rsid w:val="00FE181F"/>
    <w:rsid w:val="00FE220A"/>
    <w:rsid w:val="00FE32F2"/>
    <w:rsid w:val="00FE4C2B"/>
    <w:rsid w:val="00FF003C"/>
    <w:rsid w:val="00FF0380"/>
    <w:rsid w:val="00FF0DA4"/>
    <w:rsid w:val="00FF0ECF"/>
    <w:rsid w:val="00FF19A9"/>
    <w:rsid w:val="00FF2FDC"/>
    <w:rsid w:val="00FF502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44B5DE"/>
  <w15:docId w15:val="{1A3B472F-C21F-4BCD-9D15-6B400C023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uiPriority w:val="9"/>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semiHidden/>
    <w:rsid w:val="007E09DA"/>
    <w:pPr>
      <w:spacing w:after="120" w:line="240" w:lineRule="exact"/>
    </w:pPr>
  </w:style>
  <w:style w:type="character" w:customStyle="1" w:styleId="CommentTextChar">
    <w:name w:val="Comment Text Char"/>
    <w:basedOn w:val="DefaultParagraphFont"/>
    <w:link w:val="CommentText"/>
    <w:uiPriority w:val="99"/>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uiPriority w:val="9"/>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uiPriority w:val="9"/>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uiPriority w:val="9"/>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3"/>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4"/>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5"/>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492C02"/>
    <w:pPr>
      <w:spacing w:before="120" w:after="120"/>
      <w:ind w:left="720"/>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character" w:customStyle="1" w:styleId="UnresolvedMention1">
    <w:name w:val="Unresolved Mention1"/>
    <w:basedOn w:val="DefaultParagraphFont"/>
    <w:uiPriority w:val="99"/>
    <w:semiHidden/>
    <w:unhideWhenUsed/>
    <w:rsid w:val="00EB4D9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60D6B"/>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B60D6B"/>
    <w:rPr>
      <w:rFonts w:ascii="Times New Roman" w:eastAsia="Times New Roman" w:hAnsi="Times New Roman" w:cs="Times New Roman"/>
      <w:b/>
      <w:bCs/>
      <w:sz w:val="20"/>
      <w:szCs w:val="20"/>
      <w:lang w:val="en-GB"/>
    </w:rPr>
  </w:style>
  <w:style w:type="character" w:styleId="UnresolvedMention">
    <w:name w:val="Unresolved Mention"/>
    <w:basedOn w:val="DefaultParagraphFont"/>
    <w:uiPriority w:val="99"/>
    <w:semiHidden/>
    <w:unhideWhenUsed/>
    <w:rsid w:val="00A62E3D"/>
    <w:rPr>
      <w:color w:val="605E5C"/>
      <w:shd w:val="clear" w:color="auto" w:fill="E1DFDD"/>
    </w:rPr>
  </w:style>
  <w:style w:type="character" w:customStyle="1" w:styleId="normaltextrun">
    <w:name w:val="normaltextrun"/>
    <w:basedOn w:val="DefaultParagraphFont"/>
    <w:rsid w:val="00A90EB2"/>
  </w:style>
  <w:style w:type="character" w:customStyle="1" w:styleId="eop">
    <w:name w:val="eop"/>
    <w:basedOn w:val="DefaultParagraphFont"/>
    <w:rsid w:val="00A90EB2"/>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locked/>
    <w:rsid w:val="00A90EB2"/>
    <w:rPr>
      <w:rFonts w:ascii="Times New Roman" w:eastAsia="Times New Roman" w:hAnsi="Times New Roman" w:cs="Times New Roman"/>
      <w:sz w:val="22"/>
      <w:lang w:val="en-GB"/>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F679CE"/>
    <w:pPr>
      <w:spacing w:after="160" w:line="240" w:lineRule="exact"/>
      <w:jc w:val="left"/>
    </w:pPr>
    <w:rPr>
      <w:rFonts w:asciiTheme="minorHAnsi" w:eastAsiaTheme="minorEastAsia" w:hAnsiTheme="minorHAnsi" w:cstheme="minorBidi"/>
      <w:vertAlign w:val="superscript"/>
      <w:lang w:val="fr-CA"/>
    </w:rPr>
  </w:style>
  <w:style w:type="character" w:customStyle="1" w:styleId="ng-binding">
    <w:name w:val="ng-binding"/>
    <w:basedOn w:val="DefaultParagraphFont"/>
    <w:rsid w:val="00610AAA"/>
  </w:style>
  <w:style w:type="paragraph" w:styleId="Revision">
    <w:name w:val="Revision"/>
    <w:hidden/>
    <w:uiPriority w:val="99"/>
    <w:semiHidden/>
    <w:rsid w:val="00CC2E8B"/>
    <w:rPr>
      <w:rFonts w:ascii="Times New Roman" w:eastAsia="Times New Roman" w:hAnsi="Times New Roman" w:cs="Times New Roman"/>
      <w:sz w:val="22"/>
      <w:lang w:val="en-GB"/>
    </w:rPr>
  </w:style>
  <w:style w:type="character" w:styleId="Strong">
    <w:name w:val="Strong"/>
    <w:basedOn w:val="DefaultParagraphFont"/>
    <w:uiPriority w:val="22"/>
    <w:qFormat/>
    <w:rsid w:val="005402C5"/>
    <w:rPr>
      <w:b/>
      <w:bCs/>
    </w:rPr>
  </w:style>
  <w:style w:type="character" w:customStyle="1" w:styleId="preferred">
    <w:name w:val="preferred"/>
    <w:basedOn w:val="DefaultParagraphFont"/>
    <w:rsid w:val="00612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17774">
      <w:bodyDiv w:val="1"/>
      <w:marLeft w:val="0"/>
      <w:marRight w:val="0"/>
      <w:marTop w:val="0"/>
      <w:marBottom w:val="0"/>
      <w:divBdr>
        <w:top w:val="none" w:sz="0" w:space="0" w:color="auto"/>
        <w:left w:val="none" w:sz="0" w:space="0" w:color="auto"/>
        <w:bottom w:val="none" w:sz="0" w:space="0" w:color="auto"/>
        <w:right w:val="none" w:sz="0" w:space="0" w:color="auto"/>
      </w:divBdr>
    </w:div>
    <w:div w:id="245769266">
      <w:bodyDiv w:val="1"/>
      <w:marLeft w:val="0"/>
      <w:marRight w:val="0"/>
      <w:marTop w:val="0"/>
      <w:marBottom w:val="0"/>
      <w:divBdr>
        <w:top w:val="none" w:sz="0" w:space="0" w:color="auto"/>
        <w:left w:val="none" w:sz="0" w:space="0" w:color="auto"/>
        <w:bottom w:val="none" w:sz="0" w:space="0" w:color="auto"/>
        <w:right w:val="none" w:sz="0" w:space="0" w:color="auto"/>
      </w:divBdr>
    </w:div>
    <w:div w:id="552036201">
      <w:bodyDiv w:val="1"/>
      <w:marLeft w:val="0"/>
      <w:marRight w:val="0"/>
      <w:marTop w:val="0"/>
      <w:marBottom w:val="0"/>
      <w:divBdr>
        <w:top w:val="none" w:sz="0" w:space="0" w:color="auto"/>
        <w:left w:val="none" w:sz="0" w:space="0" w:color="auto"/>
        <w:bottom w:val="none" w:sz="0" w:space="0" w:color="auto"/>
        <w:right w:val="none" w:sz="0" w:space="0" w:color="auto"/>
      </w:divBdr>
    </w:div>
    <w:div w:id="785275091">
      <w:bodyDiv w:val="1"/>
      <w:marLeft w:val="0"/>
      <w:marRight w:val="0"/>
      <w:marTop w:val="0"/>
      <w:marBottom w:val="0"/>
      <w:divBdr>
        <w:top w:val="none" w:sz="0" w:space="0" w:color="auto"/>
        <w:left w:val="none" w:sz="0" w:space="0" w:color="auto"/>
        <w:bottom w:val="none" w:sz="0" w:space="0" w:color="auto"/>
        <w:right w:val="none" w:sz="0" w:space="0" w:color="auto"/>
      </w:divBdr>
    </w:div>
    <w:div w:id="943271336">
      <w:bodyDiv w:val="1"/>
      <w:marLeft w:val="0"/>
      <w:marRight w:val="0"/>
      <w:marTop w:val="0"/>
      <w:marBottom w:val="0"/>
      <w:divBdr>
        <w:top w:val="none" w:sz="0" w:space="0" w:color="auto"/>
        <w:left w:val="none" w:sz="0" w:space="0" w:color="auto"/>
        <w:bottom w:val="none" w:sz="0" w:space="0" w:color="auto"/>
        <w:right w:val="none" w:sz="0" w:space="0" w:color="auto"/>
      </w:divBdr>
    </w:div>
    <w:div w:id="1566642657">
      <w:bodyDiv w:val="1"/>
      <w:marLeft w:val="0"/>
      <w:marRight w:val="0"/>
      <w:marTop w:val="0"/>
      <w:marBottom w:val="0"/>
      <w:divBdr>
        <w:top w:val="none" w:sz="0" w:space="0" w:color="auto"/>
        <w:left w:val="none" w:sz="0" w:space="0" w:color="auto"/>
        <w:bottom w:val="none" w:sz="0" w:space="0" w:color="auto"/>
        <w:right w:val="none" w:sz="0" w:space="0" w:color="auto"/>
      </w:divBdr>
    </w:div>
    <w:div w:id="16487781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cbd.int/doc/decisions/cop-13/cop-13-dec-28-en.pdf"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5" Type="http://schemas.openxmlformats.org/officeDocument/2006/relationships/theme" Target="theme/theme1.xml"/><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cbd.int/doc/recommendations/sbstta-23/sbstta-23-rec-01-en.pdf"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yperlink" Target="https://www.cbd.int/doc/decisions/cop-10/cop-10-dec-03-en.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meetings/sbstta/sbstta-19/information/sbstta-19-inf-05-en.pdf" TargetMode="External"/><Relationship Id="rId2" Type="http://schemas.openxmlformats.org/officeDocument/2006/relationships/hyperlink" Target="http://www.cbd.int/doc/meetings/sbstta/sbstta-19/information/sbstta-19-inf-05-en.pdf" TargetMode="External"/><Relationship Id="rId1" Type="http://schemas.openxmlformats.org/officeDocument/2006/relationships/hyperlink" Target="https://www.cbd.int/conferences/post2020/submissions/2020-045" TargetMode="External"/><Relationship Id="rId5" Type="http://schemas.openxmlformats.org/officeDocument/2006/relationships/hyperlink" Target="https://www.cbd.int/doc/notifications/2020/ntf-2020-024-sbstta-en.pdf" TargetMode="External"/><Relationship Id="rId4" Type="http://schemas.openxmlformats.org/officeDocument/2006/relationships/hyperlink" Target="https://www.cbd.int/conferences/post2020/submissions/2019-10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48461170BAC4BF29C33FFD3D82D7C0C"/>
        <w:category>
          <w:name w:val="General"/>
          <w:gallery w:val="placeholder"/>
        </w:category>
        <w:types>
          <w:type w:val="bbPlcHdr"/>
        </w:types>
        <w:behaviors>
          <w:behavior w:val="content"/>
        </w:behaviors>
        <w:guid w:val="{ADD74EB9-E9B2-40ED-9887-CEDA36E392E5}"/>
      </w:docPartPr>
      <w:docPartBody>
        <w:p w:rsidR="002D263C" w:rsidRDefault="00C20F81">
          <w:r w:rsidRPr="00C20F8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01AD3"/>
    <w:rsid w:val="00006BF6"/>
    <w:rsid w:val="00027B83"/>
    <w:rsid w:val="00040713"/>
    <w:rsid w:val="000710E3"/>
    <w:rsid w:val="000D39B9"/>
    <w:rsid w:val="000E29F3"/>
    <w:rsid w:val="000F650C"/>
    <w:rsid w:val="000F6E6E"/>
    <w:rsid w:val="00155B86"/>
    <w:rsid w:val="0016197C"/>
    <w:rsid w:val="00164C7C"/>
    <w:rsid w:val="001C7ACF"/>
    <w:rsid w:val="001F015E"/>
    <w:rsid w:val="0026263B"/>
    <w:rsid w:val="00281838"/>
    <w:rsid w:val="002D263C"/>
    <w:rsid w:val="00302715"/>
    <w:rsid w:val="00327111"/>
    <w:rsid w:val="00333976"/>
    <w:rsid w:val="0034071E"/>
    <w:rsid w:val="00344A9B"/>
    <w:rsid w:val="003E3277"/>
    <w:rsid w:val="00415222"/>
    <w:rsid w:val="0046422C"/>
    <w:rsid w:val="004760CF"/>
    <w:rsid w:val="00476DBA"/>
    <w:rsid w:val="004D120C"/>
    <w:rsid w:val="004E092F"/>
    <w:rsid w:val="00500A2B"/>
    <w:rsid w:val="00501B75"/>
    <w:rsid w:val="00531468"/>
    <w:rsid w:val="00540318"/>
    <w:rsid w:val="0058288D"/>
    <w:rsid w:val="00592D8C"/>
    <w:rsid w:val="00607E19"/>
    <w:rsid w:val="00663B54"/>
    <w:rsid w:val="00665C6B"/>
    <w:rsid w:val="006801B3"/>
    <w:rsid w:val="006917DE"/>
    <w:rsid w:val="00697AE5"/>
    <w:rsid w:val="006C0CE5"/>
    <w:rsid w:val="006C70C2"/>
    <w:rsid w:val="006F7444"/>
    <w:rsid w:val="00714ADD"/>
    <w:rsid w:val="0074782C"/>
    <w:rsid w:val="007F0A05"/>
    <w:rsid w:val="00810A55"/>
    <w:rsid w:val="008469F2"/>
    <w:rsid w:val="0086189B"/>
    <w:rsid w:val="00886C06"/>
    <w:rsid w:val="00896A2A"/>
    <w:rsid w:val="008C29F6"/>
    <w:rsid w:val="008C6619"/>
    <w:rsid w:val="008D420E"/>
    <w:rsid w:val="0091383C"/>
    <w:rsid w:val="0098642F"/>
    <w:rsid w:val="00A00756"/>
    <w:rsid w:val="00A35565"/>
    <w:rsid w:val="00A736BE"/>
    <w:rsid w:val="00B21F67"/>
    <w:rsid w:val="00B52DE6"/>
    <w:rsid w:val="00B62210"/>
    <w:rsid w:val="00C163DB"/>
    <w:rsid w:val="00C20F81"/>
    <w:rsid w:val="00C67437"/>
    <w:rsid w:val="00C8104B"/>
    <w:rsid w:val="00CD6C49"/>
    <w:rsid w:val="00D16227"/>
    <w:rsid w:val="00D31D12"/>
    <w:rsid w:val="00D675FA"/>
    <w:rsid w:val="00D86244"/>
    <w:rsid w:val="00DB48D4"/>
    <w:rsid w:val="00E66013"/>
    <w:rsid w:val="00EB04BB"/>
    <w:rsid w:val="00EB4D61"/>
    <w:rsid w:val="00F11109"/>
    <w:rsid w:val="00F11930"/>
    <w:rsid w:val="00F302FC"/>
    <w:rsid w:val="00F53E31"/>
    <w:rsid w:val="00F74B87"/>
    <w:rsid w:val="00F844CC"/>
    <w:rsid w:val="00FE59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1AD3"/>
    <w:rPr>
      <w:color w:val="808080"/>
    </w:rPr>
  </w:style>
  <w:style w:type="paragraph" w:customStyle="1" w:styleId="B0BC6958BF87464E9253B5F06843757E">
    <w:name w:val="B0BC6958BF87464E9253B5F06843757E"/>
    <w:rsid w:val="00665C6B"/>
    <w:pPr>
      <w:spacing w:after="160" w:line="259" w:lineRule="auto"/>
    </w:pPr>
    <w:rPr>
      <w:lang w:val="en-CA" w:eastAsia="en-CA"/>
    </w:rPr>
  </w:style>
  <w:style w:type="paragraph" w:customStyle="1" w:styleId="CFEDCB79432F42239ABC061EC00E8BF0">
    <w:name w:val="CFEDCB79432F42239ABC061EC00E8BF0"/>
    <w:rsid w:val="00D86244"/>
    <w:pPr>
      <w:spacing w:after="160" w:line="259" w:lineRule="auto"/>
    </w:pPr>
    <w:rPr>
      <w:lang w:val="en-CA" w:eastAsia="en-CA"/>
    </w:rPr>
  </w:style>
  <w:style w:type="paragraph" w:customStyle="1" w:styleId="858C539CAEEF4589BC0097BD711F2680">
    <w:name w:val="858C539CAEEF4589BC0097BD711F2680"/>
    <w:rsid w:val="00D86244"/>
    <w:pPr>
      <w:spacing w:after="160" w:line="259" w:lineRule="auto"/>
    </w:pPr>
    <w:rPr>
      <w:lang w:val="en-CA" w:eastAsia="en-CA"/>
    </w:rPr>
  </w:style>
  <w:style w:type="paragraph" w:customStyle="1" w:styleId="37081B60A4614A81BEAE17B039652513">
    <w:name w:val="37081B60A4614A81BEAE17B039652513"/>
    <w:pPr>
      <w:spacing w:after="160" w:line="259" w:lineRule="auto"/>
    </w:pPr>
    <w:rPr>
      <w:lang w:val="en-CA" w:eastAsia="en-CA"/>
    </w:rPr>
  </w:style>
  <w:style w:type="paragraph" w:customStyle="1" w:styleId="93524527F0D74166ABFE3C929F39121A">
    <w:name w:val="93524527F0D74166ABFE3C929F39121A"/>
    <w:rsid w:val="00F53E31"/>
    <w:pPr>
      <w:spacing w:after="160" w:line="259" w:lineRule="auto"/>
    </w:pPr>
    <w:rPr>
      <w:lang w:val="en-GB" w:eastAsia="zh-CN"/>
    </w:rPr>
  </w:style>
  <w:style w:type="paragraph" w:customStyle="1" w:styleId="3C729E01C14A4EE3B9C973201395D797">
    <w:name w:val="3C729E01C14A4EE3B9C973201395D797"/>
    <w:rsid w:val="00001AD3"/>
    <w:pPr>
      <w:spacing w:after="160" w:line="259" w:lineRule="auto"/>
    </w:pPr>
    <w:rPr>
      <w:lang w:val="en-GB"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F99E2B02-80F9-494D-8EAF-7C799FD00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0EEA69C-AA13-4041-844D-7BB296762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2042</TotalTime>
  <Pages>29</Pages>
  <Words>9173</Words>
  <Characters>52288</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Post-2020 global biodiversity framework: scientific and technical information to support the review of the updated goals and targets, and related indicators and baselines</vt:lpstr>
    </vt:vector>
  </TitlesOfParts>
  <Company>SCBD</Company>
  <LinksUpToDate>false</LinksUpToDate>
  <CharactersWithSpaces>61339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Post-2020 global biodiversity framework: scientific and technical information to support the review of the updated goals and targets, and related indicators and baselines</dc:title>
  <dc:subject>CBD/SBSTTA/24/3Add.1</dc:subject>
  <dc:creator>SCBD</dc:creator>
  <cp:keywords>Subsidiary Body on Scientific, Technical and Technological Advice, twenty-fourth meeting, Convention on Biological Diversity</cp:keywords>
  <dc:description/>
  <cp:lastModifiedBy>Orestes Plasencia</cp:lastModifiedBy>
  <cp:revision>128</cp:revision>
  <cp:lastPrinted>2020-02-13T14:09:00Z</cp:lastPrinted>
  <dcterms:created xsi:type="dcterms:W3CDTF">2020-11-27T20:22:00Z</dcterms:created>
  <dcterms:modified xsi:type="dcterms:W3CDTF">2020-12-09T20:13:00Z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